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683A" w14:textId="25C0CD38" w:rsidR="00FA5543" w:rsidRPr="00F66162" w:rsidRDefault="003D3445" w:rsidP="00AB396E">
      <w:pPr>
        <w:pStyle w:val="Pagedecouverture"/>
        <w:rPr>
          <w:noProof/>
        </w:rPr>
      </w:pPr>
      <w:r>
        <w:rPr>
          <w:noProof/>
        </w:rPr>
        <w:drawing>
          <wp:inline distT="0" distB="0" distL="0" distR="0" wp14:anchorId="08958687" wp14:editId="56A57D32">
            <wp:extent cx="5783580" cy="5257800"/>
            <wp:effectExtent l="0" t="0" r="7620" b="0"/>
            <wp:docPr id="1" name="Obraz 1" descr="88E2B09E-82CB-40B6-BF5B-96B8A935CC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E2B09E-82CB-40B6-BF5B-96B8A935CC5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3580" cy="5257800"/>
                    </a:xfrm>
                    <a:prstGeom prst="rect">
                      <a:avLst/>
                    </a:prstGeom>
                    <a:noFill/>
                    <a:ln>
                      <a:noFill/>
                    </a:ln>
                  </pic:spPr>
                </pic:pic>
              </a:graphicData>
            </a:graphic>
          </wp:inline>
        </w:drawing>
      </w:r>
    </w:p>
    <w:p w14:paraId="5E984E56" w14:textId="77777777" w:rsidR="00FA5543" w:rsidRPr="00F66162" w:rsidRDefault="00FA5543" w:rsidP="00FA5543">
      <w:pPr>
        <w:rPr>
          <w:noProof/>
        </w:rPr>
        <w:sectPr w:rsidR="00FA5543" w:rsidRPr="00F66162" w:rsidSect="00AB396E">
          <w:footerReference w:type="even" r:id="rId12"/>
          <w:footerReference w:type="default" r:id="rId13"/>
          <w:pgSz w:w="11907" w:h="16839"/>
          <w:pgMar w:top="1134" w:right="1417" w:bottom="1134" w:left="1417" w:header="709" w:footer="709" w:gutter="0"/>
          <w:pgNumType w:start="0"/>
          <w:cols w:space="720"/>
          <w:docGrid w:linePitch="360"/>
        </w:sectPr>
      </w:pPr>
    </w:p>
    <w:p w14:paraId="14022E35" w14:textId="77777777" w:rsidR="00FA5543" w:rsidRPr="00F66162" w:rsidRDefault="00FA5543" w:rsidP="00390489">
      <w:pPr>
        <w:pStyle w:val="Exposdesmotifstitre"/>
        <w:rPr>
          <w:noProof/>
        </w:rPr>
      </w:pPr>
      <w:r w:rsidRPr="00F66162">
        <w:rPr>
          <w:noProof/>
        </w:rPr>
        <w:lastRenderedPageBreak/>
        <w:t>UZASADNIENIE</w:t>
      </w:r>
    </w:p>
    <w:p w14:paraId="32B36F7C" w14:textId="77777777" w:rsidR="00FA5543" w:rsidRPr="00F66162" w:rsidRDefault="00FA5543" w:rsidP="00390489">
      <w:pPr>
        <w:pStyle w:val="ManualHeading1"/>
        <w:rPr>
          <w:noProof/>
        </w:rPr>
      </w:pPr>
      <w:r w:rsidRPr="00F66162">
        <w:rPr>
          <w:noProof/>
        </w:rPr>
        <w:t>1.</w:t>
      </w:r>
      <w:r w:rsidRPr="00F66162">
        <w:rPr>
          <w:noProof/>
        </w:rPr>
        <w:tab/>
        <w:t>KONTEKST WNIOSKU</w:t>
      </w:r>
    </w:p>
    <w:p w14:paraId="28C8C5C9" w14:textId="31A9D3D2" w:rsidR="00FA5543" w:rsidRPr="00F66162" w:rsidRDefault="00FA5543" w:rsidP="00390489">
      <w:pPr>
        <w:pStyle w:val="ManualHeading2"/>
        <w:rPr>
          <w:rFonts w:eastAsia="Arial Unicode MS"/>
          <w:noProof/>
        </w:rPr>
      </w:pPr>
      <w:r w:rsidRPr="00F66162">
        <w:rPr>
          <w:noProof/>
          <w:color w:val="000000"/>
          <w:u w:color="000000"/>
          <w:bdr w:val="nil"/>
        </w:rPr>
        <w:t>•</w:t>
      </w:r>
      <w:r w:rsidRPr="00F66162">
        <w:rPr>
          <w:noProof/>
        </w:rPr>
        <w:tab/>
        <w:t>Przyczyny</w:t>
      </w:r>
      <w:r w:rsidR="00825614" w:rsidRPr="00F66162">
        <w:rPr>
          <w:noProof/>
        </w:rPr>
        <w:t xml:space="preserve"> i</w:t>
      </w:r>
      <w:r w:rsidR="00825614">
        <w:rPr>
          <w:noProof/>
        </w:rPr>
        <w:t> </w:t>
      </w:r>
      <w:r w:rsidR="00825614" w:rsidRPr="00F66162">
        <w:rPr>
          <w:noProof/>
        </w:rPr>
        <w:t>cel</w:t>
      </w:r>
      <w:r w:rsidRPr="00F66162">
        <w:rPr>
          <w:noProof/>
        </w:rPr>
        <w:t>e wniosku</w:t>
      </w:r>
    </w:p>
    <w:p w14:paraId="39586C6A" w14:textId="0485D870" w:rsidR="7B167BC2" w:rsidRPr="00F66162" w:rsidRDefault="7B167BC2" w:rsidP="001616AE">
      <w:pPr>
        <w:pBdr>
          <w:top w:val="nil"/>
          <w:left w:val="nil"/>
          <w:bottom w:val="nil"/>
          <w:right w:val="nil"/>
          <w:between w:val="nil"/>
          <w:bar w:val="nil"/>
        </w:pBdr>
        <w:spacing w:before="0" w:after="240"/>
        <w:rPr>
          <w:rFonts w:eastAsia="Times New Roman"/>
          <w:noProof/>
          <w:szCs w:val="24"/>
        </w:rPr>
      </w:pPr>
      <w:r w:rsidRPr="00F66162">
        <w:rPr>
          <w:noProof/>
        </w:rPr>
        <w:t>W sprawozdaniu na temat przyszłości europejskiej konkurencyjności Mario Draghi podkreślił, że Europa musi stworzyć otoczenie regulacyjne ułatwiające konkurencyjność</w:t>
      </w:r>
      <w:r w:rsidR="00825614" w:rsidRPr="00F66162">
        <w:rPr>
          <w:noProof/>
        </w:rPr>
        <w:t xml:space="preserve"> i</w:t>
      </w:r>
      <w:r w:rsidR="00825614">
        <w:rPr>
          <w:noProof/>
        </w:rPr>
        <w:t> </w:t>
      </w:r>
      <w:r w:rsidR="00825614" w:rsidRPr="00F66162">
        <w:rPr>
          <w:noProof/>
        </w:rPr>
        <w:t>odp</w:t>
      </w:r>
      <w:r w:rsidRPr="00F66162">
        <w:rPr>
          <w:noProof/>
        </w:rPr>
        <w:t>orność</w:t>
      </w:r>
      <w:r w:rsidRPr="00F66162">
        <w:rPr>
          <w:rStyle w:val="Odwoanieprzypisudolnego"/>
          <w:rFonts w:eastAsia="Times New Roman"/>
          <w:noProof/>
          <w:szCs w:val="24"/>
        </w:rPr>
        <w:footnoteReference w:id="2"/>
      </w:r>
      <w:r w:rsidRPr="00F66162">
        <w:rPr>
          <w:noProof/>
        </w:rPr>
        <w:t>. W Deklaracji budapeszteńskiej</w:t>
      </w:r>
      <w:r w:rsidR="00825614" w:rsidRPr="00F66162">
        <w:rPr>
          <w:noProof/>
        </w:rPr>
        <w:t xml:space="preserve"> w</w:t>
      </w:r>
      <w:r w:rsidR="00825614">
        <w:rPr>
          <w:noProof/>
        </w:rPr>
        <w:t> </w:t>
      </w:r>
      <w:r w:rsidR="00825614" w:rsidRPr="00F66162">
        <w:rPr>
          <w:noProof/>
        </w:rPr>
        <w:t>spr</w:t>
      </w:r>
      <w:r w:rsidRPr="00F66162">
        <w:rPr>
          <w:noProof/>
        </w:rPr>
        <w:t>awie nowego ładu na rzecz europejskiej konkurencyjności szefowie państw</w:t>
      </w:r>
      <w:r w:rsidR="00825614" w:rsidRPr="00F66162">
        <w:rPr>
          <w:noProof/>
        </w:rPr>
        <w:t xml:space="preserve"> i</w:t>
      </w:r>
      <w:r w:rsidR="00825614">
        <w:rPr>
          <w:noProof/>
        </w:rPr>
        <w:t> </w:t>
      </w:r>
      <w:r w:rsidR="00825614" w:rsidRPr="00F66162">
        <w:rPr>
          <w:noProof/>
        </w:rPr>
        <w:t>rzą</w:t>
      </w:r>
      <w:r w:rsidRPr="00F66162">
        <w:rPr>
          <w:noProof/>
        </w:rPr>
        <w:t>dów UE wezwali do zainicjowania „procesu gruntownego upraszczania przepisów, aby zapewnić jasne, proste</w:t>
      </w:r>
      <w:r w:rsidR="00825614" w:rsidRPr="00F66162">
        <w:rPr>
          <w:noProof/>
        </w:rPr>
        <w:t xml:space="preserve"> i</w:t>
      </w:r>
      <w:r w:rsidR="00825614">
        <w:rPr>
          <w:noProof/>
        </w:rPr>
        <w:t> </w:t>
      </w:r>
      <w:r w:rsidR="00825614" w:rsidRPr="00F66162">
        <w:rPr>
          <w:noProof/>
        </w:rPr>
        <w:t>int</w:t>
      </w:r>
      <w:r w:rsidRPr="00F66162">
        <w:rPr>
          <w:noProof/>
        </w:rPr>
        <w:t>eligentne ramy regulacyjne dla przedsiębiorstw oraz radykalnie zmniejszyć obciążenia administracyjne, regulacyjne</w:t>
      </w:r>
      <w:r w:rsidR="00825614" w:rsidRPr="00F66162">
        <w:rPr>
          <w:noProof/>
        </w:rPr>
        <w:t xml:space="preserve"> i</w:t>
      </w:r>
      <w:r w:rsidR="00825614">
        <w:rPr>
          <w:noProof/>
        </w:rPr>
        <w:t> </w:t>
      </w:r>
      <w:r w:rsidR="00825614" w:rsidRPr="00F66162">
        <w:rPr>
          <w:noProof/>
        </w:rPr>
        <w:t>spr</w:t>
      </w:r>
      <w:r w:rsidRPr="00F66162">
        <w:rPr>
          <w:noProof/>
        </w:rPr>
        <w:t>awozdawcze,</w:t>
      </w:r>
      <w:r w:rsidR="00825614" w:rsidRPr="00F66162">
        <w:rPr>
          <w:noProof/>
        </w:rPr>
        <w:t xml:space="preserve"> w</w:t>
      </w:r>
      <w:r w:rsidR="00825614">
        <w:rPr>
          <w:noProof/>
        </w:rPr>
        <w:t> </w:t>
      </w:r>
      <w:r w:rsidR="00825614" w:rsidRPr="00F66162">
        <w:rPr>
          <w:noProof/>
        </w:rPr>
        <w:t>szc</w:t>
      </w:r>
      <w:r w:rsidRPr="00F66162">
        <w:rPr>
          <w:noProof/>
        </w:rPr>
        <w:t>zególności dla MŚP”</w:t>
      </w:r>
      <w:r w:rsidRPr="00F66162">
        <w:rPr>
          <w:rStyle w:val="Odwoanieprzypisudolnego"/>
          <w:rFonts w:eastAsia="Times New Roman"/>
          <w:noProof/>
          <w:szCs w:val="24"/>
        </w:rPr>
        <w:footnoteReference w:id="3"/>
      </w:r>
      <w:r w:rsidRPr="00F66162">
        <w:rPr>
          <w:noProof/>
        </w:rPr>
        <w:t>. Wiele przedsiębiorstw</w:t>
      </w:r>
      <w:r w:rsidR="00825614" w:rsidRPr="00F66162">
        <w:rPr>
          <w:noProof/>
        </w:rPr>
        <w:t xml:space="preserve"> i</w:t>
      </w:r>
      <w:r w:rsidR="00825614">
        <w:rPr>
          <w:noProof/>
        </w:rPr>
        <w:t> </w:t>
      </w:r>
      <w:r w:rsidR="00825614" w:rsidRPr="00F66162">
        <w:rPr>
          <w:noProof/>
        </w:rPr>
        <w:t>inn</w:t>
      </w:r>
      <w:r w:rsidRPr="00F66162">
        <w:rPr>
          <w:noProof/>
        </w:rPr>
        <w:t>ych zainteresowanych podmiotów wyraziło obawy dotyczące obciążenia administracyjnego wynikającego</w:t>
      </w:r>
      <w:r w:rsidR="00825614" w:rsidRPr="00F66162">
        <w:rPr>
          <w:noProof/>
        </w:rPr>
        <w:t xml:space="preserve"> z</w:t>
      </w:r>
      <w:r w:rsidR="00825614">
        <w:rPr>
          <w:noProof/>
        </w:rPr>
        <w:t> </w:t>
      </w:r>
      <w:r w:rsidR="00825614" w:rsidRPr="00F66162">
        <w:rPr>
          <w:noProof/>
        </w:rPr>
        <w:t>sze</w:t>
      </w:r>
      <w:r w:rsidRPr="00F66162">
        <w:rPr>
          <w:noProof/>
        </w:rPr>
        <w:t>regu aktów UE,</w:t>
      </w:r>
      <w:r w:rsidR="00825614" w:rsidRPr="00F66162">
        <w:rPr>
          <w:noProof/>
        </w:rPr>
        <w:t xml:space="preserve"> w</w:t>
      </w:r>
      <w:r w:rsidR="00825614">
        <w:rPr>
          <w:noProof/>
        </w:rPr>
        <w:t> </w:t>
      </w:r>
      <w:r w:rsidR="00825614" w:rsidRPr="00F66162">
        <w:rPr>
          <w:noProof/>
        </w:rPr>
        <w:t>tym</w:t>
      </w:r>
      <w:r w:rsidRPr="00F66162">
        <w:rPr>
          <w:noProof/>
        </w:rPr>
        <w:t xml:space="preserve"> rozporządzenia (UE) 2023/956 ustanawiającego mechanizm dostosowywania cen na granicach</w:t>
      </w:r>
      <w:r w:rsidR="00825614" w:rsidRPr="00F66162">
        <w:rPr>
          <w:noProof/>
        </w:rPr>
        <w:t xml:space="preserve"> z</w:t>
      </w:r>
      <w:r w:rsidR="00825614">
        <w:rPr>
          <w:noProof/>
        </w:rPr>
        <w:t> </w:t>
      </w:r>
      <w:r w:rsidR="00825614" w:rsidRPr="00F66162">
        <w:rPr>
          <w:noProof/>
        </w:rPr>
        <w:t>uwz</w:t>
      </w:r>
      <w:r w:rsidRPr="00F66162">
        <w:rPr>
          <w:noProof/>
        </w:rPr>
        <w:t>ględnieniem emisji CO</w:t>
      </w:r>
      <w:r w:rsidRPr="00F66162">
        <w:rPr>
          <w:noProof/>
          <w:vertAlign w:val="subscript"/>
        </w:rPr>
        <w:t>2</w:t>
      </w:r>
      <w:r w:rsidRPr="00F66162">
        <w:rPr>
          <w:noProof/>
        </w:rPr>
        <w:t xml:space="preserve"> („rozporządzenie</w:t>
      </w:r>
      <w:r w:rsidR="00825614" w:rsidRPr="00F66162">
        <w:rPr>
          <w:noProof/>
        </w:rPr>
        <w:t xml:space="preserve"> w</w:t>
      </w:r>
      <w:r w:rsidR="00825614">
        <w:rPr>
          <w:noProof/>
        </w:rPr>
        <w:t> </w:t>
      </w:r>
      <w:r w:rsidR="00825614" w:rsidRPr="00F66162">
        <w:rPr>
          <w:noProof/>
        </w:rPr>
        <w:t>spr</w:t>
      </w:r>
      <w:r w:rsidRPr="00F66162">
        <w:rPr>
          <w:noProof/>
        </w:rPr>
        <w:t>awie CBAM”)</w:t>
      </w:r>
      <w:r w:rsidRPr="00F66162">
        <w:rPr>
          <w:rStyle w:val="Odwoanieprzypisudolnego"/>
          <w:rFonts w:eastAsia="Times New Roman"/>
          <w:noProof/>
          <w:szCs w:val="24"/>
        </w:rPr>
        <w:footnoteReference w:id="4"/>
      </w:r>
      <w:r w:rsidRPr="00F66162">
        <w:rPr>
          <w:noProof/>
        </w:rPr>
        <w:t>.</w:t>
      </w:r>
    </w:p>
    <w:p w14:paraId="1043E16C" w14:textId="07FBFA20" w:rsidR="707FA910" w:rsidRPr="00F66162" w:rsidRDefault="20421817" w:rsidP="139DF8FE">
      <w:pPr>
        <w:tabs>
          <w:tab w:val="num" w:pos="709"/>
        </w:tabs>
        <w:rPr>
          <w:rFonts w:eastAsia="Times New Roman"/>
          <w:noProof/>
        </w:rPr>
      </w:pPr>
      <w:r w:rsidRPr="00F66162">
        <w:rPr>
          <w:noProof/>
        </w:rPr>
        <w:t>W komunikacie</w:t>
      </w:r>
      <w:r w:rsidR="00825614" w:rsidRPr="00F66162">
        <w:rPr>
          <w:noProof/>
        </w:rPr>
        <w:t xml:space="preserve"> w</w:t>
      </w:r>
      <w:r w:rsidR="00825614">
        <w:rPr>
          <w:noProof/>
        </w:rPr>
        <w:t> </w:t>
      </w:r>
      <w:r w:rsidR="00825614" w:rsidRPr="00F66162">
        <w:rPr>
          <w:noProof/>
        </w:rPr>
        <w:t>spr</w:t>
      </w:r>
      <w:r w:rsidRPr="00F66162">
        <w:rPr>
          <w:noProof/>
        </w:rPr>
        <w:t>awie kompasu konkurencyjności dla UE Komisja potwierdziła, że podejmie bezprecedensowe działania na rzecz uproszczenia, aby osiągnąć uzgodnione cele polityczne</w:t>
      </w:r>
      <w:r w:rsidR="00825614" w:rsidRPr="00F66162">
        <w:rPr>
          <w:noProof/>
        </w:rPr>
        <w:t xml:space="preserve"> w</w:t>
      </w:r>
      <w:r w:rsidR="00825614">
        <w:rPr>
          <w:noProof/>
        </w:rPr>
        <w:t> </w:t>
      </w:r>
      <w:r w:rsidR="00825614" w:rsidRPr="00F66162">
        <w:rPr>
          <w:noProof/>
        </w:rPr>
        <w:t>naj</w:t>
      </w:r>
      <w:r w:rsidRPr="00F66162">
        <w:rPr>
          <w:noProof/>
        </w:rPr>
        <w:t>prostszy, najbardziej ukierunkowany, najskuteczniejszy</w:t>
      </w:r>
      <w:r w:rsidR="00825614" w:rsidRPr="00F66162">
        <w:rPr>
          <w:noProof/>
        </w:rPr>
        <w:t xml:space="preserve"> i</w:t>
      </w:r>
      <w:r w:rsidR="00825614">
        <w:rPr>
          <w:noProof/>
        </w:rPr>
        <w:t> </w:t>
      </w:r>
      <w:r w:rsidR="00825614" w:rsidRPr="00F66162">
        <w:rPr>
          <w:noProof/>
        </w:rPr>
        <w:t>naj</w:t>
      </w:r>
      <w:r w:rsidRPr="00F66162">
        <w:rPr>
          <w:noProof/>
        </w:rPr>
        <w:t>mniej uciążliwy sposób</w:t>
      </w:r>
      <w:r w:rsidR="00825614" w:rsidRPr="00F66162">
        <w:rPr>
          <w:noProof/>
        </w:rPr>
        <w:t>.</w:t>
      </w:r>
      <w:r w:rsidR="00825614" w:rsidRPr="00F66162">
        <w:rPr>
          <w:noProof/>
          <w:sz w:val="22"/>
          <w:vertAlign w:val="superscript"/>
        </w:rPr>
        <w:t xml:space="preserve"> </w:t>
      </w:r>
      <w:r w:rsidR="00825614" w:rsidRPr="00F66162">
        <w:rPr>
          <w:noProof/>
        </w:rPr>
        <w:t>W</w:t>
      </w:r>
      <w:r w:rsidR="00825614">
        <w:rPr>
          <w:noProof/>
        </w:rPr>
        <w:t> </w:t>
      </w:r>
      <w:r w:rsidR="00825614" w:rsidRPr="00F66162">
        <w:rPr>
          <w:noProof/>
        </w:rPr>
        <w:t>kom</w:t>
      </w:r>
      <w:r w:rsidRPr="00F66162">
        <w:rPr>
          <w:noProof/>
        </w:rPr>
        <w:t xml:space="preserve">unikacie pt. </w:t>
      </w:r>
      <w:r w:rsidR="00825614" w:rsidRPr="00F66162">
        <w:rPr>
          <w:noProof/>
        </w:rPr>
        <w:t>„P</w:t>
      </w:r>
      <w:r w:rsidRPr="00F66162">
        <w:rPr>
          <w:noProof/>
        </w:rPr>
        <w:t>rostsza</w:t>
      </w:r>
      <w:r w:rsidR="00825614" w:rsidRPr="00F66162">
        <w:rPr>
          <w:noProof/>
        </w:rPr>
        <w:t xml:space="preserve"> i</w:t>
      </w:r>
      <w:r w:rsidR="00825614">
        <w:rPr>
          <w:noProof/>
        </w:rPr>
        <w:t> </w:t>
      </w:r>
      <w:r w:rsidR="00825614" w:rsidRPr="00F66162">
        <w:rPr>
          <w:noProof/>
        </w:rPr>
        <w:t>szy</w:t>
      </w:r>
      <w:r w:rsidRPr="00F66162">
        <w:rPr>
          <w:noProof/>
        </w:rPr>
        <w:t>bsza Europa: komunikat dotyczący wdrażania</w:t>
      </w:r>
      <w:r w:rsidR="00825614" w:rsidRPr="00F66162">
        <w:rPr>
          <w:noProof/>
        </w:rPr>
        <w:t xml:space="preserve"> i</w:t>
      </w:r>
      <w:r w:rsidR="00825614">
        <w:rPr>
          <w:noProof/>
        </w:rPr>
        <w:t> </w:t>
      </w:r>
      <w:r w:rsidR="00825614" w:rsidRPr="00F66162">
        <w:rPr>
          <w:noProof/>
        </w:rPr>
        <w:t>upr</w:t>
      </w:r>
      <w:r w:rsidRPr="00F66162">
        <w:rPr>
          <w:noProof/>
        </w:rPr>
        <w:t>aszczania” Komisja przedstawiła program wdrażania</w:t>
      </w:r>
      <w:r w:rsidR="00825614" w:rsidRPr="00F66162">
        <w:rPr>
          <w:noProof/>
        </w:rPr>
        <w:t xml:space="preserve"> i</w:t>
      </w:r>
      <w:r w:rsidR="00825614">
        <w:rPr>
          <w:noProof/>
        </w:rPr>
        <w:t> </w:t>
      </w:r>
      <w:r w:rsidR="00825614" w:rsidRPr="00F66162">
        <w:rPr>
          <w:noProof/>
        </w:rPr>
        <w:t>upr</w:t>
      </w:r>
      <w:r w:rsidRPr="00F66162">
        <w:rPr>
          <w:noProof/>
        </w:rPr>
        <w:t>aszczania, który zapewni szybką</w:t>
      </w:r>
      <w:r w:rsidR="00825614" w:rsidRPr="00F66162">
        <w:rPr>
          <w:noProof/>
        </w:rPr>
        <w:t xml:space="preserve"> i</w:t>
      </w:r>
      <w:r w:rsidR="00825614">
        <w:rPr>
          <w:noProof/>
        </w:rPr>
        <w:t> </w:t>
      </w:r>
      <w:r w:rsidR="00825614" w:rsidRPr="00F66162">
        <w:rPr>
          <w:noProof/>
        </w:rPr>
        <w:t>odc</w:t>
      </w:r>
      <w:r w:rsidRPr="00F66162">
        <w:rPr>
          <w:noProof/>
        </w:rPr>
        <w:t>zuwalną poprawę sytuacji obywateli</w:t>
      </w:r>
      <w:r w:rsidR="00825614" w:rsidRPr="00F66162">
        <w:rPr>
          <w:noProof/>
        </w:rPr>
        <w:t xml:space="preserve"> i</w:t>
      </w:r>
      <w:r w:rsidR="00825614">
        <w:rPr>
          <w:noProof/>
        </w:rPr>
        <w:t> </w:t>
      </w:r>
      <w:r w:rsidR="00825614" w:rsidRPr="00F66162">
        <w:rPr>
          <w:noProof/>
        </w:rPr>
        <w:t>prz</w:t>
      </w:r>
      <w:r w:rsidRPr="00F66162">
        <w:rPr>
          <w:noProof/>
        </w:rPr>
        <w:t>edsiębiorstw</w:t>
      </w:r>
      <w:r w:rsidR="00825614" w:rsidRPr="00F66162">
        <w:rPr>
          <w:noProof/>
        </w:rPr>
        <w:t xml:space="preserve"> w</w:t>
      </w:r>
      <w:r w:rsidR="00825614">
        <w:rPr>
          <w:noProof/>
        </w:rPr>
        <w:t> </w:t>
      </w:r>
      <w:r w:rsidR="00825614" w:rsidRPr="00F66162">
        <w:rPr>
          <w:noProof/>
        </w:rPr>
        <w:t>pra</w:t>
      </w:r>
      <w:r w:rsidRPr="00F66162">
        <w:rPr>
          <w:noProof/>
        </w:rPr>
        <w:t>ktyce, wymagając więcej niż stopniowego podejścia</w:t>
      </w:r>
      <w:r w:rsidR="00825614" w:rsidRPr="00F66162">
        <w:rPr>
          <w:noProof/>
        </w:rPr>
        <w:t xml:space="preserve"> i</w:t>
      </w:r>
      <w:r w:rsidR="00825614">
        <w:rPr>
          <w:noProof/>
        </w:rPr>
        <w:t> </w:t>
      </w:r>
      <w:r w:rsidR="00825614" w:rsidRPr="00F66162">
        <w:rPr>
          <w:noProof/>
        </w:rPr>
        <w:t>pod</w:t>
      </w:r>
      <w:r w:rsidRPr="00F66162">
        <w:rPr>
          <w:noProof/>
        </w:rPr>
        <w:t>kreślając potrzebę odważnych działań, aby usprawnić</w:t>
      </w:r>
      <w:r w:rsidR="00825614" w:rsidRPr="00F66162">
        <w:rPr>
          <w:noProof/>
        </w:rPr>
        <w:t xml:space="preserve"> i</w:t>
      </w:r>
      <w:r w:rsidR="00825614">
        <w:rPr>
          <w:noProof/>
        </w:rPr>
        <w:t> </w:t>
      </w:r>
      <w:r w:rsidR="00825614" w:rsidRPr="00F66162">
        <w:rPr>
          <w:noProof/>
        </w:rPr>
        <w:t>upr</w:t>
      </w:r>
      <w:r w:rsidRPr="00F66162">
        <w:rPr>
          <w:noProof/>
        </w:rPr>
        <w:t>ościć przepisy unijne, krajowe</w:t>
      </w:r>
      <w:r w:rsidR="00825614" w:rsidRPr="00F66162">
        <w:rPr>
          <w:noProof/>
        </w:rPr>
        <w:t xml:space="preserve"> i</w:t>
      </w:r>
      <w:r w:rsidR="00825614">
        <w:rPr>
          <w:noProof/>
        </w:rPr>
        <w:t> </w:t>
      </w:r>
      <w:r w:rsidR="00825614" w:rsidRPr="00F66162">
        <w:rPr>
          <w:noProof/>
        </w:rPr>
        <w:t>reg</w:t>
      </w:r>
      <w:r w:rsidRPr="00F66162">
        <w:rPr>
          <w:noProof/>
        </w:rPr>
        <w:t>ionalne</w:t>
      </w:r>
      <w:r w:rsidRPr="00F66162">
        <w:rPr>
          <w:rStyle w:val="Odwoanieprzypisudolnego"/>
          <w:rFonts w:eastAsia="Times New Roman"/>
          <w:noProof/>
        </w:rPr>
        <w:footnoteReference w:id="5"/>
      </w:r>
      <w:r w:rsidRPr="00F66162">
        <w:rPr>
          <w:noProof/>
        </w:rPr>
        <w:t>.</w:t>
      </w:r>
    </w:p>
    <w:p w14:paraId="172BA795" w14:textId="2AC6620A" w:rsidR="00987B76" w:rsidRPr="00F66162" w:rsidRDefault="00B438FC" w:rsidP="00987B76">
      <w:pPr>
        <w:pBdr>
          <w:top w:val="nil"/>
          <w:left w:val="nil"/>
          <w:bottom w:val="nil"/>
          <w:right w:val="nil"/>
          <w:between w:val="nil"/>
          <w:bar w:val="nil"/>
        </w:pBdr>
        <w:spacing w:before="0" w:after="240"/>
        <w:rPr>
          <w:noProof/>
        </w:rPr>
      </w:pPr>
      <w:r w:rsidRPr="00F66162">
        <w:rPr>
          <w:noProof/>
        </w:rPr>
        <w:t>Wymogi administracyjne,</w:t>
      </w:r>
      <w:r w:rsidR="00825614" w:rsidRPr="00F66162">
        <w:rPr>
          <w:noProof/>
        </w:rPr>
        <w:t xml:space="preserve"> w</w:t>
      </w:r>
      <w:r w:rsidR="00825614">
        <w:rPr>
          <w:noProof/>
        </w:rPr>
        <w:t> </w:t>
      </w:r>
      <w:r w:rsidR="00825614" w:rsidRPr="00F66162">
        <w:rPr>
          <w:noProof/>
        </w:rPr>
        <w:t>tym</w:t>
      </w:r>
      <w:r w:rsidRPr="00F66162">
        <w:rPr>
          <w:noProof/>
        </w:rPr>
        <w:t xml:space="preserve"> wymogi</w:t>
      </w:r>
      <w:r w:rsidR="00825614" w:rsidRPr="00F66162">
        <w:rPr>
          <w:noProof/>
        </w:rPr>
        <w:t xml:space="preserve"> w</w:t>
      </w:r>
      <w:r w:rsidR="00825614">
        <w:rPr>
          <w:noProof/>
        </w:rPr>
        <w:t> </w:t>
      </w:r>
      <w:r w:rsidR="00825614" w:rsidRPr="00F66162">
        <w:rPr>
          <w:noProof/>
        </w:rPr>
        <w:t>zak</w:t>
      </w:r>
      <w:r w:rsidRPr="00F66162">
        <w:rPr>
          <w:noProof/>
        </w:rPr>
        <w:t>resie sprawozdawczości, są kluczowe, aby zapewnić prawidłowe egzekwowanie przepisów</w:t>
      </w:r>
      <w:r w:rsidR="00825614" w:rsidRPr="00F66162">
        <w:rPr>
          <w:noProof/>
        </w:rPr>
        <w:t xml:space="preserve"> i</w:t>
      </w:r>
      <w:r w:rsidR="00825614">
        <w:rPr>
          <w:noProof/>
        </w:rPr>
        <w:t> </w:t>
      </w:r>
      <w:r w:rsidR="00825614" w:rsidRPr="00F66162">
        <w:rPr>
          <w:noProof/>
        </w:rPr>
        <w:t>ich</w:t>
      </w:r>
      <w:r w:rsidRPr="00F66162">
        <w:rPr>
          <w:noProof/>
        </w:rPr>
        <w:t xml:space="preserve"> należyte monitorowanie. Co do zasady, koszty związane</w:t>
      </w:r>
      <w:r w:rsidR="00825614" w:rsidRPr="00F66162">
        <w:rPr>
          <w:noProof/>
        </w:rPr>
        <w:t xml:space="preserve"> z</w:t>
      </w:r>
      <w:r w:rsidR="00825614">
        <w:rPr>
          <w:noProof/>
        </w:rPr>
        <w:t> </w:t>
      </w:r>
      <w:r w:rsidR="00825614" w:rsidRPr="00F66162">
        <w:rPr>
          <w:noProof/>
        </w:rPr>
        <w:t>tym</w:t>
      </w:r>
      <w:r w:rsidRPr="00F66162">
        <w:rPr>
          <w:noProof/>
        </w:rPr>
        <w:t>i wymogami są</w:t>
      </w:r>
      <w:r w:rsidR="00825614" w:rsidRPr="00F66162">
        <w:rPr>
          <w:noProof/>
        </w:rPr>
        <w:t xml:space="preserve"> w</w:t>
      </w:r>
      <w:r w:rsidR="00825614">
        <w:rPr>
          <w:noProof/>
        </w:rPr>
        <w:t> </w:t>
      </w:r>
      <w:r w:rsidR="00825614" w:rsidRPr="00F66162">
        <w:rPr>
          <w:noProof/>
        </w:rPr>
        <w:t>duż</w:t>
      </w:r>
      <w:r w:rsidRPr="00F66162">
        <w:rPr>
          <w:noProof/>
        </w:rPr>
        <w:t>ej mierze zrównoważone płynącymi</w:t>
      </w:r>
      <w:r w:rsidR="00825614" w:rsidRPr="00F66162">
        <w:rPr>
          <w:noProof/>
        </w:rPr>
        <w:t xml:space="preserve"> z</w:t>
      </w:r>
      <w:r w:rsidR="00825614">
        <w:rPr>
          <w:noProof/>
        </w:rPr>
        <w:t> </w:t>
      </w:r>
      <w:r w:rsidR="00825614" w:rsidRPr="00F66162">
        <w:rPr>
          <w:noProof/>
        </w:rPr>
        <w:t>nic</w:t>
      </w:r>
      <w:r w:rsidRPr="00F66162">
        <w:rPr>
          <w:noProof/>
        </w:rPr>
        <w:t>h korzyściami. Wymogi sprawozdawcze mogą jednak również powodować nieproporcjonalne obciążenia dla zainteresowanych podmiotów,</w:t>
      </w:r>
      <w:r w:rsidR="00825614" w:rsidRPr="00F66162">
        <w:rPr>
          <w:noProof/>
        </w:rPr>
        <w:t xml:space="preserve"> w</w:t>
      </w:r>
      <w:r w:rsidR="00825614">
        <w:rPr>
          <w:noProof/>
        </w:rPr>
        <w:t> </w:t>
      </w:r>
      <w:r w:rsidR="00825614" w:rsidRPr="00F66162">
        <w:rPr>
          <w:noProof/>
        </w:rPr>
        <w:t>szc</w:t>
      </w:r>
      <w:r w:rsidRPr="00F66162">
        <w:rPr>
          <w:noProof/>
        </w:rPr>
        <w:t>zególności dla małych</w:t>
      </w:r>
      <w:r w:rsidR="00825614" w:rsidRPr="00F66162">
        <w:rPr>
          <w:noProof/>
        </w:rPr>
        <w:t xml:space="preserve"> i</w:t>
      </w:r>
      <w:r w:rsidR="00825614">
        <w:rPr>
          <w:noProof/>
        </w:rPr>
        <w:t> </w:t>
      </w:r>
      <w:r w:rsidR="00825614" w:rsidRPr="00F66162">
        <w:rPr>
          <w:noProof/>
        </w:rPr>
        <w:t>śre</w:t>
      </w:r>
      <w:r w:rsidRPr="00F66162">
        <w:rPr>
          <w:noProof/>
        </w:rPr>
        <w:t xml:space="preserve">dnich przedsiębiorstw oraz mikroprzedsiębiorstw. </w:t>
      </w:r>
    </w:p>
    <w:p w14:paraId="00C8AD37" w14:textId="62E242C8" w:rsidR="00987B76" w:rsidRPr="00F66162" w:rsidRDefault="00987B76" w:rsidP="00987B76">
      <w:pPr>
        <w:pBdr>
          <w:top w:val="nil"/>
          <w:left w:val="nil"/>
          <w:bottom w:val="nil"/>
          <w:right w:val="nil"/>
          <w:between w:val="nil"/>
          <w:bar w:val="nil"/>
        </w:pBdr>
        <w:spacing w:before="0" w:after="240"/>
        <w:rPr>
          <w:noProof/>
        </w:rPr>
      </w:pPr>
      <w:r w:rsidRPr="00F66162">
        <w:rPr>
          <w:noProof/>
        </w:rPr>
        <w:t>Niniejszy wniosek wprowadzi uproszczenia</w:t>
      </w:r>
      <w:r w:rsidR="00825614" w:rsidRPr="00F66162">
        <w:rPr>
          <w:noProof/>
        </w:rPr>
        <w:t xml:space="preserve"> i</w:t>
      </w:r>
      <w:r w:rsidR="00825614">
        <w:rPr>
          <w:noProof/>
        </w:rPr>
        <w:t> </w:t>
      </w:r>
      <w:r w:rsidR="00825614" w:rsidRPr="00F66162">
        <w:rPr>
          <w:noProof/>
        </w:rPr>
        <w:t>rac</w:t>
      </w:r>
      <w:r w:rsidRPr="00F66162">
        <w:rPr>
          <w:noProof/>
        </w:rPr>
        <w:t>jonalne pod względem kosztów usprawnienia rozporządzenia</w:t>
      </w:r>
      <w:r w:rsidR="00825614" w:rsidRPr="00F66162">
        <w:rPr>
          <w:noProof/>
        </w:rPr>
        <w:t xml:space="preserve"> w</w:t>
      </w:r>
      <w:r w:rsidR="00825614">
        <w:rPr>
          <w:noProof/>
        </w:rPr>
        <w:t> </w:t>
      </w:r>
      <w:r w:rsidR="00825614" w:rsidRPr="00F66162">
        <w:rPr>
          <w:noProof/>
        </w:rPr>
        <w:t>spr</w:t>
      </w:r>
      <w:r w:rsidRPr="00F66162">
        <w:rPr>
          <w:noProof/>
        </w:rPr>
        <w:t>awie CBAM, nie wpływając przy tym negatywnie na osiągnięcie celów</w:t>
      </w:r>
      <w:r w:rsidR="00825614" w:rsidRPr="00F66162">
        <w:rPr>
          <w:noProof/>
        </w:rPr>
        <w:t xml:space="preserve"> w</w:t>
      </w:r>
      <w:r w:rsidR="00825614">
        <w:rPr>
          <w:noProof/>
        </w:rPr>
        <w:t> </w:t>
      </w:r>
      <w:r w:rsidR="00825614" w:rsidRPr="00F66162">
        <w:rPr>
          <w:noProof/>
        </w:rPr>
        <w:t>tej</w:t>
      </w:r>
      <w:r w:rsidRPr="00F66162">
        <w:rPr>
          <w:noProof/>
        </w:rPr>
        <w:t xml:space="preserve"> dziedzinie polityki. Proponowane środki nie podważą celu środowiskowego CBAM,</w:t>
      </w:r>
      <w:r w:rsidR="00825614" w:rsidRPr="00F66162">
        <w:rPr>
          <w:noProof/>
        </w:rPr>
        <w:t xml:space="preserve"> a</w:t>
      </w:r>
      <w:r w:rsidR="00825614">
        <w:rPr>
          <w:noProof/>
        </w:rPr>
        <w:t> </w:t>
      </w:r>
      <w:r w:rsidR="00825614" w:rsidRPr="00F66162">
        <w:rPr>
          <w:noProof/>
        </w:rPr>
        <w:t>rac</w:t>
      </w:r>
      <w:r w:rsidRPr="00F66162">
        <w:rPr>
          <w:noProof/>
        </w:rPr>
        <w:t xml:space="preserve">zej umożliwią bardziej efektywny CBAM bez zmiany kluczowych zasad projektowania tego mechanizmu. </w:t>
      </w:r>
    </w:p>
    <w:p w14:paraId="2DA9BF4B" w14:textId="16BF4894" w:rsidR="00987B76" w:rsidRPr="00F66162" w:rsidRDefault="00987B76" w:rsidP="141814AC">
      <w:pPr>
        <w:pBdr>
          <w:top w:val="nil"/>
          <w:left w:val="nil"/>
          <w:bottom w:val="nil"/>
          <w:right w:val="nil"/>
          <w:between w:val="nil"/>
          <w:bar w:val="nil"/>
        </w:pBdr>
        <w:spacing w:before="0" w:after="240"/>
        <w:rPr>
          <w:noProof/>
        </w:rPr>
      </w:pPr>
      <w:r w:rsidRPr="00F66162">
        <w:rPr>
          <w:noProof/>
        </w:rPr>
        <w:t xml:space="preserve">Wniosek ułatwi importerom towarów do Unii wypełnianie obowiązków sprawozdawczych dotyczących CBAM poprzez uproszczenie niektórych wymogów sprawozdawczych CBAM, </w:t>
      </w:r>
      <w:r w:rsidRPr="00F66162">
        <w:rPr>
          <w:noProof/>
        </w:rPr>
        <w:lastRenderedPageBreak/>
        <w:t>opierających się na złożonych obliczeniach</w:t>
      </w:r>
      <w:r w:rsidR="00825614" w:rsidRPr="00F66162">
        <w:rPr>
          <w:noProof/>
        </w:rPr>
        <w:t xml:space="preserve"> i</w:t>
      </w:r>
      <w:r w:rsidR="00825614">
        <w:rPr>
          <w:noProof/>
        </w:rPr>
        <w:t> </w:t>
      </w:r>
      <w:r w:rsidR="00825614" w:rsidRPr="00F66162">
        <w:rPr>
          <w:noProof/>
        </w:rPr>
        <w:t>pro</w:t>
      </w:r>
      <w:r w:rsidRPr="00F66162">
        <w:rPr>
          <w:noProof/>
        </w:rPr>
        <w:t>cesach gromadzenia danych, utrudniających skuteczne wprowadzanie CBAM</w:t>
      </w:r>
      <w:r w:rsidR="00825614" w:rsidRPr="00F66162">
        <w:rPr>
          <w:noProof/>
        </w:rPr>
        <w:t xml:space="preserve"> w</w:t>
      </w:r>
      <w:r w:rsidR="00825614">
        <w:rPr>
          <w:noProof/>
        </w:rPr>
        <w:t> </w:t>
      </w:r>
      <w:r w:rsidR="00825614" w:rsidRPr="00F66162">
        <w:rPr>
          <w:noProof/>
        </w:rPr>
        <w:t>życ</w:t>
      </w:r>
      <w:r w:rsidRPr="00F66162">
        <w:rPr>
          <w:noProof/>
        </w:rPr>
        <w:t xml:space="preserve">ie. </w:t>
      </w:r>
    </w:p>
    <w:p w14:paraId="641C6F72" w14:textId="736C9194" w:rsidR="00FA5543" w:rsidRPr="00F66162" w:rsidRDefault="00987B76" w:rsidP="00987B76">
      <w:pPr>
        <w:pBdr>
          <w:top w:val="nil"/>
          <w:left w:val="nil"/>
          <w:bottom w:val="nil"/>
          <w:right w:val="nil"/>
          <w:between w:val="nil"/>
          <w:bar w:val="nil"/>
        </w:pBdr>
        <w:spacing w:before="0" w:after="240"/>
        <w:rPr>
          <w:rFonts w:eastAsia="Arial Unicode MS"/>
          <w:noProof/>
        </w:rPr>
      </w:pPr>
      <w:r w:rsidRPr="00F66162">
        <w:rPr>
          <w:noProof/>
        </w:rPr>
        <w:t>Ponadto wniosek wzmocni monitorowanie CBAM</w:t>
      </w:r>
      <w:r w:rsidR="00825614" w:rsidRPr="00F66162">
        <w:rPr>
          <w:noProof/>
        </w:rPr>
        <w:t xml:space="preserve"> i</w:t>
      </w:r>
      <w:r w:rsidR="00825614">
        <w:rPr>
          <w:noProof/>
        </w:rPr>
        <w:t> </w:t>
      </w:r>
      <w:r w:rsidR="00825614" w:rsidRPr="00F66162">
        <w:rPr>
          <w:noProof/>
        </w:rPr>
        <w:t>nad</w:t>
      </w:r>
      <w:r w:rsidRPr="00F66162">
        <w:rPr>
          <w:noProof/>
        </w:rPr>
        <w:t>zór nad nim. Zwiększy to zdolność Komisji do przetwarzania danych</w:t>
      </w:r>
      <w:r w:rsidR="00825614" w:rsidRPr="00F66162">
        <w:rPr>
          <w:noProof/>
        </w:rPr>
        <w:t xml:space="preserve"> i</w:t>
      </w:r>
      <w:r w:rsidR="00825614">
        <w:rPr>
          <w:noProof/>
        </w:rPr>
        <w:t> </w:t>
      </w:r>
      <w:r w:rsidR="00825614" w:rsidRPr="00F66162">
        <w:rPr>
          <w:noProof/>
        </w:rPr>
        <w:t>wym</w:t>
      </w:r>
      <w:r w:rsidRPr="00F66162">
        <w:rPr>
          <w:noProof/>
        </w:rPr>
        <w:t>iany istotnych informacji</w:t>
      </w:r>
      <w:r w:rsidR="00825614" w:rsidRPr="00F66162">
        <w:rPr>
          <w:noProof/>
        </w:rPr>
        <w:t xml:space="preserve"> z</w:t>
      </w:r>
      <w:r w:rsidR="00825614">
        <w:rPr>
          <w:noProof/>
        </w:rPr>
        <w:t> </w:t>
      </w:r>
      <w:r w:rsidR="00825614" w:rsidRPr="00F66162">
        <w:rPr>
          <w:noProof/>
        </w:rPr>
        <w:t>org</w:t>
      </w:r>
      <w:r w:rsidRPr="00F66162">
        <w:rPr>
          <w:noProof/>
        </w:rPr>
        <w:t>anami krajowymi, aby zmaksymalizować użyteczność informacji otrzymywanych od zainteresowanych podmiotów. Umożliwi to również Komisji lepsze wykrywanie zagrożeń,</w:t>
      </w:r>
      <w:r w:rsidR="00825614" w:rsidRPr="00F66162">
        <w:rPr>
          <w:noProof/>
        </w:rPr>
        <w:t xml:space="preserve"> a</w:t>
      </w:r>
      <w:r w:rsidR="00825614">
        <w:rPr>
          <w:noProof/>
        </w:rPr>
        <w:t> </w:t>
      </w:r>
      <w:r w:rsidR="00825614" w:rsidRPr="00F66162">
        <w:rPr>
          <w:noProof/>
        </w:rPr>
        <w:t>wła</w:t>
      </w:r>
      <w:r w:rsidRPr="00F66162">
        <w:rPr>
          <w:noProof/>
        </w:rPr>
        <w:t>ściwym organom krajowym – lepsze przygotowanie się, aby</w:t>
      </w:r>
      <w:r w:rsidR="00825614" w:rsidRPr="00F66162">
        <w:rPr>
          <w:noProof/>
        </w:rPr>
        <w:t xml:space="preserve"> w</w:t>
      </w:r>
      <w:r w:rsidR="00825614">
        <w:rPr>
          <w:noProof/>
        </w:rPr>
        <w:t> </w:t>
      </w:r>
      <w:r w:rsidR="00825614" w:rsidRPr="00F66162">
        <w:rPr>
          <w:noProof/>
        </w:rPr>
        <w:t>raz</w:t>
      </w:r>
      <w:r w:rsidRPr="00F66162">
        <w:rPr>
          <w:noProof/>
        </w:rPr>
        <w:t>ie potrzeby podjąć odpowiednie działania.</w:t>
      </w:r>
    </w:p>
    <w:p w14:paraId="31EC4D88" w14:textId="1190A507" w:rsidR="00EB182C" w:rsidRPr="00F66162" w:rsidRDefault="00EB182C" w:rsidP="00987B76">
      <w:pPr>
        <w:pBdr>
          <w:top w:val="nil"/>
          <w:left w:val="nil"/>
          <w:bottom w:val="nil"/>
          <w:right w:val="nil"/>
          <w:between w:val="nil"/>
          <w:bar w:val="nil"/>
        </w:pBdr>
        <w:spacing w:before="0" w:after="240"/>
        <w:rPr>
          <w:rFonts w:eastAsia="Arial Unicode MS"/>
          <w:noProof/>
        </w:rPr>
      </w:pPr>
      <w:r w:rsidRPr="00F66162">
        <w:rPr>
          <w:noProof/>
        </w:rPr>
        <w:t>Uproszczenie mechanizmu będzie również kluczowym czynnikiem umożliwiającym ewentualne rozszerzenie zakresu jego stosowania</w:t>
      </w:r>
      <w:r w:rsidR="00825614" w:rsidRPr="00F66162">
        <w:rPr>
          <w:noProof/>
        </w:rPr>
        <w:t xml:space="preserve"> w</w:t>
      </w:r>
      <w:r w:rsidR="00825614">
        <w:rPr>
          <w:noProof/>
        </w:rPr>
        <w:t> </w:t>
      </w:r>
      <w:r w:rsidR="00825614" w:rsidRPr="00F66162">
        <w:rPr>
          <w:noProof/>
        </w:rPr>
        <w:t>prz</w:t>
      </w:r>
      <w:r w:rsidRPr="00F66162">
        <w:rPr>
          <w:noProof/>
        </w:rPr>
        <w:t>yszłości</w:t>
      </w:r>
      <w:r w:rsidR="00825614" w:rsidRPr="00F66162">
        <w:rPr>
          <w:noProof/>
        </w:rPr>
        <w:t>. W</w:t>
      </w:r>
      <w:r w:rsidR="00825614">
        <w:rPr>
          <w:noProof/>
        </w:rPr>
        <w:t> </w:t>
      </w:r>
      <w:r w:rsidR="00825614" w:rsidRPr="00F66162">
        <w:rPr>
          <w:noProof/>
        </w:rPr>
        <w:t>dru</w:t>
      </w:r>
      <w:r w:rsidRPr="00F66162">
        <w:rPr>
          <w:noProof/>
        </w:rPr>
        <w:t>giej połowie 20</w:t>
      </w:r>
      <w:r w:rsidRPr="00825614">
        <w:rPr>
          <w:noProof/>
        </w:rPr>
        <w:t>25</w:t>
      </w:r>
      <w:r w:rsidR="00825614" w:rsidRPr="00825614">
        <w:rPr>
          <w:noProof/>
        </w:rPr>
        <w:t> </w:t>
      </w:r>
      <w:r w:rsidRPr="00825614">
        <w:rPr>
          <w:noProof/>
        </w:rPr>
        <w:t>r.</w:t>
      </w:r>
      <w:r w:rsidRPr="00F66162">
        <w:rPr>
          <w:noProof/>
        </w:rPr>
        <w:t xml:space="preserve"> Komisja przedstawi kompleksowe sprawozdanie</w:t>
      </w:r>
      <w:r w:rsidR="00825614" w:rsidRPr="00F66162">
        <w:rPr>
          <w:noProof/>
        </w:rPr>
        <w:t xml:space="preserve"> z</w:t>
      </w:r>
      <w:r w:rsidR="00825614">
        <w:rPr>
          <w:noProof/>
        </w:rPr>
        <w:t> </w:t>
      </w:r>
      <w:r w:rsidR="00825614" w:rsidRPr="00F66162">
        <w:rPr>
          <w:noProof/>
        </w:rPr>
        <w:t>prz</w:t>
      </w:r>
      <w:r w:rsidRPr="00F66162">
        <w:rPr>
          <w:noProof/>
        </w:rPr>
        <w:t>eglądu CBAM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3</w:t>
      </w:r>
      <w:r w:rsidRPr="00F66162">
        <w:rPr>
          <w:noProof/>
        </w:rPr>
        <w:t>0 rozporządzenia</w:t>
      </w:r>
      <w:r w:rsidR="00825614" w:rsidRPr="00F66162">
        <w:rPr>
          <w:noProof/>
        </w:rPr>
        <w:t xml:space="preserve"> w</w:t>
      </w:r>
      <w:r w:rsidR="00825614">
        <w:rPr>
          <w:noProof/>
        </w:rPr>
        <w:t> </w:t>
      </w:r>
      <w:r w:rsidR="00825614" w:rsidRPr="00F66162">
        <w:rPr>
          <w:noProof/>
        </w:rPr>
        <w:t>spr</w:t>
      </w:r>
      <w:r w:rsidRPr="00F66162">
        <w:rPr>
          <w:noProof/>
        </w:rPr>
        <w:t>awie CBAM, czym utoruje drogę do ewentualnego rozszerzenia zakresu stosowania tego mechanizmu.</w:t>
      </w:r>
    </w:p>
    <w:p w14:paraId="516725C9" w14:textId="018B3AFB" w:rsidR="00FA5543" w:rsidRPr="00F66162" w:rsidRDefault="00FA5543" w:rsidP="00390489">
      <w:pPr>
        <w:pStyle w:val="ManualHeading2"/>
        <w:rPr>
          <w:rFonts w:eastAsia="Arial Unicode MS"/>
          <w:noProof/>
          <w:color w:val="000000"/>
          <w:u w:color="000000"/>
          <w:bdr w:val="nil"/>
        </w:rPr>
      </w:pPr>
      <w:r w:rsidRPr="00F66162">
        <w:rPr>
          <w:noProof/>
          <w:color w:val="000000"/>
          <w:u w:color="000000"/>
          <w:bdr w:val="nil"/>
        </w:rPr>
        <w:t>•</w:t>
      </w:r>
      <w:r w:rsidRPr="00F66162">
        <w:rPr>
          <w:noProof/>
        </w:rPr>
        <w:tab/>
        <w:t>Spójność</w:t>
      </w:r>
      <w:r w:rsidR="00825614" w:rsidRPr="00F66162">
        <w:rPr>
          <w:noProof/>
        </w:rPr>
        <w:t xml:space="preserve"> z</w:t>
      </w:r>
      <w:r w:rsidR="00825614">
        <w:rPr>
          <w:noProof/>
        </w:rPr>
        <w:t> </w:t>
      </w:r>
      <w:r w:rsidR="00825614" w:rsidRPr="00F66162">
        <w:rPr>
          <w:noProof/>
        </w:rPr>
        <w:t>prz</w:t>
      </w:r>
      <w:r w:rsidRPr="00F66162">
        <w:rPr>
          <w:noProof/>
        </w:rPr>
        <w:t>episami obowiązującymi</w:t>
      </w:r>
      <w:r w:rsidR="00825614" w:rsidRPr="00F66162">
        <w:rPr>
          <w:noProof/>
        </w:rPr>
        <w:t xml:space="preserve"> w</w:t>
      </w:r>
      <w:r w:rsidR="00825614">
        <w:rPr>
          <w:noProof/>
        </w:rPr>
        <w:t> </w:t>
      </w:r>
      <w:r w:rsidR="00825614" w:rsidRPr="00F66162">
        <w:rPr>
          <w:noProof/>
        </w:rPr>
        <w:t>tej</w:t>
      </w:r>
      <w:r w:rsidRPr="00F66162">
        <w:rPr>
          <w:noProof/>
        </w:rPr>
        <w:t xml:space="preserve"> dziedzinie polityki</w:t>
      </w:r>
    </w:p>
    <w:p w14:paraId="7D215F84" w14:textId="3E98BCAD" w:rsidR="001730AF" w:rsidRPr="00F66162" w:rsidRDefault="001730AF" w:rsidP="00390489">
      <w:pPr>
        <w:pBdr>
          <w:top w:val="nil"/>
          <w:left w:val="nil"/>
          <w:bottom w:val="nil"/>
          <w:right w:val="nil"/>
          <w:between w:val="nil"/>
          <w:bar w:val="nil"/>
        </w:pBdr>
        <w:spacing w:before="0" w:after="240"/>
        <w:rPr>
          <w:noProof/>
        </w:rPr>
      </w:pPr>
      <w:r w:rsidRPr="00F66162">
        <w:rPr>
          <w:noProof/>
        </w:rPr>
        <w:t>Niniejszy wniosek jest częścią pakietu środków mających na celu uproszczenie wymogów</w:t>
      </w:r>
      <w:r w:rsidR="00825614" w:rsidRPr="00F66162">
        <w:rPr>
          <w:noProof/>
        </w:rPr>
        <w:t xml:space="preserve"> w</w:t>
      </w:r>
      <w:r w:rsidR="00825614">
        <w:rPr>
          <w:noProof/>
        </w:rPr>
        <w:t> </w:t>
      </w:r>
      <w:r w:rsidR="00825614" w:rsidRPr="00F66162">
        <w:rPr>
          <w:noProof/>
        </w:rPr>
        <w:t>zak</w:t>
      </w:r>
      <w:r w:rsidRPr="00F66162">
        <w:rPr>
          <w:noProof/>
        </w:rPr>
        <w:t>resie sprawozdawczości poprzez kompleksowe zbadanie istniejących wymogów, aby ocenić ich dalszą adekwatność oraz zwiększyć ich skuteczność. Opiera się on na obowiązujących przepisach rozporządzenia</w:t>
      </w:r>
      <w:r w:rsidR="00825614" w:rsidRPr="00F66162">
        <w:rPr>
          <w:noProof/>
        </w:rPr>
        <w:t xml:space="preserve"> w</w:t>
      </w:r>
      <w:r w:rsidR="00825614">
        <w:rPr>
          <w:noProof/>
        </w:rPr>
        <w:t> </w:t>
      </w:r>
      <w:r w:rsidR="00825614" w:rsidRPr="00F66162">
        <w:rPr>
          <w:noProof/>
        </w:rPr>
        <w:t>spr</w:t>
      </w:r>
      <w:r w:rsidRPr="00F66162">
        <w:rPr>
          <w:noProof/>
        </w:rPr>
        <w:t>awie CBAM, rozporządzenia wykonawczego Komisji (UE) 2023/1773</w:t>
      </w:r>
      <w:r w:rsidR="00825614" w:rsidRPr="00F66162">
        <w:rPr>
          <w:noProof/>
        </w:rPr>
        <w:t xml:space="preserve"> z</w:t>
      </w:r>
      <w:r w:rsidR="00825614">
        <w:rPr>
          <w:noProof/>
        </w:rPr>
        <w:t> </w:t>
      </w:r>
      <w:r w:rsidR="00825614" w:rsidRPr="00F66162">
        <w:rPr>
          <w:noProof/>
        </w:rPr>
        <w:t>dni</w:t>
      </w:r>
      <w:r w:rsidRPr="00F66162">
        <w:rPr>
          <w:noProof/>
        </w:rPr>
        <w:t>a 17 sierpnia 20</w:t>
      </w:r>
      <w:r w:rsidRPr="00825614">
        <w:rPr>
          <w:noProof/>
        </w:rPr>
        <w:t>23</w:t>
      </w:r>
      <w:r w:rsidR="00825614" w:rsidRPr="00825614">
        <w:rPr>
          <w:noProof/>
        </w:rPr>
        <w:t> </w:t>
      </w:r>
      <w:r w:rsidRPr="00825614">
        <w:rPr>
          <w:noProof/>
        </w:rPr>
        <w:t>r.</w:t>
      </w:r>
      <w:r w:rsidRPr="00F66162">
        <w:rPr>
          <w:noProof/>
        </w:rPr>
        <w:t xml:space="preserve"> ustanawiającego obowiązki sprawozdawcze</w:t>
      </w:r>
      <w:r w:rsidR="00825614" w:rsidRPr="00F66162">
        <w:rPr>
          <w:noProof/>
        </w:rPr>
        <w:t xml:space="preserve"> w</w:t>
      </w:r>
      <w:r w:rsidR="00825614">
        <w:rPr>
          <w:noProof/>
        </w:rPr>
        <w:t> </w:t>
      </w:r>
      <w:r w:rsidR="00825614" w:rsidRPr="00F66162">
        <w:rPr>
          <w:noProof/>
        </w:rPr>
        <w:t>okr</w:t>
      </w:r>
      <w:r w:rsidRPr="00F66162">
        <w:rPr>
          <w:noProof/>
        </w:rPr>
        <w:t>esie przejściowym</w:t>
      </w:r>
      <w:r w:rsidRPr="00F66162">
        <w:rPr>
          <w:rStyle w:val="Odwoanieprzypisudolnego"/>
          <w:rFonts w:eastAsia="Arial Unicode MS"/>
          <w:noProof/>
        </w:rPr>
        <w:footnoteReference w:id="6"/>
      </w:r>
      <w:r w:rsidRPr="00F66162">
        <w:rPr>
          <w:noProof/>
        </w:rPr>
        <w:t xml:space="preserve"> oraz rozporządzenia wykonawczego Komisji (UE) 2024/3210</w:t>
      </w:r>
      <w:r w:rsidR="00825614" w:rsidRPr="00F66162">
        <w:rPr>
          <w:noProof/>
        </w:rPr>
        <w:t xml:space="preserve"> z</w:t>
      </w:r>
      <w:r w:rsidR="00825614">
        <w:rPr>
          <w:noProof/>
        </w:rPr>
        <w:t> </w:t>
      </w:r>
      <w:r w:rsidR="00825614" w:rsidRPr="00F66162">
        <w:rPr>
          <w:noProof/>
        </w:rPr>
        <w:t>dni</w:t>
      </w:r>
      <w:r w:rsidRPr="00F66162">
        <w:rPr>
          <w:noProof/>
        </w:rPr>
        <w:t>a 18 grudnia 20</w:t>
      </w:r>
      <w:r w:rsidRPr="00825614">
        <w:rPr>
          <w:noProof/>
        </w:rPr>
        <w:t>24</w:t>
      </w:r>
      <w:r w:rsidR="00825614" w:rsidRPr="00825614">
        <w:rPr>
          <w:noProof/>
        </w:rPr>
        <w:t> </w:t>
      </w:r>
      <w:r w:rsidRPr="00825614">
        <w:rPr>
          <w:noProof/>
        </w:rPr>
        <w:t>r.</w:t>
      </w:r>
      <w:r w:rsidRPr="00F66162">
        <w:rPr>
          <w:noProof/>
        </w:rPr>
        <w:t xml:space="preserve"> ustanawiającego zasady dotyczące rejestru CBAM</w:t>
      </w:r>
      <w:r w:rsidRPr="00F66162">
        <w:rPr>
          <w:rStyle w:val="Odwoanieprzypisudolnego"/>
          <w:rFonts w:eastAsia="Arial Unicode MS"/>
          <w:noProof/>
        </w:rPr>
        <w:footnoteReference w:id="7"/>
      </w:r>
      <w:r w:rsidRPr="00F66162">
        <w:rPr>
          <w:noProof/>
        </w:rPr>
        <w:t>.</w:t>
      </w:r>
    </w:p>
    <w:p w14:paraId="045A4072" w14:textId="5DC3818D" w:rsidR="00FA5543" w:rsidRPr="00F66162" w:rsidRDefault="00FA5543" w:rsidP="00390489">
      <w:pPr>
        <w:pStyle w:val="ManualHeading2"/>
        <w:rPr>
          <w:rFonts w:eastAsia="Arial Unicode MS"/>
          <w:noProof/>
        </w:rPr>
      </w:pPr>
      <w:r w:rsidRPr="00F66162">
        <w:rPr>
          <w:noProof/>
          <w:color w:val="000000"/>
          <w:u w:color="000000"/>
          <w:bdr w:val="nil"/>
        </w:rPr>
        <w:t>•</w:t>
      </w:r>
      <w:r w:rsidRPr="00F66162">
        <w:rPr>
          <w:noProof/>
        </w:rPr>
        <w:tab/>
        <w:t>Spójność</w:t>
      </w:r>
      <w:r w:rsidR="00825614" w:rsidRPr="00F66162">
        <w:rPr>
          <w:noProof/>
        </w:rPr>
        <w:t xml:space="preserve"> z</w:t>
      </w:r>
      <w:r w:rsidR="00825614">
        <w:rPr>
          <w:noProof/>
        </w:rPr>
        <w:t> </w:t>
      </w:r>
      <w:r w:rsidR="00825614" w:rsidRPr="00F66162">
        <w:rPr>
          <w:noProof/>
        </w:rPr>
        <w:t>inn</w:t>
      </w:r>
      <w:r w:rsidRPr="00F66162">
        <w:rPr>
          <w:noProof/>
        </w:rPr>
        <w:t>ymi politykami Unii</w:t>
      </w:r>
    </w:p>
    <w:p w14:paraId="156701B3" w14:textId="1B89791F" w:rsidR="00FA5543" w:rsidRPr="00F66162" w:rsidRDefault="00E35C72" w:rsidP="00390489">
      <w:pPr>
        <w:pBdr>
          <w:top w:val="nil"/>
          <w:left w:val="nil"/>
          <w:bottom w:val="nil"/>
          <w:right w:val="nil"/>
          <w:between w:val="nil"/>
          <w:bar w:val="nil"/>
        </w:pBdr>
        <w:spacing w:before="0" w:after="240"/>
        <w:rPr>
          <w:rFonts w:eastAsia="Arial Unicode MS"/>
          <w:noProof/>
        </w:rPr>
      </w:pPr>
      <w:r w:rsidRPr="00F66162">
        <w:rPr>
          <w:noProof/>
        </w:rPr>
        <w:t>Wniosek jest spójny</w:t>
      </w:r>
      <w:r w:rsidR="00825614" w:rsidRPr="00F66162">
        <w:rPr>
          <w:noProof/>
        </w:rPr>
        <w:t xml:space="preserve"> z</w:t>
      </w:r>
      <w:r w:rsidR="00825614">
        <w:rPr>
          <w:noProof/>
        </w:rPr>
        <w:t> </w:t>
      </w:r>
      <w:r w:rsidR="00825614" w:rsidRPr="00F66162">
        <w:rPr>
          <w:noProof/>
        </w:rPr>
        <w:t>cel</w:t>
      </w:r>
      <w:r w:rsidRPr="00F66162">
        <w:rPr>
          <w:noProof/>
        </w:rPr>
        <w:t>ami Programu lepszego stanowienia prawa, jako że wzmacnia zdolność Komisji do ogólnego nadzorowania CBAM, pozwalając przy tym na uniknięcie kosztów (zarówno przez Komisję, jak</w:t>
      </w:r>
      <w:r w:rsidR="00825614" w:rsidRPr="00F66162">
        <w:rPr>
          <w:noProof/>
        </w:rPr>
        <w:t xml:space="preserve"> i</w:t>
      </w:r>
      <w:r w:rsidR="00825614">
        <w:rPr>
          <w:noProof/>
        </w:rPr>
        <w:t> </w:t>
      </w:r>
      <w:r w:rsidR="00825614" w:rsidRPr="00F66162">
        <w:rPr>
          <w:noProof/>
        </w:rPr>
        <w:t>prz</w:t>
      </w:r>
      <w:r w:rsidRPr="00F66162">
        <w:rPr>
          <w:noProof/>
        </w:rPr>
        <w:t>ez podmioty przekazujące informacje), które</w:t>
      </w:r>
      <w:r w:rsidR="00825614" w:rsidRPr="00F66162">
        <w:rPr>
          <w:noProof/>
        </w:rPr>
        <w:t xml:space="preserve"> w</w:t>
      </w:r>
      <w:r w:rsidR="00825614">
        <w:rPr>
          <w:noProof/>
        </w:rPr>
        <w:t> </w:t>
      </w:r>
      <w:r w:rsidR="00825614" w:rsidRPr="00F66162">
        <w:rPr>
          <w:noProof/>
        </w:rPr>
        <w:t>prz</w:t>
      </w:r>
      <w:r w:rsidRPr="00F66162">
        <w:rPr>
          <w:noProof/>
        </w:rPr>
        <w:t>eciwnym razie ponoszono by</w:t>
      </w:r>
      <w:r w:rsidR="00825614" w:rsidRPr="00F66162">
        <w:rPr>
          <w:noProof/>
        </w:rPr>
        <w:t xml:space="preserve"> w</w:t>
      </w:r>
      <w:r w:rsidR="00825614">
        <w:rPr>
          <w:noProof/>
        </w:rPr>
        <w:t> </w:t>
      </w:r>
      <w:r w:rsidR="00825614" w:rsidRPr="00F66162">
        <w:rPr>
          <w:noProof/>
        </w:rPr>
        <w:t>zwi</w:t>
      </w:r>
      <w:r w:rsidRPr="00F66162">
        <w:rPr>
          <w:noProof/>
        </w:rPr>
        <w:t>ązku</w:t>
      </w:r>
      <w:r w:rsidR="00825614" w:rsidRPr="00F66162">
        <w:rPr>
          <w:noProof/>
        </w:rPr>
        <w:t xml:space="preserve"> z</w:t>
      </w:r>
      <w:r w:rsidR="00825614">
        <w:rPr>
          <w:noProof/>
        </w:rPr>
        <w:t> </w:t>
      </w:r>
      <w:r w:rsidR="00825614" w:rsidRPr="00F66162">
        <w:rPr>
          <w:noProof/>
        </w:rPr>
        <w:t>gro</w:t>
      </w:r>
      <w:r w:rsidRPr="00F66162">
        <w:rPr>
          <w:noProof/>
        </w:rPr>
        <w:t>madzeniem informacji na inne sposoby.</w:t>
      </w:r>
    </w:p>
    <w:p w14:paraId="2BB8F0EB" w14:textId="77777777" w:rsidR="00FA5543" w:rsidRPr="00F66162" w:rsidRDefault="00FA5543" w:rsidP="00390489">
      <w:pPr>
        <w:pStyle w:val="ManualHeading1"/>
        <w:rPr>
          <w:noProof/>
        </w:rPr>
      </w:pPr>
      <w:r w:rsidRPr="00F66162">
        <w:rPr>
          <w:noProof/>
        </w:rPr>
        <w:t>2.</w:t>
      </w:r>
      <w:r w:rsidRPr="00F66162">
        <w:rPr>
          <w:noProof/>
        </w:rPr>
        <w:tab/>
        <w:t>PODSTAWA PRAWNA, POMOCNICZOŚĆ I PROPORCJONALNOŚĆ</w:t>
      </w:r>
    </w:p>
    <w:p w14:paraId="70FF2662" w14:textId="77777777"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Podstawa prawna</w:t>
      </w:r>
    </w:p>
    <w:p w14:paraId="07707497" w14:textId="37387FD0" w:rsidR="009C10C3" w:rsidRPr="00F66162" w:rsidRDefault="009C10C3" w:rsidP="009C10C3">
      <w:pPr>
        <w:pBdr>
          <w:top w:val="nil"/>
          <w:left w:val="nil"/>
          <w:bottom w:val="nil"/>
          <w:right w:val="nil"/>
          <w:between w:val="nil"/>
          <w:bar w:val="nil"/>
        </w:pBdr>
        <w:spacing w:before="0" w:after="240"/>
        <w:rPr>
          <w:noProof/>
        </w:rPr>
      </w:pPr>
      <w:r w:rsidRPr="00F66162">
        <w:rPr>
          <w:noProof/>
        </w:rPr>
        <w:t>Wniosek zmienia istniejące rozporządzenie</w:t>
      </w:r>
      <w:r w:rsidR="00825614" w:rsidRPr="00F66162">
        <w:rPr>
          <w:noProof/>
        </w:rPr>
        <w:t>. W</w:t>
      </w:r>
      <w:r w:rsidR="00825614">
        <w:rPr>
          <w:noProof/>
        </w:rPr>
        <w:t> </w:t>
      </w:r>
      <w:r w:rsidR="00825614" w:rsidRPr="00F66162">
        <w:rPr>
          <w:noProof/>
        </w:rPr>
        <w:t>zwi</w:t>
      </w:r>
      <w:r w:rsidRPr="00F66162">
        <w:rPr>
          <w:noProof/>
        </w:rPr>
        <w:t>ązku</w:t>
      </w:r>
      <w:r w:rsidR="00825614" w:rsidRPr="00F66162">
        <w:rPr>
          <w:noProof/>
        </w:rPr>
        <w:t xml:space="preserve"> z</w:t>
      </w:r>
      <w:r w:rsidR="00825614">
        <w:rPr>
          <w:noProof/>
        </w:rPr>
        <w:t> </w:t>
      </w:r>
      <w:r w:rsidR="00825614" w:rsidRPr="00F66162">
        <w:rPr>
          <w:noProof/>
        </w:rPr>
        <w:t>tym</w:t>
      </w:r>
      <w:r w:rsidRPr="00F66162">
        <w:rPr>
          <w:noProof/>
        </w:rPr>
        <w:t xml:space="preserve"> podstawą prawną wniosku jest podstawa prawna zmienianego rozporządzenia,</w:t>
      </w:r>
      <w:r w:rsidR="00825614" w:rsidRPr="00F66162">
        <w:rPr>
          <w:noProof/>
        </w:rPr>
        <w:t xml:space="preserve"> a</w:t>
      </w:r>
      <w:r w:rsidR="00825614">
        <w:rPr>
          <w:noProof/>
        </w:rPr>
        <w:t> </w:t>
      </w:r>
      <w:r w:rsidR="00825614" w:rsidRPr="00F66162">
        <w:rPr>
          <w:noProof/>
        </w:rPr>
        <w:t>mia</w:t>
      </w:r>
      <w:r w:rsidRPr="00F66162">
        <w:rPr>
          <w:noProof/>
        </w:rPr>
        <w:t xml:space="preserve">nowicie </w:t>
      </w:r>
      <w:r w:rsidRPr="00825614">
        <w:rPr>
          <w:noProof/>
        </w:rPr>
        <w:t>art.</w:t>
      </w:r>
      <w:r w:rsidR="00825614" w:rsidRPr="00825614">
        <w:rPr>
          <w:noProof/>
        </w:rPr>
        <w:t> </w:t>
      </w:r>
      <w:r w:rsidRPr="00825614">
        <w:rPr>
          <w:noProof/>
        </w:rPr>
        <w:t>1</w:t>
      </w:r>
      <w:r w:rsidRPr="00F66162">
        <w:rPr>
          <w:noProof/>
        </w:rPr>
        <w:t xml:space="preserve">92 </w:t>
      </w:r>
      <w:r w:rsidRPr="00825614">
        <w:rPr>
          <w:noProof/>
        </w:rPr>
        <w:t>ust.</w:t>
      </w:r>
      <w:r w:rsidR="00825614" w:rsidRPr="00825614">
        <w:rPr>
          <w:noProof/>
        </w:rPr>
        <w:t> </w:t>
      </w:r>
      <w:r w:rsidRPr="00825614">
        <w:rPr>
          <w:noProof/>
        </w:rPr>
        <w:t>1</w:t>
      </w:r>
      <w:r w:rsidRPr="00F66162">
        <w:rPr>
          <w:noProof/>
        </w:rPr>
        <w:t xml:space="preserve"> Traktatu</w:t>
      </w:r>
      <w:r w:rsidR="00825614" w:rsidRPr="00F66162">
        <w:rPr>
          <w:noProof/>
        </w:rPr>
        <w:t xml:space="preserve"> o</w:t>
      </w:r>
      <w:r w:rsidR="00825614">
        <w:rPr>
          <w:noProof/>
        </w:rPr>
        <w:t> </w:t>
      </w:r>
      <w:r w:rsidR="00825614" w:rsidRPr="00F66162">
        <w:rPr>
          <w:noProof/>
        </w:rPr>
        <w:t>fun</w:t>
      </w:r>
      <w:r w:rsidRPr="00F66162">
        <w:rPr>
          <w:noProof/>
        </w:rPr>
        <w:t>kcjonowaniu Unii Europejskiej („TFUE”)</w:t>
      </w:r>
      <w:r w:rsidR="00825614" w:rsidRPr="00F66162">
        <w:rPr>
          <w:noProof/>
        </w:rPr>
        <w:t xml:space="preserve"> w</w:t>
      </w:r>
      <w:r w:rsidR="00825614">
        <w:rPr>
          <w:noProof/>
        </w:rPr>
        <w:t> </w:t>
      </w:r>
      <w:r w:rsidR="00825614" w:rsidRPr="00F66162">
        <w:rPr>
          <w:noProof/>
        </w:rPr>
        <w:t>zak</w:t>
      </w:r>
      <w:r w:rsidRPr="00F66162">
        <w:rPr>
          <w:noProof/>
        </w:rPr>
        <w:t xml:space="preserve">resie ochrony środowiska. </w:t>
      </w:r>
    </w:p>
    <w:p w14:paraId="0035896B" w14:textId="5E886DB7" w:rsidR="00FA5543" w:rsidRPr="00F66162" w:rsidRDefault="009C10C3" w:rsidP="00390489">
      <w:pPr>
        <w:pBdr>
          <w:top w:val="nil"/>
          <w:left w:val="nil"/>
          <w:bottom w:val="nil"/>
          <w:right w:val="nil"/>
          <w:between w:val="nil"/>
          <w:bar w:val="nil"/>
        </w:pBdr>
        <w:spacing w:before="0" w:after="240"/>
        <w:rPr>
          <w:rFonts w:eastAsia="Arial Unicode MS"/>
          <w:noProof/>
        </w:rPr>
      </w:pPr>
      <w:r w:rsidRPr="00F66162">
        <w:rPr>
          <w:noProof/>
        </w:rPr>
        <w:t>Zgodnie</w:t>
      </w:r>
      <w:r w:rsidR="00825614" w:rsidRPr="00F66162">
        <w:rPr>
          <w:noProof/>
        </w:rPr>
        <w:t xml:space="preserve"> z</w:t>
      </w:r>
      <w:r w:rsidR="00825614">
        <w:rPr>
          <w:noProof/>
        </w:rPr>
        <w:t> </w:t>
      </w:r>
      <w:r w:rsidR="00825614" w:rsidRPr="00F66162">
        <w:rPr>
          <w:noProof/>
        </w:rPr>
        <w:t>art</w:t>
      </w:r>
      <w:r w:rsidRPr="00F66162">
        <w:rPr>
          <w:noProof/>
        </w:rPr>
        <w:t>. 191</w:t>
      </w:r>
      <w:r w:rsidR="00825614" w:rsidRPr="00F66162">
        <w:rPr>
          <w:noProof/>
        </w:rPr>
        <w:t xml:space="preserve"> i</w:t>
      </w:r>
      <w:r w:rsidR="00825614">
        <w:rPr>
          <w:noProof/>
        </w:rPr>
        <w:t> </w:t>
      </w:r>
      <w:r w:rsidR="00825614" w:rsidRPr="00F66162">
        <w:rPr>
          <w:noProof/>
        </w:rPr>
        <w:t>art</w:t>
      </w:r>
      <w:r w:rsidRPr="00F66162">
        <w:rPr>
          <w:noProof/>
        </w:rPr>
        <w:t>. 192 ust. 1 TFUE Unia przyczynia się do osiągnięcia m.in. następujących celów: zachowanie, ochrona</w:t>
      </w:r>
      <w:r w:rsidR="00825614" w:rsidRPr="00F66162">
        <w:rPr>
          <w:noProof/>
        </w:rPr>
        <w:t xml:space="preserve"> i</w:t>
      </w:r>
      <w:r w:rsidR="00825614">
        <w:rPr>
          <w:noProof/>
        </w:rPr>
        <w:t> </w:t>
      </w:r>
      <w:r w:rsidR="00825614" w:rsidRPr="00F66162">
        <w:rPr>
          <w:noProof/>
        </w:rPr>
        <w:t>pop</w:t>
      </w:r>
      <w:r w:rsidRPr="00F66162">
        <w:rPr>
          <w:noProof/>
        </w:rPr>
        <w:t xml:space="preserve">rawa jakości środowiska oraz promowanie na płaszczyźnie międzynarodowej środków zmierzających do rozwiązywania regionalnych lub </w:t>
      </w:r>
      <w:r w:rsidRPr="00F66162">
        <w:rPr>
          <w:noProof/>
        </w:rPr>
        <w:lastRenderedPageBreak/>
        <w:t>światowych problemów</w:t>
      </w:r>
      <w:r w:rsidR="00825614" w:rsidRPr="00F66162">
        <w:rPr>
          <w:noProof/>
        </w:rPr>
        <w:t xml:space="preserve"> w</w:t>
      </w:r>
      <w:r w:rsidR="00825614">
        <w:rPr>
          <w:noProof/>
        </w:rPr>
        <w:t> </w:t>
      </w:r>
      <w:r w:rsidR="00825614" w:rsidRPr="00F66162">
        <w:rPr>
          <w:noProof/>
        </w:rPr>
        <w:t>dzi</w:t>
      </w:r>
      <w:r w:rsidRPr="00F66162">
        <w:rPr>
          <w:noProof/>
        </w:rPr>
        <w:t>edzinie środowiska naturalnego,</w:t>
      </w:r>
      <w:r w:rsidR="00825614" w:rsidRPr="00F66162">
        <w:rPr>
          <w:noProof/>
        </w:rPr>
        <w:t xml:space="preserve"> a</w:t>
      </w:r>
      <w:r w:rsidR="00825614">
        <w:rPr>
          <w:noProof/>
        </w:rPr>
        <w:t> </w:t>
      </w:r>
      <w:r w:rsidR="00825614" w:rsidRPr="00F66162">
        <w:rPr>
          <w:noProof/>
        </w:rPr>
        <w:t>w</w:t>
      </w:r>
      <w:r w:rsidR="00825614">
        <w:rPr>
          <w:noProof/>
        </w:rPr>
        <w:t> </w:t>
      </w:r>
      <w:r w:rsidR="00825614" w:rsidRPr="00F66162">
        <w:rPr>
          <w:noProof/>
        </w:rPr>
        <w:t>szc</w:t>
      </w:r>
      <w:r w:rsidRPr="00F66162">
        <w:rPr>
          <w:noProof/>
        </w:rPr>
        <w:t>zególności przeciwdziałanie zmianie klimatu.</w:t>
      </w:r>
    </w:p>
    <w:p w14:paraId="20E58911" w14:textId="77777777"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 xml:space="preserve">Pomocniczość (w przypadku kompetencji niewyłącznych) </w:t>
      </w:r>
    </w:p>
    <w:p w14:paraId="20C817B0" w14:textId="27DE1262" w:rsidR="00073DA8" w:rsidRPr="00F66162" w:rsidRDefault="00073DA8" w:rsidP="00073DA8">
      <w:pPr>
        <w:pBdr>
          <w:top w:val="nil"/>
          <w:left w:val="nil"/>
          <w:bottom w:val="nil"/>
          <w:right w:val="nil"/>
          <w:between w:val="nil"/>
          <w:bar w:val="nil"/>
        </w:pBdr>
        <w:spacing w:before="0" w:after="240"/>
        <w:rPr>
          <w:noProof/>
        </w:rPr>
      </w:pPr>
      <w:r w:rsidRPr="00F66162">
        <w:rPr>
          <w:noProof/>
        </w:rPr>
        <w:t>Rozporządzeniem</w:t>
      </w:r>
      <w:r w:rsidR="00825614" w:rsidRPr="00F66162">
        <w:rPr>
          <w:noProof/>
        </w:rPr>
        <w:t xml:space="preserve"> w</w:t>
      </w:r>
      <w:r w:rsidR="00825614">
        <w:rPr>
          <w:noProof/>
        </w:rPr>
        <w:t> </w:t>
      </w:r>
      <w:r w:rsidR="00825614" w:rsidRPr="00F66162">
        <w:rPr>
          <w:noProof/>
        </w:rPr>
        <w:t>spr</w:t>
      </w:r>
      <w:r w:rsidRPr="00F66162">
        <w:rPr>
          <w:noProof/>
        </w:rPr>
        <w:t>awie CBAM wprowadzono wspólne, jednolite ramy zapewniające równoważność polityki</w:t>
      </w:r>
      <w:r w:rsidR="00825614" w:rsidRPr="00F66162">
        <w:rPr>
          <w:noProof/>
        </w:rPr>
        <w:t xml:space="preserve"> w</w:t>
      </w:r>
      <w:r w:rsidR="00825614">
        <w:rPr>
          <w:noProof/>
        </w:rPr>
        <w:t> </w:t>
      </w:r>
      <w:r w:rsidR="00825614" w:rsidRPr="00F66162">
        <w:rPr>
          <w:noProof/>
        </w:rPr>
        <w:t>zak</w:t>
      </w:r>
      <w:r w:rsidRPr="00F66162">
        <w:rPr>
          <w:noProof/>
        </w:rPr>
        <w:t>resie ustalania opłat za emisję gazów cieplarnianych stosowanej na unijnym rynku wewnętrznym</w:t>
      </w:r>
      <w:r w:rsidR="00825614" w:rsidRPr="00F66162">
        <w:rPr>
          <w:noProof/>
        </w:rPr>
        <w:t xml:space="preserve"> i</w:t>
      </w:r>
      <w:r w:rsidR="00825614">
        <w:rPr>
          <w:noProof/>
        </w:rPr>
        <w:t> </w:t>
      </w:r>
      <w:r w:rsidR="00825614" w:rsidRPr="00F66162">
        <w:rPr>
          <w:noProof/>
        </w:rPr>
        <w:t>pol</w:t>
      </w:r>
      <w:r w:rsidRPr="00F66162">
        <w:rPr>
          <w:noProof/>
        </w:rPr>
        <w:t>ityki</w:t>
      </w:r>
      <w:r w:rsidR="00825614" w:rsidRPr="00F66162">
        <w:rPr>
          <w:noProof/>
        </w:rPr>
        <w:t xml:space="preserve"> w</w:t>
      </w:r>
      <w:r w:rsidR="00825614">
        <w:rPr>
          <w:noProof/>
        </w:rPr>
        <w:t> </w:t>
      </w:r>
      <w:r w:rsidR="00825614" w:rsidRPr="00F66162">
        <w:rPr>
          <w:noProof/>
        </w:rPr>
        <w:t>tym</w:t>
      </w:r>
      <w:r w:rsidRPr="00F66162">
        <w:rPr>
          <w:noProof/>
        </w:rPr>
        <w:t xml:space="preserve"> zakresie mającej zastosowanie do przywozu. </w:t>
      </w:r>
    </w:p>
    <w:p w14:paraId="374179E1" w14:textId="658187B3" w:rsidR="00FA5543" w:rsidRPr="00F66162" w:rsidRDefault="00073DA8" w:rsidP="00390489">
      <w:pPr>
        <w:pBdr>
          <w:top w:val="nil"/>
          <w:left w:val="nil"/>
          <w:bottom w:val="nil"/>
          <w:right w:val="nil"/>
          <w:between w:val="nil"/>
          <w:bar w:val="nil"/>
        </w:pBdr>
        <w:spacing w:before="0" w:after="240"/>
        <w:rPr>
          <w:rFonts w:eastAsia="Arial Unicode MS"/>
          <w:noProof/>
        </w:rPr>
      </w:pPr>
      <w:r w:rsidRPr="00F66162">
        <w:rPr>
          <w:noProof/>
        </w:rPr>
        <w:t>Uproszczenia tego rozporządzenia przewidziane</w:t>
      </w:r>
      <w:r w:rsidR="00825614" w:rsidRPr="00F66162">
        <w:rPr>
          <w:noProof/>
        </w:rPr>
        <w:t xml:space="preserve"> w</w:t>
      </w:r>
      <w:r w:rsidR="00825614">
        <w:rPr>
          <w:noProof/>
        </w:rPr>
        <w:t> </w:t>
      </w:r>
      <w:r w:rsidR="00825614" w:rsidRPr="00F66162">
        <w:rPr>
          <w:noProof/>
        </w:rPr>
        <w:t>nin</w:t>
      </w:r>
      <w:r w:rsidRPr="00F66162">
        <w:rPr>
          <w:noProof/>
        </w:rPr>
        <w:t>iejszym wniosku dodatkowo zwiększą pewność prawa</w:t>
      </w:r>
      <w:r w:rsidR="00825614" w:rsidRPr="00F66162">
        <w:rPr>
          <w:noProof/>
        </w:rPr>
        <w:t xml:space="preserve"> i</w:t>
      </w:r>
      <w:r w:rsidR="00825614">
        <w:rPr>
          <w:noProof/>
        </w:rPr>
        <w:t> </w:t>
      </w:r>
      <w:r w:rsidR="00825614" w:rsidRPr="00F66162">
        <w:rPr>
          <w:noProof/>
        </w:rPr>
        <w:t>zra</w:t>
      </w:r>
      <w:r w:rsidRPr="00F66162">
        <w:rPr>
          <w:noProof/>
        </w:rPr>
        <w:t>cjonalizują wymogi</w:t>
      </w:r>
      <w:r w:rsidR="00825614" w:rsidRPr="00F66162">
        <w:rPr>
          <w:noProof/>
        </w:rPr>
        <w:t xml:space="preserve"> w</w:t>
      </w:r>
      <w:r w:rsidR="00825614">
        <w:rPr>
          <w:noProof/>
        </w:rPr>
        <w:t> </w:t>
      </w:r>
      <w:r w:rsidR="00825614" w:rsidRPr="00F66162">
        <w:rPr>
          <w:noProof/>
        </w:rPr>
        <w:t>zak</w:t>
      </w:r>
      <w:r w:rsidRPr="00F66162">
        <w:rPr>
          <w:noProof/>
        </w:rPr>
        <w:t>resie sprawozdawczości.</w:t>
      </w:r>
    </w:p>
    <w:p w14:paraId="65ED7664" w14:textId="77777777"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Proporcjonalność</w:t>
      </w:r>
    </w:p>
    <w:p w14:paraId="61E3C95F" w14:textId="080BFFD2" w:rsidR="006B3776" w:rsidRPr="00F66162" w:rsidRDefault="006B3776" w:rsidP="006B3776">
      <w:pPr>
        <w:pBdr>
          <w:top w:val="nil"/>
          <w:left w:val="nil"/>
          <w:bottom w:val="nil"/>
          <w:right w:val="nil"/>
          <w:between w:val="nil"/>
          <w:bar w:val="nil"/>
        </w:pBdr>
        <w:spacing w:before="0" w:after="240"/>
        <w:rPr>
          <w:noProof/>
        </w:rPr>
      </w:pPr>
      <w:r w:rsidRPr="00F66162">
        <w:rPr>
          <w:noProof/>
        </w:rPr>
        <w:t>Uproszczenie wymogów administracyjnych,</w:t>
      </w:r>
      <w:r w:rsidR="00825614" w:rsidRPr="00F66162">
        <w:rPr>
          <w:noProof/>
        </w:rPr>
        <w:t xml:space="preserve"> w</w:t>
      </w:r>
      <w:r w:rsidR="00825614">
        <w:rPr>
          <w:noProof/>
        </w:rPr>
        <w:t> </w:t>
      </w:r>
      <w:r w:rsidR="00825614" w:rsidRPr="00F66162">
        <w:rPr>
          <w:noProof/>
        </w:rPr>
        <w:t>tym</w:t>
      </w:r>
      <w:r w:rsidRPr="00F66162">
        <w:rPr>
          <w:noProof/>
        </w:rPr>
        <w:t xml:space="preserve"> wymogów</w:t>
      </w:r>
      <w:r w:rsidR="00825614" w:rsidRPr="00F66162">
        <w:rPr>
          <w:noProof/>
        </w:rPr>
        <w:t xml:space="preserve"> w</w:t>
      </w:r>
      <w:r w:rsidR="00825614">
        <w:rPr>
          <w:noProof/>
        </w:rPr>
        <w:t> </w:t>
      </w:r>
      <w:r w:rsidR="00825614" w:rsidRPr="00F66162">
        <w:rPr>
          <w:noProof/>
        </w:rPr>
        <w:t>zak</w:t>
      </w:r>
      <w:r w:rsidRPr="00F66162">
        <w:rPr>
          <w:noProof/>
        </w:rPr>
        <w:t>resie sprawozdawczości, uprości ramy prawne dzięki zmianie tych wymogów, które nie mają wpływu na istotę celów polityki. Wniosek ogranicza się zatem do tych zmian, które są niezbędne, aby zmniejszyć obciążenie regulacyjne</w:t>
      </w:r>
      <w:r w:rsidR="00825614" w:rsidRPr="00F66162">
        <w:rPr>
          <w:noProof/>
        </w:rPr>
        <w:t xml:space="preserve"> i</w:t>
      </w:r>
      <w:r w:rsidR="00825614">
        <w:rPr>
          <w:noProof/>
        </w:rPr>
        <w:t> </w:t>
      </w:r>
      <w:r w:rsidR="00825614" w:rsidRPr="00F66162">
        <w:rPr>
          <w:noProof/>
        </w:rPr>
        <w:t>sku</w:t>
      </w:r>
      <w:r w:rsidRPr="00F66162">
        <w:rPr>
          <w:noProof/>
        </w:rPr>
        <w:t>teczniej zapewnić przestrzeganie przepisów, bez zmiany istoty prawodawstwa.</w:t>
      </w:r>
    </w:p>
    <w:p w14:paraId="7AB122B1" w14:textId="7F525B84" w:rsidR="006B3776" w:rsidRPr="00F66162" w:rsidRDefault="006B3776" w:rsidP="006B3776">
      <w:pPr>
        <w:pBdr>
          <w:top w:val="nil"/>
          <w:left w:val="nil"/>
          <w:bottom w:val="nil"/>
          <w:right w:val="nil"/>
          <w:between w:val="nil"/>
          <w:bar w:val="nil"/>
        </w:pBdr>
        <w:spacing w:before="0" w:after="240"/>
        <w:rPr>
          <w:noProof/>
        </w:rPr>
      </w:pPr>
      <w:r w:rsidRPr="00F66162">
        <w:rPr>
          <w:noProof/>
        </w:rPr>
        <w:t>Wniosek jest zgodny</w:t>
      </w:r>
      <w:r w:rsidR="00825614" w:rsidRPr="00F66162">
        <w:rPr>
          <w:noProof/>
        </w:rPr>
        <w:t xml:space="preserve"> z</w:t>
      </w:r>
      <w:r w:rsidR="00825614">
        <w:rPr>
          <w:noProof/>
        </w:rPr>
        <w:t> </w:t>
      </w:r>
      <w:r w:rsidR="00825614" w:rsidRPr="00F66162">
        <w:rPr>
          <w:noProof/>
        </w:rPr>
        <w:t>zas</w:t>
      </w:r>
      <w:r w:rsidRPr="00F66162">
        <w:rPr>
          <w:noProof/>
        </w:rPr>
        <w:t xml:space="preserve">adą proporcjonalności, ponieważ nie wykracza poza to, co jest konieczne do osiągnięcia celów Traktatów. Proporcjonalność wniosku ma dwa kluczowe aspekty. </w:t>
      </w:r>
    </w:p>
    <w:p w14:paraId="788CD0B1" w14:textId="26182E62" w:rsidR="006B3776" w:rsidRPr="00F66162" w:rsidRDefault="006B3776" w:rsidP="006B3776">
      <w:pPr>
        <w:pBdr>
          <w:top w:val="nil"/>
          <w:left w:val="nil"/>
          <w:bottom w:val="nil"/>
          <w:right w:val="nil"/>
          <w:between w:val="nil"/>
          <w:bar w:val="nil"/>
        </w:pBdr>
        <w:spacing w:before="0" w:after="240"/>
        <w:rPr>
          <w:noProof/>
        </w:rPr>
      </w:pPr>
      <w:r w:rsidRPr="00F66162">
        <w:rPr>
          <w:noProof/>
        </w:rPr>
        <w:t>Po pierwsze, importerom trudno jest spełnić wymogi dotyczące sprawozdawczości określone</w:t>
      </w:r>
      <w:r w:rsidR="00825614" w:rsidRPr="00F66162">
        <w:rPr>
          <w:noProof/>
        </w:rPr>
        <w:t xml:space="preserve"> w</w:t>
      </w:r>
      <w:r w:rsidR="00825614">
        <w:rPr>
          <w:noProof/>
        </w:rPr>
        <w:t> </w:t>
      </w:r>
      <w:r w:rsidR="00825614" w:rsidRPr="00F66162">
        <w:rPr>
          <w:noProof/>
        </w:rPr>
        <w:t>roz</w:t>
      </w:r>
      <w:r w:rsidRPr="00F66162">
        <w:rPr>
          <w:noProof/>
        </w:rPr>
        <w:t>porządzeniu</w:t>
      </w:r>
      <w:r w:rsidR="00825614" w:rsidRPr="00F66162">
        <w:rPr>
          <w:noProof/>
        </w:rPr>
        <w:t xml:space="preserve"> w</w:t>
      </w:r>
      <w:r w:rsidR="00825614">
        <w:rPr>
          <w:noProof/>
        </w:rPr>
        <w:t> </w:t>
      </w:r>
      <w:r w:rsidR="00825614" w:rsidRPr="00F66162">
        <w:rPr>
          <w:noProof/>
        </w:rPr>
        <w:t>spr</w:t>
      </w:r>
      <w:r w:rsidRPr="00F66162">
        <w:rPr>
          <w:noProof/>
        </w:rPr>
        <w:t>awie CBAM, podczas gdy właściwe organy państw członkowskich muszą wykonywać ważne zadania nadzorcze. Problem ten zostanie złagodzony dzięki wprowadzeniu progu zwalniającego niektórych importerów</w:t>
      </w:r>
      <w:r w:rsidR="00825614" w:rsidRPr="00F66162">
        <w:rPr>
          <w:noProof/>
        </w:rPr>
        <w:t xml:space="preserve"> z</w:t>
      </w:r>
      <w:r w:rsidR="00825614">
        <w:rPr>
          <w:noProof/>
        </w:rPr>
        <w:t> </w:t>
      </w:r>
      <w:r w:rsidR="00825614" w:rsidRPr="00F66162">
        <w:rPr>
          <w:noProof/>
        </w:rPr>
        <w:t>obo</w:t>
      </w:r>
      <w:r w:rsidRPr="00F66162">
        <w:rPr>
          <w:noProof/>
        </w:rPr>
        <w:t xml:space="preserve">wiązków związanych z CBAM. </w:t>
      </w:r>
    </w:p>
    <w:p w14:paraId="4D2F01D3" w14:textId="74901783" w:rsidR="00FA5543" w:rsidRPr="00F66162" w:rsidRDefault="006B3776" w:rsidP="00390489">
      <w:pPr>
        <w:pBdr>
          <w:top w:val="nil"/>
          <w:left w:val="nil"/>
          <w:bottom w:val="nil"/>
          <w:right w:val="nil"/>
          <w:between w:val="nil"/>
          <w:bar w:val="nil"/>
        </w:pBdr>
        <w:spacing w:before="0" w:after="240"/>
        <w:rPr>
          <w:rFonts w:eastAsia="Arial Unicode MS"/>
          <w:noProof/>
        </w:rPr>
      </w:pPr>
      <w:r w:rsidRPr="00F66162">
        <w:rPr>
          <w:noProof/>
        </w:rPr>
        <w:t>Po drugie –</w:t>
      </w:r>
      <w:r w:rsidR="00825614" w:rsidRPr="00F66162">
        <w:rPr>
          <w:noProof/>
        </w:rPr>
        <w:t xml:space="preserve"> w</w:t>
      </w:r>
      <w:r w:rsidR="00825614">
        <w:rPr>
          <w:noProof/>
        </w:rPr>
        <w:t> </w:t>
      </w:r>
      <w:r w:rsidR="00825614" w:rsidRPr="00F66162">
        <w:rPr>
          <w:noProof/>
        </w:rPr>
        <w:t>odn</w:t>
      </w:r>
      <w:r w:rsidRPr="00F66162">
        <w:rPr>
          <w:noProof/>
        </w:rPr>
        <w:t>iesieniu do importerów objętych zakresem CBAM – wniosek zmieni wymogi sprawozdawcze,</w:t>
      </w:r>
      <w:r w:rsidR="00825614" w:rsidRPr="00F66162">
        <w:rPr>
          <w:noProof/>
        </w:rPr>
        <w:t xml:space="preserve"> w</w:t>
      </w:r>
      <w:r w:rsidR="00825614">
        <w:rPr>
          <w:noProof/>
        </w:rPr>
        <w:t> </w:t>
      </w:r>
      <w:r w:rsidR="00825614" w:rsidRPr="00F66162">
        <w:rPr>
          <w:noProof/>
        </w:rPr>
        <w:t>szc</w:t>
      </w:r>
      <w:r w:rsidRPr="00F66162">
        <w:rPr>
          <w:noProof/>
        </w:rPr>
        <w:t>zególności te, które są niezbędne, aby zmniejszyć obciążenie regulacyjne</w:t>
      </w:r>
      <w:r w:rsidR="00825614" w:rsidRPr="00F66162">
        <w:rPr>
          <w:noProof/>
        </w:rPr>
        <w:t xml:space="preserve"> i</w:t>
      </w:r>
      <w:r w:rsidR="00825614">
        <w:rPr>
          <w:noProof/>
        </w:rPr>
        <w:t> </w:t>
      </w:r>
      <w:r w:rsidR="00825614" w:rsidRPr="00F66162">
        <w:rPr>
          <w:noProof/>
        </w:rPr>
        <w:t>sku</w:t>
      </w:r>
      <w:r w:rsidRPr="00F66162">
        <w:rPr>
          <w:noProof/>
        </w:rPr>
        <w:t>teczniej zapewnić przestrzeganie przepisów.</w:t>
      </w:r>
    </w:p>
    <w:p w14:paraId="1F65C84E" w14:textId="77777777"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Wybór instrumentu</w:t>
      </w:r>
    </w:p>
    <w:p w14:paraId="1EC22B35" w14:textId="0EAAE94C" w:rsidR="00FA5543" w:rsidRPr="00F66162" w:rsidRDefault="00202ACC" w:rsidP="00390489">
      <w:pPr>
        <w:pBdr>
          <w:top w:val="nil"/>
          <w:left w:val="nil"/>
          <w:bottom w:val="nil"/>
          <w:right w:val="nil"/>
          <w:between w:val="nil"/>
          <w:bar w:val="nil"/>
        </w:pBdr>
        <w:spacing w:before="0" w:after="240"/>
        <w:rPr>
          <w:rFonts w:eastAsia="Arial Unicode MS"/>
          <w:noProof/>
        </w:rPr>
      </w:pPr>
      <w:r w:rsidRPr="00F66162">
        <w:rPr>
          <w:noProof/>
        </w:rPr>
        <w:t>Wniosek wymaga zmiany rozporządzenia</w:t>
      </w:r>
      <w:r w:rsidR="00825614" w:rsidRPr="00F66162">
        <w:rPr>
          <w:noProof/>
        </w:rPr>
        <w:t xml:space="preserve"> w</w:t>
      </w:r>
      <w:r w:rsidR="00825614">
        <w:rPr>
          <w:noProof/>
        </w:rPr>
        <w:t> </w:t>
      </w:r>
      <w:r w:rsidR="00825614" w:rsidRPr="00F66162">
        <w:rPr>
          <w:noProof/>
        </w:rPr>
        <w:t>spr</w:t>
      </w:r>
      <w:r w:rsidRPr="00F66162">
        <w:rPr>
          <w:noProof/>
        </w:rPr>
        <w:t>awie CBAM. Ustanawia się</w:t>
      </w:r>
      <w:r w:rsidR="00825614" w:rsidRPr="00F66162">
        <w:rPr>
          <w:noProof/>
        </w:rPr>
        <w:t xml:space="preserve"> w</w:t>
      </w:r>
      <w:r w:rsidR="00825614">
        <w:rPr>
          <w:noProof/>
        </w:rPr>
        <w:t> </w:t>
      </w:r>
      <w:r w:rsidR="00825614" w:rsidRPr="00F66162">
        <w:rPr>
          <w:noProof/>
        </w:rPr>
        <w:t>nim</w:t>
      </w:r>
      <w:r w:rsidRPr="00F66162">
        <w:rPr>
          <w:noProof/>
        </w:rPr>
        <w:t xml:space="preserve"> przepisy szczegółowe konieczne, aby uprościć stosowanie niektórych przepisów rozporządzenia</w:t>
      </w:r>
      <w:r w:rsidR="00825614" w:rsidRPr="00F66162">
        <w:rPr>
          <w:noProof/>
        </w:rPr>
        <w:t xml:space="preserve"> w</w:t>
      </w:r>
      <w:r w:rsidR="00825614">
        <w:rPr>
          <w:noProof/>
        </w:rPr>
        <w:t> </w:t>
      </w:r>
      <w:r w:rsidR="00825614" w:rsidRPr="00F66162">
        <w:rPr>
          <w:noProof/>
        </w:rPr>
        <w:t>spr</w:t>
      </w:r>
      <w:r w:rsidRPr="00F66162">
        <w:rPr>
          <w:noProof/>
        </w:rPr>
        <w:t>awie CBAM,</w:t>
      </w:r>
      <w:r w:rsidR="00825614" w:rsidRPr="00F66162">
        <w:rPr>
          <w:noProof/>
        </w:rPr>
        <w:t xml:space="preserve"> w</w:t>
      </w:r>
      <w:r w:rsidR="00825614">
        <w:rPr>
          <w:noProof/>
        </w:rPr>
        <w:t> </w:t>
      </w:r>
      <w:r w:rsidR="00825614" w:rsidRPr="00F66162">
        <w:rPr>
          <w:noProof/>
        </w:rPr>
        <w:t>prz</w:t>
      </w:r>
      <w:r w:rsidRPr="00F66162">
        <w:rPr>
          <w:noProof/>
        </w:rPr>
        <w:t>ypadkach gdy wyznaczonych celów nie można osiągnąć</w:t>
      </w:r>
      <w:r w:rsidR="00825614" w:rsidRPr="00F66162">
        <w:rPr>
          <w:noProof/>
        </w:rPr>
        <w:t xml:space="preserve"> w</w:t>
      </w:r>
      <w:r w:rsidR="00825614">
        <w:rPr>
          <w:noProof/>
        </w:rPr>
        <w:t> </w:t>
      </w:r>
      <w:r w:rsidR="00825614" w:rsidRPr="00F66162">
        <w:rPr>
          <w:noProof/>
        </w:rPr>
        <w:t>dro</w:t>
      </w:r>
      <w:r w:rsidRPr="00F66162">
        <w:rPr>
          <w:noProof/>
        </w:rPr>
        <w:t xml:space="preserve">dze przyjęcia środków wykonawczych, gdyż konieczna jest zmiana przepisów podstawowych tego rozporządzenia. Dotyczy to odstępstwa </w:t>
      </w:r>
      <w:r w:rsidRPr="00F66162">
        <w:rPr>
          <w:i/>
          <w:noProof/>
        </w:rPr>
        <w:t>de minimis</w:t>
      </w:r>
      <w:r w:rsidRPr="00F66162">
        <w:rPr>
          <w:noProof/>
        </w:rPr>
        <w:t>, obowiązków sprawozdawczych, obliczania emisji wbudowanych oraz wyrównania finansowego.</w:t>
      </w:r>
    </w:p>
    <w:p w14:paraId="1A00660D" w14:textId="77777777" w:rsidR="00FA5543" w:rsidRPr="00F66162" w:rsidRDefault="00FA5543" w:rsidP="00390489">
      <w:pPr>
        <w:pStyle w:val="ManualHeading1"/>
        <w:rPr>
          <w:noProof/>
        </w:rPr>
      </w:pPr>
      <w:r w:rsidRPr="00F66162">
        <w:rPr>
          <w:noProof/>
        </w:rPr>
        <w:t>3.</w:t>
      </w:r>
      <w:r w:rsidRPr="00F66162">
        <w:rPr>
          <w:noProof/>
        </w:rPr>
        <w:tab/>
        <w:t xml:space="preserve">WYNIKI OCEN </w:t>
      </w:r>
      <w:r w:rsidRPr="00F66162">
        <w:rPr>
          <w:i/>
          <w:iCs/>
          <w:noProof/>
        </w:rPr>
        <w:t>EX POST</w:t>
      </w:r>
      <w:r w:rsidRPr="00F66162">
        <w:rPr>
          <w:noProof/>
        </w:rPr>
        <w:t>, KONSULTACJI Z ZAINTERESOWANYMI STRONAMI I OCEN SKUTKÓW</w:t>
      </w:r>
    </w:p>
    <w:p w14:paraId="1C57B360" w14:textId="77777777"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 xml:space="preserve">Oceny </w:t>
      </w:r>
      <w:r w:rsidRPr="00F66162">
        <w:rPr>
          <w:i/>
          <w:iCs/>
          <w:noProof/>
          <w:u w:color="000000"/>
          <w:bdr w:val="nil"/>
        </w:rPr>
        <w:t>ex post</w:t>
      </w:r>
      <w:r w:rsidRPr="00F66162">
        <w:rPr>
          <w:noProof/>
          <w:u w:color="000000"/>
          <w:bdr w:val="nil"/>
        </w:rPr>
        <w:t>/oceny adekwatności obowiązującego prawodawstwa</w:t>
      </w:r>
    </w:p>
    <w:p w14:paraId="6B893B9F" w14:textId="0A545D2C" w:rsidR="00FA5543" w:rsidRPr="00F66162" w:rsidRDefault="00D460ED" w:rsidP="00390489">
      <w:pPr>
        <w:pBdr>
          <w:top w:val="nil"/>
          <w:left w:val="nil"/>
          <w:bottom w:val="nil"/>
          <w:right w:val="nil"/>
          <w:between w:val="nil"/>
          <w:bar w:val="nil"/>
        </w:pBdr>
        <w:spacing w:before="0" w:after="240"/>
        <w:rPr>
          <w:rFonts w:eastAsia="Arial Unicode MS"/>
          <w:noProof/>
        </w:rPr>
      </w:pPr>
      <w:r w:rsidRPr="00F66162">
        <w:rPr>
          <w:noProof/>
        </w:rPr>
        <w:t>Wniosek oparto na doświadczeniach zdobytych podczas wdrażania rozporządzenia</w:t>
      </w:r>
      <w:r w:rsidR="00825614" w:rsidRPr="00F66162">
        <w:rPr>
          <w:noProof/>
        </w:rPr>
        <w:t xml:space="preserve"> w</w:t>
      </w:r>
      <w:r w:rsidR="00825614">
        <w:rPr>
          <w:noProof/>
        </w:rPr>
        <w:t> </w:t>
      </w:r>
      <w:r w:rsidR="00825614" w:rsidRPr="00F66162">
        <w:rPr>
          <w:noProof/>
        </w:rPr>
        <w:t>spr</w:t>
      </w:r>
      <w:r w:rsidRPr="00F66162">
        <w:rPr>
          <w:noProof/>
        </w:rPr>
        <w:t xml:space="preserve">awie CBAM, którego przejściowy okres obowiązywania rozpoczął </w:t>
      </w:r>
      <w:r w:rsidRPr="00825614">
        <w:rPr>
          <w:noProof/>
        </w:rPr>
        <w:t>się</w:t>
      </w:r>
      <w:r w:rsidR="00825614" w:rsidRPr="00825614">
        <w:rPr>
          <w:noProof/>
        </w:rPr>
        <w:t> </w:t>
      </w:r>
      <w:r w:rsidRPr="00825614">
        <w:rPr>
          <w:noProof/>
        </w:rPr>
        <w:t>1</w:t>
      </w:r>
      <w:r w:rsidRPr="00F66162">
        <w:rPr>
          <w:noProof/>
        </w:rPr>
        <w:t xml:space="preserve"> października 20</w:t>
      </w:r>
      <w:r w:rsidRPr="00825614">
        <w:rPr>
          <w:noProof/>
        </w:rPr>
        <w:t>23</w:t>
      </w:r>
      <w:r w:rsidR="00825614" w:rsidRPr="00825614">
        <w:rPr>
          <w:noProof/>
        </w:rPr>
        <w:t> </w:t>
      </w:r>
      <w:r w:rsidRPr="00825614">
        <w:rPr>
          <w:noProof/>
        </w:rPr>
        <w:t>r.</w:t>
      </w:r>
    </w:p>
    <w:p w14:paraId="0AC12320" w14:textId="050EF9F7" w:rsidR="00FA5543" w:rsidRPr="00F66162" w:rsidRDefault="00FA5543" w:rsidP="00390489">
      <w:pPr>
        <w:pStyle w:val="ManualHeading2"/>
        <w:rPr>
          <w:rFonts w:eastAsia="Arial Unicode MS"/>
          <w:noProof/>
          <w:u w:color="000000"/>
          <w:bdr w:val="nil"/>
        </w:rPr>
      </w:pPr>
      <w:r w:rsidRPr="00F66162">
        <w:rPr>
          <w:noProof/>
          <w:u w:color="000000"/>
          <w:bdr w:val="nil"/>
        </w:rPr>
        <w:lastRenderedPageBreak/>
        <w:t>•</w:t>
      </w:r>
      <w:r w:rsidRPr="00F66162">
        <w:rPr>
          <w:noProof/>
        </w:rPr>
        <w:tab/>
      </w:r>
      <w:r w:rsidRPr="00F66162">
        <w:rPr>
          <w:noProof/>
          <w:u w:color="000000"/>
          <w:bdr w:val="nil"/>
        </w:rPr>
        <w:t>Konsultacje</w:t>
      </w:r>
      <w:r w:rsidR="00825614" w:rsidRPr="00F66162">
        <w:rPr>
          <w:noProof/>
          <w:u w:color="000000"/>
          <w:bdr w:val="nil"/>
        </w:rPr>
        <w:t xml:space="preserve"> z</w:t>
      </w:r>
      <w:r w:rsidR="00825614">
        <w:rPr>
          <w:noProof/>
          <w:u w:color="000000"/>
          <w:bdr w:val="nil"/>
        </w:rPr>
        <w:t> </w:t>
      </w:r>
      <w:r w:rsidR="00825614" w:rsidRPr="00F66162">
        <w:rPr>
          <w:noProof/>
          <w:u w:color="000000"/>
          <w:bdr w:val="nil"/>
        </w:rPr>
        <w:t>zai</w:t>
      </w:r>
      <w:r w:rsidRPr="00F66162">
        <w:rPr>
          <w:noProof/>
          <w:u w:color="000000"/>
          <w:bdr w:val="nil"/>
        </w:rPr>
        <w:t>nteresowanymi stronami</w:t>
      </w:r>
    </w:p>
    <w:p w14:paraId="2E6D2684" w14:textId="1C3BE4D2" w:rsidR="00B10535" w:rsidRPr="00F66162" w:rsidRDefault="00B10535" w:rsidP="00B10535">
      <w:pPr>
        <w:pBdr>
          <w:top w:val="nil"/>
          <w:left w:val="nil"/>
          <w:bottom w:val="nil"/>
          <w:right w:val="nil"/>
          <w:between w:val="nil"/>
          <w:bar w:val="nil"/>
        </w:pBdr>
        <w:spacing w:before="0" w:after="240"/>
        <w:rPr>
          <w:noProof/>
        </w:rPr>
      </w:pPr>
      <w:r w:rsidRPr="00F66162">
        <w:rPr>
          <w:noProof/>
        </w:rPr>
        <w:t>Od rozpoczęcia przejściowego okresu stosowania CBAM, 1 października 20</w:t>
      </w:r>
      <w:r w:rsidRPr="00825614">
        <w:rPr>
          <w:noProof/>
        </w:rPr>
        <w:t>23</w:t>
      </w:r>
      <w:r w:rsidR="00825614" w:rsidRPr="00825614">
        <w:rPr>
          <w:noProof/>
        </w:rPr>
        <w:t> </w:t>
      </w:r>
      <w:r w:rsidRPr="00825614">
        <w:rPr>
          <w:noProof/>
        </w:rPr>
        <w:t>r.</w:t>
      </w:r>
      <w:r w:rsidRPr="00F66162">
        <w:rPr>
          <w:noProof/>
        </w:rPr>
        <w:t>, służby Komisji stale konsultują się wieloma kanałami komunikacji</w:t>
      </w:r>
      <w:r w:rsidR="00825614" w:rsidRPr="00F66162">
        <w:rPr>
          <w:noProof/>
        </w:rPr>
        <w:t xml:space="preserve"> z</w:t>
      </w:r>
      <w:r w:rsidR="00825614">
        <w:rPr>
          <w:noProof/>
        </w:rPr>
        <w:t> </w:t>
      </w:r>
      <w:r w:rsidR="00825614" w:rsidRPr="00F66162">
        <w:rPr>
          <w:noProof/>
        </w:rPr>
        <w:t>zai</w:t>
      </w:r>
      <w:r w:rsidRPr="00F66162">
        <w:rPr>
          <w:noProof/>
        </w:rPr>
        <w:t>nteresowanymi podmiotami</w:t>
      </w:r>
      <w:r w:rsidR="00825614" w:rsidRPr="00F66162">
        <w:rPr>
          <w:noProof/>
        </w:rPr>
        <w:t xml:space="preserve"> w</w:t>
      </w:r>
      <w:r w:rsidR="00825614">
        <w:rPr>
          <w:noProof/>
        </w:rPr>
        <w:t> </w:t>
      </w:r>
      <w:r w:rsidR="00825614" w:rsidRPr="00F66162">
        <w:rPr>
          <w:noProof/>
        </w:rPr>
        <w:t>Uni</w:t>
      </w:r>
      <w:r w:rsidRPr="00F66162">
        <w:rPr>
          <w:noProof/>
        </w:rPr>
        <w:t>i</w:t>
      </w:r>
      <w:r w:rsidR="00825614" w:rsidRPr="00F66162">
        <w:rPr>
          <w:noProof/>
        </w:rPr>
        <w:t xml:space="preserve"> i</w:t>
      </w:r>
      <w:r w:rsidR="00825614">
        <w:rPr>
          <w:noProof/>
        </w:rPr>
        <w:t> </w:t>
      </w:r>
      <w:r w:rsidR="00825614" w:rsidRPr="00F66162">
        <w:rPr>
          <w:noProof/>
        </w:rPr>
        <w:t>w</w:t>
      </w:r>
      <w:r w:rsidR="00825614">
        <w:rPr>
          <w:noProof/>
        </w:rPr>
        <w:t> </w:t>
      </w:r>
      <w:r w:rsidR="00825614" w:rsidRPr="00F66162">
        <w:rPr>
          <w:noProof/>
        </w:rPr>
        <w:t>ist</w:t>
      </w:r>
      <w:r w:rsidRPr="00F66162">
        <w:rPr>
          <w:noProof/>
        </w:rPr>
        <w:t>otnych dla CBAM państwach trzecich. W 20</w:t>
      </w:r>
      <w:r w:rsidRPr="00825614">
        <w:rPr>
          <w:noProof/>
        </w:rPr>
        <w:t>23</w:t>
      </w:r>
      <w:r w:rsidR="00825614" w:rsidRPr="00825614">
        <w:rPr>
          <w:noProof/>
        </w:rPr>
        <w:t> </w:t>
      </w:r>
      <w:r w:rsidRPr="00825614">
        <w:rPr>
          <w:noProof/>
        </w:rPr>
        <w:t>r.</w:t>
      </w:r>
      <w:r w:rsidRPr="00F66162">
        <w:rPr>
          <w:noProof/>
        </w:rPr>
        <w:t xml:space="preserve"> służby Komisji odnowiły mandat grupy ekspertów ds. CBAM</w:t>
      </w:r>
      <w:r w:rsidRPr="00F66162">
        <w:rPr>
          <w:rStyle w:val="Odwoanieprzypisudolnego"/>
          <w:rFonts w:eastAsia="Arial Unicode MS"/>
          <w:noProof/>
        </w:rPr>
        <w:footnoteReference w:id="8"/>
      </w:r>
      <w:r w:rsidRPr="00F66162">
        <w:rPr>
          <w:noProof/>
        </w:rPr>
        <w:t>, która wspiera służby Komisji</w:t>
      </w:r>
      <w:r w:rsidR="00825614" w:rsidRPr="00F66162">
        <w:rPr>
          <w:noProof/>
        </w:rPr>
        <w:t xml:space="preserve"> w</w:t>
      </w:r>
      <w:r w:rsidR="00825614">
        <w:rPr>
          <w:noProof/>
        </w:rPr>
        <w:t> </w:t>
      </w:r>
      <w:r w:rsidR="00825614" w:rsidRPr="00F66162">
        <w:rPr>
          <w:noProof/>
        </w:rPr>
        <w:t>opr</w:t>
      </w:r>
      <w:r w:rsidRPr="00F66162">
        <w:rPr>
          <w:noProof/>
        </w:rPr>
        <w:t>acowywaniu</w:t>
      </w:r>
      <w:r w:rsidR="00825614" w:rsidRPr="00F66162">
        <w:rPr>
          <w:noProof/>
        </w:rPr>
        <w:t xml:space="preserve"> i</w:t>
      </w:r>
      <w:r w:rsidR="00825614">
        <w:rPr>
          <w:noProof/>
        </w:rPr>
        <w:t> </w:t>
      </w:r>
      <w:r w:rsidR="00825614" w:rsidRPr="00F66162">
        <w:rPr>
          <w:noProof/>
        </w:rPr>
        <w:t>wdr</w:t>
      </w:r>
      <w:r w:rsidRPr="00F66162">
        <w:rPr>
          <w:noProof/>
        </w:rPr>
        <w:t>ażaniu CBAM</w:t>
      </w:r>
      <w:r w:rsidR="00825614" w:rsidRPr="00F66162">
        <w:rPr>
          <w:noProof/>
        </w:rPr>
        <w:t xml:space="preserve"> i</w:t>
      </w:r>
      <w:r w:rsidR="00825614">
        <w:rPr>
          <w:noProof/>
        </w:rPr>
        <w:t> </w:t>
      </w:r>
      <w:r w:rsidR="00825614" w:rsidRPr="00F66162">
        <w:rPr>
          <w:noProof/>
        </w:rPr>
        <w:t>jes</w:t>
      </w:r>
      <w:r w:rsidRPr="00F66162">
        <w:rPr>
          <w:noProof/>
        </w:rPr>
        <w:t>t odpowiedzialna za wykorzystanie technicznej wiedzy fachowej oraz wymianę doświadczeń</w:t>
      </w:r>
      <w:r w:rsidR="00825614" w:rsidRPr="00F66162">
        <w:rPr>
          <w:noProof/>
        </w:rPr>
        <w:t xml:space="preserve"> i</w:t>
      </w:r>
      <w:r w:rsidR="00825614">
        <w:rPr>
          <w:noProof/>
        </w:rPr>
        <w:t> </w:t>
      </w:r>
      <w:r w:rsidR="00825614" w:rsidRPr="00F66162">
        <w:rPr>
          <w:noProof/>
        </w:rPr>
        <w:t>dob</w:t>
      </w:r>
      <w:r w:rsidRPr="00F66162">
        <w:rPr>
          <w:noProof/>
        </w:rPr>
        <w:t>rych praktyk we wdrażaniu CBAM.</w:t>
      </w:r>
    </w:p>
    <w:p w14:paraId="2C6B7005" w14:textId="35745E78" w:rsidR="00B10535" w:rsidRPr="00F66162" w:rsidRDefault="00B10535" w:rsidP="00B10535">
      <w:pPr>
        <w:pBdr>
          <w:top w:val="nil"/>
          <w:left w:val="nil"/>
          <w:bottom w:val="nil"/>
          <w:right w:val="nil"/>
          <w:between w:val="nil"/>
          <w:bar w:val="nil"/>
        </w:pBdr>
        <w:spacing w:before="0" w:after="240"/>
        <w:rPr>
          <w:noProof/>
        </w:rPr>
      </w:pPr>
      <w:r w:rsidRPr="00F66162">
        <w:rPr>
          <w:noProof/>
        </w:rPr>
        <w:t>W 20</w:t>
      </w:r>
      <w:r w:rsidRPr="00825614">
        <w:rPr>
          <w:noProof/>
        </w:rPr>
        <w:t>23</w:t>
      </w:r>
      <w:r w:rsidR="00825614" w:rsidRPr="00825614">
        <w:rPr>
          <w:noProof/>
        </w:rPr>
        <w:t> </w:t>
      </w:r>
      <w:r w:rsidRPr="00825614">
        <w:rPr>
          <w:noProof/>
        </w:rPr>
        <w:t>r.</w:t>
      </w:r>
      <w:r w:rsidRPr="00F66162">
        <w:rPr>
          <w:noProof/>
        </w:rPr>
        <w:t xml:space="preserve"> służby Komisji rozpoczęły również szeroko zakrojoną kampanię informacyjną, aby zwiększyć wiedzę o CBAM,</w:t>
      </w:r>
      <w:r w:rsidR="00825614" w:rsidRPr="00F66162">
        <w:rPr>
          <w:noProof/>
        </w:rPr>
        <w:t xml:space="preserve"> w</w:t>
      </w:r>
      <w:r w:rsidR="00825614">
        <w:rPr>
          <w:noProof/>
        </w:rPr>
        <w:t> </w:t>
      </w:r>
      <w:r w:rsidR="00825614" w:rsidRPr="00F66162">
        <w:rPr>
          <w:noProof/>
        </w:rPr>
        <w:t>tym w</w:t>
      </w:r>
      <w:r w:rsidR="00825614">
        <w:rPr>
          <w:noProof/>
        </w:rPr>
        <w:t> </w:t>
      </w:r>
      <w:r w:rsidR="00825614" w:rsidRPr="00F66162">
        <w:rPr>
          <w:noProof/>
        </w:rPr>
        <w:t>pań</w:t>
      </w:r>
      <w:r w:rsidRPr="00F66162">
        <w:rPr>
          <w:noProof/>
        </w:rPr>
        <w:t>stwach trzecich, wyjaśnić zasady jego funkcjonowania</w:t>
      </w:r>
      <w:r w:rsidR="00825614" w:rsidRPr="00F66162">
        <w:rPr>
          <w:noProof/>
        </w:rPr>
        <w:t xml:space="preserve"> i</w:t>
      </w:r>
      <w:r w:rsidR="00825614">
        <w:rPr>
          <w:noProof/>
        </w:rPr>
        <w:t> </w:t>
      </w:r>
      <w:r w:rsidR="00825614" w:rsidRPr="00F66162">
        <w:rPr>
          <w:noProof/>
        </w:rPr>
        <w:t>zap</w:t>
      </w:r>
      <w:r w:rsidRPr="00F66162">
        <w:rPr>
          <w:noProof/>
        </w:rPr>
        <w:t>ewnić porady użyteczne przy wdrażaniu CBAM przez odpowiednie zainteresowane podmioty (takie jak importerzy, producenci</w:t>
      </w:r>
      <w:r w:rsidR="00825614" w:rsidRPr="00F66162">
        <w:rPr>
          <w:noProof/>
        </w:rPr>
        <w:t xml:space="preserve"> z</w:t>
      </w:r>
      <w:r w:rsidR="00825614">
        <w:rPr>
          <w:noProof/>
        </w:rPr>
        <w:t> </w:t>
      </w:r>
      <w:r w:rsidR="00825614" w:rsidRPr="00F66162">
        <w:rPr>
          <w:noProof/>
        </w:rPr>
        <w:t>pań</w:t>
      </w:r>
      <w:r w:rsidRPr="00F66162">
        <w:rPr>
          <w:noProof/>
        </w:rPr>
        <w:t>stw trzecich czy organy krajowe). Kampania komunikacyjna opierała się na publicznie dostępnych seminariach internetowych</w:t>
      </w:r>
      <w:r w:rsidR="00825614" w:rsidRPr="00F66162">
        <w:rPr>
          <w:noProof/>
        </w:rPr>
        <w:t xml:space="preserve"> w</w:t>
      </w:r>
      <w:r w:rsidR="00825614">
        <w:rPr>
          <w:noProof/>
        </w:rPr>
        <w:t> </w:t>
      </w:r>
      <w:r w:rsidR="00825614" w:rsidRPr="00F66162">
        <w:rPr>
          <w:noProof/>
        </w:rPr>
        <w:t>sze</w:t>
      </w:r>
      <w:r w:rsidRPr="00F66162">
        <w:rPr>
          <w:noProof/>
        </w:rPr>
        <w:t>regu języków UE. Na stronie internetowej poświęconej CBAM</w:t>
      </w:r>
      <w:r w:rsidRPr="00F66162">
        <w:rPr>
          <w:rStyle w:val="Odwoanieprzypisudolnego"/>
          <w:rFonts w:eastAsia="Arial Unicode MS"/>
          <w:noProof/>
        </w:rPr>
        <w:footnoteReference w:id="9"/>
      </w:r>
      <w:r w:rsidRPr="00F66162">
        <w:rPr>
          <w:noProof/>
        </w:rPr>
        <w:t xml:space="preserve"> udostępniono przydatne materiały: ukierunkowane materiały do e-uczenia się, listy pytań</w:t>
      </w:r>
      <w:r w:rsidR="00825614" w:rsidRPr="00F66162">
        <w:rPr>
          <w:noProof/>
        </w:rPr>
        <w:t xml:space="preserve"> i</w:t>
      </w:r>
      <w:r w:rsidR="00825614">
        <w:rPr>
          <w:noProof/>
        </w:rPr>
        <w:t> </w:t>
      </w:r>
      <w:r w:rsidR="00825614" w:rsidRPr="00F66162">
        <w:rPr>
          <w:noProof/>
        </w:rPr>
        <w:t>odp</w:t>
      </w:r>
      <w:r w:rsidRPr="00F66162">
        <w:rPr>
          <w:noProof/>
        </w:rPr>
        <w:t xml:space="preserve">owiedzi oraz wytyczne (przetłumaczone także na nieunijne języki urzędowe). </w:t>
      </w:r>
    </w:p>
    <w:p w14:paraId="30B53008" w14:textId="45C9B26A" w:rsidR="00B10535" w:rsidRPr="00F66162" w:rsidRDefault="00B10535" w:rsidP="00B10535">
      <w:pPr>
        <w:pBdr>
          <w:top w:val="nil"/>
          <w:left w:val="nil"/>
          <w:bottom w:val="nil"/>
          <w:right w:val="nil"/>
          <w:between w:val="nil"/>
          <w:bar w:val="nil"/>
        </w:pBdr>
        <w:spacing w:before="0" w:after="240"/>
        <w:rPr>
          <w:noProof/>
        </w:rPr>
      </w:pPr>
      <w:r w:rsidRPr="00F66162">
        <w:rPr>
          <w:noProof/>
        </w:rPr>
        <w:t>Komisja utrzymywała również regularny kontakt</w:t>
      </w:r>
      <w:r w:rsidR="00825614" w:rsidRPr="00F66162">
        <w:rPr>
          <w:noProof/>
        </w:rPr>
        <w:t xml:space="preserve"> z</w:t>
      </w:r>
      <w:r w:rsidR="00825614">
        <w:rPr>
          <w:noProof/>
        </w:rPr>
        <w:t> </w:t>
      </w:r>
      <w:r w:rsidR="00825614" w:rsidRPr="00F66162">
        <w:rPr>
          <w:noProof/>
        </w:rPr>
        <w:t>org</w:t>
      </w:r>
      <w:r w:rsidRPr="00F66162">
        <w:rPr>
          <w:noProof/>
        </w:rPr>
        <w:t>anami krajowymi właściwymi ds. CBAM</w:t>
      </w:r>
      <w:r w:rsidR="00825614" w:rsidRPr="00F66162">
        <w:rPr>
          <w:noProof/>
        </w:rPr>
        <w:t xml:space="preserve"> i</w:t>
      </w:r>
      <w:r w:rsidR="00825614">
        <w:rPr>
          <w:noProof/>
        </w:rPr>
        <w:t> </w:t>
      </w:r>
      <w:r w:rsidR="00825614" w:rsidRPr="00F66162">
        <w:rPr>
          <w:noProof/>
        </w:rPr>
        <w:t>oma</w:t>
      </w:r>
      <w:r w:rsidRPr="00F66162">
        <w:rPr>
          <w:noProof/>
        </w:rPr>
        <w:t>wiała</w:t>
      </w:r>
      <w:r w:rsidR="00825614" w:rsidRPr="00F66162">
        <w:rPr>
          <w:noProof/>
        </w:rPr>
        <w:t xml:space="preserve"> z</w:t>
      </w:r>
      <w:r w:rsidR="00825614">
        <w:rPr>
          <w:noProof/>
        </w:rPr>
        <w:t> </w:t>
      </w:r>
      <w:r w:rsidR="00825614" w:rsidRPr="00F66162">
        <w:rPr>
          <w:noProof/>
        </w:rPr>
        <w:t>nim</w:t>
      </w:r>
      <w:r w:rsidRPr="00F66162">
        <w:rPr>
          <w:noProof/>
        </w:rPr>
        <w:t>i kwestie dotyczące wdrażania CBAM, aby poprawić jego funkcjonowanie</w:t>
      </w:r>
      <w:r w:rsidR="00825614" w:rsidRPr="00F66162">
        <w:rPr>
          <w:noProof/>
        </w:rPr>
        <w:t xml:space="preserve"> i</w:t>
      </w:r>
      <w:r w:rsidR="00825614">
        <w:rPr>
          <w:noProof/>
        </w:rPr>
        <w:t> </w:t>
      </w:r>
      <w:r w:rsidR="00825614" w:rsidRPr="00F66162">
        <w:rPr>
          <w:noProof/>
        </w:rPr>
        <w:t>sku</w:t>
      </w:r>
      <w:r w:rsidRPr="00F66162">
        <w:rPr>
          <w:noProof/>
        </w:rPr>
        <w:t>teczność.</w:t>
      </w:r>
    </w:p>
    <w:p w14:paraId="32006FEF" w14:textId="6B5471A6" w:rsidR="00B10535" w:rsidRPr="00F66162" w:rsidRDefault="00B10535" w:rsidP="00B10535">
      <w:pPr>
        <w:pBdr>
          <w:top w:val="nil"/>
          <w:left w:val="nil"/>
          <w:bottom w:val="nil"/>
          <w:right w:val="nil"/>
          <w:between w:val="nil"/>
          <w:bar w:val="nil"/>
        </w:pBdr>
        <w:spacing w:before="0" w:after="240"/>
        <w:rPr>
          <w:noProof/>
        </w:rPr>
      </w:pPr>
      <w:r w:rsidRPr="00F66162">
        <w:rPr>
          <w:noProof/>
        </w:rPr>
        <w:t>6 lutego 20</w:t>
      </w:r>
      <w:r w:rsidRPr="00825614">
        <w:rPr>
          <w:noProof/>
        </w:rPr>
        <w:t>25</w:t>
      </w:r>
      <w:r w:rsidR="00825614" w:rsidRPr="00825614">
        <w:rPr>
          <w:noProof/>
        </w:rPr>
        <w:t> </w:t>
      </w:r>
      <w:r w:rsidRPr="00825614">
        <w:rPr>
          <w:noProof/>
        </w:rPr>
        <w:t>r.</w:t>
      </w:r>
      <w:r w:rsidRPr="00F66162">
        <w:rPr>
          <w:noProof/>
        </w:rPr>
        <w:t xml:space="preserve"> Komisja zorganizowała dzień konsultacji wysokiego szczebla,</w:t>
      </w:r>
      <w:r w:rsidR="00825614" w:rsidRPr="00F66162">
        <w:rPr>
          <w:noProof/>
        </w:rPr>
        <w:t xml:space="preserve"> z</w:t>
      </w:r>
      <w:r w:rsidR="00825614">
        <w:rPr>
          <w:noProof/>
        </w:rPr>
        <w:t> </w:t>
      </w:r>
      <w:r w:rsidR="00825614" w:rsidRPr="00F66162">
        <w:rPr>
          <w:noProof/>
        </w:rPr>
        <w:t>udz</w:t>
      </w:r>
      <w:r w:rsidRPr="00F66162">
        <w:rPr>
          <w:noProof/>
        </w:rPr>
        <w:t>iałem kluczowych zainteresowanych podmiotów, aby przetestować główne idee pakietu ustawodawczego dotyczącego uproszczenia określonych polityk,</w:t>
      </w:r>
      <w:r w:rsidR="00825614" w:rsidRPr="00F66162">
        <w:rPr>
          <w:noProof/>
        </w:rPr>
        <w:t xml:space="preserve"> w</w:t>
      </w:r>
      <w:r w:rsidR="00825614">
        <w:rPr>
          <w:noProof/>
        </w:rPr>
        <w:t> </w:t>
      </w:r>
      <w:r w:rsidR="00825614" w:rsidRPr="00F66162">
        <w:rPr>
          <w:noProof/>
        </w:rPr>
        <w:t>tym</w:t>
      </w:r>
      <w:r w:rsidRPr="00F66162">
        <w:rPr>
          <w:noProof/>
        </w:rPr>
        <w:t xml:space="preserve"> CBAM, oraz zebrać uwagi</w:t>
      </w:r>
      <w:r w:rsidR="00825614" w:rsidRPr="00F66162">
        <w:rPr>
          <w:noProof/>
        </w:rPr>
        <w:t xml:space="preserve"> i</w:t>
      </w:r>
      <w:r w:rsidR="00825614">
        <w:rPr>
          <w:noProof/>
        </w:rPr>
        <w:t> </w:t>
      </w:r>
      <w:r w:rsidR="00825614" w:rsidRPr="00F66162">
        <w:rPr>
          <w:noProof/>
        </w:rPr>
        <w:t>inf</w:t>
      </w:r>
      <w:r w:rsidRPr="00F66162">
        <w:rPr>
          <w:noProof/>
        </w:rPr>
        <w:t>ormacje zwrotne przed jego przyjęciem 26 lutego 20</w:t>
      </w:r>
      <w:r w:rsidRPr="00825614">
        <w:rPr>
          <w:noProof/>
        </w:rPr>
        <w:t>25</w:t>
      </w:r>
      <w:r w:rsidR="00825614" w:rsidRPr="00825614">
        <w:rPr>
          <w:noProof/>
        </w:rPr>
        <w:t> </w:t>
      </w:r>
      <w:r w:rsidRPr="00825614">
        <w:rPr>
          <w:noProof/>
        </w:rPr>
        <w:t>r.</w:t>
      </w:r>
      <w:r w:rsidRPr="00F66162">
        <w:rPr>
          <w:noProof/>
        </w:rPr>
        <w:t xml:space="preserve"> </w:t>
      </w:r>
    </w:p>
    <w:p w14:paraId="55D2F32C" w14:textId="71E30B57" w:rsidR="00FA5543" w:rsidRPr="00F66162" w:rsidRDefault="00B10535" w:rsidP="00390489">
      <w:pPr>
        <w:pBdr>
          <w:top w:val="nil"/>
          <w:left w:val="nil"/>
          <w:bottom w:val="nil"/>
          <w:right w:val="nil"/>
          <w:between w:val="nil"/>
          <w:bar w:val="nil"/>
        </w:pBdr>
        <w:spacing w:before="0" w:after="240"/>
        <w:rPr>
          <w:rFonts w:eastAsia="Arial Unicode MS"/>
          <w:noProof/>
        </w:rPr>
      </w:pPr>
      <w:r w:rsidRPr="00F66162">
        <w:rPr>
          <w:noProof/>
        </w:rPr>
        <w:t>Na podstawie tych działań</w:t>
      </w:r>
      <w:r w:rsidR="00825614" w:rsidRPr="00F66162">
        <w:rPr>
          <w:noProof/>
        </w:rPr>
        <w:t xml:space="preserve"> i</w:t>
      </w:r>
      <w:r w:rsidR="00825614">
        <w:rPr>
          <w:noProof/>
        </w:rPr>
        <w:t> </w:t>
      </w:r>
      <w:r w:rsidR="00825614" w:rsidRPr="00F66162">
        <w:rPr>
          <w:noProof/>
        </w:rPr>
        <w:t>kol</w:t>
      </w:r>
      <w:r w:rsidRPr="00F66162">
        <w:rPr>
          <w:noProof/>
        </w:rPr>
        <w:t>ejnych otwartych spotkań</w:t>
      </w:r>
      <w:r w:rsidR="00825614" w:rsidRPr="00F66162">
        <w:rPr>
          <w:noProof/>
        </w:rPr>
        <w:t xml:space="preserve"> z</w:t>
      </w:r>
      <w:r w:rsidR="00825614">
        <w:rPr>
          <w:noProof/>
        </w:rPr>
        <w:t> </w:t>
      </w:r>
      <w:r w:rsidR="00825614" w:rsidRPr="00F66162">
        <w:rPr>
          <w:noProof/>
        </w:rPr>
        <w:t>prz</w:t>
      </w:r>
      <w:r w:rsidRPr="00F66162">
        <w:rPr>
          <w:noProof/>
        </w:rPr>
        <w:t>edstawicielami odpowiednich unijnych</w:t>
      </w:r>
      <w:r w:rsidR="00825614" w:rsidRPr="00F66162">
        <w:rPr>
          <w:noProof/>
        </w:rPr>
        <w:t xml:space="preserve"> i</w:t>
      </w:r>
      <w:r w:rsidR="00825614">
        <w:rPr>
          <w:noProof/>
        </w:rPr>
        <w:t> </w:t>
      </w:r>
      <w:r w:rsidR="00825614" w:rsidRPr="00F66162">
        <w:rPr>
          <w:noProof/>
        </w:rPr>
        <w:t>poz</w:t>
      </w:r>
      <w:r w:rsidRPr="00F66162">
        <w:rPr>
          <w:noProof/>
        </w:rPr>
        <w:t>aunijnych przedsiębiorstw służby Komisji zebrały od zainteresowanych podmiotów informacje zwrotne wystarczające do przyjęcia środków najodpowiedniejszych do osiągnięcia celu wniosku: uproszczenia złożonych przepisów dotyczących sprawozdawczości, aby zmniejszyć obciążenie związane</w:t>
      </w:r>
      <w:r w:rsidR="00825614" w:rsidRPr="00F66162">
        <w:rPr>
          <w:noProof/>
        </w:rPr>
        <w:t xml:space="preserve"> z</w:t>
      </w:r>
      <w:r w:rsidR="00825614">
        <w:rPr>
          <w:noProof/>
        </w:rPr>
        <w:t> </w:t>
      </w:r>
      <w:r w:rsidR="00825614" w:rsidRPr="00F66162">
        <w:rPr>
          <w:noProof/>
        </w:rPr>
        <w:t>prz</w:t>
      </w:r>
      <w:r w:rsidRPr="00F66162">
        <w:rPr>
          <w:noProof/>
        </w:rPr>
        <w:t>estrzeganiem przepisów</w:t>
      </w:r>
      <w:r w:rsidR="00825614" w:rsidRPr="00F66162">
        <w:rPr>
          <w:noProof/>
        </w:rPr>
        <w:t xml:space="preserve"> i</w:t>
      </w:r>
      <w:r w:rsidR="00825614">
        <w:rPr>
          <w:noProof/>
        </w:rPr>
        <w:t> </w:t>
      </w:r>
      <w:r w:rsidR="00825614" w:rsidRPr="00F66162">
        <w:rPr>
          <w:noProof/>
        </w:rPr>
        <w:t>zap</w:t>
      </w:r>
      <w:r w:rsidRPr="00F66162">
        <w:rPr>
          <w:noProof/>
        </w:rPr>
        <w:t>ewnić skuteczne wdrażanie CBAM, przy jednoczesnym zachowaniu jego celów środowiskowego</w:t>
      </w:r>
      <w:r w:rsidR="00825614" w:rsidRPr="00F66162">
        <w:rPr>
          <w:noProof/>
        </w:rPr>
        <w:t xml:space="preserve"> i</w:t>
      </w:r>
      <w:r w:rsidR="00825614">
        <w:rPr>
          <w:noProof/>
        </w:rPr>
        <w:t> </w:t>
      </w:r>
      <w:r w:rsidR="00825614" w:rsidRPr="00F66162">
        <w:rPr>
          <w:noProof/>
        </w:rPr>
        <w:t>kli</w:t>
      </w:r>
      <w:r w:rsidRPr="00F66162">
        <w:rPr>
          <w:noProof/>
        </w:rPr>
        <w:t>matycznego.</w:t>
      </w:r>
    </w:p>
    <w:p w14:paraId="18C7C68A" w14:textId="5263A12B"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Gromadzenie</w:t>
      </w:r>
      <w:r w:rsidR="00825614" w:rsidRPr="00F66162">
        <w:rPr>
          <w:noProof/>
          <w:u w:color="000000"/>
          <w:bdr w:val="nil"/>
        </w:rPr>
        <w:t xml:space="preserve"> i</w:t>
      </w:r>
      <w:r w:rsidR="00825614">
        <w:rPr>
          <w:noProof/>
          <w:u w:color="000000"/>
          <w:bdr w:val="nil"/>
        </w:rPr>
        <w:t> </w:t>
      </w:r>
      <w:r w:rsidR="00825614" w:rsidRPr="00F66162">
        <w:rPr>
          <w:noProof/>
          <w:u w:color="000000"/>
          <w:bdr w:val="nil"/>
        </w:rPr>
        <w:t>wyk</w:t>
      </w:r>
      <w:r w:rsidRPr="00F66162">
        <w:rPr>
          <w:noProof/>
          <w:u w:color="000000"/>
          <w:bdr w:val="nil"/>
        </w:rPr>
        <w:t>orzystanie wiedzy eksperckiej</w:t>
      </w:r>
    </w:p>
    <w:p w14:paraId="431850A8" w14:textId="6EC50681" w:rsidR="00FA5543" w:rsidRPr="00F66162" w:rsidRDefault="004D66C1" w:rsidP="00390489">
      <w:pPr>
        <w:pBdr>
          <w:top w:val="nil"/>
          <w:left w:val="nil"/>
          <w:bottom w:val="nil"/>
          <w:right w:val="nil"/>
          <w:between w:val="nil"/>
          <w:bar w:val="nil"/>
        </w:pBdr>
        <w:spacing w:before="0" w:after="240"/>
        <w:rPr>
          <w:rFonts w:eastAsia="Arial Unicode MS"/>
          <w:noProof/>
        </w:rPr>
      </w:pPr>
      <w:r w:rsidRPr="00F66162">
        <w:rPr>
          <w:noProof/>
        </w:rPr>
        <w:t>Wniosek opracowano</w:t>
      </w:r>
      <w:r w:rsidR="00825614" w:rsidRPr="00F66162">
        <w:rPr>
          <w:noProof/>
        </w:rPr>
        <w:t xml:space="preserve"> w</w:t>
      </w:r>
      <w:r w:rsidR="00825614">
        <w:rPr>
          <w:noProof/>
        </w:rPr>
        <w:t> </w:t>
      </w:r>
      <w:r w:rsidR="00825614" w:rsidRPr="00F66162">
        <w:rPr>
          <w:noProof/>
        </w:rPr>
        <w:t>nas</w:t>
      </w:r>
      <w:r w:rsidRPr="00F66162">
        <w:rPr>
          <w:noProof/>
        </w:rPr>
        <w:t>tępstwie wewnętrznej kontroli istniejących obowiązków sprawozdawczych</w:t>
      </w:r>
      <w:r w:rsidR="00825614" w:rsidRPr="00F66162">
        <w:rPr>
          <w:noProof/>
        </w:rPr>
        <w:t xml:space="preserve"> i</w:t>
      </w:r>
      <w:r w:rsidR="00825614">
        <w:rPr>
          <w:noProof/>
        </w:rPr>
        <w:t> </w:t>
      </w:r>
      <w:r w:rsidR="00825614" w:rsidRPr="00F66162">
        <w:rPr>
          <w:noProof/>
        </w:rPr>
        <w:t>opa</w:t>
      </w:r>
      <w:r w:rsidRPr="00F66162">
        <w:rPr>
          <w:noProof/>
        </w:rPr>
        <w:t>rto go na doświadczeniach we wdrażaniu powiązanych przepisów,</w:t>
      </w:r>
      <w:r w:rsidR="00825614" w:rsidRPr="00F66162">
        <w:rPr>
          <w:noProof/>
        </w:rPr>
        <w:t xml:space="preserve"> w</w:t>
      </w:r>
      <w:r w:rsidR="00825614">
        <w:rPr>
          <w:noProof/>
        </w:rPr>
        <w:t> </w:t>
      </w:r>
      <w:r w:rsidR="00825614" w:rsidRPr="00F66162">
        <w:rPr>
          <w:noProof/>
        </w:rPr>
        <w:t>tym</w:t>
      </w:r>
      <w:r w:rsidRPr="00F66162">
        <w:rPr>
          <w:noProof/>
        </w:rPr>
        <w:t xml:space="preserve"> na danych zgromadzonych</w:t>
      </w:r>
      <w:r w:rsidR="00825614" w:rsidRPr="00F66162">
        <w:rPr>
          <w:noProof/>
        </w:rPr>
        <w:t xml:space="preserve"> w</w:t>
      </w:r>
      <w:r w:rsidR="00825614">
        <w:rPr>
          <w:noProof/>
        </w:rPr>
        <w:t> </w:t>
      </w:r>
      <w:r w:rsidR="00825614" w:rsidRPr="00F66162">
        <w:rPr>
          <w:noProof/>
        </w:rPr>
        <w:t>ram</w:t>
      </w:r>
      <w:r w:rsidRPr="00F66162">
        <w:rPr>
          <w:noProof/>
        </w:rPr>
        <w:t>ach kwartalnego sprawozdania CBAM przedkładanego przez zgłaszających. Ponieważ działanie to stanowi element procesu ciągłej oceny wymogów</w:t>
      </w:r>
      <w:r w:rsidR="00825614" w:rsidRPr="00F66162">
        <w:rPr>
          <w:noProof/>
        </w:rPr>
        <w:t xml:space="preserve"> w</w:t>
      </w:r>
      <w:r w:rsidR="00825614">
        <w:rPr>
          <w:noProof/>
        </w:rPr>
        <w:t> </w:t>
      </w:r>
      <w:r w:rsidR="00825614" w:rsidRPr="00F66162">
        <w:rPr>
          <w:noProof/>
        </w:rPr>
        <w:t>zak</w:t>
      </w:r>
      <w:r w:rsidRPr="00F66162">
        <w:rPr>
          <w:noProof/>
        </w:rPr>
        <w:t>resie sprawozdawczości określonych</w:t>
      </w:r>
      <w:r w:rsidR="00825614" w:rsidRPr="00F66162">
        <w:rPr>
          <w:noProof/>
        </w:rPr>
        <w:t xml:space="preserve"> w</w:t>
      </w:r>
      <w:r w:rsidR="00825614">
        <w:rPr>
          <w:noProof/>
        </w:rPr>
        <w:t> </w:t>
      </w:r>
      <w:r w:rsidR="00825614" w:rsidRPr="00F66162">
        <w:rPr>
          <w:noProof/>
        </w:rPr>
        <w:t>pra</w:t>
      </w:r>
      <w:r w:rsidRPr="00F66162">
        <w:rPr>
          <w:noProof/>
        </w:rPr>
        <w:t>wodawstwie Unii, kontrola takich obciążeń</w:t>
      </w:r>
      <w:r w:rsidR="00825614" w:rsidRPr="00F66162">
        <w:rPr>
          <w:noProof/>
        </w:rPr>
        <w:t xml:space="preserve"> i</w:t>
      </w:r>
      <w:r w:rsidR="00825614">
        <w:rPr>
          <w:noProof/>
        </w:rPr>
        <w:t> </w:t>
      </w:r>
      <w:r w:rsidR="00825614" w:rsidRPr="00F66162">
        <w:rPr>
          <w:noProof/>
        </w:rPr>
        <w:t>ich</w:t>
      </w:r>
      <w:r w:rsidRPr="00F66162">
        <w:rPr>
          <w:noProof/>
        </w:rPr>
        <w:t xml:space="preserve"> wpływu na zainteresowane podmioty będzie kontynuowana</w:t>
      </w:r>
      <w:r w:rsidR="00825614" w:rsidRPr="00F66162">
        <w:rPr>
          <w:noProof/>
        </w:rPr>
        <w:t xml:space="preserve"> w</w:t>
      </w:r>
      <w:r w:rsidR="00825614">
        <w:rPr>
          <w:noProof/>
        </w:rPr>
        <w:t> </w:t>
      </w:r>
      <w:r w:rsidR="00825614" w:rsidRPr="00F66162">
        <w:rPr>
          <w:noProof/>
        </w:rPr>
        <w:t>prz</w:t>
      </w:r>
      <w:r w:rsidRPr="00F66162">
        <w:rPr>
          <w:noProof/>
        </w:rPr>
        <w:t>yszłości.</w:t>
      </w:r>
    </w:p>
    <w:p w14:paraId="16DB2389" w14:textId="77777777"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Ocena skutków</w:t>
      </w:r>
    </w:p>
    <w:p w14:paraId="6FEF04D3" w14:textId="7679F4AE" w:rsidR="00F00736" w:rsidRPr="00F66162" w:rsidRDefault="00F00736" w:rsidP="00F00736">
      <w:pPr>
        <w:pBdr>
          <w:top w:val="nil"/>
          <w:left w:val="nil"/>
          <w:bottom w:val="nil"/>
          <w:right w:val="nil"/>
          <w:between w:val="nil"/>
          <w:bar w:val="nil"/>
        </w:pBdr>
        <w:spacing w:before="0" w:after="240"/>
        <w:rPr>
          <w:noProof/>
        </w:rPr>
      </w:pPr>
      <w:r w:rsidRPr="00F66162">
        <w:rPr>
          <w:noProof/>
        </w:rPr>
        <w:t>Wniosek dotyczy ukierunkowanych zmian rozporządzenia</w:t>
      </w:r>
      <w:r w:rsidR="00825614" w:rsidRPr="00F66162">
        <w:rPr>
          <w:noProof/>
        </w:rPr>
        <w:t xml:space="preserve"> w</w:t>
      </w:r>
      <w:r w:rsidR="00825614">
        <w:rPr>
          <w:noProof/>
        </w:rPr>
        <w:t> </w:t>
      </w:r>
      <w:r w:rsidR="00825614" w:rsidRPr="00F66162">
        <w:rPr>
          <w:noProof/>
        </w:rPr>
        <w:t>spr</w:t>
      </w:r>
      <w:r w:rsidRPr="00F66162">
        <w:rPr>
          <w:noProof/>
        </w:rPr>
        <w:t>awie CBAM służących uproszczeniu niektórych jego wymogów,</w:t>
      </w:r>
      <w:r w:rsidR="00825614" w:rsidRPr="00F66162">
        <w:rPr>
          <w:noProof/>
        </w:rPr>
        <w:t xml:space="preserve"> w</w:t>
      </w:r>
      <w:r w:rsidR="00825614">
        <w:rPr>
          <w:noProof/>
        </w:rPr>
        <w:t> </w:t>
      </w:r>
      <w:r w:rsidR="00825614" w:rsidRPr="00F66162">
        <w:rPr>
          <w:noProof/>
        </w:rPr>
        <w:t>tym</w:t>
      </w:r>
      <w:r w:rsidRPr="00F66162">
        <w:rPr>
          <w:noProof/>
        </w:rPr>
        <w:t xml:space="preserve"> wymogów</w:t>
      </w:r>
      <w:r w:rsidR="00825614" w:rsidRPr="00F66162">
        <w:rPr>
          <w:noProof/>
        </w:rPr>
        <w:t xml:space="preserve"> z</w:t>
      </w:r>
      <w:r w:rsidR="00825614">
        <w:rPr>
          <w:noProof/>
        </w:rPr>
        <w:t> </w:t>
      </w:r>
      <w:r w:rsidR="00825614" w:rsidRPr="00F66162">
        <w:rPr>
          <w:noProof/>
        </w:rPr>
        <w:t>zak</w:t>
      </w:r>
      <w:r w:rsidRPr="00F66162">
        <w:rPr>
          <w:noProof/>
        </w:rPr>
        <w:t xml:space="preserve">resu sprawozdawczości. </w:t>
      </w:r>
      <w:r w:rsidRPr="00F66162">
        <w:rPr>
          <w:noProof/>
        </w:rPr>
        <w:lastRenderedPageBreak/>
        <w:t>Główne środki oparto na doświadczeniach</w:t>
      </w:r>
      <w:r w:rsidR="00825614" w:rsidRPr="00F66162">
        <w:rPr>
          <w:noProof/>
        </w:rPr>
        <w:t xml:space="preserve"> z</w:t>
      </w:r>
      <w:r w:rsidR="00825614">
        <w:rPr>
          <w:noProof/>
        </w:rPr>
        <w:t> </w:t>
      </w:r>
      <w:r w:rsidR="00825614" w:rsidRPr="00F66162">
        <w:rPr>
          <w:noProof/>
        </w:rPr>
        <w:t>wdr</w:t>
      </w:r>
      <w:r w:rsidRPr="00F66162">
        <w:rPr>
          <w:noProof/>
        </w:rPr>
        <w:t>ażania tego rozporządzenia</w:t>
      </w:r>
      <w:r w:rsidR="00825614" w:rsidRPr="00F66162">
        <w:rPr>
          <w:noProof/>
        </w:rPr>
        <w:t xml:space="preserve"> i</w:t>
      </w:r>
      <w:r w:rsidR="00825614">
        <w:rPr>
          <w:noProof/>
        </w:rPr>
        <w:t> </w:t>
      </w:r>
      <w:r w:rsidR="00825614" w:rsidRPr="00F66162">
        <w:rPr>
          <w:noProof/>
        </w:rPr>
        <w:t>wcz</w:t>
      </w:r>
      <w:r w:rsidRPr="00F66162">
        <w:rPr>
          <w:noProof/>
        </w:rPr>
        <w:t>eśniej wspomnianych powiązanych aktów wykonawczych. Proponowane ukierunkowane zmiany zapewnią bardziej efektywne</w:t>
      </w:r>
      <w:r w:rsidR="00825614" w:rsidRPr="00F66162">
        <w:rPr>
          <w:noProof/>
        </w:rPr>
        <w:t xml:space="preserve"> i</w:t>
      </w:r>
      <w:r w:rsidR="00825614">
        <w:rPr>
          <w:noProof/>
        </w:rPr>
        <w:t> </w:t>
      </w:r>
      <w:r w:rsidR="00825614" w:rsidRPr="00F66162">
        <w:rPr>
          <w:noProof/>
        </w:rPr>
        <w:t>sku</w:t>
      </w:r>
      <w:r w:rsidRPr="00F66162">
        <w:rPr>
          <w:noProof/>
        </w:rPr>
        <w:t xml:space="preserve">teczne wdrażanie istniejącego mechanizmu. </w:t>
      </w:r>
    </w:p>
    <w:p w14:paraId="3F990C7C" w14:textId="6BD25F46" w:rsidR="00FA5543" w:rsidRPr="00F66162" w:rsidRDefault="00F00736" w:rsidP="00390489">
      <w:pPr>
        <w:pBdr>
          <w:top w:val="nil"/>
          <w:left w:val="nil"/>
          <w:bottom w:val="nil"/>
          <w:right w:val="nil"/>
          <w:between w:val="nil"/>
          <w:bar w:val="nil"/>
        </w:pBdr>
        <w:spacing w:before="0" w:after="240"/>
        <w:rPr>
          <w:rFonts w:eastAsia="Arial Unicode MS"/>
          <w:noProof/>
        </w:rPr>
      </w:pPr>
      <w:r w:rsidRPr="00F66162">
        <w:rPr>
          <w:noProof/>
        </w:rPr>
        <w:t>Do wniosku dołączono dokument analityczny – dokument roboczy służb Komisji pt. „W kierunku prostszego</w:t>
      </w:r>
      <w:r w:rsidR="00825614" w:rsidRPr="00F66162">
        <w:rPr>
          <w:noProof/>
        </w:rPr>
        <w:t xml:space="preserve"> i</w:t>
      </w:r>
      <w:r w:rsidR="00825614">
        <w:rPr>
          <w:noProof/>
        </w:rPr>
        <w:t> </w:t>
      </w:r>
      <w:r w:rsidR="00825614" w:rsidRPr="00F66162">
        <w:rPr>
          <w:noProof/>
        </w:rPr>
        <w:t>sku</w:t>
      </w:r>
      <w:r w:rsidRPr="00F66162">
        <w:rPr>
          <w:noProof/>
        </w:rPr>
        <w:t>teczniejszego mechanizmu dostosowywania cen na granicach</w:t>
      </w:r>
      <w:r w:rsidR="00825614" w:rsidRPr="00F66162">
        <w:rPr>
          <w:noProof/>
        </w:rPr>
        <w:t xml:space="preserve"> z</w:t>
      </w:r>
      <w:r w:rsidR="00825614">
        <w:rPr>
          <w:noProof/>
        </w:rPr>
        <w:t> </w:t>
      </w:r>
      <w:r w:rsidR="00825614" w:rsidRPr="00F66162">
        <w:rPr>
          <w:noProof/>
        </w:rPr>
        <w:t>uwz</w:t>
      </w:r>
      <w:r w:rsidRPr="00F66162">
        <w:rPr>
          <w:noProof/>
        </w:rPr>
        <w:t>ględnieniem emisji CO</w:t>
      </w:r>
      <w:r w:rsidRPr="00F66162">
        <w:rPr>
          <w:noProof/>
          <w:vertAlign w:val="subscript"/>
        </w:rPr>
        <w:t>2</w:t>
      </w:r>
      <w:r w:rsidRPr="00F66162">
        <w:rPr>
          <w:noProof/>
        </w:rPr>
        <w:t>”</w:t>
      </w:r>
      <w:r w:rsidRPr="00F66162">
        <w:rPr>
          <w:rStyle w:val="Odwoanieprzypisudolnego"/>
          <w:rFonts w:eastAsia="Arial Unicode MS"/>
          <w:noProof/>
        </w:rPr>
        <w:footnoteReference w:id="10"/>
      </w:r>
      <w:r w:rsidRPr="00F66162">
        <w:rPr>
          <w:noProof/>
        </w:rPr>
        <w:t>. Dokument ten, opracowany</w:t>
      </w:r>
      <w:r w:rsidR="00825614" w:rsidRPr="00F66162">
        <w:rPr>
          <w:noProof/>
        </w:rPr>
        <w:t xml:space="preserve"> w</w:t>
      </w:r>
      <w:r w:rsidR="00825614">
        <w:rPr>
          <w:noProof/>
        </w:rPr>
        <w:t> </w:t>
      </w:r>
      <w:r w:rsidR="00825614" w:rsidRPr="00F66162">
        <w:rPr>
          <w:noProof/>
        </w:rPr>
        <w:t>opa</w:t>
      </w:r>
      <w:r w:rsidRPr="00F66162">
        <w:rPr>
          <w:noProof/>
        </w:rPr>
        <w:t>rciu</w:t>
      </w:r>
      <w:r w:rsidR="00825614" w:rsidRPr="00F66162">
        <w:rPr>
          <w:noProof/>
        </w:rPr>
        <w:t xml:space="preserve"> o</w:t>
      </w:r>
      <w:r w:rsidR="00825614">
        <w:rPr>
          <w:noProof/>
        </w:rPr>
        <w:t> </w:t>
      </w:r>
      <w:r w:rsidR="00825614" w:rsidRPr="00F66162">
        <w:rPr>
          <w:noProof/>
        </w:rPr>
        <w:t>ana</w:t>
      </w:r>
      <w:r w:rsidRPr="00F66162">
        <w:rPr>
          <w:noProof/>
        </w:rPr>
        <w:t>lizę przeprowadzoną</w:t>
      </w:r>
      <w:r w:rsidR="00825614" w:rsidRPr="00F66162">
        <w:rPr>
          <w:noProof/>
        </w:rPr>
        <w:t xml:space="preserve"> w</w:t>
      </w:r>
      <w:r w:rsidR="00825614">
        <w:rPr>
          <w:noProof/>
        </w:rPr>
        <w:t> </w:t>
      </w:r>
      <w:r w:rsidR="00825614" w:rsidRPr="00F66162">
        <w:rPr>
          <w:noProof/>
        </w:rPr>
        <w:t>pie</w:t>
      </w:r>
      <w:r w:rsidRPr="00F66162">
        <w:rPr>
          <w:noProof/>
        </w:rPr>
        <w:t>rwotnej ocenie skutków</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21</w:t>
      </w:r>
      <w:r w:rsidR="00825614" w:rsidRPr="00825614">
        <w:rPr>
          <w:noProof/>
        </w:rPr>
        <w:t> </w:t>
      </w:r>
      <w:r w:rsidRPr="00825614">
        <w:rPr>
          <w:noProof/>
        </w:rPr>
        <w:t>r.</w:t>
      </w:r>
      <w:r w:rsidRPr="00F66162">
        <w:rPr>
          <w:noProof/>
        </w:rPr>
        <w:t>, stanowi jej uzupełnienie.</w:t>
      </w:r>
    </w:p>
    <w:p w14:paraId="6D80D85F" w14:textId="3FECFE9A" w:rsidR="00FA5543" w:rsidRPr="00F66162" w:rsidRDefault="00FA5543" w:rsidP="00F00736">
      <w:pPr>
        <w:pBdr>
          <w:top w:val="nil"/>
          <w:left w:val="nil"/>
          <w:bottom w:val="nil"/>
          <w:right w:val="nil"/>
          <w:between w:val="nil"/>
          <w:bar w:val="nil"/>
        </w:pBdr>
        <w:spacing w:before="0" w:after="240"/>
        <w:rPr>
          <w:rFonts w:eastAsia="Arial Unicode MS"/>
          <w:noProof/>
          <w:u w:color="000000"/>
          <w:bdr w:val="nil"/>
        </w:rPr>
      </w:pPr>
      <w:r w:rsidRPr="00F66162">
        <w:rPr>
          <w:noProof/>
          <w:u w:color="000000"/>
          <w:bdr w:val="nil"/>
        </w:rPr>
        <w:t>•</w:t>
      </w:r>
      <w:r w:rsidRPr="00F66162">
        <w:rPr>
          <w:noProof/>
        </w:rPr>
        <w:tab/>
      </w:r>
      <w:r w:rsidRPr="00F66162">
        <w:rPr>
          <w:b/>
          <w:noProof/>
          <w:u w:color="000000"/>
          <w:bdr w:val="nil"/>
        </w:rPr>
        <w:t>Sprawność regulacyjna</w:t>
      </w:r>
      <w:r w:rsidR="00825614" w:rsidRPr="00F66162">
        <w:rPr>
          <w:b/>
          <w:noProof/>
          <w:u w:color="000000"/>
          <w:bdr w:val="nil"/>
        </w:rPr>
        <w:t xml:space="preserve"> i</w:t>
      </w:r>
      <w:r w:rsidR="00825614">
        <w:rPr>
          <w:b/>
          <w:noProof/>
          <w:u w:color="000000"/>
          <w:bdr w:val="nil"/>
        </w:rPr>
        <w:t> </w:t>
      </w:r>
      <w:r w:rsidR="00825614" w:rsidRPr="00F66162">
        <w:rPr>
          <w:b/>
          <w:noProof/>
          <w:u w:color="000000"/>
          <w:bdr w:val="nil"/>
        </w:rPr>
        <w:t>upr</w:t>
      </w:r>
      <w:r w:rsidRPr="00F66162">
        <w:rPr>
          <w:b/>
          <w:noProof/>
          <w:u w:color="000000"/>
          <w:bdr w:val="nil"/>
        </w:rPr>
        <w:t>oszczenie</w:t>
      </w:r>
    </w:p>
    <w:p w14:paraId="02F9A0DD" w14:textId="6DA3044E" w:rsidR="00FA5543" w:rsidRPr="00F66162" w:rsidRDefault="009D10CF" w:rsidP="00390489">
      <w:pPr>
        <w:pBdr>
          <w:top w:val="nil"/>
          <w:left w:val="nil"/>
          <w:bottom w:val="nil"/>
          <w:right w:val="nil"/>
          <w:between w:val="nil"/>
          <w:bar w:val="nil"/>
        </w:pBdr>
        <w:spacing w:before="0" w:after="240"/>
        <w:rPr>
          <w:rFonts w:eastAsia="Arial Unicode MS"/>
          <w:noProof/>
        </w:rPr>
      </w:pPr>
      <w:r w:rsidRPr="00F66162">
        <w:rPr>
          <w:noProof/>
        </w:rPr>
        <w:t>W ocenie skutków</w:t>
      </w:r>
      <w:r w:rsidR="00825614" w:rsidRPr="00F66162">
        <w:rPr>
          <w:noProof/>
        </w:rPr>
        <w:t xml:space="preserve"> z</w:t>
      </w:r>
      <w:r w:rsidR="00825614">
        <w:rPr>
          <w:noProof/>
        </w:rPr>
        <w:t> </w:t>
      </w:r>
      <w:r w:rsidR="00825614" w:rsidRPr="00F66162">
        <w:rPr>
          <w:noProof/>
        </w:rPr>
        <w:t>2</w:t>
      </w:r>
      <w:r w:rsidRPr="00F66162">
        <w:rPr>
          <w:noProof/>
        </w:rPr>
        <w:t>0</w:t>
      </w:r>
      <w:r w:rsidRPr="00825614">
        <w:rPr>
          <w:noProof/>
        </w:rPr>
        <w:t>21</w:t>
      </w:r>
      <w:r w:rsidR="00825614" w:rsidRPr="00825614">
        <w:rPr>
          <w:noProof/>
        </w:rPr>
        <w:t> </w:t>
      </w:r>
      <w:r w:rsidRPr="00825614">
        <w:rPr>
          <w:noProof/>
        </w:rPr>
        <w:t>r.</w:t>
      </w:r>
      <w:r w:rsidRPr="00F66162">
        <w:rPr>
          <w:noProof/>
        </w:rPr>
        <w:t xml:space="preserve"> towarzyszącej wnioskowi ustawodawczemu</w:t>
      </w:r>
      <w:r w:rsidR="00825614" w:rsidRPr="00F66162">
        <w:rPr>
          <w:noProof/>
        </w:rPr>
        <w:t xml:space="preserve"> w</w:t>
      </w:r>
      <w:r w:rsidR="00825614">
        <w:rPr>
          <w:noProof/>
        </w:rPr>
        <w:t> </w:t>
      </w:r>
      <w:r w:rsidR="00825614" w:rsidRPr="00F66162">
        <w:rPr>
          <w:noProof/>
        </w:rPr>
        <w:t>spr</w:t>
      </w:r>
      <w:r w:rsidRPr="00F66162">
        <w:rPr>
          <w:noProof/>
        </w:rPr>
        <w:t>awie CBAM</w:t>
      </w:r>
      <w:r w:rsidRPr="00F66162">
        <w:rPr>
          <w:rStyle w:val="Odwoanieprzypisudolnego"/>
          <w:rFonts w:eastAsia="Arial Unicode MS"/>
          <w:noProof/>
        </w:rPr>
        <w:footnoteReference w:id="11"/>
      </w:r>
      <w:r w:rsidRPr="00F66162">
        <w:rPr>
          <w:noProof/>
        </w:rPr>
        <w:t>, jako że CBAM początkowo wprowadzono</w:t>
      </w:r>
      <w:r w:rsidR="00825614" w:rsidRPr="00F66162">
        <w:rPr>
          <w:noProof/>
        </w:rPr>
        <w:t xml:space="preserve"> w</w:t>
      </w:r>
      <w:r w:rsidR="00825614">
        <w:rPr>
          <w:noProof/>
        </w:rPr>
        <w:t> </w:t>
      </w:r>
      <w:r w:rsidR="00825614" w:rsidRPr="00F66162">
        <w:rPr>
          <w:noProof/>
        </w:rPr>
        <w:t>odn</w:t>
      </w:r>
      <w:r w:rsidRPr="00F66162">
        <w:rPr>
          <w:noProof/>
        </w:rPr>
        <w:t>iesieniu do przywozu wybranych materiałów podstawowych</w:t>
      </w:r>
      <w:r w:rsidR="00825614" w:rsidRPr="00F66162">
        <w:rPr>
          <w:noProof/>
        </w:rPr>
        <w:t xml:space="preserve"> i</w:t>
      </w:r>
      <w:r w:rsidR="00825614">
        <w:rPr>
          <w:noProof/>
        </w:rPr>
        <w:t> </w:t>
      </w:r>
      <w:r w:rsidR="00825614" w:rsidRPr="00F66162">
        <w:rPr>
          <w:noProof/>
        </w:rPr>
        <w:t>pod</w:t>
      </w:r>
      <w:r w:rsidRPr="00F66162">
        <w:rPr>
          <w:noProof/>
        </w:rPr>
        <w:t>stawowych produktów materialnych, Komisja stwierdziła, że głównymi zainteresowanymi podmiotami będą duże przedsiębiorstwa, jednak</w:t>
      </w:r>
      <w:r w:rsidR="00825614" w:rsidRPr="00F66162">
        <w:rPr>
          <w:noProof/>
        </w:rPr>
        <w:t xml:space="preserve"> w</w:t>
      </w:r>
      <w:r w:rsidR="00825614">
        <w:rPr>
          <w:noProof/>
        </w:rPr>
        <w:t> </w:t>
      </w:r>
      <w:r w:rsidR="00825614" w:rsidRPr="00F66162">
        <w:rPr>
          <w:noProof/>
        </w:rPr>
        <w:t>pra</w:t>
      </w:r>
      <w:r w:rsidRPr="00F66162">
        <w:rPr>
          <w:noProof/>
        </w:rPr>
        <w:t>ktyce CBAM spowodowałby stosunkowo wyższe koszty przestrzegania przepisów przez małe</w:t>
      </w:r>
      <w:r w:rsidR="00825614" w:rsidRPr="00F66162">
        <w:rPr>
          <w:noProof/>
        </w:rPr>
        <w:t xml:space="preserve"> i</w:t>
      </w:r>
      <w:r w:rsidR="00825614">
        <w:rPr>
          <w:noProof/>
        </w:rPr>
        <w:t> </w:t>
      </w:r>
      <w:r w:rsidR="00825614" w:rsidRPr="00F66162">
        <w:rPr>
          <w:noProof/>
        </w:rPr>
        <w:t>śre</w:t>
      </w:r>
      <w:r w:rsidRPr="00F66162">
        <w:rPr>
          <w:noProof/>
        </w:rPr>
        <w:t>dnie przedsiębiorstwa (MŚP)</w:t>
      </w:r>
      <w:r w:rsidR="00825614" w:rsidRPr="00F66162">
        <w:rPr>
          <w:noProof/>
        </w:rPr>
        <w:t xml:space="preserve"> w</w:t>
      </w:r>
      <w:r w:rsidR="00825614">
        <w:rPr>
          <w:noProof/>
        </w:rPr>
        <w:t> </w:t>
      </w:r>
      <w:r w:rsidR="00825614" w:rsidRPr="00F66162">
        <w:rPr>
          <w:noProof/>
        </w:rPr>
        <w:t>por</w:t>
      </w:r>
      <w:r w:rsidRPr="00F66162">
        <w:rPr>
          <w:noProof/>
        </w:rPr>
        <w:t>ównaniu</w:t>
      </w:r>
      <w:r w:rsidR="00825614" w:rsidRPr="00F66162">
        <w:rPr>
          <w:noProof/>
        </w:rPr>
        <w:t xml:space="preserve"> z</w:t>
      </w:r>
      <w:r w:rsidR="00825614">
        <w:rPr>
          <w:noProof/>
        </w:rPr>
        <w:t> </w:t>
      </w:r>
      <w:r w:rsidR="00825614" w:rsidRPr="00F66162">
        <w:rPr>
          <w:noProof/>
        </w:rPr>
        <w:t>duż</w:t>
      </w:r>
      <w:r w:rsidRPr="00F66162">
        <w:rPr>
          <w:noProof/>
        </w:rPr>
        <w:t>ymi przedsiębiorstwami objętymi zakresem CBAM, np. przedsiębiorstwami dokonującymi przywozu towarów objętych CBAM wykraczającego poza ramy odstępstwa.</w:t>
      </w:r>
    </w:p>
    <w:p w14:paraId="3D9CE493" w14:textId="47E84775" w:rsidR="00BB7416" w:rsidRPr="00F66162" w:rsidRDefault="00BB7416" w:rsidP="00BB7416">
      <w:pPr>
        <w:pBdr>
          <w:top w:val="nil"/>
          <w:left w:val="nil"/>
          <w:bottom w:val="nil"/>
          <w:right w:val="nil"/>
          <w:between w:val="nil"/>
          <w:bar w:val="nil"/>
        </w:pBdr>
        <w:spacing w:before="0" w:after="240"/>
        <w:rPr>
          <w:rFonts w:eastAsia="Arial Unicode MS"/>
          <w:noProof/>
        </w:rPr>
      </w:pPr>
      <w:r w:rsidRPr="00F66162">
        <w:rPr>
          <w:noProof/>
        </w:rPr>
        <w:t>Doświadczenia we wdrażaniu CBAM</w:t>
      </w:r>
      <w:r w:rsidR="00825614" w:rsidRPr="00F66162">
        <w:rPr>
          <w:noProof/>
        </w:rPr>
        <w:t xml:space="preserve"> w</w:t>
      </w:r>
      <w:r w:rsidR="00825614">
        <w:rPr>
          <w:noProof/>
        </w:rPr>
        <w:t> </w:t>
      </w:r>
      <w:r w:rsidR="00825614" w:rsidRPr="00F66162">
        <w:rPr>
          <w:noProof/>
        </w:rPr>
        <w:t>okr</w:t>
      </w:r>
      <w:r w:rsidRPr="00F66162">
        <w:rPr>
          <w:noProof/>
        </w:rPr>
        <w:t xml:space="preserve">esie przejściowym oraz ocena informacji zwrotnych od zainteresowanych podmiotów, zbieranych </w:t>
      </w:r>
      <w:r w:rsidRPr="00825614">
        <w:rPr>
          <w:noProof/>
        </w:rPr>
        <w:t>od</w:t>
      </w:r>
      <w:r w:rsidR="00825614" w:rsidRPr="00825614">
        <w:rPr>
          <w:noProof/>
        </w:rPr>
        <w:t> </w:t>
      </w:r>
      <w:r w:rsidRPr="00825614">
        <w:rPr>
          <w:noProof/>
        </w:rPr>
        <w:t>1</w:t>
      </w:r>
      <w:r w:rsidRPr="00F66162">
        <w:rPr>
          <w:noProof/>
        </w:rPr>
        <w:t xml:space="preserve"> października 20</w:t>
      </w:r>
      <w:r w:rsidRPr="00825614">
        <w:rPr>
          <w:noProof/>
        </w:rPr>
        <w:t>23</w:t>
      </w:r>
      <w:r w:rsidR="00825614" w:rsidRPr="00825614">
        <w:rPr>
          <w:noProof/>
        </w:rPr>
        <w:t> </w:t>
      </w:r>
      <w:r w:rsidRPr="00825614">
        <w:rPr>
          <w:noProof/>
        </w:rPr>
        <w:t>r.</w:t>
      </w:r>
      <w:r w:rsidRPr="00F66162">
        <w:rPr>
          <w:noProof/>
        </w:rPr>
        <w:t>, wykazały, że CBAM wymaga dwóch głównych uproszczeń: szerszego odstępstwa od wymogów CBAM dla importerów bardzo małych ilości towarów objętych CBAM oraz zestawu uproszczeń dla pozostałych importerów towarów objętych CBAM, aby ułatwić im spełnianie wymogów administracyjnych.</w:t>
      </w:r>
    </w:p>
    <w:p w14:paraId="46F9AE46" w14:textId="7B668035" w:rsidR="00FA5543" w:rsidRPr="00F66162" w:rsidRDefault="00BB7416" w:rsidP="00390489">
      <w:pPr>
        <w:pBdr>
          <w:top w:val="nil"/>
          <w:left w:val="nil"/>
          <w:bottom w:val="nil"/>
          <w:right w:val="nil"/>
          <w:between w:val="nil"/>
          <w:bar w:val="nil"/>
        </w:pBdr>
        <w:spacing w:before="0" w:after="240"/>
        <w:rPr>
          <w:rFonts w:eastAsia="Arial Unicode MS"/>
          <w:noProof/>
        </w:rPr>
      </w:pPr>
      <w:r w:rsidRPr="00F66162">
        <w:rPr>
          <w:noProof/>
        </w:rPr>
        <w:t>Oczekuje się, że proponowane uproszczenie zwolni około 90 % importerów</w:t>
      </w:r>
      <w:r w:rsidR="00825614" w:rsidRPr="00F66162">
        <w:rPr>
          <w:noProof/>
        </w:rPr>
        <w:t xml:space="preserve"> z</w:t>
      </w:r>
      <w:r w:rsidR="00825614">
        <w:rPr>
          <w:noProof/>
        </w:rPr>
        <w:t> </w:t>
      </w:r>
      <w:r w:rsidR="00825614" w:rsidRPr="00F66162">
        <w:rPr>
          <w:noProof/>
        </w:rPr>
        <w:t>obo</w:t>
      </w:r>
      <w:r w:rsidRPr="00F66162">
        <w:rPr>
          <w:noProof/>
        </w:rPr>
        <w:t>wiązków CBAM,</w:t>
      </w:r>
      <w:r w:rsidR="00825614" w:rsidRPr="00F66162">
        <w:rPr>
          <w:noProof/>
        </w:rPr>
        <w:t xml:space="preserve"> a</w:t>
      </w:r>
      <w:r w:rsidR="00825614">
        <w:rPr>
          <w:noProof/>
        </w:rPr>
        <w:t> </w:t>
      </w:r>
      <w:r w:rsidR="00825614" w:rsidRPr="00F66162">
        <w:rPr>
          <w:noProof/>
        </w:rPr>
        <w:t>prz</w:t>
      </w:r>
      <w:r w:rsidRPr="00F66162">
        <w:rPr>
          <w:noProof/>
        </w:rPr>
        <w:t>y tym zapewni, aby ponad 99 % emisji wbudowanych nadal wchodziło</w:t>
      </w:r>
      <w:r w:rsidR="00825614" w:rsidRPr="00F66162">
        <w:rPr>
          <w:noProof/>
        </w:rPr>
        <w:t xml:space="preserve"> w</w:t>
      </w:r>
      <w:r w:rsidR="00825614">
        <w:rPr>
          <w:noProof/>
        </w:rPr>
        <w:t> </w:t>
      </w:r>
      <w:r w:rsidR="00825614" w:rsidRPr="00F66162">
        <w:rPr>
          <w:noProof/>
        </w:rPr>
        <w:t>zak</w:t>
      </w:r>
      <w:r w:rsidRPr="00F66162">
        <w:rPr>
          <w:noProof/>
        </w:rPr>
        <w:t>res CBAM, zachowując tym samym środowiskowy aspekt tego mechanizmu.</w:t>
      </w:r>
    </w:p>
    <w:p w14:paraId="739FA039" w14:textId="77777777"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Prawa podstawowe</w:t>
      </w:r>
    </w:p>
    <w:p w14:paraId="4DD2A105" w14:textId="16082F19" w:rsidR="00FA5543" w:rsidRPr="00F66162" w:rsidRDefault="004A10FE" w:rsidP="00390489">
      <w:pPr>
        <w:pBdr>
          <w:top w:val="nil"/>
          <w:left w:val="nil"/>
          <w:bottom w:val="nil"/>
          <w:right w:val="nil"/>
          <w:between w:val="nil"/>
          <w:bar w:val="nil"/>
        </w:pBdr>
        <w:spacing w:before="0" w:after="240"/>
        <w:rPr>
          <w:rFonts w:eastAsia="Arial Unicode MS"/>
          <w:noProof/>
        </w:rPr>
      </w:pPr>
      <w:r w:rsidRPr="00F66162">
        <w:rPr>
          <w:noProof/>
        </w:rPr>
        <w:t>Wniosek przygotowano</w:t>
      </w:r>
      <w:r w:rsidR="00825614" w:rsidRPr="00F66162">
        <w:rPr>
          <w:noProof/>
        </w:rPr>
        <w:t xml:space="preserve"> z</w:t>
      </w:r>
      <w:r w:rsidR="00825614">
        <w:rPr>
          <w:noProof/>
        </w:rPr>
        <w:t> </w:t>
      </w:r>
      <w:r w:rsidR="00825614" w:rsidRPr="00F66162">
        <w:rPr>
          <w:noProof/>
        </w:rPr>
        <w:t>pos</w:t>
      </w:r>
      <w:r w:rsidRPr="00F66162">
        <w:rPr>
          <w:noProof/>
        </w:rPr>
        <w:t>zanowaniem praw podstawowych</w:t>
      </w:r>
      <w:r w:rsidR="00825614" w:rsidRPr="00F66162">
        <w:rPr>
          <w:noProof/>
        </w:rPr>
        <w:t xml:space="preserve"> i</w:t>
      </w:r>
      <w:r w:rsidR="00825614">
        <w:rPr>
          <w:noProof/>
        </w:rPr>
        <w:t> </w:t>
      </w:r>
      <w:r w:rsidR="00825614" w:rsidRPr="00F66162">
        <w:rPr>
          <w:noProof/>
        </w:rPr>
        <w:t>zas</w:t>
      </w:r>
      <w:r w:rsidRPr="00F66162">
        <w:rPr>
          <w:noProof/>
        </w:rPr>
        <w:t>ad uznanych</w:t>
      </w:r>
      <w:r w:rsidR="00825614" w:rsidRPr="00F66162">
        <w:rPr>
          <w:noProof/>
        </w:rPr>
        <w:t xml:space="preserve"> w</w:t>
      </w:r>
      <w:r w:rsidR="00825614">
        <w:rPr>
          <w:noProof/>
        </w:rPr>
        <w:t> </w:t>
      </w:r>
      <w:r w:rsidR="00825614" w:rsidRPr="00F66162">
        <w:rPr>
          <w:noProof/>
        </w:rPr>
        <w:t>szc</w:t>
      </w:r>
      <w:r w:rsidRPr="00F66162">
        <w:rPr>
          <w:noProof/>
        </w:rPr>
        <w:t>zególności</w:t>
      </w:r>
      <w:r w:rsidR="00825614" w:rsidRPr="00F66162">
        <w:rPr>
          <w:noProof/>
        </w:rPr>
        <w:t xml:space="preserve"> w</w:t>
      </w:r>
      <w:r w:rsidR="00825614">
        <w:rPr>
          <w:noProof/>
        </w:rPr>
        <w:t> </w:t>
      </w:r>
      <w:r w:rsidR="00825614" w:rsidRPr="00F66162">
        <w:rPr>
          <w:noProof/>
        </w:rPr>
        <w:t>Kar</w:t>
      </w:r>
      <w:r w:rsidRPr="00F66162">
        <w:rPr>
          <w:noProof/>
        </w:rPr>
        <w:t>cie praw podstawowych Unii Europejskiej</w:t>
      </w:r>
      <w:r w:rsidR="00825614" w:rsidRPr="00F66162">
        <w:rPr>
          <w:noProof/>
        </w:rPr>
        <w:t>. W</w:t>
      </w:r>
      <w:r w:rsidR="00825614">
        <w:rPr>
          <w:noProof/>
        </w:rPr>
        <w:t> </w:t>
      </w:r>
      <w:r w:rsidR="00825614" w:rsidRPr="00F66162">
        <w:rPr>
          <w:noProof/>
        </w:rPr>
        <w:t>szc</w:t>
      </w:r>
      <w:r w:rsidRPr="00F66162">
        <w:rPr>
          <w:noProof/>
        </w:rPr>
        <w:t>zególności przyczynia się on do osiągnięcia celu dotyczącego wysokiego poziomu ochrony środowiska zgodnie</w:t>
      </w:r>
      <w:r w:rsidR="00825614" w:rsidRPr="00F66162">
        <w:rPr>
          <w:noProof/>
        </w:rPr>
        <w:t xml:space="preserve"> z</w:t>
      </w:r>
      <w:r w:rsidR="00825614">
        <w:rPr>
          <w:noProof/>
        </w:rPr>
        <w:t> </w:t>
      </w:r>
      <w:r w:rsidR="00825614" w:rsidRPr="00F66162">
        <w:rPr>
          <w:noProof/>
        </w:rPr>
        <w:t>zas</w:t>
      </w:r>
      <w:r w:rsidRPr="00F66162">
        <w:rPr>
          <w:noProof/>
        </w:rPr>
        <w:t>adą zrównoważonego rozwoju,</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3</w:t>
      </w:r>
      <w:r w:rsidRPr="00F66162">
        <w:rPr>
          <w:noProof/>
        </w:rPr>
        <w:t>7 Karty.</w:t>
      </w:r>
    </w:p>
    <w:p w14:paraId="24780F77" w14:textId="77777777" w:rsidR="00FA5543" w:rsidRPr="00F66162" w:rsidRDefault="00FA5543" w:rsidP="00390489">
      <w:pPr>
        <w:pStyle w:val="ManualHeading1"/>
        <w:rPr>
          <w:noProof/>
        </w:rPr>
      </w:pPr>
      <w:r w:rsidRPr="00F66162">
        <w:rPr>
          <w:noProof/>
        </w:rPr>
        <w:t>4.</w:t>
      </w:r>
      <w:r w:rsidRPr="00F66162">
        <w:rPr>
          <w:noProof/>
        </w:rPr>
        <w:tab/>
        <w:t>WPŁYW NA BUDŻET</w:t>
      </w:r>
    </w:p>
    <w:p w14:paraId="2CF6091F" w14:textId="1A5C915B" w:rsidR="00FA5543" w:rsidRPr="00F66162" w:rsidRDefault="00B51269" w:rsidP="00390489">
      <w:pPr>
        <w:pBdr>
          <w:top w:val="nil"/>
          <w:left w:val="nil"/>
          <w:bottom w:val="nil"/>
          <w:right w:val="nil"/>
          <w:between w:val="nil"/>
          <w:bar w:val="nil"/>
        </w:pBdr>
        <w:spacing w:before="0" w:after="240"/>
        <w:rPr>
          <w:rFonts w:eastAsia="Arial Unicode MS"/>
          <w:noProof/>
        </w:rPr>
      </w:pPr>
      <w:r w:rsidRPr="00F66162">
        <w:rPr>
          <w:noProof/>
        </w:rPr>
        <w:t>Wniosek będzie miał wpływ na budżet UE. Wpływ ten przeanalizowano</w:t>
      </w:r>
      <w:r w:rsidR="00825614" w:rsidRPr="00F66162">
        <w:rPr>
          <w:noProof/>
        </w:rPr>
        <w:t xml:space="preserve"> w</w:t>
      </w:r>
      <w:r w:rsidR="00825614">
        <w:rPr>
          <w:noProof/>
        </w:rPr>
        <w:t> </w:t>
      </w:r>
      <w:r w:rsidR="00825614" w:rsidRPr="00F66162">
        <w:rPr>
          <w:noProof/>
        </w:rPr>
        <w:t>tow</w:t>
      </w:r>
      <w:r w:rsidRPr="00F66162">
        <w:rPr>
          <w:noProof/>
        </w:rPr>
        <w:t>arzyszącej wnioskowi ocenie skutków finansowych</w:t>
      </w:r>
      <w:r w:rsidR="00825614" w:rsidRPr="00F66162">
        <w:rPr>
          <w:noProof/>
        </w:rPr>
        <w:t xml:space="preserve"> i</w:t>
      </w:r>
      <w:r w:rsidR="00825614">
        <w:rPr>
          <w:noProof/>
        </w:rPr>
        <w:t> </w:t>
      </w:r>
      <w:r w:rsidR="00825614" w:rsidRPr="00F66162">
        <w:rPr>
          <w:noProof/>
        </w:rPr>
        <w:t>cyf</w:t>
      </w:r>
      <w:r w:rsidRPr="00F66162">
        <w:rPr>
          <w:noProof/>
        </w:rPr>
        <w:t>rowych regulacji.</w:t>
      </w:r>
    </w:p>
    <w:p w14:paraId="75C8A946" w14:textId="77777777" w:rsidR="00FA5543" w:rsidRPr="00F66162" w:rsidRDefault="00FA5543" w:rsidP="00390489">
      <w:pPr>
        <w:pStyle w:val="ManualHeading1"/>
        <w:rPr>
          <w:noProof/>
        </w:rPr>
      </w:pPr>
      <w:r w:rsidRPr="00F66162">
        <w:rPr>
          <w:noProof/>
        </w:rPr>
        <w:lastRenderedPageBreak/>
        <w:t>5.</w:t>
      </w:r>
      <w:r w:rsidRPr="00F66162">
        <w:rPr>
          <w:noProof/>
        </w:rPr>
        <w:tab/>
        <w:t>ELEMENTY FAKULTATYWNE</w:t>
      </w:r>
    </w:p>
    <w:p w14:paraId="2E12D96B" w14:textId="0DEEB852"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Plany wdrożenia</w:t>
      </w:r>
      <w:r w:rsidR="00825614" w:rsidRPr="00F66162">
        <w:rPr>
          <w:noProof/>
          <w:u w:color="000000"/>
          <w:bdr w:val="nil"/>
        </w:rPr>
        <w:t xml:space="preserve"> i</w:t>
      </w:r>
      <w:r w:rsidR="00825614">
        <w:rPr>
          <w:noProof/>
          <w:u w:color="000000"/>
          <w:bdr w:val="nil"/>
        </w:rPr>
        <w:t> </w:t>
      </w:r>
      <w:r w:rsidR="00825614" w:rsidRPr="00F66162">
        <w:rPr>
          <w:noProof/>
          <w:u w:color="000000"/>
          <w:bdr w:val="nil"/>
        </w:rPr>
        <w:t>mon</w:t>
      </w:r>
      <w:r w:rsidRPr="00F66162">
        <w:rPr>
          <w:noProof/>
          <w:u w:color="000000"/>
          <w:bdr w:val="nil"/>
        </w:rPr>
        <w:t>itorowanie, ocena</w:t>
      </w:r>
      <w:r w:rsidR="00825614" w:rsidRPr="00F66162">
        <w:rPr>
          <w:noProof/>
          <w:u w:color="000000"/>
          <w:bdr w:val="nil"/>
        </w:rPr>
        <w:t xml:space="preserve"> i</w:t>
      </w:r>
      <w:r w:rsidR="00825614">
        <w:rPr>
          <w:noProof/>
          <w:u w:color="000000"/>
          <w:bdr w:val="nil"/>
        </w:rPr>
        <w:t> </w:t>
      </w:r>
      <w:r w:rsidR="00825614" w:rsidRPr="00F66162">
        <w:rPr>
          <w:noProof/>
          <w:u w:color="000000"/>
          <w:bdr w:val="nil"/>
        </w:rPr>
        <w:t>spr</w:t>
      </w:r>
      <w:r w:rsidRPr="00F66162">
        <w:rPr>
          <w:noProof/>
          <w:u w:color="000000"/>
          <w:bdr w:val="nil"/>
        </w:rPr>
        <w:t>awozdania</w:t>
      </w:r>
    </w:p>
    <w:p w14:paraId="242BA26F" w14:textId="160D6C4C" w:rsidR="008F1CB9" w:rsidRPr="00F66162" w:rsidRDefault="008F1CB9" w:rsidP="008F1CB9">
      <w:pPr>
        <w:pBdr>
          <w:top w:val="nil"/>
          <w:left w:val="nil"/>
          <w:bottom w:val="nil"/>
          <w:right w:val="nil"/>
          <w:between w:val="nil"/>
          <w:bar w:val="nil"/>
        </w:pBdr>
        <w:spacing w:before="0" w:after="240"/>
        <w:rPr>
          <w:noProof/>
        </w:rPr>
      </w:pPr>
      <w:r w:rsidRPr="00F66162">
        <w:rPr>
          <w:noProof/>
        </w:rPr>
        <w:t>Ponieważ wniosek zmienia rozporządzenie</w:t>
      </w:r>
      <w:r w:rsidR="00825614" w:rsidRPr="00F66162">
        <w:rPr>
          <w:noProof/>
        </w:rPr>
        <w:t xml:space="preserve"> w</w:t>
      </w:r>
      <w:r w:rsidR="00825614">
        <w:rPr>
          <w:noProof/>
        </w:rPr>
        <w:t> </w:t>
      </w:r>
      <w:r w:rsidR="00825614" w:rsidRPr="00F66162">
        <w:rPr>
          <w:noProof/>
        </w:rPr>
        <w:t>spr</w:t>
      </w:r>
      <w:r w:rsidRPr="00F66162">
        <w:rPr>
          <w:noProof/>
        </w:rPr>
        <w:t>awie CBAM, nie zawiera on dodatkowych planów wdrażania ani ustaleń dotyczących monitorowania, oceny</w:t>
      </w:r>
      <w:r w:rsidR="00825614" w:rsidRPr="00F66162">
        <w:rPr>
          <w:noProof/>
        </w:rPr>
        <w:t xml:space="preserve"> i</w:t>
      </w:r>
      <w:r w:rsidR="00825614">
        <w:rPr>
          <w:noProof/>
        </w:rPr>
        <w:t> </w:t>
      </w:r>
      <w:r w:rsidR="00825614" w:rsidRPr="00F66162">
        <w:rPr>
          <w:noProof/>
        </w:rPr>
        <w:t>spr</w:t>
      </w:r>
      <w:r w:rsidRPr="00F66162">
        <w:rPr>
          <w:noProof/>
        </w:rPr>
        <w:t>awozdawczości wykraczających poza te przewidziane</w:t>
      </w:r>
      <w:r w:rsidR="00825614" w:rsidRPr="00F66162">
        <w:rPr>
          <w:noProof/>
        </w:rPr>
        <w:t xml:space="preserve"> w</w:t>
      </w:r>
      <w:r w:rsidR="00825614">
        <w:rPr>
          <w:noProof/>
        </w:rPr>
        <w:t> </w:t>
      </w:r>
      <w:r w:rsidR="00825614" w:rsidRPr="00F66162">
        <w:rPr>
          <w:noProof/>
        </w:rPr>
        <w:t>tym</w:t>
      </w:r>
      <w:r w:rsidRPr="00F66162">
        <w:rPr>
          <w:noProof/>
        </w:rPr>
        <w:t xml:space="preserve"> rozporządzeniu. </w:t>
      </w:r>
    </w:p>
    <w:p w14:paraId="39033785" w14:textId="47930F77" w:rsidR="008F1CB9" w:rsidRPr="00F66162" w:rsidRDefault="008F1CB9" w:rsidP="008F1CB9">
      <w:pPr>
        <w:pBdr>
          <w:top w:val="nil"/>
          <w:left w:val="nil"/>
          <w:bottom w:val="nil"/>
          <w:right w:val="nil"/>
          <w:between w:val="nil"/>
          <w:bar w:val="nil"/>
        </w:pBdr>
        <w:spacing w:before="0" w:after="240"/>
        <w:rPr>
          <w:noProof/>
        </w:rPr>
      </w:pPr>
      <w:r w:rsidRPr="00F66162">
        <w:rPr>
          <w:noProof/>
        </w:rPr>
        <w:t>Należy jednak przypomnieć, że Komisja będzie nadal zapewniać wprowadzanie ustaleń dotyczących monitorowania</w:t>
      </w:r>
      <w:r w:rsidR="00825614" w:rsidRPr="00F66162">
        <w:rPr>
          <w:noProof/>
        </w:rPr>
        <w:t xml:space="preserve"> i</w:t>
      </w:r>
      <w:r w:rsidR="00825614">
        <w:rPr>
          <w:noProof/>
        </w:rPr>
        <w:t> </w:t>
      </w:r>
      <w:r w:rsidR="00825614" w:rsidRPr="00F66162">
        <w:rPr>
          <w:noProof/>
        </w:rPr>
        <w:t>oce</w:t>
      </w:r>
      <w:r w:rsidRPr="00F66162">
        <w:rPr>
          <w:noProof/>
        </w:rPr>
        <w:t>ny funkcjonowania CBAM,</w:t>
      </w:r>
      <w:r w:rsidR="00825614" w:rsidRPr="00F66162">
        <w:rPr>
          <w:noProof/>
        </w:rPr>
        <w:t xml:space="preserve"> w</w:t>
      </w:r>
      <w:r w:rsidR="00825614">
        <w:rPr>
          <w:noProof/>
        </w:rPr>
        <w:t> </w:t>
      </w:r>
      <w:r w:rsidR="00825614" w:rsidRPr="00F66162">
        <w:rPr>
          <w:noProof/>
        </w:rPr>
        <w:t>tym</w:t>
      </w:r>
      <w:r w:rsidRPr="00F66162">
        <w:rPr>
          <w:noProof/>
        </w:rPr>
        <w:t xml:space="preserve"> jego egzekwowania</w:t>
      </w:r>
      <w:r w:rsidR="00825614" w:rsidRPr="00F66162">
        <w:rPr>
          <w:noProof/>
        </w:rPr>
        <w:t xml:space="preserve"> w</w:t>
      </w:r>
      <w:r w:rsidR="00825614">
        <w:rPr>
          <w:noProof/>
        </w:rPr>
        <w:t> </w:t>
      </w:r>
      <w:r w:rsidR="00825614" w:rsidRPr="00F66162">
        <w:rPr>
          <w:noProof/>
        </w:rPr>
        <w:t>ram</w:t>
      </w:r>
      <w:r w:rsidRPr="00F66162">
        <w:rPr>
          <w:noProof/>
        </w:rPr>
        <w:t>ach walki</w:t>
      </w:r>
      <w:r w:rsidR="00825614" w:rsidRPr="00F66162">
        <w:rPr>
          <w:noProof/>
        </w:rPr>
        <w:t xml:space="preserve"> z</w:t>
      </w:r>
      <w:r w:rsidR="00825614">
        <w:rPr>
          <w:noProof/>
        </w:rPr>
        <w:t> </w:t>
      </w:r>
      <w:r w:rsidR="00825614" w:rsidRPr="00F66162">
        <w:rPr>
          <w:noProof/>
        </w:rPr>
        <w:t>pra</w:t>
      </w:r>
      <w:r w:rsidRPr="00F66162">
        <w:rPr>
          <w:noProof/>
        </w:rPr>
        <w:t>ktykami obchodzenia przepisów,</w:t>
      </w:r>
      <w:r w:rsidR="00825614" w:rsidRPr="00F66162">
        <w:rPr>
          <w:noProof/>
        </w:rPr>
        <w:t xml:space="preserve"> a</w:t>
      </w:r>
      <w:r w:rsidR="00825614">
        <w:rPr>
          <w:noProof/>
        </w:rPr>
        <w:t> </w:t>
      </w:r>
      <w:r w:rsidR="00825614" w:rsidRPr="00F66162">
        <w:rPr>
          <w:noProof/>
        </w:rPr>
        <w:t>tak</w:t>
      </w:r>
      <w:r w:rsidRPr="00F66162">
        <w:rPr>
          <w:noProof/>
        </w:rPr>
        <w:t>że oceny tego mechanizmu</w:t>
      </w:r>
      <w:r w:rsidR="00825614" w:rsidRPr="00F66162">
        <w:rPr>
          <w:noProof/>
        </w:rPr>
        <w:t xml:space="preserve"> w</w:t>
      </w:r>
      <w:r w:rsidR="00825614">
        <w:rPr>
          <w:noProof/>
        </w:rPr>
        <w:t> </w:t>
      </w:r>
      <w:r w:rsidR="00825614" w:rsidRPr="00F66162">
        <w:rPr>
          <w:noProof/>
        </w:rPr>
        <w:t>odn</w:t>
      </w:r>
      <w:r w:rsidRPr="00F66162">
        <w:rPr>
          <w:noProof/>
        </w:rPr>
        <w:t>iesieniu do głównych celów polityki. Jako że CBAM jest jedną</w:t>
      </w:r>
      <w:r w:rsidR="00825614" w:rsidRPr="00F66162">
        <w:rPr>
          <w:noProof/>
        </w:rPr>
        <w:t xml:space="preserve"> z</w:t>
      </w:r>
      <w:r w:rsidR="00825614">
        <w:rPr>
          <w:noProof/>
        </w:rPr>
        <w:t> </w:t>
      </w:r>
      <w:r w:rsidR="00825614" w:rsidRPr="00F66162">
        <w:rPr>
          <w:noProof/>
        </w:rPr>
        <w:t>pro</w:t>
      </w:r>
      <w:r w:rsidRPr="00F66162">
        <w:rPr>
          <w:noProof/>
        </w:rPr>
        <w:t>pozycji politycznych</w:t>
      </w:r>
      <w:r w:rsidR="00825614" w:rsidRPr="00F66162">
        <w:rPr>
          <w:noProof/>
        </w:rPr>
        <w:t xml:space="preserve"> w</w:t>
      </w:r>
      <w:r w:rsidR="00825614">
        <w:rPr>
          <w:noProof/>
        </w:rPr>
        <w:t> </w:t>
      </w:r>
      <w:r w:rsidR="00825614" w:rsidRPr="00F66162">
        <w:rPr>
          <w:noProof/>
        </w:rPr>
        <w:t>ram</w:t>
      </w:r>
      <w:r w:rsidRPr="00F66162">
        <w:rPr>
          <w:noProof/>
        </w:rPr>
        <w:t>ach pakietu „Gotowi na 55”, który Komisja przyjęła</w:t>
      </w:r>
      <w:r w:rsidR="00825614" w:rsidRPr="00F66162">
        <w:rPr>
          <w:noProof/>
        </w:rPr>
        <w:t xml:space="preserve"> w</w:t>
      </w:r>
      <w:r w:rsidR="00825614">
        <w:rPr>
          <w:noProof/>
        </w:rPr>
        <w:t> </w:t>
      </w:r>
      <w:r w:rsidR="00825614" w:rsidRPr="00F66162">
        <w:rPr>
          <w:noProof/>
        </w:rPr>
        <w:t>lip</w:t>
      </w:r>
      <w:r w:rsidRPr="00F66162">
        <w:rPr>
          <w:noProof/>
        </w:rPr>
        <w:t>cu 20</w:t>
      </w:r>
      <w:r w:rsidRPr="00825614">
        <w:rPr>
          <w:noProof/>
        </w:rPr>
        <w:t>21</w:t>
      </w:r>
      <w:r w:rsidR="00825614" w:rsidRPr="00825614">
        <w:rPr>
          <w:noProof/>
        </w:rPr>
        <w:t> </w:t>
      </w:r>
      <w:r w:rsidRPr="00825614">
        <w:rPr>
          <w:noProof/>
        </w:rPr>
        <w:t>r.</w:t>
      </w:r>
      <w:r w:rsidRPr="00F66162">
        <w:rPr>
          <w:rStyle w:val="Odwoanieprzypisudolnego"/>
          <w:rFonts w:eastAsia="Arial Unicode MS"/>
          <w:noProof/>
        </w:rPr>
        <w:footnoteReference w:id="12"/>
      </w:r>
      <w:r w:rsidRPr="00F66162">
        <w:rPr>
          <w:noProof/>
        </w:rPr>
        <w:t>, monitorowanie</w:t>
      </w:r>
      <w:r w:rsidR="00825614" w:rsidRPr="00F66162">
        <w:rPr>
          <w:noProof/>
        </w:rPr>
        <w:t xml:space="preserve"> i</w:t>
      </w:r>
      <w:r w:rsidR="00825614">
        <w:rPr>
          <w:noProof/>
        </w:rPr>
        <w:t> </w:t>
      </w:r>
      <w:r w:rsidR="00825614" w:rsidRPr="00F66162">
        <w:rPr>
          <w:noProof/>
        </w:rPr>
        <w:t>oce</w:t>
      </w:r>
      <w:r w:rsidRPr="00F66162">
        <w:rPr>
          <w:noProof/>
        </w:rPr>
        <w:t>na tego mechanizmu będą prowadzone</w:t>
      </w:r>
      <w:r w:rsidR="00825614" w:rsidRPr="00F66162">
        <w:rPr>
          <w:noProof/>
        </w:rPr>
        <w:t xml:space="preserve"> w</w:t>
      </w:r>
      <w:r w:rsidR="00825614">
        <w:rPr>
          <w:noProof/>
        </w:rPr>
        <w:t> </w:t>
      </w:r>
      <w:r w:rsidR="00825614" w:rsidRPr="00F66162">
        <w:rPr>
          <w:noProof/>
        </w:rPr>
        <w:t>poł</w:t>
      </w:r>
      <w:r w:rsidRPr="00F66162">
        <w:rPr>
          <w:noProof/>
        </w:rPr>
        <w:t>ączeniu</w:t>
      </w:r>
      <w:r w:rsidR="00825614" w:rsidRPr="00F66162">
        <w:rPr>
          <w:noProof/>
        </w:rPr>
        <w:t xml:space="preserve"> z</w:t>
      </w:r>
      <w:r w:rsidR="00825614">
        <w:rPr>
          <w:noProof/>
        </w:rPr>
        <w:t> </w:t>
      </w:r>
      <w:r w:rsidR="00825614" w:rsidRPr="00F66162">
        <w:rPr>
          <w:noProof/>
        </w:rPr>
        <w:t>poz</w:t>
      </w:r>
      <w:r w:rsidRPr="00F66162">
        <w:rPr>
          <w:noProof/>
        </w:rPr>
        <w:t>ostałymi strategiami pakietu.</w:t>
      </w:r>
    </w:p>
    <w:p w14:paraId="4B75AFD3" w14:textId="1C830066" w:rsidR="00FA5543" w:rsidRPr="00F66162" w:rsidRDefault="008F1CB9" w:rsidP="00390489">
      <w:pPr>
        <w:pBdr>
          <w:top w:val="nil"/>
          <w:left w:val="nil"/>
          <w:bottom w:val="nil"/>
          <w:right w:val="nil"/>
          <w:between w:val="nil"/>
          <w:bar w:val="nil"/>
        </w:pBdr>
        <w:spacing w:before="0" w:after="240"/>
        <w:rPr>
          <w:rFonts w:eastAsia="Arial Unicode MS"/>
          <w:noProof/>
        </w:rPr>
      </w:pPr>
      <w:r w:rsidRPr="00F66162">
        <w:rPr>
          <w:noProof/>
        </w:rPr>
        <w:t>Komisja będzie monitorować wdrażanie CBAM, aby uwzględnić tę kwestię</w:t>
      </w:r>
      <w:r w:rsidR="00825614" w:rsidRPr="00F66162">
        <w:rPr>
          <w:noProof/>
        </w:rPr>
        <w:t xml:space="preserve"> w</w:t>
      </w:r>
      <w:r w:rsidR="00825614">
        <w:rPr>
          <w:noProof/>
        </w:rPr>
        <w:t> </w:t>
      </w:r>
      <w:r w:rsidR="00825614" w:rsidRPr="00F66162">
        <w:rPr>
          <w:noProof/>
        </w:rPr>
        <w:t>swo</w:t>
      </w:r>
      <w:r w:rsidRPr="00F66162">
        <w:rPr>
          <w:noProof/>
        </w:rPr>
        <w:t>jej analizie,</w:t>
      </w:r>
      <w:r w:rsidR="00825614" w:rsidRPr="00F66162">
        <w:rPr>
          <w:noProof/>
        </w:rPr>
        <w:t xml:space="preserve"> i</w:t>
      </w:r>
      <w:r w:rsidR="00825614">
        <w:rPr>
          <w:noProof/>
        </w:rPr>
        <w:t> </w:t>
      </w:r>
      <w:r w:rsidR="00825614" w:rsidRPr="00F66162">
        <w:rPr>
          <w:noProof/>
        </w:rPr>
        <w:t>będ</w:t>
      </w:r>
      <w:r w:rsidRPr="00F66162">
        <w:rPr>
          <w:noProof/>
        </w:rPr>
        <w:t>zie regularnie składać Parlamentowi Europejskiemu</w:t>
      </w:r>
      <w:r w:rsidR="00825614" w:rsidRPr="00F66162">
        <w:rPr>
          <w:noProof/>
        </w:rPr>
        <w:t xml:space="preserve"> i</w:t>
      </w:r>
      <w:r w:rsidR="00825614">
        <w:rPr>
          <w:noProof/>
        </w:rPr>
        <w:t> </w:t>
      </w:r>
      <w:r w:rsidR="00825614" w:rsidRPr="00F66162">
        <w:rPr>
          <w:noProof/>
        </w:rPr>
        <w:t>Rad</w:t>
      </w:r>
      <w:r w:rsidRPr="00F66162">
        <w:rPr>
          <w:noProof/>
        </w:rPr>
        <w:t>zie sprawozdania ze stosowania rozporządzenia</w:t>
      </w:r>
      <w:r w:rsidR="00825614" w:rsidRPr="00F66162">
        <w:rPr>
          <w:noProof/>
        </w:rPr>
        <w:t xml:space="preserve"> w</w:t>
      </w:r>
      <w:r w:rsidR="00825614">
        <w:rPr>
          <w:noProof/>
        </w:rPr>
        <w:t> </w:t>
      </w:r>
      <w:r w:rsidR="00825614" w:rsidRPr="00F66162">
        <w:rPr>
          <w:noProof/>
        </w:rPr>
        <w:t>spr</w:t>
      </w:r>
      <w:r w:rsidRPr="00F66162">
        <w:rPr>
          <w:noProof/>
        </w:rPr>
        <w:t>awie CBAM</w:t>
      </w:r>
      <w:r w:rsidR="00825614" w:rsidRPr="00F66162">
        <w:rPr>
          <w:noProof/>
        </w:rPr>
        <w:t>. W</w:t>
      </w:r>
      <w:r w:rsidR="00825614">
        <w:rPr>
          <w:noProof/>
        </w:rPr>
        <w:t> </w:t>
      </w:r>
      <w:r w:rsidR="00825614" w:rsidRPr="00F66162">
        <w:rPr>
          <w:noProof/>
        </w:rPr>
        <w:t>ram</w:t>
      </w:r>
      <w:r w:rsidRPr="00F66162">
        <w:rPr>
          <w:noProof/>
        </w:rPr>
        <w:t>ach tych sprawozdań Komisja zaproponuje ewentualne zmiany mające na celu poprawę funkcjonowania CBAM oraz zgromadzi informacje niezbędne do ewentualnego dalszego rozszerzenia jego zakresu,</w:t>
      </w:r>
      <w:r w:rsidR="00825614" w:rsidRPr="00F66162">
        <w:rPr>
          <w:noProof/>
        </w:rPr>
        <w:t xml:space="preserve"> w</w:t>
      </w:r>
      <w:r w:rsidR="00825614">
        <w:rPr>
          <w:noProof/>
        </w:rPr>
        <w:t> </w:t>
      </w:r>
      <w:r w:rsidR="00825614" w:rsidRPr="00F66162">
        <w:rPr>
          <w:noProof/>
        </w:rPr>
        <w:t>tym</w:t>
      </w:r>
      <w:r w:rsidRPr="00F66162">
        <w:rPr>
          <w:noProof/>
        </w:rPr>
        <w:t xml:space="preserve"> informacje</w:t>
      </w:r>
      <w:r w:rsidR="00825614" w:rsidRPr="00F66162">
        <w:rPr>
          <w:noProof/>
        </w:rPr>
        <w:t xml:space="preserve"> o</w:t>
      </w:r>
      <w:r w:rsidR="00825614">
        <w:rPr>
          <w:noProof/>
        </w:rPr>
        <w:t> </w:t>
      </w:r>
      <w:r w:rsidR="00825614" w:rsidRPr="00F66162">
        <w:rPr>
          <w:noProof/>
        </w:rPr>
        <w:t>inn</w:t>
      </w:r>
      <w:r w:rsidRPr="00F66162">
        <w:rPr>
          <w:noProof/>
        </w:rPr>
        <w:t>ych towarach, które mogą powodować ryzyko ucieczki emisji, takich jak produkty rynku niższego szczebla. Sprawozdania te powinny również zawierać ocenę wpływu CBAM na ucieczkę emisji,</w:t>
      </w:r>
      <w:r w:rsidR="00825614" w:rsidRPr="00F66162">
        <w:rPr>
          <w:noProof/>
        </w:rPr>
        <w:t xml:space="preserve"> w</w:t>
      </w:r>
      <w:r w:rsidR="00825614">
        <w:rPr>
          <w:noProof/>
        </w:rPr>
        <w:t> </w:t>
      </w:r>
      <w:r w:rsidR="00825614" w:rsidRPr="00F66162">
        <w:rPr>
          <w:noProof/>
        </w:rPr>
        <w:t>tym w</w:t>
      </w:r>
      <w:r w:rsidR="00825614">
        <w:rPr>
          <w:noProof/>
        </w:rPr>
        <w:t> </w:t>
      </w:r>
      <w:r w:rsidR="00825614" w:rsidRPr="00F66162">
        <w:rPr>
          <w:noProof/>
        </w:rPr>
        <w:t>odn</w:t>
      </w:r>
      <w:r w:rsidRPr="00F66162">
        <w:rPr>
          <w:noProof/>
        </w:rPr>
        <w:t>iesieniu do wywozu, oraz jego skutków gospodarczych, środowiskowych, społecznych</w:t>
      </w:r>
      <w:r w:rsidR="00825614" w:rsidRPr="00F66162">
        <w:rPr>
          <w:noProof/>
        </w:rPr>
        <w:t xml:space="preserve"> i</w:t>
      </w:r>
      <w:r w:rsidR="00825614">
        <w:rPr>
          <w:noProof/>
        </w:rPr>
        <w:t> </w:t>
      </w:r>
      <w:r w:rsidR="00825614" w:rsidRPr="00F66162">
        <w:rPr>
          <w:noProof/>
        </w:rPr>
        <w:t>ter</w:t>
      </w:r>
      <w:r w:rsidRPr="00F66162">
        <w:rPr>
          <w:noProof/>
        </w:rPr>
        <w:t>ytorialnych</w:t>
      </w:r>
      <w:r w:rsidR="00825614" w:rsidRPr="00F66162">
        <w:rPr>
          <w:noProof/>
        </w:rPr>
        <w:t xml:space="preserve"> w</w:t>
      </w:r>
      <w:r w:rsidR="00825614">
        <w:rPr>
          <w:noProof/>
        </w:rPr>
        <w:t> </w:t>
      </w:r>
      <w:r w:rsidR="00825614" w:rsidRPr="00F66162">
        <w:rPr>
          <w:noProof/>
        </w:rPr>
        <w:t>cał</w:t>
      </w:r>
      <w:r w:rsidRPr="00F66162">
        <w:rPr>
          <w:noProof/>
        </w:rPr>
        <w:t>ej Unii.</w:t>
      </w:r>
    </w:p>
    <w:p w14:paraId="7CE70891" w14:textId="77777777" w:rsidR="00FA5543" w:rsidRPr="00F66162" w:rsidRDefault="00FA5543" w:rsidP="00390489">
      <w:pPr>
        <w:pStyle w:val="ManualHeading2"/>
        <w:rPr>
          <w:rFonts w:eastAsia="Arial Unicode MS"/>
          <w:noProof/>
          <w:u w:color="000000"/>
          <w:bdr w:val="nil"/>
        </w:rPr>
      </w:pPr>
      <w:r w:rsidRPr="00F66162">
        <w:rPr>
          <w:noProof/>
          <w:u w:color="000000"/>
          <w:bdr w:val="nil"/>
        </w:rPr>
        <w:t>•</w:t>
      </w:r>
      <w:r w:rsidRPr="00F66162">
        <w:rPr>
          <w:noProof/>
        </w:rPr>
        <w:tab/>
      </w:r>
      <w:r w:rsidRPr="00F66162">
        <w:rPr>
          <w:noProof/>
          <w:u w:color="000000"/>
          <w:bdr w:val="nil"/>
        </w:rPr>
        <w:t>Szczegółowe objaśnienia poszczególnych przepisów wniosku</w:t>
      </w:r>
    </w:p>
    <w:p w14:paraId="4640977D" w14:textId="77777777"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Wniosek zawiera dwa rodzaje uproszczeń. </w:t>
      </w:r>
    </w:p>
    <w:p w14:paraId="37007725" w14:textId="0D8BD9A7" w:rsidR="00790288" w:rsidRPr="00F66162" w:rsidRDefault="00790288" w:rsidP="00790288">
      <w:pPr>
        <w:pBdr>
          <w:top w:val="nil"/>
          <w:left w:val="nil"/>
          <w:bottom w:val="nil"/>
          <w:right w:val="nil"/>
          <w:between w:val="nil"/>
          <w:bar w:val="nil"/>
        </w:pBdr>
        <w:spacing w:before="0" w:after="240"/>
        <w:rPr>
          <w:noProof/>
        </w:rPr>
      </w:pPr>
      <w:r w:rsidRPr="00F66162">
        <w:rPr>
          <w:noProof/>
        </w:rPr>
        <w:t>Po pierwsze, zwalnia</w:t>
      </w:r>
      <w:r w:rsidR="00825614" w:rsidRPr="00F66162">
        <w:rPr>
          <w:noProof/>
        </w:rPr>
        <w:t xml:space="preserve"> z</w:t>
      </w:r>
      <w:r w:rsidR="00825614">
        <w:rPr>
          <w:noProof/>
        </w:rPr>
        <w:t> </w:t>
      </w:r>
      <w:r w:rsidR="00825614" w:rsidRPr="00F66162">
        <w:rPr>
          <w:noProof/>
        </w:rPr>
        <w:t>obo</w:t>
      </w:r>
      <w:r w:rsidRPr="00F66162">
        <w:rPr>
          <w:noProof/>
        </w:rPr>
        <w:t>wiązków</w:t>
      </w:r>
      <w:r w:rsidR="00825614" w:rsidRPr="00F66162">
        <w:rPr>
          <w:noProof/>
        </w:rPr>
        <w:t xml:space="preserve"> w</w:t>
      </w:r>
      <w:r w:rsidR="00825614">
        <w:rPr>
          <w:noProof/>
        </w:rPr>
        <w:t> </w:t>
      </w:r>
      <w:r w:rsidR="00825614" w:rsidRPr="00F66162">
        <w:rPr>
          <w:noProof/>
        </w:rPr>
        <w:t>zak</w:t>
      </w:r>
      <w:r w:rsidRPr="00F66162">
        <w:rPr>
          <w:noProof/>
        </w:rPr>
        <w:t>resie CBAM importerów małych ilości towarów objętych CBAM, które wiążą się</w:t>
      </w:r>
      <w:r w:rsidR="00825614" w:rsidRPr="00F66162">
        <w:rPr>
          <w:noProof/>
        </w:rPr>
        <w:t xml:space="preserve"> z</w:t>
      </w:r>
      <w:r w:rsidR="00825614">
        <w:rPr>
          <w:noProof/>
        </w:rPr>
        <w:t> </w:t>
      </w:r>
      <w:r w:rsidR="00825614" w:rsidRPr="00F66162">
        <w:rPr>
          <w:noProof/>
        </w:rPr>
        <w:t>prz</w:t>
      </w:r>
      <w:r w:rsidRPr="00F66162">
        <w:rPr>
          <w:noProof/>
        </w:rPr>
        <w:t>ywozem do Unii bardzo małych ilości emisji wbudowanych. Ci importerzy to</w:t>
      </w:r>
      <w:r w:rsidR="00825614" w:rsidRPr="00F66162">
        <w:rPr>
          <w:noProof/>
        </w:rPr>
        <w:t xml:space="preserve"> w</w:t>
      </w:r>
      <w:r w:rsidR="00825614">
        <w:rPr>
          <w:noProof/>
        </w:rPr>
        <w:t> </w:t>
      </w:r>
      <w:r w:rsidR="00825614" w:rsidRPr="00F66162">
        <w:rPr>
          <w:noProof/>
        </w:rPr>
        <w:t>wię</w:t>
      </w:r>
      <w:r w:rsidRPr="00F66162">
        <w:rPr>
          <w:noProof/>
        </w:rPr>
        <w:t>kszości MŚP</w:t>
      </w:r>
      <w:r w:rsidR="00825614" w:rsidRPr="00F66162">
        <w:rPr>
          <w:noProof/>
        </w:rPr>
        <w:t xml:space="preserve"> i</w:t>
      </w:r>
      <w:r w:rsidR="00825614">
        <w:rPr>
          <w:noProof/>
        </w:rPr>
        <w:t> </w:t>
      </w:r>
      <w:r w:rsidR="00825614" w:rsidRPr="00F66162">
        <w:rPr>
          <w:noProof/>
        </w:rPr>
        <w:t>oso</w:t>
      </w:r>
      <w:r w:rsidRPr="00F66162">
        <w:rPr>
          <w:noProof/>
        </w:rPr>
        <w:t>by fizyczne. Ich obciążenie administracyjne związane</w:t>
      </w:r>
      <w:r w:rsidR="00825614" w:rsidRPr="00F66162">
        <w:rPr>
          <w:noProof/>
        </w:rPr>
        <w:t xml:space="preserve"> z</w:t>
      </w:r>
      <w:r w:rsidR="00825614">
        <w:rPr>
          <w:noProof/>
        </w:rPr>
        <w:t> </w:t>
      </w:r>
      <w:r w:rsidR="00825614" w:rsidRPr="00F66162">
        <w:rPr>
          <w:noProof/>
        </w:rPr>
        <w:t>wyp</w:t>
      </w:r>
      <w:r w:rsidRPr="00F66162">
        <w:rPr>
          <w:noProof/>
        </w:rPr>
        <w:t>ełnianiem obowiązków CBAM znacznie przewyższa korzyści środowiskowe</w:t>
      </w:r>
      <w:r w:rsidR="00825614" w:rsidRPr="00F66162">
        <w:rPr>
          <w:noProof/>
        </w:rPr>
        <w:t xml:space="preserve"> i</w:t>
      </w:r>
      <w:r w:rsidR="00825614">
        <w:rPr>
          <w:noProof/>
        </w:rPr>
        <w:t> </w:t>
      </w:r>
      <w:r w:rsidR="00825614" w:rsidRPr="00F66162">
        <w:rPr>
          <w:noProof/>
        </w:rPr>
        <w:t>reg</w:t>
      </w:r>
      <w:r w:rsidRPr="00F66162">
        <w:rPr>
          <w:noProof/>
        </w:rPr>
        <w:t>ulacyjne. Wynika to</w:t>
      </w:r>
      <w:r w:rsidR="00825614" w:rsidRPr="00F66162">
        <w:rPr>
          <w:noProof/>
        </w:rPr>
        <w:t xml:space="preserve"> z</w:t>
      </w:r>
      <w:r w:rsidR="00825614">
        <w:rPr>
          <w:noProof/>
        </w:rPr>
        <w:t> </w:t>
      </w:r>
      <w:r w:rsidR="00825614" w:rsidRPr="00F66162">
        <w:rPr>
          <w:noProof/>
        </w:rPr>
        <w:t>poł</w:t>
      </w:r>
      <w:r w:rsidRPr="00F66162">
        <w:rPr>
          <w:noProof/>
        </w:rPr>
        <w:t xml:space="preserve">ączenia (i) nieznacznego udziału emisji wbudowanych we wszystkich przywożonych przez nich do Unii towarach objętych CBAM oraz (ii) niemożliwości egzekwowania przepisów przez organy krajowe ze względu na dużą liczbę importerów małych ilości towarów objętych CBAM. </w:t>
      </w:r>
    </w:p>
    <w:p w14:paraId="27E78D07" w14:textId="70FBF099" w:rsidR="00790288" w:rsidRPr="00F66162" w:rsidRDefault="00790288" w:rsidP="00790288">
      <w:pPr>
        <w:pBdr>
          <w:top w:val="nil"/>
          <w:left w:val="nil"/>
          <w:bottom w:val="nil"/>
          <w:right w:val="nil"/>
          <w:between w:val="nil"/>
          <w:bar w:val="nil"/>
        </w:pBdr>
        <w:spacing w:before="0" w:after="240"/>
        <w:rPr>
          <w:noProof/>
        </w:rPr>
      </w:pPr>
      <w:r w:rsidRPr="00F66162">
        <w:rPr>
          <w:noProof/>
        </w:rPr>
        <w:t>Po drugie, wniosek zawiera zestaw uproszczeń dla przekraczających próg importerów towarów objętych CBAM, aby ułatwić im spełnienie wymogów sprawozdawczych</w:t>
      </w:r>
      <w:r w:rsidR="00825614" w:rsidRPr="00F66162">
        <w:rPr>
          <w:noProof/>
        </w:rPr>
        <w:t>. W</w:t>
      </w:r>
      <w:r w:rsidR="00825614">
        <w:rPr>
          <w:noProof/>
        </w:rPr>
        <w:t> </w:t>
      </w:r>
      <w:r w:rsidR="00825614" w:rsidRPr="00F66162">
        <w:rPr>
          <w:noProof/>
        </w:rPr>
        <w:t>szc</w:t>
      </w:r>
      <w:r w:rsidRPr="00F66162">
        <w:rPr>
          <w:noProof/>
        </w:rPr>
        <w:t>zególności wniosek upraszcza</w:t>
      </w:r>
      <w:r w:rsidR="00825614" w:rsidRPr="00F66162">
        <w:rPr>
          <w:noProof/>
        </w:rPr>
        <w:t xml:space="preserve"> i</w:t>
      </w:r>
      <w:r w:rsidR="00825614">
        <w:rPr>
          <w:noProof/>
        </w:rPr>
        <w:t> </w:t>
      </w:r>
      <w:r w:rsidR="00825614" w:rsidRPr="00F66162">
        <w:rPr>
          <w:noProof/>
        </w:rPr>
        <w:t>usp</w:t>
      </w:r>
      <w:r w:rsidRPr="00F66162">
        <w:rPr>
          <w:noProof/>
        </w:rPr>
        <w:t>rawnia procedurę udzielania upoważnień przez właściwe organy krajowe</w:t>
      </w:r>
      <w:r w:rsidR="00825614" w:rsidRPr="00F66162">
        <w:rPr>
          <w:noProof/>
        </w:rPr>
        <w:t xml:space="preserve"> i</w:t>
      </w:r>
      <w:r w:rsidR="00825614">
        <w:rPr>
          <w:noProof/>
        </w:rPr>
        <w:t> </w:t>
      </w:r>
      <w:r w:rsidR="00825614" w:rsidRPr="00F66162">
        <w:rPr>
          <w:noProof/>
        </w:rPr>
        <w:t>Kom</w:t>
      </w:r>
      <w:r w:rsidRPr="00F66162">
        <w:rPr>
          <w:noProof/>
        </w:rPr>
        <w:t>isję, proces gromadzenia danych od producentów</w:t>
      </w:r>
      <w:r w:rsidR="00825614" w:rsidRPr="00F66162">
        <w:rPr>
          <w:noProof/>
        </w:rPr>
        <w:t xml:space="preserve"> z</w:t>
      </w:r>
      <w:r w:rsidR="00825614">
        <w:rPr>
          <w:noProof/>
        </w:rPr>
        <w:t> </w:t>
      </w:r>
      <w:r w:rsidR="00825614" w:rsidRPr="00F66162">
        <w:rPr>
          <w:noProof/>
        </w:rPr>
        <w:t>pań</w:t>
      </w:r>
      <w:r w:rsidRPr="00F66162">
        <w:rPr>
          <w:noProof/>
        </w:rPr>
        <w:t>stw trzecich przez upoważnionych zgłaszających CBAM, obliczanie emisji wbudowanych związanych</w:t>
      </w:r>
      <w:r w:rsidR="00825614" w:rsidRPr="00F66162">
        <w:rPr>
          <w:noProof/>
        </w:rPr>
        <w:t xml:space="preserve"> z</w:t>
      </w:r>
      <w:r w:rsidR="00825614">
        <w:rPr>
          <w:noProof/>
        </w:rPr>
        <w:t> </w:t>
      </w:r>
      <w:r w:rsidR="00825614" w:rsidRPr="00F66162">
        <w:rPr>
          <w:noProof/>
        </w:rPr>
        <w:t>nie</w:t>
      </w:r>
      <w:r w:rsidRPr="00F66162">
        <w:rPr>
          <w:noProof/>
        </w:rPr>
        <w:t>którymi towarami, zasady weryfikacji emisji, obliczanie odpowiedzialności finansowej upoważnionych zgłaszających CBAM</w:t>
      </w:r>
      <w:r w:rsidR="00825614" w:rsidRPr="00F66162">
        <w:rPr>
          <w:noProof/>
        </w:rPr>
        <w:t xml:space="preserve"> w</w:t>
      </w:r>
      <w:r w:rsidR="00825614">
        <w:rPr>
          <w:noProof/>
        </w:rPr>
        <w:t> </w:t>
      </w:r>
      <w:r w:rsidR="00825614" w:rsidRPr="00F66162">
        <w:rPr>
          <w:noProof/>
        </w:rPr>
        <w:t>rok</w:t>
      </w:r>
      <w:r w:rsidRPr="00F66162">
        <w:rPr>
          <w:noProof/>
        </w:rPr>
        <w:t>u przywozu do UE oraz wnioski upoważnionych zgłaszających CBAM dotyczące opłat emisyjnych uiszczonych</w:t>
      </w:r>
      <w:r w:rsidR="00825614" w:rsidRPr="00F66162">
        <w:rPr>
          <w:noProof/>
        </w:rPr>
        <w:t xml:space="preserve"> w</w:t>
      </w:r>
      <w:r w:rsidR="00825614">
        <w:rPr>
          <w:noProof/>
        </w:rPr>
        <w:t> </w:t>
      </w:r>
      <w:r w:rsidR="00825614" w:rsidRPr="00F66162">
        <w:rPr>
          <w:noProof/>
        </w:rPr>
        <w:t>pań</w:t>
      </w:r>
      <w:r w:rsidRPr="00F66162">
        <w:rPr>
          <w:noProof/>
        </w:rPr>
        <w:t>stwach trzecich,</w:t>
      </w:r>
      <w:r w:rsidR="00825614" w:rsidRPr="00F66162">
        <w:rPr>
          <w:noProof/>
        </w:rPr>
        <w:t xml:space="preserve"> w</w:t>
      </w:r>
      <w:r w:rsidR="00825614">
        <w:rPr>
          <w:noProof/>
        </w:rPr>
        <w:t> </w:t>
      </w:r>
      <w:r w:rsidR="00825614" w:rsidRPr="00F66162">
        <w:rPr>
          <w:noProof/>
        </w:rPr>
        <w:t>któ</w:t>
      </w:r>
      <w:r w:rsidRPr="00F66162">
        <w:rPr>
          <w:noProof/>
        </w:rPr>
        <w:t>rych wyprodukowano towary.</w:t>
      </w:r>
    </w:p>
    <w:p w14:paraId="7919FD10" w14:textId="46BA36D0" w:rsidR="00790288" w:rsidRPr="00F66162" w:rsidRDefault="00790288" w:rsidP="00790288">
      <w:pPr>
        <w:pBdr>
          <w:top w:val="nil"/>
          <w:left w:val="nil"/>
          <w:bottom w:val="nil"/>
          <w:right w:val="nil"/>
          <w:between w:val="nil"/>
          <w:bar w:val="nil"/>
        </w:pBdr>
        <w:spacing w:before="0" w:after="240"/>
        <w:rPr>
          <w:noProof/>
        </w:rPr>
      </w:pPr>
      <w:r w:rsidRPr="00F66162">
        <w:rPr>
          <w:noProof/>
        </w:rPr>
        <w:lastRenderedPageBreak/>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 xml:space="preserve"> zmieniono odstępstwo od obowiązków CBAM poprzez wprowadzenie nowego progu masy określonego</w:t>
      </w:r>
      <w:r w:rsidR="00825614" w:rsidRPr="00F66162">
        <w:rPr>
          <w:noProof/>
        </w:rPr>
        <w:t xml:space="preserve"> w</w:t>
      </w:r>
      <w:r w:rsidR="00825614">
        <w:rPr>
          <w:noProof/>
        </w:rPr>
        <w:t> </w:t>
      </w:r>
      <w:r w:rsidR="00825614" w:rsidRPr="00F66162">
        <w:rPr>
          <w:noProof/>
        </w:rPr>
        <w:t>now</w:t>
      </w:r>
      <w:r w:rsidRPr="00F66162">
        <w:rPr>
          <w:noProof/>
        </w:rPr>
        <w:t>ym załączniku VII do rozporządzenia</w:t>
      </w:r>
      <w:r w:rsidR="00825614" w:rsidRPr="00F66162">
        <w:rPr>
          <w:noProof/>
        </w:rPr>
        <w:t xml:space="preserve"> w</w:t>
      </w:r>
      <w:r w:rsidR="00825614">
        <w:rPr>
          <w:noProof/>
        </w:rPr>
        <w:t> </w:t>
      </w:r>
      <w:r w:rsidR="00825614" w:rsidRPr="00F66162">
        <w:rPr>
          <w:noProof/>
        </w:rPr>
        <w:t>spr</w:t>
      </w:r>
      <w:r w:rsidRPr="00F66162">
        <w:rPr>
          <w:noProof/>
        </w:rPr>
        <w:t>awie CBAM, aby</w:t>
      </w:r>
      <w:r w:rsidR="00825614" w:rsidRPr="00F66162">
        <w:rPr>
          <w:noProof/>
        </w:rPr>
        <w:t xml:space="preserve"> z</w:t>
      </w:r>
      <w:r w:rsidR="00825614">
        <w:rPr>
          <w:noProof/>
        </w:rPr>
        <w:t> </w:t>
      </w:r>
      <w:r w:rsidR="00825614" w:rsidRPr="00F66162">
        <w:rPr>
          <w:noProof/>
        </w:rPr>
        <w:t>obo</w:t>
      </w:r>
      <w:r w:rsidRPr="00F66162">
        <w:rPr>
          <w:noProof/>
        </w:rPr>
        <w:t xml:space="preserve">wiązków tych zwolnić importerów bardzo małych ilości towarów. </w:t>
      </w:r>
    </w:p>
    <w:p w14:paraId="750E3F80" w14:textId="3D647108"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2</w:t>
      </w:r>
      <w:r w:rsidRPr="00F66162">
        <w:rPr>
          <w:noProof/>
        </w:rPr>
        <w:t xml:space="preserve"> zmieniono definicje importera</w:t>
      </w:r>
      <w:r w:rsidR="00825614" w:rsidRPr="00F66162">
        <w:rPr>
          <w:noProof/>
        </w:rPr>
        <w:t xml:space="preserve"> i</w:t>
      </w:r>
      <w:r w:rsidR="00825614">
        <w:rPr>
          <w:noProof/>
        </w:rPr>
        <w:t> </w:t>
      </w:r>
      <w:r w:rsidR="00825614" w:rsidRPr="00F66162">
        <w:rPr>
          <w:noProof/>
        </w:rPr>
        <w:t>ope</w:t>
      </w:r>
      <w:r w:rsidRPr="00F66162">
        <w:rPr>
          <w:noProof/>
        </w:rPr>
        <w:t>ratora, aby ułatwić wymogi sprawozdawcze.</w:t>
      </w:r>
    </w:p>
    <w:p w14:paraId="3EA718E5" w14:textId="198752F8" w:rsidR="00C55E4F" w:rsidRPr="00F66162" w:rsidRDefault="00790288" w:rsidP="00487207">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3</w:t>
      </w:r>
      <w:r w:rsidR="00825614" w:rsidRPr="00F66162">
        <w:rPr>
          <w:noProof/>
        </w:rPr>
        <w:t xml:space="preserve"> i</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4</w:t>
      </w:r>
      <w:r w:rsidRPr="00F66162">
        <w:rPr>
          <w:noProof/>
        </w:rPr>
        <w:t xml:space="preserve"> </w:t>
      </w:r>
      <w:r w:rsidRPr="00825614">
        <w:rPr>
          <w:noProof/>
        </w:rPr>
        <w:t>lit.</w:t>
      </w:r>
      <w:r w:rsidR="00825614" w:rsidRPr="00825614">
        <w:rPr>
          <w:noProof/>
        </w:rPr>
        <w:t> </w:t>
      </w:r>
      <w:r w:rsidRPr="00825614">
        <w:rPr>
          <w:noProof/>
        </w:rPr>
        <w:t>b)</w:t>
      </w:r>
      <w:r w:rsidRPr="00F66162">
        <w:rPr>
          <w:noProof/>
        </w:rPr>
        <w:t xml:space="preserve"> wyrażono konsekwencje nowego progu dla przepisów związanych</w:t>
      </w:r>
      <w:r w:rsidR="00825614" w:rsidRPr="00F66162">
        <w:rPr>
          <w:noProof/>
        </w:rPr>
        <w:t xml:space="preserve"> z</w:t>
      </w:r>
      <w:r w:rsidR="00825614">
        <w:rPr>
          <w:noProof/>
        </w:rPr>
        <w:t> </w:t>
      </w:r>
      <w:r w:rsidR="00825614" w:rsidRPr="00F66162">
        <w:rPr>
          <w:noProof/>
        </w:rPr>
        <w:t>upo</w:t>
      </w:r>
      <w:r w:rsidRPr="00F66162">
        <w:rPr>
          <w:noProof/>
        </w:rPr>
        <w:t>ważnieniem niezbędnym, aby importerzy mogli przywozić towary powyżej tego progu, oraz przewidziano możliwość, aby upoważnieni zgłaszający CBAM – zachowując odpowiedzialność prawną za swoje obowiązki dotyczące CBAM – delegowali</w:t>
      </w:r>
      <w:r w:rsidR="00825614" w:rsidRPr="00F66162">
        <w:rPr>
          <w:noProof/>
        </w:rPr>
        <w:t xml:space="preserve"> w</w:t>
      </w:r>
      <w:r w:rsidR="00825614">
        <w:rPr>
          <w:noProof/>
        </w:rPr>
        <w:t> </w:t>
      </w:r>
      <w:r w:rsidR="00825614" w:rsidRPr="00F66162">
        <w:rPr>
          <w:noProof/>
        </w:rPr>
        <w:t>rej</w:t>
      </w:r>
      <w:r w:rsidRPr="00F66162">
        <w:rPr>
          <w:noProof/>
        </w:rPr>
        <w:t xml:space="preserve">estrze CBAM wymogi sprawozdawcze na osoby trzecie, co ułatwi im przestrzeganie przepisów. </w:t>
      </w:r>
    </w:p>
    <w:p w14:paraId="2B72EBB9" w14:textId="5CBA94A6" w:rsidR="00007A90" w:rsidRPr="00F66162" w:rsidRDefault="00007A90" w:rsidP="00007A90">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4</w:t>
      </w:r>
      <w:r w:rsidRPr="00F66162">
        <w:rPr>
          <w:noProof/>
        </w:rPr>
        <w:t xml:space="preserve"> </w:t>
      </w:r>
      <w:r w:rsidRPr="00825614">
        <w:rPr>
          <w:noProof/>
        </w:rPr>
        <w:t>lit.</w:t>
      </w:r>
      <w:r w:rsidR="00825614" w:rsidRPr="00825614">
        <w:rPr>
          <w:noProof/>
        </w:rPr>
        <w:t> </w:t>
      </w:r>
      <w:r w:rsidRPr="00825614">
        <w:rPr>
          <w:noProof/>
        </w:rPr>
        <w:t>a)</w:t>
      </w:r>
      <w:r w:rsidRPr="00F66162">
        <w:rPr>
          <w:noProof/>
        </w:rPr>
        <w:t xml:space="preserve"> zmieniono termin składania rocznej deklaracji CBAM. </w:t>
      </w:r>
    </w:p>
    <w:p w14:paraId="72C9EC93" w14:textId="380EF7A0"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4</w:t>
      </w:r>
      <w:r w:rsidRPr="00F66162">
        <w:rPr>
          <w:noProof/>
        </w:rPr>
        <w:t xml:space="preserve"> </w:t>
      </w:r>
      <w:r w:rsidRPr="00825614">
        <w:rPr>
          <w:noProof/>
        </w:rPr>
        <w:t>lit.</w:t>
      </w:r>
      <w:r w:rsidR="00825614" w:rsidRPr="00825614">
        <w:rPr>
          <w:noProof/>
        </w:rPr>
        <w:t> </w:t>
      </w:r>
      <w:r w:rsidRPr="00825614">
        <w:rPr>
          <w:noProof/>
        </w:rPr>
        <w:t>c)</w:t>
      </w:r>
      <w:r w:rsidRPr="00F66162">
        <w:rPr>
          <w:noProof/>
        </w:rPr>
        <w:t xml:space="preserve"> umożliwiono upoważnionym zgłaszającym CBAM uwzględnianie opłat emisyjnych uiszczonych</w:t>
      </w:r>
      <w:r w:rsidR="00825614" w:rsidRPr="00F66162">
        <w:rPr>
          <w:noProof/>
        </w:rPr>
        <w:t xml:space="preserve"> w</w:t>
      </w:r>
      <w:r w:rsidR="00825614">
        <w:rPr>
          <w:noProof/>
        </w:rPr>
        <w:t> </w:t>
      </w:r>
      <w:r w:rsidR="00825614" w:rsidRPr="00F66162">
        <w:rPr>
          <w:noProof/>
        </w:rPr>
        <w:t>pań</w:t>
      </w:r>
      <w:r w:rsidRPr="00F66162">
        <w:rPr>
          <w:noProof/>
        </w:rPr>
        <w:t>stwie trzecim innym niż państwo pochodzenia.</w:t>
      </w:r>
    </w:p>
    <w:p w14:paraId="4785B179" w14:textId="09B3A7D1" w:rsidR="000661B9" w:rsidRPr="00F66162" w:rsidRDefault="000661B9" w:rsidP="000661B9">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4</w:t>
      </w:r>
      <w:r w:rsidRPr="00F66162">
        <w:rPr>
          <w:noProof/>
        </w:rPr>
        <w:t xml:space="preserve"> </w:t>
      </w:r>
      <w:r w:rsidRPr="00825614">
        <w:rPr>
          <w:noProof/>
        </w:rPr>
        <w:t>lit.</w:t>
      </w:r>
      <w:r w:rsidR="00825614" w:rsidRPr="00825614">
        <w:rPr>
          <w:noProof/>
        </w:rPr>
        <w:t> </w:t>
      </w:r>
      <w:r w:rsidRPr="00825614">
        <w:rPr>
          <w:noProof/>
        </w:rPr>
        <w:t>d)</w:t>
      </w:r>
      <w:r w:rsidR="00825614" w:rsidRPr="00F66162">
        <w:rPr>
          <w:noProof/>
        </w:rPr>
        <w:t xml:space="preserve"> i</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6</w:t>
      </w:r>
      <w:r w:rsidRPr="00F66162">
        <w:rPr>
          <w:noProof/>
        </w:rPr>
        <w:t xml:space="preserve"> zmieniono przepisy dotyczące weryfikacji emisji, tak aby obowiązek weryfikacji emisji wbudowanych miał zastosowanie wyłącznie do wartości rzeczywistych. </w:t>
      </w:r>
    </w:p>
    <w:p w14:paraId="6EF6425A" w14:textId="23A410C7" w:rsidR="00790288" w:rsidRPr="00F66162" w:rsidRDefault="00F64343"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5</w:t>
      </w:r>
      <w:r w:rsidRPr="00F66162">
        <w:rPr>
          <w:noProof/>
        </w:rPr>
        <w:t xml:space="preserve"> zmieniono sposób obliczania emisji wbudowanych związanych</w:t>
      </w:r>
      <w:r w:rsidR="00825614" w:rsidRPr="00F66162">
        <w:rPr>
          <w:noProof/>
        </w:rPr>
        <w:t xml:space="preserve"> z</w:t>
      </w:r>
      <w:r w:rsidR="00825614">
        <w:rPr>
          <w:noProof/>
        </w:rPr>
        <w:t> </w:t>
      </w:r>
      <w:r w:rsidR="00825614" w:rsidRPr="00F66162">
        <w:rPr>
          <w:noProof/>
        </w:rPr>
        <w:t>odn</w:t>
      </w:r>
      <w:r w:rsidRPr="00F66162">
        <w:rPr>
          <w:noProof/>
        </w:rPr>
        <w:t xml:space="preserve">ośnymi materiałami wsadowymi (prekursorami). </w:t>
      </w:r>
    </w:p>
    <w:p w14:paraId="785C56E6" w14:textId="61AF253E" w:rsidR="00790288" w:rsidRPr="00F66162" w:rsidRDefault="7670F3A7" w:rsidP="139DF8FE">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7</w:t>
      </w:r>
      <w:r w:rsidRPr="00F66162">
        <w:rPr>
          <w:noProof/>
        </w:rPr>
        <w:t xml:space="preserve"> umożliwiono upoważnionym zgłaszającym CBAM stosowanie domyślnych opłat emisyjnych obliczonych</w:t>
      </w:r>
      <w:r w:rsidR="00825614" w:rsidRPr="00F66162">
        <w:rPr>
          <w:noProof/>
        </w:rPr>
        <w:t xml:space="preserve"> i</w:t>
      </w:r>
      <w:r w:rsidR="00825614">
        <w:rPr>
          <w:noProof/>
        </w:rPr>
        <w:t> </w:t>
      </w:r>
      <w:r w:rsidR="00825614" w:rsidRPr="00F66162">
        <w:rPr>
          <w:noProof/>
        </w:rPr>
        <w:t>udo</w:t>
      </w:r>
      <w:r w:rsidRPr="00F66162">
        <w:rPr>
          <w:noProof/>
        </w:rPr>
        <w:t>stępnionych przez Komisję oraz uwzględnianie opłat emisyjnych uiszczonych</w:t>
      </w:r>
      <w:r w:rsidR="00825614" w:rsidRPr="00F66162">
        <w:rPr>
          <w:noProof/>
        </w:rPr>
        <w:t xml:space="preserve"> w</w:t>
      </w:r>
      <w:r w:rsidR="00825614">
        <w:rPr>
          <w:noProof/>
        </w:rPr>
        <w:t> </w:t>
      </w:r>
      <w:r w:rsidR="00825614" w:rsidRPr="00F66162">
        <w:rPr>
          <w:noProof/>
        </w:rPr>
        <w:t>pań</w:t>
      </w:r>
      <w:r w:rsidRPr="00F66162">
        <w:rPr>
          <w:noProof/>
        </w:rPr>
        <w:t xml:space="preserve">stwach trzecich innych niż państwo pochodzenia towarów. </w:t>
      </w:r>
    </w:p>
    <w:p w14:paraId="097EBE74" w14:textId="60DEC390"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8</w:t>
      </w:r>
      <w:r w:rsidRPr="00F66162">
        <w:rPr>
          <w:noProof/>
        </w:rPr>
        <w:t xml:space="preserve"> ułatwiono obowiązki sprawozdawcze poprzez wprowadzenie szeregu zmian do portalu ustanowionego na podstawie </w:t>
      </w:r>
      <w:r w:rsidRPr="00825614">
        <w:rPr>
          <w:noProof/>
        </w:rPr>
        <w:t>art.</w:t>
      </w:r>
      <w:r w:rsidR="00825614" w:rsidRPr="00825614">
        <w:rPr>
          <w:noProof/>
        </w:rPr>
        <w:t> </w:t>
      </w:r>
      <w:r w:rsidRPr="00825614">
        <w:rPr>
          <w:noProof/>
        </w:rPr>
        <w:t>1</w:t>
      </w:r>
      <w:r w:rsidRPr="00F66162">
        <w:rPr>
          <w:noProof/>
        </w:rPr>
        <w:t>0</w:t>
      </w:r>
      <w:r w:rsidR="00825614" w:rsidRPr="00F66162">
        <w:rPr>
          <w:noProof/>
        </w:rPr>
        <w:t xml:space="preserve"> w</w:t>
      </w:r>
      <w:r w:rsidR="00825614">
        <w:rPr>
          <w:noProof/>
        </w:rPr>
        <w:t> </w:t>
      </w:r>
      <w:r w:rsidR="00825614" w:rsidRPr="00F66162">
        <w:rPr>
          <w:noProof/>
        </w:rPr>
        <w:t>cel</w:t>
      </w:r>
      <w:r w:rsidRPr="00F66162">
        <w:rPr>
          <w:noProof/>
        </w:rPr>
        <w:t>u rejestracji operatorów</w:t>
      </w:r>
      <w:r w:rsidR="00825614" w:rsidRPr="00F66162">
        <w:rPr>
          <w:noProof/>
        </w:rPr>
        <w:t xml:space="preserve"> i</w:t>
      </w:r>
      <w:r w:rsidR="00825614">
        <w:rPr>
          <w:noProof/>
        </w:rPr>
        <w:t> </w:t>
      </w:r>
      <w:r w:rsidR="00825614" w:rsidRPr="00F66162">
        <w:rPr>
          <w:noProof/>
        </w:rPr>
        <w:t>ins</w:t>
      </w:r>
      <w:r w:rsidRPr="00F66162">
        <w:rPr>
          <w:noProof/>
        </w:rPr>
        <w:t>talacji</w:t>
      </w:r>
      <w:r w:rsidR="00825614" w:rsidRPr="00F66162">
        <w:rPr>
          <w:noProof/>
        </w:rPr>
        <w:t xml:space="preserve"> w</w:t>
      </w:r>
      <w:r w:rsidR="00825614">
        <w:rPr>
          <w:noProof/>
        </w:rPr>
        <w:t> </w:t>
      </w:r>
      <w:r w:rsidR="00825614" w:rsidRPr="00F66162">
        <w:rPr>
          <w:noProof/>
        </w:rPr>
        <w:t>pań</w:t>
      </w:r>
      <w:r w:rsidRPr="00F66162">
        <w:rPr>
          <w:noProof/>
        </w:rPr>
        <w:t xml:space="preserve">stwach trzecich. </w:t>
      </w:r>
    </w:p>
    <w:p w14:paraId="5E5D1638" w14:textId="3E0ABD35"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9</w:t>
      </w:r>
      <w:r w:rsidRPr="00F66162">
        <w:rPr>
          <w:noProof/>
        </w:rPr>
        <w:t xml:space="preserve"> ustanowiono rejestrację akredytowanych weryfikatorów, tak aby mogli oni uzyskać dostęp do rejestru CBAM</w:t>
      </w:r>
      <w:r w:rsidR="00825614" w:rsidRPr="00F66162">
        <w:rPr>
          <w:noProof/>
        </w:rPr>
        <w:t xml:space="preserve"> i</w:t>
      </w:r>
      <w:r w:rsidR="00825614">
        <w:rPr>
          <w:noProof/>
        </w:rPr>
        <w:t> </w:t>
      </w:r>
      <w:r w:rsidR="00825614" w:rsidRPr="00F66162">
        <w:rPr>
          <w:noProof/>
        </w:rPr>
        <w:t>wyk</w:t>
      </w:r>
      <w:r w:rsidRPr="00F66162">
        <w:rPr>
          <w:noProof/>
        </w:rPr>
        <w:t xml:space="preserve">onywać odpowiednie zadania ułatwiające wypełnianie obowiązków sprawozdawczych. </w:t>
      </w:r>
    </w:p>
    <w:p w14:paraId="342A5762" w14:textId="46B9D82D"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0 wzmocniono uprawnienia, jakie państwa członkowskie przyznają swoim właściwym organom krajowym do celów wykonywania obowiązków</w:t>
      </w:r>
      <w:r w:rsidR="00825614" w:rsidRPr="00F66162">
        <w:rPr>
          <w:noProof/>
        </w:rPr>
        <w:t xml:space="preserve"> i</w:t>
      </w:r>
      <w:r w:rsidR="00825614">
        <w:rPr>
          <w:noProof/>
        </w:rPr>
        <w:t> </w:t>
      </w:r>
      <w:r w:rsidR="00825614" w:rsidRPr="00F66162">
        <w:rPr>
          <w:noProof/>
        </w:rPr>
        <w:t>zad</w:t>
      </w:r>
      <w:r w:rsidRPr="00F66162">
        <w:rPr>
          <w:noProof/>
        </w:rPr>
        <w:t>ań związanych z CBAM.</w:t>
      </w:r>
    </w:p>
    <w:p w14:paraId="576719CD" w14:textId="1C7A5847"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1</w:t>
      </w:r>
      <w:r w:rsidR="00825614" w:rsidRPr="00F66162">
        <w:rPr>
          <w:noProof/>
        </w:rPr>
        <w:t xml:space="preserve"> i</w:t>
      </w:r>
      <w:r w:rsidR="00825614">
        <w:rPr>
          <w:noProof/>
        </w:rPr>
        <w:t> </w:t>
      </w:r>
      <w:r w:rsidR="00825614" w:rsidRPr="00F66162">
        <w:rPr>
          <w:noProof/>
        </w:rPr>
        <w:t>1</w:t>
      </w:r>
      <w:r w:rsidRPr="00F66162">
        <w:rPr>
          <w:noProof/>
        </w:rPr>
        <w:t>3 wyrażono konsekwencje zmian wprowadzonych niniejszym wnioskiem dotyczące wymogów mających zastosowanie do rejestru CBAM, analizy ryzyka</w:t>
      </w:r>
      <w:r w:rsidR="00825614" w:rsidRPr="00F66162">
        <w:rPr>
          <w:noProof/>
        </w:rPr>
        <w:t xml:space="preserve"> i</w:t>
      </w:r>
      <w:r w:rsidR="00825614">
        <w:rPr>
          <w:noProof/>
        </w:rPr>
        <w:t> </w:t>
      </w:r>
      <w:r w:rsidR="00825614" w:rsidRPr="00F66162">
        <w:rPr>
          <w:noProof/>
        </w:rPr>
        <w:t>mon</w:t>
      </w:r>
      <w:r w:rsidRPr="00F66162">
        <w:rPr>
          <w:noProof/>
        </w:rPr>
        <w:t>itorowania.</w:t>
      </w:r>
    </w:p>
    <w:p w14:paraId="2955A717" w14:textId="5D05B396"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2 usprawniono konsultacje</w:t>
      </w:r>
      <w:r w:rsidR="00825614" w:rsidRPr="00F66162">
        <w:rPr>
          <w:noProof/>
        </w:rPr>
        <w:t xml:space="preserve"> z</w:t>
      </w:r>
      <w:r w:rsidR="00825614">
        <w:rPr>
          <w:noProof/>
        </w:rPr>
        <w:t> </w:t>
      </w:r>
      <w:r w:rsidR="00825614" w:rsidRPr="00F66162">
        <w:rPr>
          <w:noProof/>
        </w:rPr>
        <w:t>inn</w:t>
      </w:r>
      <w:r w:rsidRPr="00F66162">
        <w:rPr>
          <w:noProof/>
        </w:rPr>
        <w:t>ymi właściwymi organami</w:t>
      </w:r>
      <w:r w:rsidR="00825614" w:rsidRPr="00F66162">
        <w:rPr>
          <w:noProof/>
        </w:rPr>
        <w:t xml:space="preserve"> i</w:t>
      </w:r>
      <w:r w:rsidR="00825614">
        <w:rPr>
          <w:noProof/>
        </w:rPr>
        <w:t> </w:t>
      </w:r>
      <w:r w:rsidR="00825614" w:rsidRPr="00F66162">
        <w:rPr>
          <w:noProof/>
        </w:rPr>
        <w:t>Kom</w:t>
      </w:r>
      <w:r w:rsidRPr="00F66162">
        <w:rPr>
          <w:noProof/>
        </w:rPr>
        <w:t>isją</w:t>
      </w:r>
      <w:r w:rsidR="00825614" w:rsidRPr="00F66162">
        <w:rPr>
          <w:noProof/>
        </w:rPr>
        <w:t xml:space="preserve"> w</w:t>
      </w:r>
      <w:r w:rsidR="00825614">
        <w:rPr>
          <w:noProof/>
        </w:rPr>
        <w:t> </w:t>
      </w:r>
      <w:r w:rsidR="00825614" w:rsidRPr="00F66162">
        <w:rPr>
          <w:noProof/>
        </w:rPr>
        <w:t>cel</w:t>
      </w:r>
      <w:r w:rsidRPr="00F66162">
        <w:rPr>
          <w:noProof/>
        </w:rPr>
        <w:t xml:space="preserve">u wyeliminowania nadmiernych obciążeń administracyjnych. </w:t>
      </w:r>
    </w:p>
    <w:p w14:paraId="55F7DA1F" w14:textId="02CC116E"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4 określono, że sprzedaż certyfikatów CBAM rozpocznie się</w:t>
      </w:r>
      <w:r w:rsidR="00825614" w:rsidRPr="00F66162">
        <w:rPr>
          <w:noProof/>
        </w:rPr>
        <w:t xml:space="preserve"> w</w:t>
      </w:r>
      <w:r w:rsidR="00825614">
        <w:rPr>
          <w:noProof/>
        </w:rPr>
        <w:t> </w:t>
      </w:r>
      <w:r w:rsidR="00825614" w:rsidRPr="00F66162">
        <w:rPr>
          <w:noProof/>
        </w:rPr>
        <w:t>lut</w:t>
      </w:r>
      <w:r w:rsidRPr="00F66162">
        <w:rPr>
          <w:noProof/>
        </w:rPr>
        <w:t>ym 20</w:t>
      </w:r>
      <w:r w:rsidRPr="00825614">
        <w:rPr>
          <w:noProof/>
        </w:rPr>
        <w:t>27</w:t>
      </w:r>
      <w:r w:rsidR="00825614" w:rsidRPr="00825614">
        <w:rPr>
          <w:noProof/>
        </w:rPr>
        <w:t> </w:t>
      </w:r>
      <w:r w:rsidRPr="00825614">
        <w:rPr>
          <w:noProof/>
        </w:rPr>
        <w:t>r.</w:t>
      </w:r>
      <w:r w:rsidRPr="00F66162">
        <w:rPr>
          <w:noProof/>
        </w:rPr>
        <w:t>, aby zmniejszyć niepewność związaną</w:t>
      </w:r>
      <w:r w:rsidR="00825614" w:rsidRPr="00F66162">
        <w:rPr>
          <w:noProof/>
        </w:rPr>
        <w:t xml:space="preserve"> z</w:t>
      </w:r>
      <w:r w:rsidR="00825614">
        <w:rPr>
          <w:noProof/>
        </w:rPr>
        <w:t> </w:t>
      </w:r>
      <w:r w:rsidR="00825614" w:rsidRPr="00F66162">
        <w:rPr>
          <w:noProof/>
        </w:rPr>
        <w:t>2</w:t>
      </w:r>
      <w:r w:rsidRPr="00F66162">
        <w:rPr>
          <w:noProof/>
        </w:rPr>
        <w:t>0</w:t>
      </w:r>
      <w:r w:rsidRPr="00825614">
        <w:rPr>
          <w:noProof/>
        </w:rPr>
        <w:t>26</w:t>
      </w:r>
      <w:r w:rsidR="00825614" w:rsidRPr="00825614">
        <w:rPr>
          <w:noProof/>
        </w:rPr>
        <w:t> </w:t>
      </w:r>
      <w:r w:rsidRPr="00825614">
        <w:rPr>
          <w:noProof/>
        </w:rPr>
        <w:t>r.</w:t>
      </w:r>
      <w:r w:rsidRPr="00F66162">
        <w:rPr>
          <w:noProof/>
        </w:rPr>
        <w:t xml:space="preserve">, czyli pierwszym rokiem po okresie </w:t>
      </w:r>
      <w:r w:rsidRPr="00F66162">
        <w:rPr>
          <w:noProof/>
        </w:rPr>
        <w:lastRenderedPageBreak/>
        <w:t>przejściowym, oraz usprawniono wymianę informacji między rejestrem CBAM</w:t>
      </w:r>
      <w:r w:rsidR="00825614" w:rsidRPr="00F66162">
        <w:rPr>
          <w:noProof/>
        </w:rPr>
        <w:t xml:space="preserve"> a</w:t>
      </w:r>
      <w:r w:rsidR="00825614">
        <w:rPr>
          <w:noProof/>
        </w:rPr>
        <w:t> </w:t>
      </w:r>
      <w:r w:rsidR="00825614" w:rsidRPr="00F66162">
        <w:rPr>
          <w:noProof/>
        </w:rPr>
        <w:t>wsp</w:t>
      </w:r>
      <w:r w:rsidRPr="00F66162">
        <w:rPr>
          <w:noProof/>
        </w:rPr>
        <w:t xml:space="preserve">ólną centralną platformą. </w:t>
      </w:r>
    </w:p>
    <w:p w14:paraId="2077BD04" w14:textId="427BABBA"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5</w:t>
      </w:r>
      <w:r w:rsidR="00825614" w:rsidRPr="00F66162">
        <w:rPr>
          <w:noProof/>
        </w:rPr>
        <w:t xml:space="preserve"> i</w:t>
      </w:r>
      <w:r w:rsidR="00825614">
        <w:rPr>
          <w:noProof/>
        </w:rPr>
        <w:t> </w:t>
      </w:r>
      <w:r w:rsidR="00825614" w:rsidRPr="00F66162">
        <w:rPr>
          <w:noProof/>
        </w:rPr>
        <w:t>1</w:t>
      </w:r>
      <w:r w:rsidRPr="00F66162">
        <w:rPr>
          <w:noProof/>
        </w:rPr>
        <w:t xml:space="preserve">8 wyrażono konsekwencje przeniesienia sprzedaży certyfikatów </w:t>
      </w:r>
      <w:r w:rsidRPr="00825614">
        <w:rPr>
          <w:noProof/>
        </w:rPr>
        <w:t>na</w:t>
      </w:r>
      <w:r w:rsidR="00825614" w:rsidRPr="00825614">
        <w:rPr>
          <w:noProof/>
        </w:rPr>
        <w:t> </w:t>
      </w:r>
      <w:r w:rsidRPr="00825614">
        <w:rPr>
          <w:noProof/>
        </w:rPr>
        <w:t>2</w:t>
      </w:r>
      <w:r w:rsidRPr="00F66162">
        <w:rPr>
          <w:noProof/>
        </w:rPr>
        <w:t>0</w:t>
      </w:r>
      <w:r w:rsidRPr="00825614">
        <w:rPr>
          <w:noProof/>
        </w:rPr>
        <w:t>27</w:t>
      </w:r>
      <w:r w:rsidR="00825614" w:rsidRPr="00825614">
        <w:rPr>
          <w:noProof/>
        </w:rPr>
        <w:t> </w:t>
      </w:r>
      <w:r w:rsidRPr="00825614">
        <w:rPr>
          <w:noProof/>
        </w:rPr>
        <w:t>r.</w:t>
      </w:r>
      <w:r w:rsidRPr="00F66162">
        <w:rPr>
          <w:noProof/>
        </w:rPr>
        <w:t xml:space="preserve"> dla określania dostosowania finansowego </w:t>
      </w:r>
      <w:r w:rsidRPr="00825614">
        <w:rPr>
          <w:noProof/>
        </w:rPr>
        <w:t>za</w:t>
      </w:r>
      <w:r w:rsidR="00825614" w:rsidRPr="00825614">
        <w:rPr>
          <w:noProof/>
        </w:rPr>
        <w:t> </w:t>
      </w:r>
      <w:r w:rsidRPr="00825614">
        <w:rPr>
          <w:noProof/>
        </w:rPr>
        <w:t>2</w:t>
      </w:r>
      <w:r w:rsidRPr="00F66162">
        <w:rPr>
          <w:noProof/>
        </w:rPr>
        <w:t>0</w:t>
      </w:r>
      <w:r w:rsidRPr="00825614">
        <w:rPr>
          <w:noProof/>
        </w:rPr>
        <w:t>26</w:t>
      </w:r>
      <w:r w:rsidR="00825614" w:rsidRPr="00825614">
        <w:rPr>
          <w:noProof/>
        </w:rPr>
        <w:t> </w:t>
      </w:r>
      <w:r w:rsidRPr="00825614">
        <w:rPr>
          <w:noProof/>
        </w:rPr>
        <w:t>r.</w:t>
      </w:r>
      <w:r w:rsidRPr="00F66162">
        <w:rPr>
          <w:noProof/>
        </w:rPr>
        <w:t xml:space="preserve"> </w:t>
      </w:r>
    </w:p>
    <w:p w14:paraId="2C9B0F8E" w14:textId="5BCE2B10"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6 uproszczono –</w:t>
      </w:r>
      <w:r w:rsidR="00825614" w:rsidRPr="00F66162">
        <w:rPr>
          <w:noProof/>
        </w:rPr>
        <w:t xml:space="preserve"> z</w:t>
      </w:r>
      <w:r w:rsidR="00825614">
        <w:rPr>
          <w:noProof/>
        </w:rPr>
        <w:t> </w:t>
      </w:r>
      <w:r w:rsidR="00825614" w:rsidRPr="00F66162">
        <w:rPr>
          <w:noProof/>
        </w:rPr>
        <w:t>zas</w:t>
      </w:r>
      <w:r w:rsidRPr="00F66162">
        <w:rPr>
          <w:noProof/>
        </w:rPr>
        <w:t xml:space="preserve">tosowaniem </w:t>
      </w:r>
      <w:r w:rsidRPr="00825614">
        <w:rPr>
          <w:noProof/>
        </w:rPr>
        <w:t>od</w:t>
      </w:r>
      <w:r w:rsidR="00825614" w:rsidRPr="00825614">
        <w:rPr>
          <w:noProof/>
        </w:rPr>
        <w:t> </w:t>
      </w:r>
      <w:r w:rsidRPr="00825614">
        <w:rPr>
          <w:noProof/>
        </w:rPr>
        <w:t>2</w:t>
      </w:r>
      <w:r w:rsidRPr="00F66162">
        <w:rPr>
          <w:noProof/>
        </w:rPr>
        <w:t>0</w:t>
      </w:r>
      <w:r w:rsidRPr="00825614">
        <w:rPr>
          <w:noProof/>
        </w:rPr>
        <w:t>27</w:t>
      </w:r>
      <w:r w:rsidR="00825614" w:rsidRPr="00825614">
        <w:rPr>
          <w:noProof/>
        </w:rPr>
        <w:t> </w:t>
      </w:r>
      <w:r w:rsidRPr="00825614">
        <w:rPr>
          <w:noProof/>
        </w:rPr>
        <w:t>r.</w:t>
      </w:r>
      <w:r w:rsidRPr="00F66162">
        <w:rPr>
          <w:noProof/>
        </w:rPr>
        <w:t xml:space="preserve"> – obliczenia dokonywane przez upoważnionych zgłaszających CBAM, dotyczące ich oczekiwanej odpowiedzialności finansowej</w:t>
      </w:r>
      <w:r w:rsidR="00825614" w:rsidRPr="00F66162">
        <w:rPr>
          <w:noProof/>
        </w:rPr>
        <w:t xml:space="preserve"> w</w:t>
      </w:r>
      <w:r w:rsidR="00825614">
        <w:rPr>
          <w:noProof/>
        </w:rPr>
        <w:t> </w:t>
      </w:r>
      <w:r w:rsidR="00825614" w:rsidRPr="00F66162">
        <w:rPr>
          <w:noProof/>
        </w:rPr>
        <w:t>rok</w:t>
      </w:r>
      <w:r w:rsidRPr="00F66162">
        <w:rPr>
          <w:noProof/>
        </w:rPr>
        <w:t>u przywozu.</w:t>
      </w:r>
    </w:p>
    <w:p w14:paraId="53B090E7" w14:textId="3F395773"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7 zmieniono limit odkupu</w:t>
      </w:r>
      <w:r w:rsidR="00825614" w:rsidRPr="00F66162">
        <w:rPr>
          <w:noProof/>
        </w:rPr>
        <w:t xml:space="preserve"> w</w:t>
      </w:r>
      <w:r w:rsidR="00825614">
        <w:rPr>
          <w:noProof/>
        </w:rPr>
        <w:t> </w:t>
      </w:r>
      <w:r w:rsidR="00825614" w:rsidRPr="00F66162">
        <w:rPr>
          <w:noProof/>
        </w:rPr>
        <w:t>cel</w:t>
      </w:r>
      <w:r w:rsidRPr="00F66162">
        <w:rPr>
          <w:noProof/>
        </w:rPr>
        <w:t>u ułatwienia sposobu,</w:t>
      </w:r>
      <w:r w:rsidR="00825614" w:rsidRPr="00F66162">
        <w:rPr>
          <w:noProof/>
        </w:rPr>
        <w:t xml:space="preserve"> w</w:t>
      </w:r>
      <w:r w:rsidR="00825614">
        <w:rPr>
          <w:noProof/>
        </w:rPr>
        <w:t> </w:t>
      </w:r>
      <w:r w:rsidR="00825614" w:rsidRPr="00F66162">
        <w:rPr>
          <w:noProof/>
        </w:rPr>
        <w:t>jak</w:t>
      </w:r>
      <w:r w:rsidRPr="00F66162">
        <w:rPr>
          <w:noProof/>
        </w:rPr>
        <w:t>i upoważniony zgłaszający CBAM może zarządzać swoją odpowiedzialnością finansową CBAM,</w:t>
      </w:r>
      <w:r w:rsidR="00825614" w:rsidRPr="00F66162">
        <w:rPr>
          <w:noProof/>
        </w:rPr>
        <w:t xml:space="preserve"> i</w:t>
      </w:r>
      <w:r w:rsidR="00825614">
        <w:rPr>
          <w:noProof/>
        </w:rPr>
        <w:t> </w:t>
      </w:r>
      <w:r w:rsidR="00825614" w:rsidRPr="00F66162">
        <w:rPr>
          <w:noProof/>
        </w:rPr>
        <w:t>wyr</w:t>
      </w:r>
      <w:r w:rsidRPr="00F66162">
        <w:rPr>
          <w:noProof/>
        </w:rPr>
        <w:t xml:space="preserve">ażono konsekwencje zmiany terminu składania rocznych deklaracji CBAM. </w:t>
      </w:r>
    </w:p>
    <w:p w14:paraId="37B3D159" w14:textId="6F26383F" w:rsidR="003E04C7"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9 zmieniono zakres informacji wymienianych</w:t>
      </w:r>
      <w:r w:rsidR="00825614" w:rsidRPr="00F66162">
        <w:rPr>
          <w:noProof/>
        </w:rPr>
        <w:t xml:space="preserve"> z</w:t>
      </w:r>
      <w:r w:rsidR="00825614">
        <w:rPr>
          <w:noProof/>
        </w:rPr>
        <w:t> </w:t>
      </w:r>
      <w:r w:rsidR="00825614" w:rsidRPr="00F66162">
        <w:rPr>
          <w:noProof/>
        </w:rPr>
        <w:t>org</w:t>
      </w:r>
      <w:r w:rsidRPr="00F66162">
        <w:rPr>
          <w:noProof/>
        </w:rPr>
        <w:t>anami celnymi, właściwymi organami</w:t>
      </w:r>
      <w:r w:rsidR="00825614" w:rsidRPr="00F66162">
        <w:rPr>
          <w:noProof/>
        </w:rPr>
        <w:t xml:space="preserve"> i</w:t>
      </w:r>
      <w:r w:rsidR="00825614">
        <w:rPr>
          <w:noProof/>
        </w:rPr>
        <w:t> </w:t>
      </w:r>
      <w:r w:rsidR="00825614" w:rsidRPr="00F66162">
        <w:rPr>
          <w:noProof/>
        </w:rPr>
        <w:t>Kom</w:t>
      </w:r>
      <w:r w:rsidRPr="00F66162">
        <w:rPr>
          <w:noProof/>
        </w:rPr>
        <w:t>isją, aby uwzględnić wprowadzane odstępstwo.</w:t>
      </w:r>
    </w:p>
    <w:p w14:paraId="08731E99" w14:textId="01750162" w:rsidR="00790288" w:rsidRPr="00F66162" w:rsidRDefault="003E04C7"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2</w:t>
      </w:r>
      <w:r w:rsidRPr="00F66162">
        <w:rPr>
          <w:noProof/>
        </w:rPr>
        <w:t>0</w:t>
      </w:r>
      <w:r w:rsidR="00825614" w:rsidRPr="00F66162">
        <w:rPr>
          <w:noProof/>
        </w:rPr>
        <w:t xml:space="preserve"> i</w:t>
      </w:r>
      <w:r w:rsidR="00825614">
        <w:rPr>
          <w:noProof/>
        </w:rPr>
        <w:t> </w:t>
      </w:r>
      <w:r w:rsidR="00825614" w:rsidRPr="00F66162">
        <w:rPr>
          <w:noProof/>
        </w:rPr>
        <w:t>2</w:t>
      </w:r>
      <w:r w:rsidRPr="00F66162">
        <w:rPr>
          <w:noProof/>
        </w:rPr>
        <w:t>2 wprowadzono zasady monitorowania odstępstwa</w:t>
      </w:r>
      <w:r w:rsidR="00825614" w:rsidRPr="00F66162">
        <w:rPr>
          <w:noProof/>
        </w:rPr>
        <w:t xml:space="preserve"> i</w:t>
      </w:r>
      <w:r w:rsidR="00825614">
        <w:rPr>
          <w:noProof/>
        </w:rPr>
        <w:t> </w:t>
      </w:r>
      <w:r w:rsidR="00825614" w:rsidRPr="00F66162">
        <w:rPr>
          <w:noProof/>
        </w:rPr>
        <w:t>wym</w:t>
      </w:r>
      <w:r w:rsidRPr="00F66162">
        <w:rPr>
          <w:noProof/>
        </w:rPr>
        <w:t xml:space="preserve">ianę informacji na jego temat. </w:t>
      </w:r>
    </w:p>
    <w:p w14:paraId="43699033" w14:textId="10A91B6F"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2</w:t>
      </w:r>
      <w:r w:rsidRPr="00F66162">
        <w:rPr>
          <w:noProof/>
        </w:rPr>
        <w:t>1 umożliwiono właściwym organom regulowanie wysokości kary</w:t>
      </w:r>
      <w:r w:rsidR="00825614" w:rsidRPr="00F66162">
        <w:rPr>
          <w:noProof/>
        </w:rPr>
        <w:t xml:space="preserve"> w</w:t>
      </w:r>
      <w:r w:rsidR="00825614">
        <w:rPr>
          <w:noProof/>
        </w:rPr>
        <w:t> </w:t>
      </w:r>
      <w:r w:rsidR="00825614" w:rsidRPr="00F66162">
        <w:rPr>
          <w:noProof/>
        </w:rPr>
        <w:t>opa</w:t>
      </w:r>
      <w:r w:rsidRPr="00F66162">
        <w:rPr>
          <w:noProof/>
        </w:rPr>
        <w:t>rciu</w:t>
      </w:r>
      <w:r w:rsidR="00825614" w:rsidRPr="00F66162">
        <w:rPr>
          <w:noProof/>
        </w:rPr>
        <w:t xml:space="preserve"> o</w:t>
      </w:r>
      <w:r w:rsidR="00825614">
        <w:rPr>
          <w:noProof/>
        </w:rPr>
        <w:t> </w:t>
      </w:r>
      <w:r w:rsidR="00825614" w:rsidRPr="00F66162">
        <w:rPr>
          <w:noProof/>
        </w:rPr>
        <w:t>ist</w:t>
      </w:r>
      <w:r w:rsidRPr="00F66162">
        <w:rPr>
          <w:noProof/>
        </w:rPr>
        <w:t>otne fakty</w:t>
      </w:r>
      <w:r w:rsidR="00825614" w:rsidRPr="00F66162">
        <w:rPr>
          <w:noProof/>
        </w:rPr>
        <w:t xml:space="preserve"> i</w:t>
      </w:r>
      <w:r w:rsidR="00825614">
        <w:rPr>
          <w:noProof/>
        </w:rPr>
        <w:t> </w:t>
      </w:r>
      <w:r w:rsidR="00825614" w:rsidRPr="00F66162">
        <w:rPr>
          <w:noProof/>
        </w:rPr>
        <w:t>oko</w:t>
      </w:r>
      <w:r w:rsidRPr="00F66162">
        <w:rPr>
          <w:noProof/>
        </w:rPr>
        <w:t xml:space="preserve">liczności oraz wyrażono konsekwencje nowego odstępstwa. </w:t>
      </w:r>
    </w:p>
    <w:p w14:paraId="43CDCC58" w14:textId="3845CFAD"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2</w:t>
      </w:r>
      <w:r w:rsidRPr="00F66162">
        <w:rPr>
          <w:noProof/>
        </w:rPr>
        <w:t>3 zmieniono przyznane Komisji przez współprawodawców uprawnienia do przyjmowania aktów delegowanych, aby uwzględnić uproszczenia wprowadzane niniejszym wnioskiem.</w:t>
      </w:r>
    </w:p>
    <w:p w14:paraId="49252150" w14:textId="139B8322"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2</w:t>
      </w:r>
      <w:r w:rsidRPr="00F66162">
        <w:rPr>
          <w:noProof/>
        </w:rPr>
        <w:t>4 uzupełniono sprawozdawczość Komisji względem współprawodawców</w:t>
      </w:r>
      <w:r w:rsidR="00825614" w:rsidRPr="00F66162">
        <w:rPr>
          <w:noProof/>
        </w:rPr>
        <w:t xml:space="preserve"> o</w:t>
      </w:r>
      <w:r w:rsidR="00825614">
        <w:rPr>
          <w:noProof/>
        </w:rPr>
        <w:t> </w:t>
      </w:r>
      <w:r w:rsidR="00825614" w:rsidRPr="00F66162">
        <w:rPr>
          <w:noProof/>
        </w:rPr>
        <w:t>sto</w:t>
      </w:r>
      <w:r w:rsidRPr="00F66162">
        <w:rPr>
          <w:noProof/>
        </w:rPr>
        <w:t xml:space="preserve">sowanie odstępstwa zmienionego niniejszym wnioskiem. </w:t>
      </w:r>
    </w:p>
    <w:p w14:paraId="307BCFA2" w14:textId="42816E41"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2</w:t>
      </w:r>
      <w:r w:rsidRPr="00F66162">
        <w:rPr>
          <w:noProof/>
        </w:rPr>
        <w:t>5 zmieniono wykaz towarów objętych CBAM, aby wyłączyć</w:t>
      </w:r>
      <w:r w:rsidR="00825614" w:rsidRPr="00F66162">
        <w:rPr>
          <w:noProof/>
        </w:rPr>
        <w:t xml:space="preserve"> z</w:t>
      </w:r>
      <w:r w:rsidR="00825614">
        <w:rPr>
          <w:noProof/>
        </w:rPr>
        <w:t> </w:t>
      </w:r>
      <w:r w:rsidR="00825614" w:rsidRPr="00F66162">
        <w:rPr>
          <w:noProof/>
        </w:rPr>
        <w:t>nie</w:t>
      </w:r>
      <w:r w:rsidRPr="00F66162">
        <w:rPr>
          <w:noProof/>
        </w:rPr>
        <w:t xml:space="preserve">go niekalcynowane gliny kaolinowe. </w:t>
      </w:r>
    </w:p>
    <w:p w14:paraId="18D93DF7" w14:textId="09E5DC73" w:rsidR="00790288" w:rsidRPr="00F66162" w:rsidRDefault="00790288"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2</w:t>
      </w:r>
      <w:r w:rsidRPr="00F66162">
        <w:rPr>
          <w:noProof/>
        </w:rPr>
        <w:t>6 dodano energię elektryczną do wykazu towarów objętych CBAM,</w:t>
      </w:r>
      <w:r w:rsidR="00825614" w:rsidRPr="00F66162">
        <w:rPr>
          <w:noProof/>
        </w:rPr>
        <w:t xml:space="preserve"> w</w:t>
      </w:r>
      <w:r w:rsidR="00825614">
        <w:rPr>
          <w:noProof/>
        </w:rPr>
        <w:t> </w:t>
      </w:r>
      <w:r w:rsidR="00825614" w:rsidRPr="00F66162">
        <w:rPr>
          <w:noProof/>
        </w:rPr>
        <w:t>odn</w:t>
      </w:r>
      <w:r w:rsidRPr="00F66162">
        <w:rPr>
          <w:noProof/>
        </w:rPr>
        <w:t>iesieniu do których przy obliczaniu emisji wbudowanych uwzględnia się jedynie emisje bezpośrednie.</w:t>
      </w:r>
    </w:p>
    <w:p w14:paraId="612AE47A" w14:textId="515A971A" w:rsidR="00CA6F4D" w:rsidRPr="00F66162" w:rsidRDefault="000661B9" w:rsidP="00390489">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2</w:t>
      </w:r>
      <w:r w:rsidRPr="00F66162">
        <w:rPr>
          <w:noProof/>
        </w:rPr>
        <w:t>7 zmieniono załącznik IV do rozporządzenia (UE) 2023/956, aby wyłączyć</w:t>
      </w:r>
      <w:r w:rsidR="00825614" w:rsidRPr="00F66162">
        <w:rPr>
          <w:noProof/>
        </w:rPr>
        <w:t xml:space="preserve"> z</w:t>
      </w:r>
      <w:r w:rsidR="00825614">
        <w:rPr>
          <w:noProof/>
        </w:rPr>
        <w:t> </w:t>
      </w:r>
      <w:r w:rsidR="00825614" w:rsidRPr="00F66162">
        <w:rPr>
          <w:noProof/>
        </w:rPr>
        <w:t>zak</w:t>
      </w:r>
      <w:r w:rsidRPr="00F66162">
        <w:rPr>
          <w:noProof/>
        </w:rPr>
        <w:t>resu stosowania materiały wsadowe objęte EU ETS lub systemem ustalania opłat emisyjnych</w:t>
      </w:r>
      <w:r w:rsidR="00825614" w:rsidRPr="00F66162">
        <w:rPr>
          <w:noProof/>
        </w:rPr>
        <w:t xml:space="preserve"> w</w:t>
      </w:r>
      <w:r w:rsidR="00825614">
        <w:rPr>
          <w:noProof/>
        </w:rPr>
        <w:t> </w:t>
      </w:r>
      <w:r w:rsidR="00825614" w:rsidRPr="00F66162">
        <w:rPr>
          <w:noProof/>
        </w:rPr>
        <w:t>peł</w:t>
      </w:r>
      <w:r w:rsidRPr="00F66162">
        <w:rPr>
          <w:noProof/>
        </w:rPr>
        <w:t>ni powiązanym z EU ETS.</w:t>
      </w:r>
    </w:p>
    <w:p w14:paraId="458BFB8E" w14:textId="5EEF5089" w:rsidR="00833020" w:rsidRPr="00F66162" w:rsidRDefault="00CA6F4D" w:rsidP="00790288">
      <w:pPr>
        <w:pBdr>
          <w:top w:val="nil"/>
          <w:left w:val="nil"/>
          <w:bottom w:val="nil"/>
          <w:right w:val="nil"/>
          <w:between w:val="nil"/>
          <w:bar w:val="nil"/>
        </w:pBdr>
        <w:spacing w:before="0" w:after="240"/>
        <w:rPr>
          <w:noProof/>
        </w:rPr>
      </w:pPr>
      <w:r w:rsidRPr="00F66162">
        <w:rPr>
          <w:noProof/>
        </w:rPr>
        <w:t xml:space="preserve">W </w:t>
      </w:r>
      <w:r w:rsidRPr="00825614">
        <w:rPr>
          <w:noProof/>
        </w:rPr>
        <w:t>art.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2</w:t>
      </w:r>
      <w:r w:rsidRPr="00F66162">
        <w:rPr>
          <w:noProof/>
        </w:rPr>
        <w:t>8 wprowadzono nowy załącznik VII</w:t>
      </w:r>
      <w:r w:rsidR="00825614" w:rsidRPr="00F66162">
        <w:rPr>
          <w:noProof/>
        </w:rPr>
        <w:t xml:space="preserve"> w</w:t>
      </w:r>
      <w:r w:rsidR="00825614">
        <w:rPr>
          <w:noProof/>
        </w:rPr>
        <w:t> </w:t>
      </w:r>
      <w:r w:rsidR="00825614" w:rsidRPr="00F66162">
        <w:rPr>
          <w:noProof/>
        </w:rPr>
        <w:t>cel</w:t>
      </w:r>
      <w:r w:rsidRPr="00F66162">
        <w:rPr>
          <w:noProof/>
        </w:rPr>
        <w:t>u ustalenia progu,</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 xml:space="preserve"> </w:t>
      </w:r>
      <w:r w:rsidRPr="00825614">
        <w:rPr>
          <w:noProof/>
        </w:rPr>
        <w:t>ust.</w:t>
      </w:r>
      <w:r w:rsidR="00825614" w:rsidRPr="00825614">
        <w:rPr>
          <w:noProof/>
        </w:rPr>
        <w:t> </w:t>
      </w:r>
      <w:r w:rsidRPr="00825614">
        <w:rPr>
          <w:noProof/>
        </w:rPr>
        <w:t>1</w:t>
      </w:r>
      <w:r w:rsidRPr="00F66162">
        <w:rPr>
          <w:noProof/>
        </w:rPr>
        <w:t xml:space="preserve"> </w:t>
      </w:r>
      <w:r w:rsidRPr="00825614">
        <w:rPr>
          <w:noProof/>
        </w:rPr>
        <w:t>lit.</w:t>
      </w:r>
      <w:r w:rsidR="00825614" w:rsidRPr="00825614">
        <w:rPr>
          <w:noProof/>
        </w:rPr>
        <w:t> </w:t>
      </w:r>
      <w:r w:rsidRPr="00825614">
        <w:rPr>
          <w:noProof/>
        </w:rPr>
        <w:t>b)</w:t>
      </w:r>
      <w:r w:rsidRPr="00F66162">
        <w:rPr>
          <w:noProof/>
        </w:rPr>
        <w:t>.</w:t>
      </w:r>
    </w:p>
    <w:p w14:paraId="263E4B42" w14:textId="74E9DC9C" w:rsidR="00FA5543" w:rsidRPr="00F66162" w:rsidRDefault="00790288" w:rsidP="00390489">
      <w:pPr>
        <w:pBdr>
          <w:top w:val="nil"/>
          <w:left w:val="nil"/>
          <w:bottom w:val="nil"/>
          <w:right w:val="nil"/>
          <w:between w:val="nil"/>
          <w:bar w:val="nil"/>
        </w:pBdr>
        <w:spacing w:before="0" w:after="240"/>
        <w:rPr>
          <w:noProof/>
        </w:rPr>
      </w:pPr>
      <w:r w:rsidRPr="00F66162">
        <w:rPr>
          <w:noProof/>
        </w:rPr>
        <w:t>Ponadto załączniki zawierają szereg uproszczeń</w:t>
      </w:r>
      <w:r w:rsidR="00825614" w:rsidRPr="00F66162">
        <w:rPr>
          <w:noProof/>
        </w:rPr>
        <w:t xml:space="preserve"> w</w:t>
      </w:r>
      <w:r w:rsidR="00825614">
        <w:rPr>
          <w:noProof/>
        </w:rPr>
        <w:t> </w:t>
      </w:r>
      <w:r w:rsidR="00825614" w:rsidRPr="00F66162">
        <w:rPr>
          <w:noProof/>
        </w:rPr>
        <w:t>zak</w:t>
      </w:r>
      <w:r w:rsidRPr="00F66162">
        <w:rPr>
          <w:noProof/>
        </w:rPr>
        <w:t>resie obliczania emisji wbudowanych, aby ułatwić obowiązki sprawozdawcze, na przykład</w:t>
      </w:r>
      <w:r w:rsidR="00825614" w:rsidRPr="00F66162">
        <w:rPr>
          <w:noProof/>
        </w:rPr>
        <w:t xml:space="preserve"> w</w:t>
      </w:r>
      <w:r w:rsidR="00825614">
        <w:rPr>
          <w:noProof/>
        </w:rPr>
        <w:t> </w:t>
      </w:r>
      <w:r w:rsidR="00825614" w:rsidRPr="00F66162">
        <w:rPr>
          <w:noProof/>
        </w:rPr>
        <w:t>prz</w:t>
      </w:r>
      <w:r w:rsidRPr="00F66162">
        <w:rPr>
          <w:noProof/>
        </w:rPr>
        <w:t>ypadku wartości domyślnych lub prekursorów produkowanych w UE.</w:t>
      </w:r>
    </w:p>
    <w:p w14:paraId="3ED9E032" w14:textId="77777777" w:rsidR="00FA5543" w:rsidRPr="00F66162" w:rsidRDefault="00FA5543" w:rsidP="00390489">
      <w:pPr>
        <w:rPr>
          <w:noProof/>
        </w:rPr>
        <w:sectPr w:rsidR="00FA5543" w:rsidRPr="00F66162" w:rsidSect="00AB396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477AA100" w14:textId="55EAB23D" w:rsidR="00346B03" w:rsidRPr="00F66162" w:rsidRDefault="00825614" w:rsidP="00825614">
      <w:pPr>
        <w:pStyle w:val="Rfrenceinterinstitutionnelle"/>
        <w:rPr>
          <w:noProof/>
        </w:rPr>
      </w:pPr>
      <w:r>
        <w:rPr>
          <w:noProof/>
        </w:rPr>
        <w:lastRenderedPageBreak/>
        <w:t>2025/0039 (COD)</w:t>
      </w:r>
    </w:p>
    <w:p w14:paraId="467F57BD" w14:textId="417BB67F" w:rsidR="00FA5543" w:rsidRPr="00F66162" w:rsidRDefault="00825614" w:rsidP="00825614">
      <w:pPr>
        <w:pStyle w:val="Statut"/>
        <w:rPr>
          <w:noProof/>
        </w:rPr>
      </w:pPr>
      <w:r w:rsidRPr="00825614">
        <w:rPr>
          <w:noProof/>
        </w:rPr>
        <w:t>Wniosek</w:t>
      </w:r>
    </w:p>
    <w:p w14:paraId="1E55C63A" w14:textId="3959BAC1" w:rsidR="00FA5543" w:rsidRPr="00F66162" w:rsidRDefault="00825614" w:rsidP="00825614">
      <w:pPr>
        <w:pStyle w:val="Typedudocument"/>
        <w:rPr>
          <w:noProof/>
        </w:rPr>
      </w:pPr>
      <w:r w:rsidRPr="00825614">
        <w:rPr>
          <w:noProof/>
        </w:rPr>
        <w:t>ROZPORZĄDZENIE PARLAMENTU EUROPEJSKIEGO I RADY</w:t>
      </w:r>
    </w:p>
    <w:p w14:paraId="5BA26D5E" w14:textId="64939A42" w:rsidR="00FA5543" w:rsidRPr="00F66162" w:rsidRDefault="00825614" w:rsidP="00825614">
      <w:pPr>
        <w:pStyle w:val="Titreobjet"/>
        <w:rPr>
          <w:noProof/>
        </w:rPr>
      </w:pPr>
      <w:r w:rsidRPr="00825614">
        <w:rPr>
          <w:noProof/>
        </w:rPr>
        <w:t>zmieniające rozporządzenie (UE) 2023/956 w odniesieniu do uproszczenia i wzmocnienia mechanizmu dostosowywania cen na granicach z uwzględnieniem emisji CO</w:t>
      </w:r>
      <w:r w:rsidRPr="00825614">
        <w:rPr>
          <w:noProof/>
          <w:vertAlign w:val="subscript"/>
        </w:rPr>
        <w:t>2</w:t>
      </w:r>
    </w:p>
    <w:p w14:paraId="014AA83D" w14:textId="292C956F" w:rsidR="00FA5543" w:rsidRPr="00F66162" w:rsidRDefault="00825614" w:rsidP="00825614">
      <w:pPr>
        <w:pStyle w:val="IntrtEEE"/>
        <w:rPr>
          <w:noProof/>
        </w:rPr>
      </w:pPr>
      <w:r w:rsidRPr="00825614">
        <w:rPr>
          <w:noProof/>
        </w:rPr>
        <w:t>(Tekst mający znaczenie dla EOG)</w:t>
      </w:r>
    </w:p>
    <w:p w14:paraId="2824CDA8" w14:textId="77777777" w:rsidR="00FA5543" w:rsidRPr="00F66162" w:rsidRDefault="00FA5543" w:rsidP="00390489">
      <w:pPr>
        <w:pStyle w:val="Institutionquiagit"/>
        <w:rPr>
          <w:noProof/>
        </w:rPr>
      </w:pPr>
      <w:r w:rsidRPr="00F66162">
        <w:rPr>
          <w:noProof/>
        </w:rPr>
        <w:t>PARLAMENT EUROPEJSKI I RADA UNII EUROPEJSKIEJ,</w:t>
      </w:r>
    </w:p>
    <w:p w14:paraId="26F260EE" w14:textId="4458BC24" w:rsidR="00FA5543" w:rsidRPr="00F66162" w:rsidRDefault="00FA5543" w:rsidP="00390489">
      <w:pPr>
        <w:rPr>
          <w:noProof/>
        </w:rPr>
      </w:pPr>
      <w:r w:rsidRPr="00F66162">
        <w:rPr>
          <w:noProof/>
        </w:rPr>
        <w:t>uwzględniając Traktat</w:t>
      </w:r>
      <w:r w:rsidR="00825614" w:rsidRPr="00F66162">
        <w:rPr>
          <w:noProof/>
        </w:rPr>
        <w:t xml:space="preserve"> o</w:t>
      </w:r>
      <w:r w:rsidR="00825614">
        <w:rPr>
          <w:noProof/>
        </w:rPr>
        <w:t> </w:t>
      </w:r>
      <w:r w:rsidR="00825614" w:rsidRPr="00F66162">
        <w:rPr>
          <w:noProof/>
        </w:rPr>
        <w:t>fun</w:t>
      </w:r>
      <w:r w:rsidRPr="00F66162">
        <w:rPr>
          <w:noProof/>
        </w:rPr>
        <w:t>kcjonowaniu Unii Europejskiej,</w:t>
      </w:r>
      <w:r w:rsidR="00825614" w:rsidRPr="00F66162">
        <w:rPr>
          <w:noProof/>
        </w:rPr>
        <w:t xml:space="preserve"> w</w:t>
      </w:r>
      <w:r w:rsidR="00825614">
        <w:rPr>
          <w:noProof/>
        </w:rPr>
        <w:t> </w:t>
      </w:r>
      <w:r w:rsidR="00825614" w:rsidRPr="00F66162">
        <w:rPr>
          <w:noProof/>
        </w:rPr>
        <w:t>szc</w:t>
      </w:r>
      <w:r w:rsidRPr="00F66162">
        <w:rPr>
          <w:noProof/>
        </w:rPr>
        <w:t>zególności jego art. 192 ust. 1,</w:t>
      </w:r>
    </w:p>
    <w:p w14:paraId="3B7D4099" w14:textId="77777777" w:rsidR="00FA5543" w:rsidRPr="00F66162" w:rsidRDefault="00FA5543" w:rsidP="00390489">
      <w:pPr>
        <w:rPr>
          <w:noProof/>
        </w:rPr>
      </w:pPr>
      <w:r w:rsidRPr="00F66162">
        <w:rPr>
          <w:noProof/>
        </w:rPr>
        <w:t>uwzględniając wniosek Komisji Europejskiej,</w:t>
      </w:r>
    </w:p>
    <w:p w14:paraId="4F23FD45" w14:textId="77777777" w:rsidR="00FA5543" w:rsidRPr="00F66162" w:rsidRDefault="00FA5543" w:rsidP="00390489">
      <w:pPr>
        <w:rPr>
          <w:noProof/>
        </w:rPr>
      </w:pPr>
      <w:r w:rsidRPr="00F66162">
        <w:rPr>
          <w:noProof/>
        </w:rPr>
        <w:t>po przekazaniu projektu aktu ustawodawczego parlamentom narodowym,</w:t>
      </w:r>
    </w:p>
    <w:p w14:paraId="32B80D65" w14:textId="77777777" w:rsidR="00FA5543" w:rsidRPr="00F66162" w:rsidRDefault="00FA5543" w:rsidP="00390489">
      <w:pPr>
        <w:rPr>
          <w:noProof/>
        </w:rPr>
      </w:pPr>
      <w:r w:rsidRPr="00F66162">
        <w:rPr>
          <w:noProof/>
        </w:rPr>
        <w:t>uwzględniając opinię Europejskiego Komitetu Ekonomiczno-Społecznego</w:t>
      </w:r>
      <w:r w:rsidRPr="00F66162">
        <w:rPr>
          <w:rStyle w:val="Odwoanieprzypisudolnego"/>
          <w:noProof/>
        </w:rPr>
        <w:footnoteReference w:id="13"/>
      </w:r>
      <w:r w:rsidRPr="00F66162">
        <w:rPr>
          <w:noProof/>
        </w:rPr>
        <w:t xml:space="preserve">, </w:t>
      </w:r>
    </w:p>
    <w:p w14:paraId="59E6A08D" w14:textId="77777777" w:rsidR="00FA5543" w:rsidRPr="00F66162" w:rsidRDefault="00FA5543" w:rsidP="00390489">
      <w:pPr>
        <w:rPr>
          <w:noProof/>
        </w:rPr>
      </w:pPr>
      <w:r w:rsidRPr="00F66162">
        <w:rPr>
          <w:noProof/>
        </w:rPr>
        <w:t>uwzględniając opinię Komitetu Regionów</w:t>
      </w:r>
      <w:r w:rsidRPr="00F66162">
        <w:rPr>
          <w:rStyle w:val="Odwoanieprzypisudolnego"/>
          <w:noProof/>
        </w:rPr>
        <w:footnoteReference w:id="14"/>
      </w:r>
      <w:r w:rsidRPr="00F66162">
        <w:rPr>
          <w:noProof/>
        </w:rPr>
        <w:t xml:space="preserve">, </w:t>
      </w:r>
    </w:p>
    <w:p w14:paraId="7FAA1849" w14:textId="77777777" w:rsidR="00FA5543" w:rsidRPr="00F66162" w:rsidRDefault="00FA5543" w:rsidP="00390489">
      <w:pPr>
        <w:rPr>
          <w:noProof/>
        </w:rPr>
      </w:pPr>
      <w:r w:rsidRPr="00F66162">
        <w:rPr>
          <w:noProof/>
        </w:rPr>
        <w:t>stanowiąc zgodnie ze zwykłą procedurą ustawodawczą,</w:t>
      </w:r>
    </w:p>
    <w:p w14:paraId="3B72AB45" w14:textId="77777777" w:rsidR="005E4844" w:rsidRPr="00F66162" w:rsidRDefault="00FA5543" w:rsidP="005E4844">
      <w:pPr>
        <w:rPr>
          <w:noProof/>
        </w:rPr>
      </w:pPr>
      <w:r w:rsidRPr="00F66162">
        <w:rPr>
          <w:noProof/>
        </w:rPr>
        <w:t>a także mając na uwadze, co następuje:</w:t>
      </w:r>
    </w:p>
    <w:p w14:paraId="39214E8F" w14:textId="188577F8" w:rsidR="005E4844" w:rsidRPr="00F66162" w:rsidRDefault="0074784E" w:rsidP="0074784E">
      <w:pPr>
        <w:pStyle w:val="ManualConsidrant"/>
        <w:rPr>
          <w:noProof/>
        </w:rPr>
      </w:pPr>
      <w:r w:rsidRPr="00F66162">
        <w:rPr>
          <w:noProof/>
        </w:rPr>
        <w:t>(1)</w:t>
      </w:r>
      <w:r w:rsidRPr="00F66162">
        <w:rPr>
          <w:noProof/>
        </w:rPr>
        <w:tab/>
        <w:t>W okresie przejściowym, który rozpoczął się</w:t>
      </w:r>
      <w:r w:rsidR="00825614" w:rsidRPr="00F66162">
        <w:rPr>
          <w:noProof/>
        </w:rPr>
        <w:t xml:space="preserve"> w</w:t>
      </w:r>
      <w:r w:rsidR="00825614">
        <w:rPr>
          <w:noProof/>
        </w:rPr>
        <w:t> </w:t>
      </w:r>
      <w:r w:rsidR="00825614" w:rsidRPr="00F66162">
        <w:rPr>
          <w:noProof/>
        </w:rPr>
        <w:t>dni</w:t>
      </w:r>
      <w:r w:rsidRPr="00F66162">
        <w:rPr>
          <w:noProof/>
        </w:rPr>
        <w:t>u 1 października 20</w:t>
      </w:r>
      <w:r w:rsidRPr="00825614">
        <w:rPr>
          <w:noProof/>
        </w:rPr>
        <w:t>23</w:t>
      </w:r>
      <w:r w:rsidR="00825614" w:rsidRPr="00825614">
        <w:rPr>
          <w:noProof/>
        </w:rPr>
        <w:t> </w:t>
      </w:r>
      <w:r w:rsidRPr="00825614">
        <w:rPr>
          <w:noProof/>
        </w:rPr>
        <w:t>r.</w:t>
      </w:r>
      <w:r w:rsidRPr="00F66162">
        <w:rPr>
          <w:noProof/>
        </w:rPr>
        <w:t>, Komisja gromadziła dane</w:t>
      </w:r>
      <w:r w:rsidR="00825614" w:rsidRPr="00F66162">
        <w:rPr>
          <w:noProof/>
        </w:rPr>
        <w:t xml:space="preserve"> i</w:t>
      </w:r>
      <w:r w:rsidR="00825614">
        <w:rPr>
          <w:noProof/>
        </w:rPr>
        <w:t> </w:t>
      </w:r>
      <w:r w:rsidR="00825614" w:rsidRPr="00F66162">
        <w:rPr>
          <w:noProof/>
        </w:rPr>
        <w:t>inf</w:t>
      </w:r>
      <w:r w:rsidRPr="00F66162">
        <w:rPr>
          <w:noProof/>
        </w:rPr>
        <w:t>ormacje dotyczące wdrażania mechanizmu dostosowywania cen na granicach</w:t>
      </w:r>
      <w:r w:rsidR="00825614" w:rsidRPr="00F66162">
        <w:rPr>
          <w:noProof/>
        </w:rPr>
        <w:t xml:space="preserve"> z</w:t>
      </w:r>
      <w:r w:rsidR="00825614">
        <w:rPr>
          <w:noProof/>
        </w:rPr>
        <w:t> </w:t>
      </w:r>
      <w:r w:rsidR="00825614" w:rsidRPr="00F66162">
        <w:rPr>
          <w:noProof/>
        </w:rPr>
        <w:t>uwz</w:t>
      </w:r>
      <w:r w:rsidRPr="00F66162">
        <w:rPr>
          <w:noProof/>
        </w:rPr>
        <w:t>ględnieniem emisji CO</w:t>
      </w:r>
      <w:r w:rsidRPr="00F66162">
        <w:rPr>
          <w:noProof/>
          <w:vertAlign w:val="subscript"/>
        </w:rPr>
        <w:t>2</w:t>
      </w:r>
      <w:r w:rsidRPr="00F66162">
        <w:rPr>
          <w:noProof/>
        </w:rPr>
        <w:t xml:space="preserve"> („CBAM”) zgodnie</w:t>
      </w:r>
      <w:r w:rsidR="00825614" w:rsidRPr="00F66162">
        <w:rPr>
          <w:noProof/>
        </w:rPr>
        <w:t xml:space="preserve"> z</w:t>
      </w:r>
      <w:r w:rsidR="00825614">
        <w:rPr>
          <w:noProof/>
        </w:rPr>
        <w:t> </w:t>
      </w:r>
      <w:r w:rsidR="00825614" w:rsidRPr="00F66162">
        <w:rPr>
          <w:noProof/>
        </w:rPr>
        <w:t>roz</w:t>
      </w:r>
      <w:r w:rsidRPr="00F66162">
        <w:rPr>
          <w:noProof/>
        </w:rPr>
        <w:t>porządzeniem Parlamentu Europejskiego</w:t>
      </w:r>
      <w:r w:rsidR="00825614" w:rsidRPr="00F66162">
        <w:rPr>
          <w:noProof/>
        </w:rPr>
        <w:t xml:space="preserve"> i</w:t>
      </w:r>
      <w:r w:rsidR="00825614">
        <w:rPr>
          <w:noProof/>
        </w:rPr>
        <w:t> </w:t>
      </w:r>
      <w:r w:rsidR="00825614" w:rsidRPr="00F66162">
        <w:rPr>
          <w:noProof/>
        </w:rPr>
        <w:t>Rad</w:t>
      </w:r>
      <w:r w:rsidRPr="00F66162">
        <w:rPr>
          <w:noProof/>
        </w:rPr>
        <w:t>y (UE) 2023/956</w:t>
      </w:r>
      <w:r w:rsidRPr="00F66162">
        <w:rPr>
          <w:rStyle w:val="Odwoanieprzypisudolnego"/>
          <w:noProof/>
        </w:rPr>
        <w:footnoteReference w:id="15"/>
      </w:r>
      <w:r w:rsidRPr="00F66162">
        <w:rPr>
          <w:noProof/>
        </w:rPr>
        <w:t>,</w:t>
      </w:r>
      <w:r w:rsidR="00825614" w:rsidRPr="00F66162">
        <w:rPr>
          <w:noProof/>
        </w:rPr>
        <w:t xml:space="preserve"> w</w:t>
      </w:r>
      <w:r w:rsidR="00825614">
        <w:rPr>
          <w:noProof/>
        </w:rPr>
        <w:t> </w:t>
      </w:r>
      <w:r w:rsidR="00825614" w:rsidRPr="00F66162">
        <w:rPr>
          <w:noProof/>
        </w:rPr>
        <w:t>tym</w:t>
      </w:r>
      <w:r w:rsidRPr="00F66162">
        <w:rPr>
          <w:noProof/>
        </w:rPr>
        <w:t xml:space="preserve"> poprzez analizę kwartalnych sprawozdań przedkładanych przez zgłaszających objętych obowiązkiem sprawozdawczym. Dzięki zgromadzonym informacjom</w:t>
      </w:r>
      <w:r w:rsidR="00825614" w:rsidRPr="00F66162">
        <w:rPr>
          <w:noProof/>
        </w:rPr>
        <w:t xml:space="preserve"> i</w:t>
      </w:r>
      <w:r w:rsidR="00825614">
        <w:rPr>
          <w:noProof/>
        </w:rPr>
        <w:t> </w:t>
      </w:r>
      <w:r w:rsidR="00825614" w:rsidRPr="00F66162">
        <w:rPr>
          <w:noProof/>
        </w:rPr>
        <w:t>wym</w:t>
      </w:r>
      <w:r w:rsidRPr="00F66162">
        <w:rPr>
          <w:noProof/>
        </w:rPr>
        <w:t>ianom</w:t>
      </w:r>
      <w:r w:rsidR="00825614" w:rsidRPr="00F66162">
        <w:rPr>
          <w:noProof/>
        </w:rPr>
        <w:t xml:space="preserve"> z</w:t>
      </w:r>
      <w:r w:rsidR="00825614">
        <w:rPr>
          <w:noProof/>
        </w:rPr>
        <w:t> </w:t>
      </w:r>
      <w:r w:rsidR="00825614" w:rsidRPr="00F66162">
        <w:rPr>
          <w:noProof/>
        </w:rPr>
        <w:t>zai</w:t>
      </w:r>
      <w:r w:rsidRPr="00F66162">
        <w:rPr>
          <w:noProof/>
        </w:rPr>
        <w:t>nteresowanymi podmiotami,</w:t>
      </w:r>
      <w:r w:rsidR="00825614" w:rsidRPr="00F66162">
        <w:rPr>
          <w:noProof/>
        </w:rPr>
        <w:t xml:space="preserve"> w</w:t>
      </w:r>
      <w:r w:rsidR="00825614">
        <w:rPr>
          <w:noProof/>
        </w:rPr>
        <w:t> </w:t>
      </w:r>
      <w:r w:rsidR="00825614" w:rsidRPr="00F66162">
        <w:rPr>
          <w:noProof/>
        </w:rPr>
        <w:t>tym w</w:t>
      </w:r>
      <w:r w:rsidR="00825614">
        <w:rPr>
          <w:noProof/>
        </w:rPr>
        <w:t> </w:t>
      </w:r>
      <w:r w:rsidR="00825614" w:rsidRPr="00F66162">
        <w:rPr>
          <w:noProof/>
        </w:rPr>
        <w:t>ram</w:t>
      </w:r>
      <w:r w:rsidRPr="00F66162">
        <w:rPr>
          <w:noProof/>
        </w:rPr>
        <w:t>ach grupy ekspertów ds. CBAM, zidentyfikowano możliwości uproszczenia</w:t>
      </w:r>
      <w:r w:rsidR="00825614" w:rsidRPr="00F66162">
        <w:rPr>
          <w:noProof/>
        </w:rPr>
        <w:t xml:space="preserve"> i</w:t>
      </w:r>
      <w:r w:rsidR="00825614">
        <w:rPr>
          <w:noProof/>
        </w:rPr>
        <w:t> </w:t>
      </w:r>
      <w:r w:rsidR="00825614" w:rsidRPr="00F66162">
        <w:rPr>
          <w:noProof/>
        </w:rPr>
        <w:t>udo</w:t>
      </w:r>
      <w:r w:rsidRPr="00F66162">
        <w:rPr>
          <w:noProof/>
        </w:rPr>
        <w:t>skonalenia CBAM. Unia zobowiązała się zapewnić sprawne wdrożenie CBAM po zakończeniu okresu przejściowego,</w:t>
      </w:r>
      <w:r w:rsidR="00825614" w:rsidRPr="00F66162">
        <w:rPr>
          <w:noProof/>
        </w:rPr>
        <w:t xml:space="preserve"> a</w:t>
      </w:r>
      <w:r w:rsidR="00825614">
        <w:rPr>
          <w:noProof/>
        </w:rPr>
        <w:t> </w:t>
      </w:r>
      <w:r w:rsidR="00825614" w:rsidRPr="00F66162">
        <w:rPr>
          <w:noProof/>
        </w:rPr>
        <w:t>wię</w:t>
      </w:r>
      <w:r w:rsidRPr="00F66162">
        <w:rPr>
          <w:noProof/>
        </w:rPr>
        <w:t>c po dniu 1 stycznia 20</w:t>
      </w:r>
      <w:r w:rsidRPr="00825614">
        <w:rPr>
          <w:noProof/>
        </w:rPr>
        <w:t>26</w:t>
      </w:r>
      <w:r w:rsidR="00825614" w:rsidRPr="00825614">
        <w:rPr>
          <w:noProof/>
        </w:rPr>
        <w:t> </w:t>
      </w:r>
      <w:r w:rsidRPr="00825614">
        <w:rPr>
          <w:noProof/>
        </w:rPr>
        <w:t>r.</w:t>
      </w:r>
    </w:p>
    <w:p w14:paraId="4DCF8B48" w14:textId="45474ADD" w:rsidR="00C430B6" w:rsidRPr="00F66162" w:rsidRDefault="0074784E" w:rsidP="0074784E">
      <w:pPr>
        <w:pStyle w:val="ManualConsidrant"/>
        <w:rPr>
          <w:noProof/>
        </w:rPr>
      </w:pPr>
      <w:r w:rsidRPr="00F66162">
        <w:rPr>
          <w:noProof/>
        </w:rPr>
        <w:t>(2)</w:t>
      </w:r>
      <w:r w:rsidRPr="00F66162">
        <w:rPr>
          <w:noProof/>
        </w:rPr>
        <w:tab/>
        <w:t>Z doświadczeń</w:t>
      </w:r>
      <w:r w:rsidR="00825614" w:rsidRPr="00F66162">
        <w:rPr>
          <w:noProof/>
        </w:rPr>
        <w:t xml:space="preserve"> i</w:t>
      </w:r>
      <w:r w:rsidR="00825614">
        <w:rPr>
          <w:noProof/>
        </w:rPr>
        <w:t> </w:t>
      </w:r>
      <w:r w:rsidR="00825614" w:rsidRPr="00F66162">
        <w:rPr>
          <w:noProof/>
        </w:rPr>
        <w:t>dan</w:t>
      </w:r>
      <w:r w:rsidRPr="00F66162">
        <w:rPr>
          <w:noProof/>
        </w:rPr>
        <w:t>ych zgromadzonych</w:t>
      </w:r>
      <w:r w:rsidR="00825614" w:rsidRPr="00F66162">
        <w:rPr>
          <w:noProof/>
        </w:rPr>
        <w:t xml:space="preserve"> w</w:t>
      </w:r>
      <w:r w:rsidR="00825614">
        <w:rPr>
          <w:noProof/>
        </w:rPr>
        <w:t> </w:t>
      </w:r>
      <w:r w:rsidR="00825614" w:rsidRPr="00F66162">
        <w:rPr>
          <w:noProof/>
        </w:rPr>
        <w:t>okr</w:t>
      </w:r>
      <w:r w:rsidRPr="00F66162">
        <w:rPr>
          <w:noProof/>
        </w:rPr>
        <w:t>esie przejściowym oraz struktury importerów towarów objętych CBAM do Unii wynika, że niewielki procent importerów odpowiada za zdecydowaną większość emisji wbudowanych związanych</w:t>
      </w:r>
      <w:r w:rsidR="00825614" w:rsidRPr="00F66162">
        <w:rPr>
          <w:noProof/>
        </w:rPr>
        <w:t xml:space="preserve"> z</w:t>
      </w:r>
      <w:r w:rsidR="00825614">
        <w:rPr>
          <w:noProof/>
        </w:rPr>
        <w:t> </w:t>
      </w:r>
      <w:r w:rsidR="00825614" w:rsidRPr="00F66162">
        <w:rPr>
          <w:noProof/>
        </w:rPr>
        <w:t>tym</w:t>
      </w:r>
      <w:r w:rsidRPr="00F66162">
        <w:rPr>
          <w:noProof/>
        </w:rPr>
        <w:t>i towarami. Odstępstwo mające zastosowanie do przywozu towarów</w:t>
      </w:r>
      <w:r w:rsidR="00825614" w:rsidRPr="00F66162">
        <w:rPr>
          <w:noProof/>
        </w:rPr>
        <w:t xml:space="preserve"> o</w:t>
      </w:r>
      <w:r w:rsidR="00825614">
        <w:rPr>
          <w:noProof/>
        </w:rPr>
        <w:t> </w:t>
      </w:r>
      <w:r w:rsidR="00825614" w:rsidRPr="00F66162">
        <w:rPr>
          <w:noProof/>
        </w:rPr>
        <w:t>nie</w:t>
      </w:r>
      <w:r w:rsidRPr="00F66162">
        <w:rPr>
          <w:noProof/>
        </w:rPr>
        <w:t>wielkiej wartości,</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3 rozporządzenia (WE) </w:t>
      </w:r>
      <w:r w:rsidRPr="00825614">
        <w:rPr>
          <w:noProof/>
        </w:rPr>
        <w:t>nr</w:t>
      </w:r>
      <w:r w:rsidR="00825614" w:rsidRPr="00825614">
        <w:rPr>
          <w:noProof/>
        </w:rPr>
        <w:t> </w:t>
      </w:r>
      <w:r w:rsidRPr="00825614">
        <w:rPr>
          <w:noProof/>
        </w:rPr>
        <w:t>1</w:t>
      </w:r>
      <w:r w:rsidRPr="00F66162">
        <w:rPr>
          <w:noProof/>
        </w:rPr>
        <w:t>186/2009 (przesyłka</w:t>
      </w:r>
      <w:r w:rsidR="00825614" w:rsidRPr="00F66162">
        <w:rPr>
          <w:noProof/>
        </w:rPr>
        <w:t xml:space="preserve"> o</w:t>
      </w:r>
      <w:r w:rsidR="00825614">
        <w:rPr>
          <w:noProof/>
        </w:rPr>
        <w:t> </w:t>
      </w:r>
      <w:r w:rsidR="00825614" w:rsidRPr="00F66162">
        <w:rPr>
          <w:noProof/>
        </w:rPr>
        <w:t>war</w:t>
      </w:r>
      <w:r w:rsidRPr="00F66162">
        <w:rPr>
          <w:noProof/>
        </w:rPr>
        <w:t xml:space="preserve">tości nieprzekraczającej 150 EUR), wydaje się niewystarczające do zapewnienia, aby CBAM obowiązywał importerów proporcjonalnie do ich wpływu na emisje objęte rozporządzeniem (UE) 2023/956. Dla importerów małych ilości </w:t>
      </w:r>
      <w:r w:rsidRPr="00F66162">
        <w:rPr>
          <w:noProof/>
        </w:rPr>
        <w:lastRenderedPageBreak/>
        <w:t>towarów przestrzeganie sprawozdawczych</w:t>
      </w:r>
      <w:r w:rsidR="00825614" w:rsidRPr="00F66162">
        <w:rPr>
          <w:noProof/>
        </w:rPr>
        <w:t xml:space="preserve"> i</w:t>
      </w:r>
      <w:r w:rsidR="00825614">
        <w:rPr>
          <w:noProof/>
        </w:rPr>
        <w:t> </w:t>
      </w:r>
      <w:r w:rsidR="00825614" w:rsidRPr="00F66162">
        <w:rPr>
          <w:noProof/>
        </w:rPr>
        <w:t>fin</w:t>
      </w:r>
      <w:r w:rsidRPr="00F66162">
        <w:rPr>
          <w:noProof/>
        </w:rPr>
        <w:t>ansowych zobowiązań</w:t>
      </w:r>
      <w:r w:rsidR="00825614" w:rsidRPr="00F66162">
        <w:rPr>
          <w:noProof/>
        </w:rPr>
        <w:t xml:space="preserve"> w</w:t>
      </w:r>
      <w:r w:rsidR="00825614">
        <w:rPr>
          <w:noProof/>
        </w:rPr>
        <w:t> </w:t>
      </w:r>
      <w:r w:rsidR="00825614" w:rsidRPr="00F66162">
        <w:rPr>
          <w:noProof/>
        </w:rPr>
        <w:t>ram</w:t>
      </w:r>
      <w:r w:rsidRPr="00F66162">
        <w:rPr>
          <w:noProof/>
        </w:rPr>
        <w:t>ach CBAM mogłoby być nadmiernie uciążliwe. Ponadto</w:t>
      </w:r>
      <w:r w:rsidR="00825614" w:rsidRPr="00F66162">
        <w:rPr>
          <w:noProof/>
        </w:rPr>
        <w:t xml:space="preserve"> w</w:t>
      </w:r>
      <w:r w:rsidR="00825614">
        <w:rPr>
          <w:noProof/>
        </w:rPr>
        <w:t> </w:t>
      </w:r>
      <w:r w:rsidR="00825614" w:rsidRPr="00F66162">
        <w:rPr>
          <w:noProof/>
        </w:rPr>
        <w:t>ram</w:t>
      </w:r>
      <w:r w:rsidRPr="00F66162">
        <w:rPr>
          <w:noProof/>
        </w:rPr>
        <w:t>ach pakietu reform celnych</w:t>
      </w:r>
      <w:r w:rsidR="00825614" w:rsidRPr="00F66162">
        <w:rPr>
          <w:noProof/>
        </w:rPr>
        <w:t xml:space="preserve"> z</w:t>
      </w:r>
      <w:r w:rsidR="00825614">
        <w:rPr>
          <w:noProof/>
        </w:rPr>
        <w:t> </w:t>
      </w:r>
      <w:r w:rsidR="00825614" w:rsidRPr="00F66162">
        <w:rPr>
          <w:noProof/>
        </w:rPr>
        <w:t>2</w:t>
      </w:r>
      <w:r w:rsidRPr="00F66162">
        <w:rPr>
          <w:noProof/>
        </w:rPr>
        <w:t>0</w:t>
      </w:r>
      <w:r w:rsidRPr="00825614">
        <w:rPr>
          <w:noProof/>
        </w:rPr>
        <w:t>23</w:t>
      </w:r>
      <w:r w:rsidR="00825614" w:rsidRPr="00825614">
        <w:rPr>
          <w:noProof/>
        </w:rPr>
        <w:t> </w:t>
      </w:r>
      <w:r w:rsidRPr="00825614">
        <w:rPr>
          <w:noProof/>
        </w:rPr>
        <w:t>r.</w:t>
      </w:r>
      <w:r w:rsidRPr="00F66162">
        <w:rPr>
          <w:noProof/>
        </w:rPr>
        <w:t xml:space="preserve"> Komisja zaproponowała zniesienie tego odstępstwa</w:t>
      </w:r>
      <w:r w:rsidRPr="00F66162">
        <w:rPr>
          <w:rStyle w:val="Odwoanieprzypisudolnego"/>
          <w:noProof/>
        </w:rPr>
        <w:footnoteReference w:id="16"/>
      </w:r>
      <w:r w:rsidR="00825614" w:rsidRPr="00F66162">
        <w:rPr>
          <w:noProof/>
        </w:rPr>
        <w:t>. W</w:t>
      </w:r>
      <w:r w:rsidR="00825614">
        <w:rPr>
          <w:noProof/>
        </w:rPr>
        <w:t> </w:t>
      </w:r>
      <w:r w:rsidR="00825614" w:rsidRPr="00F66162">
        <w:rPr>
          <w:noProof/>
        </w:rPr>
        <w:t>zwi</w:t>
      </w:r>
      <w:r w:rsidRPr="00F66162">
        <w:rPr>
          <w:noProof/>
        </w:rPr>
        <w:t>ązku</w:t>
      </w:r>
      <w:r w:rsidR="00825614" w:rsidRPr="00F66162">
        <w:rPr>
          <w:noProof/>
        </w:rPr>
        <w:t xml:space="preserve"> z</w:t>
      </w:r>
      <w:r w:rsidR="00825614">
        <w:rPr>
          <w:noProof/>
        </w:rPr>
        <w:t> </w:t>
      </w:r>
      <w:r w:rsidR="00825614" w:rsidRPr="00F66162">
        <w:rPr>
          <w:noProof/>
        </w:rPr>
        <w:t>tym</w:t>
      </w:r>
      <w:r w:rsidRPr="00F66162">
        <w:rPr>
          <w:noProof/>
        </w:rPr>
        <w:t xml:space="preserve"> należy wprowadzić nowe odstępstwo, aby zwolnić</w:t>
      </w:r>
      <w:r w:rsidR="00825614" w:rsidRPr="00F66162">
        <w:rPr>
          <w:noProof/>
        </w:rPr>
        <w:t xml:space="preserve"> z</w:t>
      </w:r>
      <w:r w:rsidR="00825614">
        <w:rPr>
          <w:noProof/>
        </w:rPr>
        <w:t> </w:t>
      </w:r>
      <w:r w:rsidR="00825614" w:rsidRPr="00F66162">
        <w:rPr>
          <w:noProof/>
        </w:rPr>
        <w:t>obo</w:t>
      </w:r>
      <w:r w:rsidRPr="00F66162">
        <w:rPr>
          <w:noProof/>
        </w:rPr>
        <w:t>wiązków CBAM importerów małych – pod względem masy – ilości towarów objętych CBAM, przy jednoczesnym zachowaniu celu środowiskowego</w:t>
      </w:r>
      <w:r w:rsidR="00825614" w:rsidRPr="00F66162">
        <w:rPr>
          <w:noProof/>
        </w:rPr>
        <w:t xml:space="preserve"> i</w:t>
      </w:r>
      <w:r w:rsidR="00825614">
        <w:rPr>
          <w:noProof/>
        </w:rPr>
        <w:t> </w:t>
      </w:r>
      <w:r w:rsidR="00825614" w:rsidRPr="00F66162">
        <w:rPr>
          <w:noProof/>
        </w:rPr>
        <w:t>zdo</w:t>
      </w:r>
      <w:r w:rsidRPr="00F66162">
        <w:rPr>
          <w:noProof/>
        </w:rPr>
        <w:t>lności do osiągnięcia celu klimatycznego tego mechanizmu.</w:t>
      </w:r>
    </w:p>
    <w:p w14:paraId="2E1F2000" w14:textId="14C29FB9" w:rsidR="00C430B6" w:rsidRPr="00F66162" w:rsidRDefault="0074784E" w:rsidP="0074784E">
      <w:pPr>
        <w:pStyle w:val="ManualConsidrant"/>
        <w:rPr>
          <w:noProof/>
        </w:rPr>
      </w:pPr>
      <w:r w:rsidRPr="00F66162">
        <w:rPr>
          <w:noProof/>
        </w:rPr>
        <w:t>(3)</w:t>
      </w:r>
      <w:r w:rsidRPr="00F66162">
        <w:rPr>
          <w:noProof/>
        </w:rPr>
        <w:tab/>
        <w:t>Do rozporządzenia (UE) 2023/956 należy wprowadzić nowy próg oparty na łącznej masie towarów przywożonych</w:t>
      </w:r>
      <w:r w:rsidR="00825614" w:rsidRPr="00F66162">
        <w:rPr>
          <w:noProof/>
        </w:rPr>
        <w:t xml:space="preserve"> w</w:t>
      </w:r>
      <w:r w:rsidR="00825614">
        <w:rPr>
          <w:noProof/>
        </w:rPr>
        <w:t> </w:t>
      </w:r>
      <w:r w:rsidR="00825614" w:rsidRPr="00F66162">
        <w:rPr>
          <w:noProof/>
        </w:rPr>
        <w:t>cią</w:t>
      </w:r>
      <w:r w:rsidRPr="00F66162">
        <w:rPr>
          <w:noProof/>
        </w:rPr>
        <w:t>gu roku przez jednego importera, zapewniający, aby ponad 9</w:t>
      </w:r>
      <w:r w:rsidRPr="00825614">
        <w:rPr>
          <w:noProof/>
        </w:rPr>
        <w:t>9</w:t>
      </w:r>
      <w:r w:rsidR="00825614" w:rsidRPr="00825614">
        <w:rPr>
          <w:noProof/>
        </w:rPr>
        <w:t> </w:t>
      </w:r>
      <w:r w:rsidRPr="00825614">
        <w:rPr>
          <w:noProof/>
        </w:rPr>
        <w:t>%</w:t>
      </w:r>
      <w:r w:rsidRPr="00F66162">
        <w:rPr>
          <w:noProof/>
        </w:rPr>
        <w:t xml:space="preserve"> emisji nadal pozostawało</w:t>
      </w:r>
      <w:r w:rsidR="00825614" w:rsidRPr="00F66162">
        <w:rPr>
          <w:noProof/>
        </w:rPr>
        <w:t xml:space="preserve"> w</w:t>
      </w:r>
      <w:r w:rsidR="00825614">
        <w:rPr>
          <w:noProof/>
        </w:rPr>
        <w:t> </w:t>
      </w:r>
      <w:r w:rsidR="00825614" w:rsidRPr="00F66162">
        <w:rPr>
          <w:noProof/>
        </w:rPr>
        <w:t>zak</w:t>
      </w:r>
      <w:r w:rsidRPr="00F66162">
        <w:rPr>
          <w:noProof/>
        </w:rPr>
        <w:t>resie stosowania tego rozporządzenia. Takie solidne</w:t>
      </w:r>
      <w:r w:rsidR="00825614" w:rsidRPr="00F66162">
        <w:rPr>
          <w:noProof/>
        </w:rPr>
        <w:t xml:space="preserve"> i</w:t>
      </w:r>
      <w:r w:rsidR="00825614">
        <w:rPr>
          <w:noProof/>
        </w:rPr>
        <w:t> </w:t>
      </w:r>
      <w:r w:rsidR="00825614" w:rsidRPr="00F66162">
        <w:rPr>
          <w:noProof/>
        </w:rPr>
        <w:t>uki</w:t>
      </w:r>
      <w:r w:rsidRPr="00F66162">
        <w:rPr>
          <w:noProof/>
        </w:rPr>
        <w:t>erunkowane podejście dokładnie odzwierciedla środowiskowy charakter CBAM, ponieważ przy ustalaniu progu będą uwzględniane wszystkie emisje importowane</w:t>
      </w:r>
      <w:r w:rsidR="00825614" w:rsidRPr="00F66162">
        <w:rPr>
          <w:noProof/>
        </w:rPr>
        <w:t xml:space="preserve"> w</w:t>
      </w:r>
      <w:r w:rsidR="00825614">
        <w:rPr>
          <w:noProof/>
        </w:rPr>
        <w:t> </w:t>
      </w:r>
      <w:r w:rsidR="00825614" w:rsidRPr="00F66162">
        <w:rPr>
          <w:noProof/>
        </w:rPr>
        <w:t>dan</w:t>
      </w:r>
      <w:r w:rsidRPr="00F66162">
        <w:rPr>
          <w:noProof/>
        </w:rPr>
        <w:t>ym okresie. Eliminuje ono również ryzyko obchodzenia przepisów</w:t>
      </w:r>
      <w:r w:rsidR="00825614" w:rsidRPr="00F66162">
        <w:rPr>
          <w:noProof/>
        </w:rPr>
        <w:t xml:space="preserve"> w</w:t>
      </w:r>
      <w:r w:rsidR="00825614">
        <w:rPr>
          <w:noProof/>
        </w:rPr>
        <w:t> </w:t>
      </w:r>
      <w:r w:rsidR="00825614" w:rsidRPr="00F66162">
        <w:rPr>
          <w:noProof/>
        </w:rPr>
        <w:t>dro</w:t>
      </w:r>
      <w:r w:rsidRPr="00F66162">
        <w:rPr>
          <w:noProof/>
        </w:rPr>
        <w:t>dze sztucznego dzielenia przesyłek jednego importera.</w:t>
      </w:r>
    </w:p>
    <w:p w14:paraId="7B1B677A" w14:textId="5894DD15" w:rsidR="0079054A" w:rsidRPr="00F66162" w:rsidRDefault="0074784E" w:rsidP="0074784E">
      <w:pPr>
        <w:pStyle w:val="ManualConsidrant"/>
        <w:rPr>
          <w:noProof/>
        </w:rPr>
      </w:pPr>
      <w:r w:rsidRPr="00F66162">
        <w:rPr>
          <w:noProof/>
        </w:rPr>
        <w:t>(4)</w:t>
      </w:r>
      <w:r w:rsidRPr="00F66162">
        <w:rPr>
          <w:noProof/>
        </w:rPr>
        <w:tab/>
        <w:t>Próg masy odzwierciedlający średnią intensywność gazów cieplarnianych emitowanych przez wolumen przywożonych towarów objętych CBAM lepiej realizowałby cel klimatyczny CBAM. Jednolity próg masy mający zastosowanie łącznie do wszystkich objętych CBAM towarów</w:t>
      </w:r>
      <w:r w:rsidR="00825614" w:rsidRPr="00F66162">
        <w:rPr>
          <w:noProof/>
        </w:rPr>
        <w:t xml:space="preserve"> w</w:t>
      </w:r>
      <w:r w:rsidR="00825614">
        <w:rPr>
          <w:noProof/>
        </w:rPr>
        <w:t> </w:t>
      </w:r>
      <w:r w:rsidR="00825614" w:rsidRPr="00F66162">
        <w:rPr>
          <w:noProof/>
        </w:rPr>
        <w:t>sek</w:t>
      </w:r>
      <w:r w:rsidRPr="00F66162">
        <w:rPr>
          <w:noProof/>
        </w:rPr>
        <w:t>torach żelaza</w:t>
      </w:r>
      <w:r w:rsidR="00825614" w:rsidRPr="00F66162">
        <w:rPr>
          <w:noProof/>
        </w:rPr>
        <w:t xml:space="preserve"> i</w:t>
      </w:r>
      <w:r w:rsidR="00825614">
        <w:rPr>
          <w:noProof/>
        </w:rPr>
        <w:t> </w:t>
      </w:r>
      <w:r w:rsidR="00825614" w:rsidRPr="00F66162">
        <w:rPr>
          <w:noProof/>
        </w:rPr>
        <w:t>sta</w:t>
      </w:r>
      <w:r w:rsidRPr="00F66162">
        <w:rPr>
          <w:noProof/>
        </w:rPr>
        <w:t>li, aluminium, nawozów</w:t>
      </w:r>
      <w:r w:rsidR="00825614" w:rsidRPr="00F66162">
        <w:rPr>
          <w:noProof/>
        </w:rPr>
        <w:t xml:space="preserve"> i</w:t>
      </w:r>
      <w:r w:rsidR="00825614">
        <w:rPr>
          <w:noProof/>
        </w:rPr>
        <w:t> </w:t>
      </w:r>
      <w:r w:rsidR="00825614" w:rsidRPr="00F66162">
        <w:rPr>
          <w:noProof/>
        </w:rPr>
        <w:t>cem</w:t>
      </w:r>
      <w:r w:rsidRPr="00F66162">
        <w:rPr>
          <w:noProof/>
        </w:rPr>
        <w:t>entu przywiezionych przez importera</w:t>
      </w:r>
      <w:r w:rsidR="00825614" w:rsidRPr="00F66162">
        <w:rPr>
          <w:noProof/>
        </w:rPr>
        <w:t xml:space="preserve"> w</w:t>
      </w:r>
      <w:r w:rsidR="00825614">
        <w:rPr>
          <w:noProof/>
        </w:rPr>
        <w:t> </w:t>
      </w:r>
      <w:r w:rsidR="00825614" w:rsidRPr="00F66162">
        <w:rPr>
          <w:noProof/>
        </w:rPr>
        <w:t>dan</w:t>
      </w:r>
      <w:r w:rsidRPr="00F66162">
        <w:rPr>
          <w:noProof/>
        </w:rPr>
        <w:t>ym roku kalendarzowym to najprostsze rozwiązanie dla importerów, ponieważ nie będą oni musieli uzyskiwać ani dostarczać żadnych dodatkowych informacji oprócz tych przedstawionych</w:t>
      </w:r>
      <w:r w:rsidR="00825614" w:rsidRPr="00F66162">
        <w:rPr>
          <w:noProof/>
        </w:rPr>
        <w:t xml:space="preserve"> w</w:t>
      </w:r>
      <w:r w:rsidR="00825614">
        <w:rPr>
          <w:noProof/>
        </w:rPr>
        <w:t> </w:t>
      </w:r>
      <w:r w:rsidR="00825614" w:rsidRPr="00F66162">
        <w:rPr>
          <w:noProof/>
        </w:rPr>
        <w:t>zgł</w:t>
      </w:r>
      <w:r w:rsidRPr="00F66162">
        <w:rPr>
          <w:noProof/>
        </w:rPr>
        <w:t>oszeniu celnym, co znacznie zmniejszy ich obciążenie administracyjne związane z CBAM. Próg ustalony na poziomie 50 ton zwolni zdecydowaną większość importerów</w:t>
      </w:r>
      <w:r w:rsidR="00825614" w:rsidRPr="00F66162">
        <w:rPr>
          <w:noProof/>
        </w:rPr>
        <w:t xml:space="preserve"> z</w:t>
      </w:r>
      <w:r w:rsidR="00825614">
        <w:rPr>
          <w:noProof/>
        </w:rPr>
        <w:t> </w:t>
      </w:r>
      <w:r w:rsidR="00825614" w:rsidRPr="00F66162">
        <w:rPr>
          <w:noProof/>
        </w:rPr>
        <w:t>obo</w:t>
      </w:r>
      <w:r w:rsidRPr="00F66162">
        <w:rPr>
          <w:noProof/>
        </w:rPr>
        <w:t>wiązków wynikających</w:t>
      </w:r>
      <w:r w:rsidR="00825614" w:rsidRPr="00F66162">
        <w:rPr>
          <w:noProof/>
        </w:rPr>
        <w:t xml:space="preserve"> z</w:t>
      </w:r>
      <w:r w:rsidR="00825614">
        <w:rPr>
          <w:noProof/>
        </w:rPr>
        <w:t> </w:t>
      </w:r>
      <w:r w:rsidR="00825614" w:rsidRPr="00F66162">
        <w:rPr>
          <w:noProof/>
        </w:rPr>
        <w:t>roz</w:t>
      </w:r>
      <w:r w:rsidRPr="00F66162">
        <w:rPr>
          <w:noProof/>
        </w:rPr>
        <w:t>porządzenia (UE) 2023/956,</w:t>
      </w:r>
      <w:r w:rsidR="00825614" w:rsidRPr="00F66162">
        <w:rPr>
          <w:noProof/>
        </w:rPr>
        <w:t xml:space="preserve"> a</w:t>
      </w:r>
      <w:r w:rsidR="00825614">
        <w:rPr>
          <w:noProof/>
        </w:rPr>
        <w:t> </w:t>
      </w:r>
      <w:r w:rsidR="00825614" w:rsidRPr="00F66162">
        <w:rPr>
          <w:noProof/>
        </w:rPr>
        <w:t>jed</w:t>
      </w:r>
      <w:r w:rsidRPr="00F66162">
        <w:rPr>
          <w:noProof/>
        </w:rPr>
        <w:t>nocześnie utrzyma ponad 99 % emisji wbudowanych</w:t>
      </w:r>
      <w:r w:rsidR="00825614" w:rsidRPr="00F66162">
        <w:rPr>
          <w:noProof/>
        </w:rPr>
        <w:t xml:space="preserve"> w</w:t>
      </w:r>
      <w:r w:rsidR="00825614">
        <w:rPr>
          <w:noProof/>
        </w:rPr>
        <w:t> </w:t>
      </w:r>
      <w:r w:rsidR="00825614" w:rsidRPr="00F66162">
        <w:rPr>
          <w:noProof/>
        </w:rPr>
        <w:t>zak</w:t>
      </w:r>
      <w:r w:rsidRPr="00F66162">
        <w:rPr>
          <w:noProof/>
        </w:rPr>
        <w:t>resie stosowania CBAM. Aby ustanowić ten próg, należy wprowadzić nowy załącznik VII.</w:t>
      </w:r>
    </w:p>
    <w:p w14:paraId="655DBE76" w14:textId="30F864A2" w:rsidR="0079054A" w:rsidRPr="00F66162" w:rsidRDefault="0074784E" w:rsidP="0074784E">
      <w:pPr>
        <w:pStyle w:val="ManualConsidrant"/>
        <w:rPr>
          <w:noProof/>
        </w:rPr>
      </w:pPr>
      <w:r w:rsidRPr="00F66162">
        <w:rPr>
          <w:noProof/>
        </w:rPr>
        <w:t>(5)</w:t>
      </w:r>
      <w:r w:rsidRPr="00F66162">
        <w:rPr>
          <w:noProof/>
        </w:rPr>
        <w:tab/>
        <w:t>Aby zapewnić pewność prawa,</w:t>
      </w:r>
      <w:r w:rsidR="00825614" w:rsidRPr="00F66162">
        <w:rPr>
          <w:noProof/>
        </w:rPr>
        <w:t xml:space="preserve"> w</w:t>
      </w:r>
      <w:r w:rsidR="00825614">
        <w:rPr>
          <w:noProof/>
        </w:rPr>
        <w:t> </w:t>
      </w:r>
      <w:r w:rsidR="00825614" w:rsidRPr="00F66162">
        <w:rPr>
          <w:noProof/>
        </w:rPr>
        <w:t>roz</w:t>
      </w:r>
      <w:r w:rsidRPr="00F66162">
        <w:rPr>
          <w:noProof/>
        </w:rPr>
        <w:t>porządzeniu (UE) 2023/956 należy określić główne zasady funkcjonowania progu,</w:t>
      </w:r>
      <w:r w:rsidR="00825614" w:rsidRPr="00F66162">
        <w:rPr>
          <w:noProof/>
        </w:rPr>
        <w:t xml:space="preserve"> w</w:t>
      </w:r>
      <w:r w:rsidR="00825614">
        <w:rPr>
          <w:noProof/>
        </w:rPr>
        <w:t> </w:t>
      </w:r>
      <w:r w:rsidR="00825614" w:rsidRPr="00F66162">
        <w:rPr>
          <w:noProof/>
        </w:rPr>
        <w:t>tym</w:t>
      </w:r>
      <w:r w:rsidRPr="00F66162">
        <w:rPr>
          <w:noProof/>
        </w:rPr>
        <w:t xml:space="preserve"> zapewnić, aby prawie wszystkie emisje wbudowane pozostały objęte zakresem CBAM</w:t>
      </w:r>
      <w:r w:rsidR="00825614" w:rsidRPr="00F66162">
        <w:rPr>
          <w:noProof/>
        </w:rPr>
        <w:t>. W</w:t>
      </w:r>
      <w:r w:rsidR="00825614">
        <w:rPr>
          <w:noProof/>
        </w:rPr>
        <w:t> </w:t>
      </w:r>
      <w:r w:rsidR="00825614" w:rsidRPr="00F66162">
        <w:rPr>
          <w:noProof/>
        </w:rPr>
        <w:t>roz</w:t>
      </w:r>
      <w:r w:rsidRPr="00F66162">
        <w:rPr>
          <w:noProof/>
        </w:rPr>
        <w:t>porządzeniu (UE) 2023/956 należy również przewidzieć możliwość ponownego obliczenia progu na podstawie zaktualizowanej średniej intensywności emisji związanych</w:t>
      </w:r>
      <w:r w:rsidR="00825614" w:rsidRPr="00F66162">
        <w:rPr>
          <w:noProof/>
        </w:rPr>
        <w:t xml:space="preserve"> z</w:t>
      </w:r>
      <w:r w:rsidR="00825614">
        <w:rPr>
          <w:noProof/>
        </w:rPr>
        <w:t> </w:t>
      </w:r>
      <w:r w:rsidR="00825614" w:rsidRPr="00F66162">
        <w:rPr>
          <w:noProof/>
        </w:rPr>
        <w:t>tow</w:t>
      </w:r>
      <w:r w:rsidRPr="00F66162">
        <w:rPr>
          <w:noProof/>
        </w:rPr>
        <w:t>arami przywożonymi lub znaczących zmian struktury handlu lub praktyk obchodzenia przepisów mających wpływ na odsetek emisji wbudowanych objętych zakresem CBAM.</w:t>
      </w:r>
    </w:p>
    <w:p w14:paraId="58609A8B" w14:textId="54C6C5DF" w:rsidR="00C430B6" w:rsidRPr="00F66162" w:rsidRDefault="0074784E" w:rsidP="0074784E">
      <w:pPr>
        <w:pStyle w:val="ManualConsidrant"/>
        <w:rPr>
          <w:noProof/>
        </w:rPr>
      </w:pPr>
      <w:r w:rsidRPr="00F66162">
        <w:rPr>
          <w:noProof/>
        </w:rPr>
        <w:t>(6)</w:t>
      </w:r>
      <w:r w:rsidRPr="00F66162">
        <w:rPr>
          <w:noProof/>
        </w:rPr>
        <w:tab/>
        <w:t>W celu zapewnienia, aby odstępstwo było wystarczająco ukierunkowane, powinno się je stosować do importera. Pośredni przedstawiciel celny, ze względu na charakter swojej działalności</w:t>
      </w:r>
      <w:r w:rsidR="00825614" w:rsidRPr="00F66162">
        <w:rPr>
          <w:noProof/>
        </w:rPr>
        <w:t xml:space="preserve"> i</w:t>
      </w:r>
      <w:r w:rsidR="00825614">
        <w:rPr>
          <w:noProof/>
        </w:rPr>
        <w:t> </w:t>
      </w:r>
      <w:r w:rsidR="00825614" w:rsidRPr="00F66162">
        <w:rPr>
          <w:noProof/>
        </w:rPr>
        <w:t>pow</w:t>
      </w:r>
      <w:r w:rsidRPr="00F66162">
        <w:rPr>
          <w:noProof/>
        </w:rPr>
        <w:t>iązane obowiązki wynikające</w:t>
      </w:r>
      <w:r w:rsidR="00825614" w:rsidRPr="00F66162">
        <w:rPr>
          <w:noProof/>
        </w:rPr>
        <w:t xml:space="preserve"> z</w:t>
      </w:r>
      <w:r w:rsidR="00825614">
        <w:rPr>
          <w:noProof/>
        </w:rPr>
        <w:t> </w:t>
      </w:r>
      <w:r w:rsidR="00825614" w:rsidRPr="00F66162">
        <w:rPr>
          <w:noProof/>
        </w:rPr>
        <w:t>roz</w:t>
      </w:r>
      <w:r w:rsidRPr="00F66162">
        <w:rPr>
          <w:noProof/>
        </w:rPr>
        <w:t>porządzenia (UE) 2023/956, powinien być zawsze zobowiązany do uzyskania upoważnienia.</w:t>
      </w:r>
    </w:p>
    <w:p w14:paraId="0D15B2FF" w14:textId="5CCA0AFF" w:rsidR="0079054A" w:rsidRPr="00F66162" w:rsidRDefault="0074784E" w:rsidP="0074784E">
      <w:pPr>
        <w:pStyle w:val="ManualConsidrant"/>
        <w:rPr>
          <w:noProof/>
          <w:color w:val="000000" w:themeColor="text1"/>
        </w:rPr>
      </w:pPr>
      <w:r w:rsidRPr="00F66162">
        <w:rPr>
          <w:noProof/>
        </w:rPr>
        <w:t>(7)</w:t>
      </w:r>
      <w:r w:rsidRPr="00F66162">
        <w:rPr>
          <w:noProof/>
        </w:rPr>
        <w:tab/>
        <w:t>Właściwe organy</w:t>
      </w:r>
      <w:r w:rsidR="00825614" w:rsidRPr="00F66162">
        <w:rPr>
          <w:noProof/>
        </w:rPr>
        <w:t xml:space="preserve"> i</w:t>
      </w:r>
      <w:r w:rsidR="00825614">
        <w:rPr>
          <w:noProof/>
        </w:rPr>
        <w:t> </w:t>
      </w:r>
      <w:r w:rsidR="00825614" w:rsidRPr="00F66162">
        <w:rPr>
          <w:noProof/>
        </w:rPr>
        <w:t>Kom</w:t>
      </w:r>
      <w:r w:rsidRPr="00F66162">
        <w:rPr>
          <w:noProof/>
        </w:rPr>
        <w:t>isja powinny – na podstawie informacji celnych – monitorować ilość przywożonych towarów, aby ocenić, czy próg nie został przekroczony. Aby umożliwić właściwym organom podjęcie uzasadnionej decyzji, organy celne</w:t>
      </w:r>
      <w:r w:rsidR="00825614" w:rsidRPr="00F66162">
        <w:rPr>
          <w:noProof/>
        </w:rPr>
        <w:t xml:space="preserve"> i</w:t>
      </w:r>
      <w:r w:rsidR="00825614">
        <w:rPr>
          <w:noProof/>
        </w:rPr>
        <w:t> </w:t>
      </w:r>
      <w:r w:rsidR="00825614" w:rsidRPr="00F66162">
        <w:rPr>
          <w:noProof/>
        </w:rPr>
        <w:t>Kom</w:t>
      </w:r>
      <w:r w:rsidRPr="00F66162">
        <w:rPr>
          <w:noProof/>
        </w:rPr>
        <w:t>isja powinny udostępniać im niezbędne informacje</w:t>
      </w:r>
      <w:r w:rsidR="00825614" w:rsidRPr="00F66162">
        <w:rPr>
          <w:noProof/>
        </w:rPr>
        <w:t xml:space="preserve"> i</w:t>
      </w:r>
      <w:r w:rsidR="00825614">
        <w:rPr>
          <w:noProof/>
        </w:rPr>
        <w:t> </w:t>
      </w:r>
      <w:r w:rsidR="00825614" w:rsidRPr="00F66162">
        <w:rPr>
          <w:noProof/>
        </w:rPr>
        <w:t>dan</w:t>
      </w:r>
      <w:r w:rsidRPr="00F66162">
        <w:rPr>
          <w:noProof/>
        </w:rPr>
        <w:t>e. Jeżeli właściwy organ stwierdzi, że importer przekroczył próg, powinien poinformować</w:t>
      </w:r>
      <w:r w:rsidR="00825614" w:rsidRPr="00F66162">
        <w:rPr>
          <w:noProof/>
        </w:rPr>
        <w:t xml:space="preserve"> o</w:t>
      </w:r>
      <w:r w:rsidR="00825614">
        <w:rPr>
          <w:noProof/>
        </w:rPr>
        <w:t> </w:t>
      </w:r>
      <w:r w:rsidR="00825614" w:rsidRPr="00F66162">
        <w:rPr>
          <w:noProof/>
        </w:rPr>
        <w:t>tym</w:t>
      </w:r>
      <w:r w:rsidRPr="00F66162">
        <w:rPr>
          <w:noProof/>
        </w:rPr>
        <w:t xml:space="preserve"> organy celne, które</w:t>
      </w:r>
      <w:r w:rsidR="00825614" w:rsidRPr="00F66162">
        <w:rPr>
          <w:noProof/>
        </w:rPr>
        <w:t xml:space="preserve"> z</w:t>
      </w:r>
      <w:r w:rsidR="00825614">
        <w:rPr>
          <w:noProof/>
        </w:rPr>
        <w:t> </w:t>
      </w:r>
      <w:r w:rsidR="00825614" w:rsidRPr="00F66162">
        <w:rPr>
          <w:noProof/>
        </w:rPr>
        <w:t>kol</w:t>
      </w:r>
      <w:r w:rsidRPr="00F66162">
        <w:rPr>
          <w:noProof/>
        </w:rPr>
        <w:t xml:space="preserve">ei nie powinny zezwalać na dalszy przywóz towarów </w:t>
      </w:r>
      <w:r w:rsidRPr="00F66162">
        <w:rPr>
          <w:noProof/>
        </w:rPr>
        <w:lastRenderedPageBreak/>
        <w:t>przez tego importera do końca roku kalendarzowego lub do momentu uzyskania przez niego statusu upoważnionego zgłaszającego CBAM.</w:t>
      </w:r>
    </w:p>
    <w:p w14:paraId="148094B7" w14:textId="4293B9FA" w:rsidR="00C430B6" w:rsidRPr="00F66162" w:rsidRDefault="0074784E" w:rsidP="0074784E">
      <w:pPr>
        <w:pStyle w:val="ManualConsidrant"/>
        <w:rPr>
          <w:noProof/>
        </w:rPr>
      </w:pPr>
      <w:r w:rsidRPr="00F66162">
        <w:rPr>
          <w:noProof/>
        </w:rPr>
        <w:t>(8)</w:t>
      </w:r>
      <w:r w:rsidRPr="00F66162">
        <w:rPr>
          <w:noProof/>
        </w:rPr>
        <w:tab/>
        <w:t>Importer, który spodziewa się przekroczyć próg roczny lub zamierza przywozić towary po jego przekroczeniu, powinien wystąpić</w:t>
      </w:r>
      <w:r w:rsidR="00825614" w:rsidRPr="00F66162">
        <w:rPr>
          <w:noProof/>
        </w:rPr>
        <w:t xml:space="preserve"> o</w:t>
      </w:r>
      <w:r w:rsidR="00825614">
        <w:rPr>
          <w:noProof/>
        </w:rPr>
        <w:t> </w:t>
      </w:r>
      <w:r w:rsidR="00825614" w:rsidRPr="00F66162">
        <w:rPr>
          <w:noProof/>
        </w:rPr>
        <w:t>udz</w:t>
      </w:r>
      <w:r w:rsidRPr="00F66162">
        <w:rPr>
          <w:noProof/>
        </w:rPr>
        <w:t xml:space="preserve">ielenie upoważnienia na podstawie </w:t>
      </w:r>
      <w:r w:rsidRPr="00825614">
        <w:rPr>
          <w:noProof/>
        </w:rPr>
        <w:t>art.</w:t>
      </w:r>
      <w:r w:rsidR="00825614" w:rsidRPr="00825614">
        <w:rPr>
          <w:noProof/>
        </w:rPr>
        <w:t> </w:t>
      </w:r>
      <w:r w:rsidRPr="00825614">
        <w:rPr>
          <w:noProof/>
        </w:rPr>
        <w:t>5</w:t>
      </w:r>
      <w:r w:rsidRPr="00F66162">
        <w:rPr>
          <w:noProof/>
        </w:rPr>
        <w:t xml:space="preserve"> rozporządzenia (UE) 2023/956</w:t>
      </w:r>
      <w:r w:rsidR="00825614" w:rsidRPr="00F66162">
        <w:rPr>
          <w:noProof/>
        </w:rPr>
        <w:t>. W</w:t>
      </w:r>
      <w:r w:rsidR="00825614">
        <w:rPr>
          <w:noProof/>
        </w:rPr>
        <w:t> </w:t>
      </w:r>
      <w:r w:rsidR="00825614" w:rsidRPr="00F66162">
        <w:rPr>
          <w:noProof/>
        </w:rPr>
        <w:t>prz</w:t>
      </w:r>
      <w:r w:rsidRPr="00F66162">
        <w:rPr>
          <w:noProof/>
        </w:rPr>
        <w:t>ypadku importerów, którzy przekroczyli próg przed uzyskaniem upoważnienia, kary powinny mieć zastosowanie</w:t>
      </w:r>
      <w:r w:rsidR="00825614" w:rsidRPr="00F66162">
        <w:rPr>
          <w:noProof/>
        </w:rPr>
        <w:t xml:space="preserve"> w</w:t>
      </w:r>
      <w:r w:rsidR="00825614">
        <w:rPr>
          <w:noProof/>
        </w:rPr>
        <w:t> </w:t>
      </w:r>
      <w:r w:rsidR="00825614" w:rsidRPr="00F66162">
        <w:rPr>
          <w:noProof/>
        </w:rPr>
        <w:t>odn</w:t>
      </w:r>
      <w:r w:rsidRPr="00F66162">
        <w:rPr>
          <w:noProof/>
        </w:rPr>
        <w:t>iesieniu do całości przywożonych towarów,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6 </w:t>
      </w:r>
      <w:r w:rsidRPr="00825614">
        <w:rPr>
          <w:noProof/>
        </w:rPr>
        <w:t>ust.</w:t>
      </w:r>
      <w:r w:rsidR="00825614" w:rsidRPr="00825614">
        <w:rPr>
          <w:noProof/>
        </w:rPr>
        <w:t> </w:t>
      </w:r>
      <w:r w:rsidRPr="00825614">
        <w:rPr>
          <w:noProof/>
        </w:rPr>
        <w:t>2</w:t>
      </w:r>
      <w:r w:rsidRPr="00F66162">
        <w:rPr>
          <w:noProof/>
        </w:rPr>
        <w:t xml:space="preserve"> rozporządzenia (UE) 2023/956. Uiszczenie kary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6 </w:t>
      </w:r>
      <w:r w:rsidRPr="00825614">
        <w:rPr>
          <w:noProof/>
        </w:rPr>
        <w:t>ust.</w:t>
      </w:r>
      <w:r w:rsidR="00825614" w:rsidRPr="00825614">
        <w:rPr>
          <w:noProof/>
        </w:rPr>
        <w:t> </w:t>
      </w:r>
      <w:r w:rsidRPr="00825614">
        <w:rPr>
          <w:noProof/>
        </w:rPr>
        <w:t>2</w:t>
      </w:r>
      <w:r w:rsidRPr="00F66162">
        <w:rPr>
          <w:noProof/>
        </w:rPr>
        <w:t xml:space="preserve"> tego rozporządzenia powinno zwalniać importera</w:t>
      </w:r>
      <w:r w:rsidR="00825614" w:rsidRPr="00F66162">
        <w:rPr>
          <w:noProof/>
        </w:rPr>
        <w:t xml:space="preserve"> z</w:t>
      </w:r>
      <w:r w:rsidR="00825614">
        <w:rPr>
          <w:noProof/>
        </w:rPr>
        <w:t> </w:t>
      </w:r>
      <w:r w:rsidR="00825614" w:rsidRPr="00F66162">
        <w:rPr>
          <w:noProof/>
        </w:rPr>
        <w:t>obo</w:t>
      </w:r>
      <w:r w:rsidRPr="00F66162">
        <w:rPr>
          <w:noProof/>
        </w:rPr>
        <w:t>wiązku złożenia deklaracji CBAM</w:t>
      </w:r>
      <w:r w:rsidR="00825614" w:rsidRPr="00F66162">
        <w:rPr>
          <w:noProof/>
        </w:rPr>
        <w:t xml:space="preserve"> i</w:t>
      </w:r>
      <w:r w:rsidR="00825614">
        <w:rPr>
          <w:noProof/>
        </w:rPr>
        <w:t> </w:t>
      </w:r>
      <w:r w:rsidR="00825614" w:rsidRPr="00F66162">
        <w:rPr>
          <w:noProof/>
        </w:rPr>
        <w:t>prz</w:t>
      </w:r>
      <w:r w:rsidRPr="00F66162">
        <w:rPr>
          <w:noProof/>
        </w:rPr>
        <w:t>ekazania certyfikatów CBAM do umorzenia.</w:t>
      </w:r>
    </w:p>
    <w:p w14:paraId="23D5ED2D" w14:textId="43247D39" w:rsidR="0079054A" w:rsidRPr="00F66162" w:rsidRDefault="0074784E" w:rsidP="0074784E">
      <w:pPr>
        <w:pStyle w:val="ManualConsidrant"/>
        <w:rPr>
          <w:noProof/>
        </w:rPr>
      </w:pPr>
      <w:r w:rsidRPr="00F66162">
        <w:rPr>
          <w:noProof/>
        </w:rPr>
        <w:t>(9)</w:t>
      </w:r>
      <w:r w:rsidRPr="00F66162">
        <w:rPr>
          <w:noProof/>
        </w:rPr>
        <w:tab/>
        <w:t>W celu zapewnienia, aby definicja importera uwzględniała wszystkie odpowiednie procedury celne, konieczna jest jej zmiana</w:t>
      </w:r>
      <w:r w:rsidR="00825614" w:rsidRPr="00F66162">
        <w:rPr>
          <w:noProof/>
        </w:rPr>
        <w:t xml:space="preserve"> w</w:t>
      </w:r>
      <w:r w:rsidR="00825614">
        <w:rPr>
          <w:noProof/>
        </w:rPr>
        <w:t> </w:t>
      </w:r>
      <w:r w:rsidR="00825614" w:rsidRPr="00F66162">
        <w:rPr>
          <w:noProof/>
        </w:rPr>
        <w:t>cel</w:t>
      </w:r>
      <w:r w:rsidRPr="00F66162">
        <w:rPr>
          <w:noProof/>
        </w:rPr>
        <w:t>u objęcia nią uproszczonej procedury celnej,</w:t>
      </w:r>
      <w:r w:rsidR="00825614" w:rsidRPr="00F66162">
        <w:rPr>
          <w:noProof/>
        </w:rPr>
        <w:t xml:space="preserve"> w</w:t>
      </w:r>
      <w:r w:rsidR="00825614">
        <w:rPr>
          <w:noProof/>
        </w:rPr>
        <w:t> </w:t>
      </w:r>
      <w:r w:rsidR="00825614" w:rsidRPr="00F66162">
        <w:rPr>
          <w:noProof/>
        </w:rPr>
        <w:t>któ</w:t>
      </w:r>
      <w:r w:rsidRPr="00F66162">
        <w:rPr>
          <w:noProof/>
        </w:rPr>
        <w:t>rej przedkłada się jedynie rozliczenie zamknięcia,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 xml:space="preserve">75 </w:t>
      </w:r>
      <w:r w:rsidRPr="00825614">
        <w:rPr>
          <w:noProof/>
        </w:rPr>
        <w:t>ust.</w:t>
      </w:r>
      <w:r w:rsidR="00825614" w:rsidRPr="00825614">
        <w:rPr>
          <w:noProof/>
        </w:rPr>
        <w:t> </w:t>
      </w:r>
      <w:r w:rsidRPr="00825614">
        <w:rPr>
          <w:noProof/>
        </w:rPr>
        <w:t>5</w:t>
      </w:r>
      <w:r w:rsidRPr="00F66162">
        <w:rPr>
          <w:noProof/>
        </w:rPr>
        <w:t xml:space="preserve"> rozporządzenia delegowanego Komisji (UE) 2015/2446</w:t>
      </w:r>
      <w:r w:rsidRPr="00F66162">
        <w:rPr>
          <w:rStyle w:val="Odwoanieprzypisudolnego"/>
          <w:noProof/>
        </w:rPr>
        <w:footnoteReference w:id="17"/>
      </w:r>
      <w:r w:rsidRPr="00F66162">
        <w:rPr>
          <w:noProof/>
        </w:rPr>
        <w:t>.</w:t>
      </w:r>
    </w:p>
    <w:p w14:paraId="60F88FC4" w14:textId="0DB21955" w:rsidR="0079054A" w:rsidRPr="00F66162" w:rsidRDefault="0074784E" w:rsidP="0074784E">
      <w:pPr>
        <w:pStyle w:val="ManualConsidrant"/>
        <w:rPr>
          <w:noProof/>
        </w:rPr>
      </w:pPr>
      <w:r w:rsidRPr="00F66162">
        <w:rPr>
          <w:noProof/>
        </w:rPr>
        <w:t>(10)</w:t>
      </w:r>
      <w:r w:rsidRPr="00F66162">
        <w:rPr>
          <w:noProof/>
        </w:rPr>
        <w:tab/>
        <w:t>Aby zapewnić równowagę między skutecznością procedury udzielania upoważnień</w:t>
      </w:r>
      <w:r w:rsidR="00825614" w:rsidRPr="00F66162">
        <w:rPr>
          <w:noProof/>
        </w:rPr>
        <w:t xml:space="preserve"> a</w:t>
      </w:r>
      <w:r w:rsidR="00825614">
        <w:rPr>
          <w:noProof/>
        </w:rPr>
        <w:t> </w:t>
      </w:r>
      <w:r w:rsidR="00825614" w:rsidRPr="00F66162">
        <w:rPr>
          <w:noProof/>
        </w:rPr>
        <w:t>pro</w:t>
      </w:r>
      <w:r w:rsidRPr="00F66162">
        <w:rPr>
          <w:noProof/>
        </w:rPr>
        <w:t>filem ryzyka wnioskujących, procedura konsultacji powinna być dla właściwego organu opcjonalna. Procedura konsultacji powinna umożliwiać właściwemu organowi skonsultowanie się</w:t>
      </w:r>
      <w:r w:rsidR="00825614" w:rsidRPr="00F66162">
        <w:rPr>
          <w:noProof/>
        </w:rPr>
        <w:t xml:space="preserve"> z</w:t>
      </w:r>
      <w:r w:rsidR="00825614">
        <w:rPr>
          <w:noProof/>
        </w:rPr>
        <w:t> </w:t>
      </w:r>
      <w:r w:rsidR="00825614" w:rsidRPr="00F66162">
        <w:rPr>
          <w:noProof/>
        </w:rPr>
        <w:t>inn</w:t>
      </w:r>
      <w:r w:rsidRPr="00F66162">
        <w:rPr>
          <w:noProof/>
        </w:rPr>
        <w:t>ymi właściwymi organami</w:t>
      </w:r>
      <w:r w:rsidR="00825614" w:rsidRPr="00F66162">
        <w:rPr>
          <w:noProof/>
        </w:rPr>
        <w:t xml:space="preserve"> i</w:t>
      </w:r>
      <w:r w:rsidR="00825614">
        <w:rPr>
          <w:noProof/>
        </w:rPr>
        <w:t> </w:t>
      </w:r>
      <w:r w:rsidR="00825614" w:rsidRPr="00F66162">
        <w:rPr>
          <w:noProof/>
        </w:rPr>
        <w:t>Kom</w:t>
      </w:r>
      <w:r w:rsidRPr="00F66162">
        <w:rPr>
          <w:noProof/>
        </w:rPr>
        <w:t>isją, jeżeli dany organ uzna to za konieczne na podstawie informacji przedłożonych mu przez wnioskodawcę</w:t>
      </w:r>
      <w:r w:rsidR="00825614" w:rsidRPr="00F66162">
        <w:rPr>
          <w:noProof/>
        </w:rPr>
        <w:t xml:space="preserve"> i</w:t>
      </w:r>
      <w:r w:rsidR="00825614">
        <w:rPr>
          <w:noProof/>
        </w:rPr>
        <w:t> </w:t>
      </w:r>
      <w:r w:rsidR="00825614" w:rsidRPr="00F66162">
        <w:rPr>
          <w:noProof/>
        </w:rPr>
        <w:t>inf</w:t>
      </w:r>
      <w:r w:rsidRPr="00F66162">
        <w:rPr>
          <w:noProof/>
        </w:rPr>
        <w:t>ormacji celnych udostępnionych</w:t>
      </w:r>
      <w:r w:rsidR="00825614" w:rsidRPr="00F66162">
        <w:rPr>
          <w:noProof/>
        </w:rPr>
        <w:t xml:space="preserve"> w</w:t>
      </w:r>
      <w:r w:rsidR="00825614">
        <w:rPr>
          <w:noProof/>
        </w:rPr>
        <w:t> </w:t>
      </w:r>
      <w:r w:rsidR="00825614" w:rsidRPr="00F66162">
        <w:rPr>
          <w:noProof/>
        </w:rPr>
        <w:t>rej</w:t>
      </w:r>
      <w:r w:rsidRPr="00F66162">
        <w:rPr>
          <w:noProof/>
        </w:rPr>
        <w:t>estrze CBAM.</w:t>
      </w:r>
    </w:p>
    <w:p w14:paraId="3AB049CA" w14:textId="2AE81039" w:rsidR="00C430B6" w:rsidRPr="00F66162" w:rsidRDefault="0074784E" w:rsidP="0074784E">
      <w:pPr>
        <w:pStyle w:val="ManualConsidrant"/>
        <w:rPr>
          <w:noProof/>
        </w:rPr>
      </w:pPr>
      <w:r w:rsidRPr="00F66162">
        <w:rPr>
          <w:noProof/>
        </w:rPr>
        <w:t>(11)</w:t>
      </w:r>
      <w:r w:rsidRPr="00F66162">
        <w:rPr>
          <w:noProof/>
        </w:rPr>
        <w:tab/>
        <w:t>Aby zapewnić im dodatkową elastyczność, upoważnieni zgłaszający CBAM powinni mieć możliwość powierzenia składania deklaracji CBAM osobie trzeciej. Upoważniony zgłaszający CBAM powinien jednak pozostawać odpowiedzialnym za złożenie deklaracji CBAM. Dana osoba trzecia powinna spełniać określone wymogi techniczne</w:t>
      </w:r>
      <w:r w:rsidR="00825614" w:rsidRPr="00F66162">
        <w:rPr>
          <w:noProof/>
        </w:rPr>
        <w:t xml:space="preserve"> w</w:t>
      </w:r>
      <w:r w:rsidR="00825614">
        <w:rPr>
          <w:noProof/>
        </w:rPr>
        <w:t> </w:t>
      </w:r>
      <w:r w:rsidR="00825614" w:rsidRPr="00F66162">
        <w:rPr>
          <w:noProof/>
        </w:rPr>
        <w:t>zak</w:t>
      </w:r>
      <w:r w:rsidRPr="00F66162">
        <w:rPr>
          <w:noProof/>
        </w:rPr>
        <w:t>resie danych uwierzytelniających,</w:t>
      </w:r>
      <w:r w:rsidR="00825614" w:rsidRPr="00F66162">
        <w:rPr>
          <w:noProof/>
        </w:rPr>
        <w:t xml:space="preserve"> w</w:t>
      </w:r>
      <w:r w:rsidR="00825614">
        <w:rPr>
          <w:noProof/>
        </w:rPr>
        <w:t> </w:t>
      </w:r>
      <w:r w:rsidR="00825614" w:rsidRPr="00F66162">
        <w:rPr>
          <w:noProof/>
        </w:rPr>
        <w:t>tym</w:t>
      </w:r>
      <w:r w:rsidRPr="00F66162">
        <w:rPr>
          <w:noProof/>
        </w:rPr>
        <w:t xml:space="preserve"> posiadać numer rejestracyjny</w:t>
      </w:r>
      <w:r w:rsidR="00825614" w:rsidRPr="00F66162">
        <w:rPr>
          <w:noProof/>
        </w:rPr>
        <w:t xml:space="preserve"> i</w:t>
      </w:r>
      <w:r w:rsidR="00825614">
        <w:rPr>
          <w:noProof/>
        </w:rPr>
        <w:t> </w:t>
      </w:r>
      <w:r w:rsidR="00825614" w:rsidRPr="00F66162">
        <w:rPr>
          <w:noProof/>
        </w:rPr>
        <w:t>ide</w:t>
      </w:r>
      <w:r w:rsidRPr="00F66162">
        <w:rPr>
          <w:noProof/>
        </w:rPr>
        <w:t>ntyfikacyjny przedsiębiorcy (EORI)</w:t>
      </w:r>
      <w:r w:rsidR="00825614" w:rsidRPr="00F66162">
        <w:rPr>
          <w:noProof/>
        </w:rPr>
        <w:t xml:space="preserve"> i</w:t>
      </w:r>
      <w:r w:rsidR="00825614">
        <w:rPr>
          <w:noProof/>
        </w:rPr>
        <w:t> </w:t>
      </w:r>
      <w:r w:rsidR="00825614" w:rsidRPr="00F66162">
        <w:rPr>
          <w:noProof/>
        </w:rPr>
        <w:t>zar</w:t>
      </w:r>
      <w:r w:rsidRPr="00F66162">
        <w:rPr>
          <w:noProof/>
        </w:rPr>
        <w:t>ejestrowaną siedzibę</w:t>
      </w:r>
      <w:r w:rsidR="00825614" w:rsidRPr="00F66162">
        <w:rPr>
          <w:noProof/>
        </w:rPr>
        <w:t xml:space="preserve"> w</w:t>
      </w:r>
      <w:r w:rsidR="00825614">
        <w:rPr>
          <w:noProof/>
        </w:rPr>
        <w:t> </w:t>
      </w:r>
      <w:r w:rsidR="00825614" w:rsidRPr="00F66162">
        <w:rPr>
          <w:noProof/>
        </w:rPr>
        <w:t>pań</w:t>
      </w:r>
      <w:r w:rsidRPr="00F66162">
        <w:rPr>
          <w:noProof/>
        </w:rPr>
        <w:t>stwie członkowskim, aby uzyskać dostęp</w:t>
      </w:r>
      <w:r w:rsidR="00825614" w:rsidRPr="00F66162">
        <w:rPr>
          <w:noProof/>
        </w:rPr>
        <w:t xml:space="preserve"> i</w:t>
      </w:r>
      <w:r w:rsidR="00825614">
        <w:rPr>
          <w:noProof/>
        </w:rPr>
        <w:t> </w:t>
      </w:r>
      <w:r w:rsidR="00825614" w:rsidRPr="00F66162">
        <w:rPr>
          <w:noProof/>
        </w:rPr>
        <w:t>wym</w:t>
      </w:r>
      <w:r w:rsidRPr="00F66162">
        <w:rPr>
          <w:noProof/>
        </w:rPr>
        <w:t>agane przekazanie uprawnień.</w:t>
      </w:r>
    </w:p>
    <w:p w14:paraId="180BA054" w14:textId="22D28A62" w:rsidR="00C430B6" w:rsidRPr="00F66162" w:rsidRDefault="0074784E" w:rsidP="0074784E">
      <w:pPr>
        <w:pStyle w:val="ManualConsidrant"/>
        <w:rPr>
          <w:noProof/>
        </w:rPr>
      </w:pPr>
      <w:r w:rsidRPr="00F66162">
        <w:rPr>
          <w:noProof/>
        </w:rPr>
        <w:t>(12)</w:t>
      </w:r>
      <w:r w:rsidRPr="00F66162">
        <w:rPr>
          <w:noProof/>
        </w:rPr>
        <w:tab/>
        <w:t>Do dnia 31 maja roku następującego po roku przywozu upoważnieni zgłaszający CBAM są zobowiązani złożyć roczną deklarację CBAM</w:t>
      </w:r>
      <w:r w:rsidR="00825614" w:rsidRPr="00F66162">
        <w:rPr>
          <w:noProof/>
        </w:rPr>
        <w:t xml:space="preserve"> i</w:t>
      </w:r>
      <w:r w:rsidR="00825614">
        <w:rPr>
          <w:noProof/>
        </w:rPr>
        <w:t> </w:t>
      </w:r>
      <w:r w:rsidR="00825614" w:rsidRPr="00F66162">
        <w:rPr>
          <w:noProof/>
        </w:rPr>
        <w:t>prz</w:t>
      </w:r>
      <w:r w:rsidRPr="00F66162">
        <w:rPr>
          <w:noProof/>
        </w:rPr>
        <w:t>ekazać do umorzenia odpowiednią liczbę certyfikatów. Aby zwiększyć elastyczność upoważnionych zgłaszających CBAM</w:t>
      </w:r>
      <w:r w:rsidR="00825614" w:rsidRPr="00F66162">
        <w:rPr>
          <w:noProof/>
        </w:rPr>
        <w:t xml:space="preserve"> w</w:t>
      </w:r>
      <w:r w:rsidR="00825614">
        <w:rPr>
          <w:noProof/>
        </w:rPr>
        <w:t> </w:t>
      </w:r>
      <w:r w:rsidR="00825614" w:rsidRPr="00F66162">
        <w:rPr>
          <w:noProof/>
        </w:rPr>
        <w:t>wyp</w:t>
      </w:r>
      <w:r w:rsidRPr="00F66162">
        <w:rPr>
          <w:noProof/>
        </w:rPr>
        <w:t xml:space="preserve">ełnianiu swoich obowiązków, należy przesunąć ten termin na późniejszy, aby mieli oni więcej czasu na zebranie niezbędnych informacji, zapewnienie, by akredytowany weryfikator zweryfikował emisje wbudowane, oraz zakupienie odpowiedniej liczby certyfikatów CBAM. Należy odpowiednio dostosować datę anulowania certyfikatów CBAM. </w:t>
      </w:r>
    </w:p>
    <w:p w14:paraId="1112771B" w14:textId="63A5B19B" w:rsidR="0079054A" w:rsidRPr="00F66162" w:rsidRDefault="0074784E" w:rsidP="0074784E">
      <w:pPr>
        <w:pStyle w:val="ManualConsidrant"/>
        <w:rPr>
          <w:noProof/>
        </w:rPr>
      </w:pPr>
      <w:r w:rsidRPr="00F66162">
        <w:rPr>
          <w:noProof/>
        </w:rPr>
        <w:t>(13)</w:t>
      </w:r>
      <w:r w:rsidRPr="00F66162">
        <w:rPr>
          <w:noProof/>
        </w:rPr>
        <w:tab/>
        <w:t>Emisje wbudowane związane</w:t>
      </w:r>
      <w:r w:rsidR="00825614" w:rsidRPr="00F66162">
        <w:rPr>
          <w:noProof/>
        </w:rPr>
        <w:t xml:space="preserve"> z</w:t>
      </w:r>
      <w:r w:rsidR="00825614">
        <w:rPr>
          <w:noProof/>
        </w:rPr>
        <w:t> </w:t>
      </w:r>
      <w:r w:rsidR="00825614" w:rsidRPr="00F66162">
        <w:rPr>
          <w:noProof/>
        </w:rPr>
        <w:t>nie</w:t>
      </w:r>
      <w:r w:rsidRPr="00F66162">
        <w:rPr>
          <w:noProof/>
        </w:rPr>
        <w:t>którymi towarami</w:t>
      </w:r>
      <w:r w:rsidR="00825614" w:rsidRPr="00F66162">
        <w:rPr>
          <w:noProof/>
        </w:rPr>
        <w:t xml:space="preserve"> z</w:t>
      </w:r>
      <w:r w:rsidR="00825614">
        <w:rPr>
          <w:noProof/>
        </w:rPr>
        <w:t> </w:t>
      </w:r>
      <w:r w:rsidR="00825614" w:rsidRPr="00F66162">
        <w:rPr>
          <w:noProof/>
        </w:rPr>
        <w:t>alu</w:t>
      </w:r>
      <w:r w:rsidRPr="00F66162">
        <w:rPr>
          <w:noProof/>
        </w:rPr>
        <w:t>minium i ze stali obecnie objętymi zakresem CBAM zależą przede wszystkim od emisji wbudowanych materiałów wsadowych (prekursorów), gdyż emisje powstające</w:t>
      </w:r>
      <w:r w:rsidR="00825614" w:rsidRPr="00F66162">
        <w:rPr>
          <w:noProof/>
        </w:rPr>
        <w:t xml:space="preserve"> w</w:t>
      </w:r>
      <w:r w:rsidR="00825614">
        <w:rPr>
          <w:noProof/>
        </w:rPr>
        <w:t> </w:t>
      </w:r>
      <w:r w:rsidR="00825614" w:rsidRPr="00F66162">
        <w:rPr>
          <w:noProof/>
        </w:rPr>
        <w:t>tra</w:t>
      </w:r>
      <w:r w:rsidRPr="00F66162">
        <w:rPr>
          <w:noProof/>
        </w:rPr>
        <w:t>kcie produkcji tych towarów są zazwyczaj stosunkowo niskie. Etapy produkcji obejmują procesy wykończeniowe przeprowadzane przez oddzielne instalacje nieobjęte unijnym systemem handlu uprawnieniami do emisji („EU ETS”) ustanowionym</w:t>
      </w:r>
      <w:r w:rsidR="00825614" w:rsidRPr="00F66162">
        <w:rPr>
          <w:noProof/>
        </w:rPr>
        <w:t xml:space="preserve"> w</w:t>
      </w:r>
      <w:r w:rsidR="00825614">
        <w:rPr>
          <w:noProof/>
        </w:rPr>
        <w:t> </w:t>
      </w:r>
      <w:r w:rsidR="00825614" w:rsidRPr="00F66162">
        <w:rPr>
          <w:noProof/>
        </w:rPr>
        <w:t>dyr</w:t>
      </w:r>
      <w:r w:rsidRPr="00F66162">
        <w:rPr>
          <w:noProof/>
        </w:rPr>
        <w:t xml:space="preserve">ektywie </w:t>
      </w:r>
      <w:r w:rsidRPr="00F66162">
        <w:rPr>
          <w:noProof/>
        </w:rPr>
        <w:lastRenderedPageBreak/>
        <w:t>2003/87/WE Parlamentu Europejskiego</w:t>
      </w:r>
      <w:r w:rsidR="00825614" w:rsidRPr="00F66162">
        <w:rPr>
          <w:noProof/>
        </w:rPr>
        <w:t xml:space="preserve"> i</w:t>
      </w:r>
      <w:r w:rsidR="00825614">
        <w:rPr>
          <w:noProof/>
        </w:rPr>
        <w:t> </w:t>
      </w:r>
      <w:r w:rsidR="00825614" w:rsidRPr="00F66162">
        <w:rPr>
          <w:noProof/>
        </w:rPr>
        <w:t>Rad</w:t>
      </w:r>
      <w:r w:rsidRPr="00F66162">
        <w:rPr>
          <w:noProof/>
        </w:rPr>
        <w:t>y</w:t>
      </w:r>
      <w:r w:rsidRPr="00F66162">
        <w:rPr>
          <w:rStyle w:val="Odwoanieprzypisudolnego"/>
          <w:noProof/>
        </w:rPr>
        <w:footnoteReference w:id="18"/>
      </w:r>
      <w:r w:rsidRPr="00F66162">
        <w:rPr>
          <w:noProof/>
        </w:rPr>
        <w:t>,</w:t>
      </w:r>
      <w:r w:rsidR="00825614" w:rsidRPr="00F66162">
        <w:rPr>
          <w:noProof/>
        </w:rPr>
        <w:t xml:space="preserve"> z</w:t>
      </w:r>
      <w:r w:rsidR="00825614">
        <w:rPr>
          <w:noProof/>
        </w:rPr>
        <w:t> </w:t>
      </w:r>
      <w:r w:rsidR="00825614" w:rsidRPr="00F66162">
        <w:rPr>
          <w:noProof/>
        </w:rPr>
        <w:t>wyj</w:t>
      </w:r>
      <w:r w:rsidRPr="00F66162">
        <w:rPr>
          <w:noProof/>
        </w:rPr>
        <w:t>ątkiem instalacji zintegrowanych. Emisje wbudowane związane</w:t>
      </w:r>
      <w:r w:rsidR="00825614" w:rsidRPr="00F66162">
        <w:rPr>
          <w:noProof/>
        </w:rPr>
        <w:t xml:space="preserve"> z</w:t>
      </w:r>
      <w:r w:rsidR="00825614">
        <w:rPr>
          <w:noProof/>
        </w:rPr>
        <w:t> </w:t>
      </w:r>
      <w:r w:rsidR="00825614" w:rsidRPr="00F66162">
        <w:rPr>
          <w:noProof/>
        </w:rPr>
        <w:t>tym</w:t>
      </w:r>
      <w:r w:rsidRPr="00F66162">
        <w:rPr>
          <w:noProof/>
        </w:rPr>
        <w:t>i procesami produkcji należy więc wyłączyć</w:t>
      </w:r>
      <w:r w:rsidR="00825614" w:rsidRPr="00F66162">
        <w:rPr>
          <w:noProof/>
        </w:rPr>
        <w:t xml:space="preserve"> z</w:t>
      </w:r>
      <w:r w:rsidR="00825614">
        <w:rPr>
          <w:noProof/>
        </w:rPr>
        <w:t> </w:t>
      </w:r>
      <w:r w:rsidR="00825614" w:rsidRPr="00F66162">
        <w:rPr>
          <w:noProof/>
        </w:rPr>
        <w:t>gra</w:t>
      </w:r>
      <w:r w:rsidRPr="00F66162">
        <w:rPr>
          <w:noProof/>
        </w:rPr>
        <w:t>nic systemu na potrzeby obliczania emisji.</w:t>
      </w:r>
    </w:p>
    <w:p w14:paraId="0C701051" w14:textId="56413CCC" w:rsidR="0079054A" w:rsidRPr="00F66162" w:rsidRDefault="0074784E" w:rsidP="0074784E">
      <w:pPr>
        <w:pStyle w:val="ManualConsidrant"/>
        <w:rPr>
          <w:noProof/>
        </w:rPr>
      </w:pPr>
      <w:r w:rsidRPr="00F66162">
        <w:rPr>
          <w:noProof/>
        </w:rPr>
        <w:t>(14)</w:t>
      </w:r>
      <w:r w:rsidRPr="00F66162">
        <w:rPr>
          <w:noProof/>
        </w:rPr>
        <w:tab/>
        <w:t>Jeżeli materiały wsadowe (prekursory) objęto już EU ETS lub systemem ustalania opłat emisyjnych</w:t>
      </w:r>
      <w:r w:rsidR="00825614" w:rsidRPr="00F66162">
        <w:rPr>
          <w:noProof/>
        </w:rPr>
        <w:t xml:space="preserve"> w</w:t>
      </w:r>
      <w:r w:rsidR="00825614">
        <w:rPr>
          <w:noProof/>
        </w:rPr>
        <w:t> </w:t>
      </w:r>
      <w:r w:rsidR="00825614" w:rsidRPr="00F66162">
        <w:rPr>
          <w:noProof/>
        </w:rPr>
        <w:t>peł</w:t>
      </w:r>
      <w:r w:rsidRPr="00F66162">
        <w:rPr>
          <w:noProof/>
        </w:rPr>
        <w:t>ni powiązanym z EU ETS, emisji wbudowanych związanych</w:t>
      </w:r>
      <w:r w:rsidR="00825614" w:rsidRPr="00F66162">
        <w:rPr>
          <w:noProof/>
        </w:rPr>
        <w:t xml:space="preserve"> z</w:t>
      </w:r>
      <w:r w:rsidR="00825614">
        <w:rPr>
          <w:noProof/>
        </w:rPr>
        <w:t> </w:t>
      </w:r>
      <w:r w:rsidR="00825614" w:rsidRPr="00F66162">
        <w:rPr>
          <w:noProof/>
        </w:rPr>
        <w:t>tym</w:t>
      </w:r>
      <w:r w:rsidRPr="00F66162">
        <w:rPr>
          <w:noProof/>
        </w:rPr>
        <w:t>i prekursorami nie należy uwzględniać przy obliczaniu emisji wbudowanych związanych</w:t>
      </w:r>
      <w:r w:rsidR="00825614" w:rsidRPr="00F66162">
        <w:rPr>
          <w:noProof/>
        </w:rPr>
        <w:t xml:space="preserve"> z</w:t>
      </w:r>
      <w:r w:rsidR="00825614">
        <w:rPr>
          <w:noProof/>
        </w:rPr>
        <w:t> </w:t>
      </w:r>
      <w:r w:rsidR="00825614" w:rsidRPr="00F66162">
        <w:rPr>
          <w:noProof/>
        </w:rPr>
        <w:t>tow</w:t>
      </w:r>
      <w:r w:rsidRPr="00F66162">
        <w:rPr>
          <w:noProof/>
        </w:rPr>
        <w:t>arami złożonymi.</w:t>
      </w:r>
    </w:p>
    <w:p w14:paraId="422EAE2B" w14:textId="0F717D65" w:rsidR="0079054A" w:rsidRPr="00F66162" w:rsidRDefault="0074784E" w:rsidP="0074784E">
      <w:pPr>
        <w:pStyle w:val="ManualConsidrant"/>
        <w:rPr>
          <w:noProof/>
        </w:rPr>
      </w:pPr>
      <w:r w:rsidRPr="00F66162">
        <w:rPr>
          <w:noProof/>
        </w:rPr>
        <w:t>(15)</w:t>
      </w:r>
      <w:r w:rsidRPr="00F66162">
        <w:rPr>
          <w:noProof/>
        </w:rPr>
        <w:tab/>
        <w:t>Upoważnieni zgłaszający CBAM są zobowiązani do składania rocznej deklaracji CBAM zawierającej obliczenia emisji wbudowanych oparte na wartościach domyślnych lub rzeczywistych zweryfikowanych przez akredytowanych weryfikatorów. Domyślne wartości zostaną obliczone</w:t>
      </w:r>
      <w:r w:rsidR="00825614" w:rsidRPr="00F66162">
        <w:rPr>
          <w:noProof/>
        </w:rPr>
        <w:t xml:space="preserve"> i</w:t>
      </w:r>
      <w:r w:rsidR="00825614">
        <w:rPr>
          <w:noProof/>
        </w:rPr>
        <w:t> </w:t>
      </w:r>
      <w:r w:rsidR="00825614" w:rsidRPr="00F66162">
        <w:rPr>
          <w:noProof/>
        </w:rPr>
        <w:t>udo</w:t>
      </w:r>
      <w:r w:rsidRPr="00F66162">
        <w:rPr>
          <w:noProof/>
        </w:rPr>
        <w:t>stępnione przez Komisję</w:t>
      </w:r>
      <w:r w:rsidR="00825614" w:rsidRPr="00F66162">
        <w:rPr>
          <w:noProof/>
        </w:rPr>
        <w:t>. W</w:t>
      </w:r>
      <w:r w:rsidR="00825614">
        <w:rPr>
          <w:noProof/>
        </w:rPr>
        <w:t> </w:t>
      </w:r>
      <w:r w:rsidR="00825614" w:rsidRPr="00F66162">
        <w:rPr>
          <w:noProof/>
        </w:rPr>
        <w:t>zwi</w:t>
      </w:r>
      <w:r w:rsidRPr="00F66162">
        <w:rPr>
          <w:noProof/>
        </w:rPr>
        <w:t>ązku</w:t>
      </w:r>
      <w:r w:rsidR="00825614" w:rsidRPr="00F66162">
        <w:rPr>
          <w:noProof/>
        </w:rPr>
        <w:t xml:space="preserve"> z</w:t>
      </w:r>
      <w:r w:rsidR="00825614">
        <w:rPr>
          <w:noProof/>
        </w:rPr>
        <w:t> </w:t>
      </w:r>
      <w:r w:rsidR="00825614" w:rsidRPr="00F66162">
        <w:rPr>
          <w:noProof/>
        </w:rPr>
        <w:t>tym</w:t>
      </w:r>
      <w:r w:rsidRPr="00F66162">
        <w:rPr>
          <w:noProof/>
        </w:rPr>
        <w:t xml:space="preserve"> weryfikacja emisji wbudowanych powinna mieć zastosowanie wyłącznie do wartości rzeczywistych.</w:t>
      </w:r>
    </w:p>
    <w:p w14:paraId="13DC910C" w14:textId="306F4A52" w:rsidR="0079054A" w:rsidRPr="00F66162" w:rsidRDefault="0074784E" w:rsidP="0074784E">
      <w:pPr>
        <w:pStyle w:val="ManualConsidrant"/>
        <w:rPr>
          <w:noProof/>
        </w:rPr>
      </w:pPr>
      <w:r w:rsidRPr="00F66162">
        <w:rPr>
          <w:noProof/>
        </w:rPr>
        <w:t>(16)</w:t>
      </w:r>
      <w:r w:rsidRPr="00F66162">
        <w:rPr>
          <w:noProof/>
        </w:rPr>
        <w:tab/>
        <w:t>Informacje zebrane</w:t>
      </w:r>
      <w:r w:rsidR="00825614" w:rsidRPr="00F66162">
        <w:rPr>
          <w:noProof/>
        </w:rPr>
        <w:t xml:space="preserve"> w</w:t>
      </w:r>
      <w:r w:rsidR="00825614">
        <w:rPr>
          <w:noProof/>
        </w:rPr>
        <w:t> </w:t>
      </w:r>
      <w:r w:rsidR="00825614" w:rsidRPr="00F66162">
        <w:rPr>
          <w:noProof/>
        </w:rPr>
        <w:t>okr</w:t>
      </w:r>
      <w:r w:rsidRPr="00F66162">
        <w:rPr>
          <w:noProof/>
        </w:rPr>
        <w:t>esie przejściowym uwydatniły trudności, jakie zgłaszający objęci obowiązkiem sprawozdawczym mają</w:t>
      </w:r>
      <w:r w:rsidR="00825614" w:rsidRPr="00F66162">
        <w:rPr>
          <w:noProof/>
        </w:rPr>
        <w:t xml:space="preserve"> z</w:t>
      </w:r>
      <w:r w:rsidR="00825614">
        <w:rPr>
          <w:noProof/>
        </w:rPr>
        <w:t> </w:t>
      </w:r>
      <w:r w:rsidR="00825614" w:rsidRPr="00F66162">
        <w:rPr>
          <w:noProof/>
        </w:rPr>
        <w:t>uzy</w:t>
      </w:r>
      <w:r w:rsidRPr="00F66162">
        <w:rPr>
          <w:noProof/>
        </w:rPr>
        <w:t>skiwaniem wymaganych informacji</w:t>
      </w:r>
      <w:r w:rsidR="00825614" w:rsidRPr="00F66162">
        <w:rPr>
          <w:noProof/>
        </w:rPr>
        <w:t xml:space="preserve"> o</w:t>
      </w:r>
      <w:r w:rsidR="00825614">
        <w:rPr>
          <w:noProof/>
        </w:rPr>
        <w:t> </w:t>
      </w:r>
      <w:r w:rsidR="00825614" w:rsidRPr="00F66162">
        <w:rPr>
          <w:noProof/>
        </w:rPr>
        <w:t>opł</w:t>
      </w:r>
      <w:r w:rsidRPr="00F66162">
        <w:rPr>
          <w:noProof/>
        </w:rPr>
        <w:t>acie emisyjnej faktycznie uiszczonej</w:t>
      </w:r>
      <w:r w:rsidR="00825614" w:rsidRPr="00F66162">
        <w:rPr>
          <w:noProof/>
        </w:rPr>
        <w:t xml:space="preserve"> w</w:t>
      </w:r>
      <w:r w:rsidR="00825614">
        <w:rPr>
          <w:noProof/>
        </w:rPr>
        <w:t> </w:t>
      </w:r>
      <w:r w:rsidR="00825614" w:rsidRPr="00F66162">
        <w:rPr>
          <w:noProof/>
        </w:rPr>
        <w:t>pań</w:t>
      </w:r>
      <w:r w:rsidRPr="00F66162">
        <w:rPr>
          <w:noProof/>
        </w:rPr>
        <w:t>stwie trzecim. Aby ułatwić im odliczenie takiej opłaty emisyjnej, Komisja powinna,</w:t>
      </w:r>
      <w:r w:rsidR="00825614" w:rsidRPr="00F66162">
        <w:rPr>
          <w:noProof/>
        </w:rPr>
        <w:t xml:space="preserve"> w</w:t>
      </w:r>
      <w:r w:rsidR="00825614">
        <w:rPr>
          <w:noProof/>
        </w:rPr>
        <w:t> </w:t>
      </w:r>
      <w:r w:rsidR="00825614" w:rsidRPr="00F66162">
        <w:rPr>
          <w:noProof/>
        </w:rPr>
        <w:t>mia</w:t>
      </w:r>
      <w:r w:rsidRPr="00F66162">
        <w:rPr>
          <w:noProof/>
        </w:rPr>
        <w:t>rę możliwości, ustanowić średnią roczną opłatę emisyjną wyrażoną w EUR/tonę CO</w:t>
      </w:r>
      <w:r w:rsidRPr="00F66162">
        <w:rPr>
          <w:noProof/>
          <w:vertAlign w:val="subscript"/>
        </w:rPr>
        <w:t>2</w:t>
      </w:r>
      <w:r w:rsidRPr="00F66162">
        <w:rPr>
          <w:noProof/>
        </w:rPr>
        <w:t xml:space="preserve"> rzeczywistej uiszczonej opłaty emisyjnej</w:t>
      </w:r>
      <w:r w:rsidR="00825614" w:rsidRPr="00F66162">
        <w:rPr>
          <w:noProof/>
        </w:rPr>
        <w:t xml:space="preserve"> w</w:t>
      </w:r>
      <w:r w:rsidR="00825614">
        <w:rPr>
          <w:noProof/>
        </w:rPr>
        <w:t> </w:t>
      </w:r>
      <w:r w:rsidR="00825614" w:rsidRPr="00F66162">
        <w:rPr>
          <w:noProof/>
        </w:rPr>
        <w:t>opa</w:t>
      </w:r>
      <w:r w:rsidRPr="00F66162">
        <w:rPr>
          <w:noProof/>
        </w:rPr>
        <w:t>rciu</w:t>
      </w:r>
      <w:r w:rsidR="00825614" w:rsidRPr="00F66162">
        <w:rPr>
          <w:noProof/>
        </w:rPr>
        <w:t xml:space="preserve"> o</w:t>
      </w:r>
      <w:r w:rsidR="00825614">
        <w:rPr>
          <w:noProof/>
        </w:rPr>
        <w:t> </w:t>
      </w:r>
      <w:r w:rsidR="00825614" w:rsidRPr="00F66162">
        <w:rPr>
          <w:noProof/>
        </w:rPr>
        <w:t>naj</w:t>
      </w:r>
      <w:r w:rsidRPr="00F66162">
        <w:rPr>
          <w:noProof/>
        </w:rPr>
        <w:t>lepsze dostępne dane</w:t>
      </w:r>
      <w:r w:rsidR="00825614" w:rsidRPr="00F66162">
        <w:rPr>
          <w:noProof/>
        </w:rPr>
        <w:t xml:space="preserve"> z</w:t>
      </w:r>
      <w:r w:rsidR="00825614">
        <w:rPr>
          <w:noProof/>
        </w:rPr>
        <w:t> </w:t>
      </w:r>
      <w:r w:rsidR="00825614" w:rsidRPr="00F66162">
        <w:rPr>
          <w:noProof/>
        </w:rPr>
        <w:t>wia</w:t>
      </w:r>
      <w:r w:rsidRPr="00F66162">
        <w:rPr>
          <w:noProof/>
        </w:rPr>
        <w:t>rygodnych, publicznie dostępnych źródeł oraz</w:t>
      </w:r>
      <w:r w:rsidR="00825614" w:rsidRPr="00F66162">
        <w:rPr>
          <w:noProof/>
        </w:rPr>
        <w:t xml:space="preserve"> o</w:t>
      </w:r>
      <w:r w:rsidR="00825614">
        <w:rPr>
          <w:noProof/>
        </w:rPr>
        <w:t> </w:t>
      </w:r>
      <w:r w:rsidR="00825614" w:rsidRPr="00F66162">
        <w:rPr>
          <w:noProof/>
        </w:rPr>
        <w:t>inf</w:t>
      </w:r>
      <w:r w:rsidRPr="00F66162">
        <w:rPr>
          <w:noProof/>
        </w:rPr>
        <w:t>ormacje dostarczone przez państwa trzecie,</w:t>
      </w:r>
      <w:r w:rsidR="00825614" w:rsidRPr="00F66162">
        <w:rPr>
          <w:noProof/>
        </w:rPr>
        <w:t xml:space="preserve"> w</w:t>
      </w:r>
      <w:r w:rsidR="00825614">
        <w:rPr>
          <w:noProof/>
        </w:rPr>
        <w:t> </w:t>
      </w:r>
      <w:r w:rsidR="00825614" w:rsidRPr="00F66162">
        <w:rPr>
          <w:noProof/>
        </w:rPr>
        <w:t>tym</w:t>
      </w:r>
      <w:r w:rsidRPr="00F66162">
        <w:rPr>
          <w:noProof/>
        </w:rPr>
        <w:t xml:space="preserve"> na podstawie ostrożnych założeń. </w:t>
      </w:r>
    </w:p>
    <w:p w14:paraId="0FB542A4" w14:textId="4AB445F5" w:rsidR="0079054A" w:rsidRPr="00F66162" w:rsidRDefault="0074784E" w:rsidP="0074784E">
      <w:pPr>
        <w:pStyle w:val="ManualConsidrant"/>
        <w:rPr>
          <w:noProof/>
        </w:rPr>
      </w:pPr>
      <w:r w:rsidRPr="00F66162">
        <w:rPr>
          <w:noProof/>
        </w:rPr>
        <w:t>(17)</w:t>
      </w:r>
      <w:r w:rsidRPr="00F66162">
        <w:rPr>
          <w:noProof/>
        </w:rPr>
        <w:tab/>
        <w:t>Upoważnieni zgłaszający CBAM mogą ubiegać się</w:t>
      </w:r>
      <w:r w:rsidR="00825614" w:rsidRPr="00F66162">
        <w:rPr>
          <w:noProof/>
        </w:rPr>
        <w:t xml:space="preserve"> o</w:t>
      </w:r>
      <w:r w:rsidR="00825614">
        <w:rPr>
          <w:noProof/>
        </w:rPr>
        <w:t> </w:t>
      </w:r>
      <w:r w:rsidR="00825614" w:rsidRPr="00F66162">
        <w:rPr>
          <w:noProof/>
        </w:rPr>
        <w:t>zmn</w:t>
      </w:r>
      <w:r w:rsidRPr="00F66162">
        <w:rPr>
          <w:noProof/>
        </w:rPr>
        <w:t>iejszenie liczby certyfikatów CBAM, które mają przekazać do umorzenia, odpowiadające opłacie emisyjnej faktycznie uiszczonej</w:t>
      </w:r>
      <w:r w:rsidR="00825614" w:rsidRPr="00F66162">
        <w:rPr>
          <w:noProof/>
        </w:rPr>
        <w:t xml:space="preserve"> w</w:t>
      </w:r>
      <w:r w:rsidR="00825614">
        <w:rPr>
          <w:noProof/>
        </w:rPr>
        <w:t> </w:t>
      </w:r>
      <w:r w:rsidR="00825614" w:rsidRPr="00F66162">
        <w:rPr>
          <w:noProof/>
        </w:rPr>
        <w:t>pań</w:t>
      </w:r>
      <w:r w:rsidRPr="00F66162">
        <w:rPr>
          <w:noProof/>
        </w:rPr>
        <w:t>stwie pochodzenia za zadeklarowane emisje wbudowane. Ponieważ opłatę emisyjną można uiścić</w:t>
      </w:r>
      <w:r w:rsidR="00825614" w:rsidRPr="00F66162">
        <w:rPr>
          <w:noProof/>
        </w:rPr>
        <w:t xml:space="preserve"> w</w:t>
      </w:r>
      <w:r w:rsidR="00825614">
        <w:rPr>
          <w:noProof/>
        </w:rPr>
        <w:t> </w:t>
      </w:r>
      <w:r w:rsidR="00825614" w:rsidRPr="00F66162">
        <w:rPr>
          <w:noProof/>
        </w:rPr>
        <w:t>pań</w:t>
      </w:r>
      <w:r w:rsidRPr="00F66162">
        <w:rPr>
          <w:noProof/>
        </w:rPr>
        <w:t>stwie trzecim innym niż państwo pochodzenia przywożonych towarów, także taka opłata powinna kwalifikować się do odliczenia.</w:t>
      </w:r>
    </w:p>
    <w:p w14:paraId="37CA59C8" w14:textId="740C369E" w:rsidR="0079054A" w:rsidRPr="00F66162" w:rsidRDefault="0074784E" w:rsidP="0074784E">
      <w:pPr>
        <w:pStyle w:val="ManualConsidrant"/>
        <w:rPr>
          <w:noProof/>
        </w:rPr>
      </w:pPr>
      <w:r w:rsidRPr="00F66162">
        <w:rPr>
          <w:noProof/>
        </w:rPr>
        <w:t>(18)</w:t>
      </w:r>
      <w:r w:rsidRPr="00F66162">
        <w:rPr>
          <w:noProof/>
        </w:rPr>
        <w:tab/>
        <w:t>Aby poprawić wiarygodność zawartych</w:t>
      </w:r>
      <w:r w:rsidR="00825614" w:rsidRPr="00F66162">
        <w:rPr>
          <w:noProof/>
        </w:rPr>
        <w:t xml:space="preserve"> w</w:t>
      </w:r>
      <w:r w:rsidR="00825614">
        <w:rPr>
          <w:noProof/>
        </w:rPr>
        <w:t> </w:t>
      </w:r>
      <w:r w:rsidR="00825614" w:rsidRPr="00F66162">
        <w:rPr>
          <w:noProof/>
        </w:rPr>
        <w:t>rej</w:t>
      </w:r>
      <w:r w:rsidRPr="00F66162">
        <w:rPr>
          <w:noProof/>
        </w:rPr>
        <w:t>estrze CBAM danych dotyczących emisji oraz ułatwić ich przekazywanie, akredytowani weryfikatorzy powinni mieć dostęp do rejestru CBAM</w:t>
      </w:r>
      <w:r w:rsidR="00825614" w:rsidRPr="00F66162">
        <w:rPr>
          <w:noProof/>
        </w:rPr>
        <w:t xml:space="preserve"> w</w:t>
      </w:r>
      <w:r w:rsidR="00825614">
        <w:rPr>
          <w:noProof/>
        </w:rPr>
        <w:t> </w:t>
      </w:r>
      <w:r w:rsidR="00825614" w:rsidRPr="00F66162">
        <w:rPr>
          <w:noProof/>
        </w:rPr>
        <w:t>cel</w:t>
      </w:r>
      <w:r w:rsidRPr="00F66162">
        <w:rPr>
          <w:noProof/>
        </w:rPr>
        <w:t>u weryfikacji emisji wbudowanych na wniosek operatora</w:t>
      </w:r>
      <w:r w:rsidR="00825614" w:rsidRPr="00F66162">
        <w:rPr>
          <w:noProof/>
        </w:rPr>
        <w:t xml:space="preserve"> w</w:t>
      </w:r>
      <w:r w:rsidR="00825614">
        <w:rPr>
          <w:noProof/>
        </w:rPr>
        <w:t> </w:t>
      </w:r>
      <w:r w:rsidR="00825614" w:rsidRPr="00F66162">
        <w:rPr>
          <w:noProof/>
        </w:rPr>
        <w:t>pań</w:t>
      </w:r>
      <w:r w:rsidRPr="00F66162">
        <w:rPr>
          <w:noProof/>
        </w:rPr>
        <w:t>stwach trzecich. Ponadto spółki dominujące lub przedsiębiorstwa powiązane tych operatorów powinny mieć dostęp do rejestru CBAM</w:t>
      </w:r>
      <w:r w:rsidR="00825614" w:rsidRPr="00F66162">
        <w:rPr>
          <w:noProof/>
        </w:rPr>
        <w:t xml:space="preserve"> w</w:t>
      </w:r>
      <w:r w:rsidR="00825614">
        <w:rPr>
          <w:noProof/>
        </w:rPr>
        <w:t> </w:t>
      </w:r>
      <w:r w:rsidR="00825614" w:rsidRPr="00F66162">
        <w:rPr>
          <w:noProof/>
        </w:rPr>
        <w:t>cel</w:t>
      </w:r>
      <w:r w:rsidRPr="00F66162">
        <w:rPr>
          <w:noProof/>
        </w:rPr>
        <w:t>u rejestrowania</w:t>
      </w:r>
      <w:r w:rsidR="00825614" w:rsidRPr="00F66162">
        <w:rPr>
          <w:noProof/>
        </w:rPr>
        <w:t xml:space="preserve"> i</w:t>
      </w:r>
      <w:r w:rsidR="00825614">
        <w:rPr>
          <w:noProof/>
        </w:rPr>
        <w:t> </w:t>
      </w:r>
      <w:r w:rsidR="00825614" w:rsidRPr="00F66162">
        <w:rPr>
          <w:noProof/>
        </w:rPr>
        <w:t>udo</w:t>
      </w:r>
      <w:r w:rsidRPr="00F66162">
        <w:rPr>
          <w:noProof/>
        </w:rPr>
        <w:t>stępniania odpowiednich danych</w:t>
      </w:r>
      <w:r w:rsidR="00825614" w:rsidRPr="00F66162">
        <w:rPr>
          <w:noProof/>
        </w:rPr>
        <w:t xml:space="preserve"> w</w:t>
      </w:r>
      <w:r w:rsidR="00825614">
        <w:rPr>
          <w:noProof/>
        </w:rPr>
        <w:t> </w:t>
      </w:r>
      <w:r w:rsidR="00825614" w:rsidRPr="00F66162">
        <w:rPr>
          <w:noProof/>
        </w:rPr>
        <w:t>imi</w:t>
      </w:r>
      <w:r w:rsidRPr="00F66162">
        <w:rPr>
          <w:noProof/>
        </w:rPr>
        <w:t>eniu kontrolowanego operatora. Operatorzy powinni być zobowiązani do podawania swojego numeru wpisu do rejestru przedsiębiorców lub rejestru działalności gospodarczej, aby umożliwić ich identyfikację.</w:t>
      </w:r>
    </w:p>
    <w:p w14:paraId="68E31D14" w14:textId="77777777" w:rsidR="0079054A" w:rsidRPr="00F66162" w:rsidRDefault="0074784E" w:rsidP="0074784E">
      <w:pPr>
        <w:pStyle w:val="ManualConsidrant"/>
        <w:rPr>
          <w:noProof/>
        </w:rPr>
      </w:pPr>
      <w:r w:rsidRPr="00F66162">
        <w:rPr>
          <w:noProof/>
        </w:rPr>
        <w:t>(19)</w:t>
      </w:r>
      <w:r w:rsidRPr="00F66162">
        <w:rPr>
          <w:noProof/>
        </w:rPr>
        <w:tab/>
        <w:t xml:space="preserve">Aby wspierać wdrażanie rozporządzenia (UE) 2023/956 na szczeblu krajowym, państwa członkowskie powinny zapewnić, aby właściwe organy posiadały uprawnienia niezbędne do wykonywania swoich obowiązków. </w:t>
      </w:r>
    </w:p>
    <w:p w14:paraId="6BDF76C8" w14:textId="1B5E7A9A" w:rsidR="0079054A" w:rsidRPr="00F66162" w:rsidRDefault="0074784E" w:rsidP="0074784E">
      <w:pPr>
        <w:pStyle w:val="ManualConsidrant"/>
        <w:rPr>
          <w:noProof/>
        </w:rPr>
      </w:pPr>
      <w:r w:rsidRPr="00F66162">
        <w:rPr>
          <w:noProof/>
        </w:rPr>
        <w:t>(20)</w:t>
      </w:r>
      <w:r w:rsidRPr="00F66162">
        <w:rPr>
          <w:noProof/>
        </w:rPr>
        <w:tab/>
        <w:t>Aby zapewnić upoważnionym zgłaszającym CBAM wystarczająco dużo czasu na przygotowanie się do wypełniania zmienionych obowiązków wynikających</w:t>
      </w:r>
      <w:r w:rsidR="00825614" w:rsidRPr="00F66162">
        <w:rPr>
          <w:noProof/>
        </w:rPr>
        <w:t xml:space="preserve"> z</w:t>
      </w:r>
      <w:r w:rsidR="00825614">
        <w:rPr>
          <w:noProof/>
        </w:rPr>
        <w:t> </w:t>
      </w:r>
      <w:r w:rsidR="00825614" w:rsidRPr="00F66162">
        <w:rPr>
          <w:noProof/>
        </w:rPr>
        <w:t>roz</w:t>
      </w:r>
      <w:r w:rsidRPr="00F66162">
        <w:rPr>
          <w:noProof/>
        </w:rPr>
        <w:t>porządzenia (UE) 2023/956, państwa członkowskie powinny rozpocząć</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27</w:t>
      </w:r>
      <w:r w:rsidR="00825614" w:rsidRPr="00825614">
        <w:rPr>
          <w:noProof/>
        </w:rPr>
        <w:t> </w:t>
      </w:r>
      <w:r w:rsidRPr="00825614">
        <w:rPr>
          <w:noProof/>
        </w:rPr>
        <w:t>r.</w:t>
      </w:r>
      <w:r w:rsidRPr="00F66162">
        <w:rPr>
          <w:noProof/>
        </w:rPr>
        <w:t xml:space="preserve"> sprzedaż certyfikatów CBAM</w:t>
      </w:r>
      <w:r w:rsidR="00825614" w:rsidRPr="00F66162">
        <w:rPr>
          <w:noProof/>
        </w:rPr>
        <w:t xml:space="preserve"> w</w:t>
      </w:r>
      <w:r w:rsidR="00825614">
        <w:rPr>
          <w:noProof/>
        </w:rPr>
        <w:t> </w:t>
      </w:r>
      <w:r w:rsidR="00825614" w:rsidRPr="00F66162">
        <w:rPr>
          <w:noProof/>
        </w:rPr>
        <w:t>odn</w:t>
      </w:r>
      <w:r w:rsidRPr="00F66162">
        <w:rPr>
          <w:noProof/>
        </w:rPr>
        <w:t>iesieniu do emisji wbudowanych związanych</w:t>
      </w:r>
      <w:r w:rsidR="00825614" w:rsidRPr="00F66162">
        <w:rPr>
          <w:noProof/>
        </w:rPr>
        <w:t xml:space="preserve"> </w:t>
      </w:r>
      <w:r w:rsidR="00825614" w:rsidRPr="00F66162">
        <w:rPr>
          <w:noProof/>
        </w:rPr>
        <w:lastRenderedPageBreak/>
        <w:t>z</w:t>
      </w:r>
      <w:r w:rsidR="00825614">
        <w:rPr>
          <w:noProof/>
        </w:rPr>
        <w:t> </w:t>
      </w:r>
      <w:r w:rsidR="00825614" w:rsidRPr="00F66162">
        <w:rPr>
          <w:noProof/>
        </w:rPr>
        <w:t>tow</w:t>
      </w:r>
      <w:r w:rsidRPr="00F66162">
        <w:rPr>
          <w:noProof/>
        </w:rPr>
        <w:t>arami przywiezionymi</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26</w:t>
      </w:r>
      <w:r w:rsidR="00825614" w:rsidRPr="00825614">
        <w:rPr>
          <w:noProof/>
        </w:rPr>
        <w:t> </w:t>
      </w:r>
      <w:r w:rsidRPr="00825614">
        <w:rPr>
          <w:noProof/>
        </w:rPr>
        <w:t>r.</w:t>
      </w:r>
      <w:r w:rsidRPr="00F66162">
        <w:rPr>
          <w:noProof/>
        </w:rPr>
        <w:t xml:space="preserve"> Cena certyfikatów CBAM zakupionych</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27</w:t>
      </w:r>
      <w:r w:rsidR="00825614" w:rsidRPr="00825614">
        <w:rPr>
          <w:noProof/>
        </w:rPr>
        <w:t> </w:t>
      </w:r>
      <w:r w:rsidRPr="00825614">
        <w:rPr>
          <w:noProof/>
        </w:rPr>
        <w:t>r.</w:t>
      </w:r>
      <w:r w:rsidR="00825614" w:rsidRPr="00F66162">
        <w:rPr>
          <w:noProof/>
        </w:rPr>
        <w:t xml:space="preserve"> i</w:t>
      </w:r>
      <w:r w:rsidR="00825614">
        <w:rPr>
          <w:noProof/>
        </w:rPr>
        <w:t> </w:t>
      </w:r>
      <w:r w:rsidR="00825614" w:rsidRPr="00F66162">
        <w:rPr>
          <w:noProof/>
        </w:rPr>
        <w:t>odp</w:t>
      </w:r>
      <w:r w:rsidRPr="00F66162">
        <w:rPr>
          <w:noProof/>
        </w:rPr>
        <w:t>owiadających emisjom wbudowanym związanym</w:t>
      </w:r>
      <w:r w:rsidR="00825614" w:rsidRPr="00F66162">
        <w:rPr>
          <w:noProof/>
        </w:rPr>
        <w:t xml:space="preserve"> z</w:t>
      </w:r>
      <w:r w:rsidR="00825614">
        <w:rPr>
          <w:noProof/>
        </w:rPr>
        <w:t> </w:t>
      </w:r>
      <w:r w:rsidR="00825614" w:rsidRPr="00F66162">
        <w:rPr>
          <w:noProof/>
        </w:rPr>
        <w:t>tow</w:t>
      </w:r>
      <w:r w:rsidRPr="00F66162">
        <w:rPr>
          <w:noProof/>
        </w:rPr>
        <w:t>arami przywiezionymi do UE</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26</w:t>
      </w:r>
      <w:r w:rsidR="00825614" w:rsidRPr="00825614">
        <w:rPr>
          <w:noProof/>
        </w:rPr>
        <w:t> </w:t>
      </w:r>
      <w:r w:rsidRPr="00825614">
        <w:rPr>
          <w:noProof/>
        </w:rPr>
        <w:t>r.</w:t>
      </w:r>
      <w:r w:rsidRPr="00F66162">
        <w:rPr>
          <w:noProof/>
        </w:rPr>
        <w:t xml:space="preserve"> powinna odzwierciedlać ceny uprawnień</w:t>
      </w:r>
      <w:r w:rsidR="00825614" w:rsidRPr="00F66162">
        <w:rPr>
          <w:noProof/>
        </w:rPr>
        <w:t xml:space="preserve"> w</w:t>
      </w:r>
      <w:r w:rsidR="00825614">
        <w:rPr>
          <w:noProof/>
        </w:rPr>
        <w:t> </w:t>
      </w:r>
      <w:r w:rsidR="00825614" w:rsidRPr="00F66162">
        <w:rPr>
          <w:noProof/>
        </w:rPr>
        <w:t>ram</w:t>
      </w:r>
      <w:r w:rsidRPr="00F66162">
        <w:rPr>
          <w:noProof/>
        </w:rPr>
        <w:t>ach EU ETS</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26</w:t>
      </w:r>
      <w:r w:rsidR="00825614" w:rsidRPr="00825614">
        <w:rPr>
          <w:noProof/>
        </w:rPr>
        <w:t> </w:t>
      </w:r>
      <w:r w:rsidRPr="00825614">
        <w:rPr>
          <w:noProof/>
        </w:rPr>
        <w:t>r.</w:t>
      </w:r>
    </w:p>
    <w:p w14:paraId="76DCD3C9" w14:textId="5939BD9B" w:rsidR="0079054A" w:rsidRPr="00F66162" w:rsidRDefault="0074784E" w:rsidP="0074784E">
      <w:pPr>
        <w:pStyle w:val="ManualConsidrant"/>
        <w:rPr>
          <w:noProof/>
        </w:rPr>
      </w:pPr>
      <w:r w:rsidRPr="00F66162">
        <w:rPr>
          <w:noProof/>
        </w:rPr>
        <w:t>(21)</w:t>
      </w:r>
      <w:r w:rsidRPr="00F66162">
        <w:rPr>
          <w:noProof/>
        </w:rPr>
        <w:tab/>
        <w:t>Zobowiązanie upoważnionych zgłaszających CBAM do zapewnienia, aby na koniec każdego kwartału liczba certyfikatów CBAM na ich rachunku</w:t>
      </w:r>
      <w:r w:rsidR="00825614" w:rsidRPr="00F66162">
        <w:rPr>
          <w:noProof/>
        </w:rPr>
        <w:t xml:space="preserve"> w</w:t>
      </w:r>
      <w:r w:rsidR="00825614">
        <w:rPr>
          <w:noProof/>
        </w:rPr>
        <w:t> </w:t>
      </w:r>
      <w:r w:rsidR="00825614" w:rsidRPr="00F66162">
        <w:rPr>
          <w:noProof/>
        </w:rPr>
        <w:t>rej</w:t>
      </w:r>
      <w:r w:rsidRPr="00F66162">
        <w:rPr>
          <w:noProof/>
        </w:rPr>
        <w:t>estrze CBAM odpowiadała co najmniej 80 % emisji wbudowanych związanych</w:t>
      </w:r>
      <w:r w:rsidR="00825614" w:rsidRPr="00F66162">
        <w:rPr>
          <w:noProof/>
        </w:rPr>
        <w:t xml:space="preserve"> z</w:t>
      </w:r>
      <w:r w:rsidR="00825614">
        <w:rPr>
          <w:noProof/>
        </w:rPr>
        <w:t> </w:t>
      </w:r>
      <w:r w:rsidR="00825614" w:rsidRPr="00F66162">
        <w:rPr>
          <w:noProof/>
        </w:rPr>
        <w:t>tow</w:t>
      </w:r>
      <w:r w:rsidRPr="00F66162">
        <w:rPr>
          <w:noProof/>
        </w:rPr>
        <w:t>arami, które przywieźli oni od początku roku, nie jest wystarczająco dostosowane do oczekiwanego wyrównania finansowego. Konieczne jest zatem zarówno zmniejszenie wskaźnika</w:t>
      </w:r>
      <w:r w:rsidR="00825614" w:rsidRPr="00F66162">
        <w:rPr>
          <w:noProof/>
        </w:rPr>
        <w:t xml:space="preserve"> z</w:t>
      </w:r>
      <w:r w:rsidR="00825614">
        <w:rPr>
          <w:noProof/>
        </w:rPr>
        <w:t> </w:t>
      </w:r>
      <w:r w:rsidR="00825614" w:rsidRPr="00F66162">
        <w:rPr>
          <w:noProof/>
        </w:rPr>
        <w:t>8</w:t>
      </w:r>
      <w:r w:rsidRPr="00F66162">
        <w:rPr>
          <w:noProof/>
        </w:rPr>
        <w:t xml:space="preserve">0 % </w:t>
      </w:r>
      <w:r w:rsidRPr="00825614">
        <w:rPr>
          <w:noProof/>
        </w:rPr>
        <w:t>do</w:t>
      </w:r>
      <w:r w:rsidR="00825614" w:rsidRPr="00825614">
        <w:rPr>
          <w:noProof/>
        </w:rPr>
        <w:t> </w:t>
      </w:r>
      <w:r w:rsidRPr="00825614">
        <w:rPr>
          <w:noProof/>
        </w:rPr>
        <w:t>5</w:t>
      </w:r>
      <w:r w:rsidRPr="00F66162">
        <w:rPr>
          <w:noProof/>
        </w:rPr>
        <w:t>0 %, jak</w:t>
      </w:r>
      <w:r w:rsidR="00825614" w:rsidRPr="00F66162">
        <w:rPr>
          <w:noProof/>
        </w:rPr>
        <w:t xml:space="preserve"> i</w:t>
      </w:r>
      <w:r w:rsidR="00825614">
        <w:rPr>
          <w:noProof/>
        </w:rPr>
        <w:t> </w:t>
      </w:r>
      <w:r w:rsidR="00825614" w:rsidRPr="00F66162">
        <w:rPr>
          <w:noProof/>
        </w:rPr>
        <w:t>uwz</w:t>
      </w:r>
      <w:r w:rsidRPr="00F66162">
        <w:rPr>
          <w:noProof/>
        </w:rPr>
        <w:t>ględnienie przydziału bezpłatnych uprawnień</w:t>
      </w:r>
      <w:r w:rsidR="00825614" w:rsidRPr="00F66162">
        <w:rPr>
          <w:noProof/>
        </w:rPr>
        <w:t xml:space="preserve"> w</w:t>
      </w:r>
      <w:r w:rsidR="00825614">
        <w:rPr>
          <w:noProof/>
        </w:rPr>
        <w:t> </w:t>
      </w:r>
      <w:r w:rsidR="00825614" w:rsidRPr="00F66162">
        <w:rPr>
          <w:noProof/>
        </w:rPr>
        <w:t>ram</w:t>
      </w:r>
      <w:r w:rsidRPr="00F66162">
        <w:rPr>
          <w:noProof/>
        </w:rPr>
        <w:t>ach EU ETS. Ponadto upoważniony zgłaszający CBAM powinien móc wykorzystać informacje przedłożone</w:t>
      </w:r>
      <w:r w:rsidR="00825614" w:rsidRPr="00F66162">
        <w:rPr>
          <w:noProof/>
        </w:rPr>
        <w:t xml:space="preserve"> w</w:t>
      </w:r>
      <w:r w:rsidR="00825614">
        <w:rPr>
          <w:noProof/>
        </w:rPr>
        <w:t> </w:t>
      </w:r>
      <w:r w:rsidR="00825614" w:rsidRPr="00F66162">
        <w:rPr>
          <w:noProof/>
        </w:rPr>
        <w:t>pop</w:t>
      </w:r>
      <w:r w:rsidRPr="00F66162">
        <w:rPr>
          <w:noProof/>
        </w:rPr>
        <w:t>rzednim roku</w:t>
      </w:r>
      <w:r w:rsidR="00825614" w:rsidRPr="00F66162">
        <w:rPr>
          <w:noProof/>
        </w:rPr>
        <w:t xml:space="preserve"> w</w:t>
      </w:r>
      <w:r w:rsidR="00825614">
        <w:rPr>
          <w:noProof/>
        </w:rPr>
        <w:t> </w:t>
      </w:r>
      <w:r w:rsidR="00825614" w:rsidRPr="00F66162">
        <w:rPr>
          <w:noProof/>
        </w:rPr>
        <w:t>dek</w:t>
      </w:r>
      <w:r w:rsidRPr="00F66162">
        <w:rPr>
          <w:noProof/>
        </w:rPr>
        <w:t>laracji CBAM</w:t>
      </w:r>
      <w:r w:rsidR="00825614" w:rsidRPr="00F66162">
        <w:rPr>
          <w:noProof/>
        </w:rPr>
        <w:t xml:space="preserve"> w</w:t>
      </w:r>
      <w:r w:rsidR="00825614">
        <w:rPr>
          <w:noProof/>
        </w:rPr>
        <w:t> </w:t>
      </w:r>
      <w:r w:rsidR="00825614" w:rsidRPr="00F66162">
        <w:rPr>
          <w:noProof/>
        </w:rPr>
        <w:t>odn</w:t>
      </w:r>
      <w:r w:rsidRPr="00F66162">
        <w:rPr>
          <w:noProof/>
        </w:rPr>
        <w:t>iesieniu do tych samych towarów</w:t>
      </w:r>
      <w:r w:rsidR="00825614" w:rsidRPr="00F66162">
        <w:rPr>
          <w:noProof/>
        </w:rPr>
        <w:t xml:space="preserve"> i</w:t>
      </w:r>
      <w:r w:rsidR="00825614">
        <w:rPr>
          <w:noProof/>
        </w:rPr>
        <w:t> </w:t>
      </w:r>
      <w:r w:rsidR="00825614" w:rsidRPr="00F66162">
        <w:rPr>
          <w:noProof/>
        </w:rPr>
        <w:t>pań</w:t>
      </w:r>
      <w:r w:rsidRPr="00F66162">
        <w:rPr>
          <w:noProof/>
        </w:rPr>
        <w:t>stw trzecich.</w:t>
      </w:r>
    </w:p>
    <w:p w14:paraId="10B5AD0D" w14:textId="3BB1D27D" w:rsidR="0079054A" w:rsidRPr="00F66162" w:rsidRDefault="0074784E" w:rsidP="0074784E">
      <w:pPr>
        <w:pStyle w:val="ManualConsidrant"/>
        <w:rPr>
          <w:noProof/>
        </w:rPr>
      </w:pPr>
      <w:r w:rsidRPr="00F66162">
        <w:rPr>
          <w:noProof/>
        </w:rPr>
        <w:t>(22)</w:t>
      </w:r>
      <w:r w:rsidRPr="00F66162">
        <w:rPr>
          <w:noProof/>
        </w:rPr>
        <w:tab/>
        <w:t>Także limit odkupu należy lepiej dostosować do liczby certyfikatów CBAM, które upoważnieni zgłaszający CBAM są zobowiązani nabyć</w:t>
      </w:r>
      <w:r w:rsidR="00825614" w:rsidRPr="00F66162">
        <w:rPr>
          <w:noProof/>
        </w:rPr>
        <w:t xml:space="preserve"> w</w:t>
      </w:r>
      <w:r w:rsidR="00825614">
        <w:rPr>
          <w:noProof/>
        </w:rPr>
        <w:t> </w:t>
      </w:r>
      <w:r w:rsidR="00825614" w:rsidRPr="00F66162">
        <w:rPr>
          <w:noProof/>
        </w:rPr>
        <w:t>rok</w:t>
      </w:r>
      <w:r w:rsidRPr="00F66162">
        <w:rPr>
          <w:noProof/>
        </w:rPr>
        <w:t>u przywozu.</w:t>
      </w:r>
    </w:p>
    <w:p w14:paraId="24BC75E9" w14:textId="38770CFE" w:rsidR="0079054A" w:rsidRPr="00F66162" w:rsidRDefault="0074784E" w:rsidP="0074784E">
      <w:pPr>
        <w:pStyle w:val="ManualConsidrant"/>
        <w:rPr>
          <w:noProof/>
        </w:rPr>
      </w:pPr>
      <w:r w:rsidRPr="00F66162">
        <w:rPr>
          <w:noProof/>
        </w:rPr>
        <w:t>(23)</w:t>
      </w:r>
      <w:r w:rsidRPr="00F66162">
        <w:rPr>
          <w:noProof/>
        </w:rPr>
        <w:tab/>
        <w:t>Ponieważ certyfikaty CBAM anuluje się bez rekompensaty, nie ma potrzeby przekazywania informacji ze wspólnej centralnej platformy do rejestru CBAM na koniec dnia roboczego.</w:t>
      </w:r>
    </w:p>
    <w:p w14:paraId="6D04293C" w14:textId="001AB68A" w:rsidR="0079054A" w:rsidRPr="00F66162" w:rsidRDefault="0074784E" w:rsidP="0074784E">
      <w:pPr>
        <w:pStyle w:val="ManualConsidrant"/>
        <w:rPr>
          <w:noProof/>
        </w:rPr>
      </w:pPr>
      <w:r w:rsidRPr="00F66162">
        <w:rPr>
          <w:noProof/>
        </w:rPr>
        <w:t>(24)</w:t>
      </w:r>
      <w:r w:rsidRPr="00F66162">
        <w:rPr>
          <w:noProof/>
        </w:rPr>
        <w:tab/>
        <w:t>Przy nakładaniu kar właściwe organy powinny mieć możliwość uwzględnienia szczególnych okoliczności, takich jak umyślne lub niedbałe zachowanie zgłaszającego. Umożliwi to obniżenie kwoty kary</w:t>
      </w:r>
      <w:r w:rsidR="00825614" w:rsidRPr="00F66162">
        <w:rPr>
          <w:noProof/>
        </w:rPr>
        <w:t xml:space="preserve"> w</w:t>
      </w:r>
      <w:r w:rsidR="00825614">
        <w:rPr>
          <w:noProof/>
        </w:rPr>
        <w:t> </w:t>
      </w:r>
      <w:r w:rsidR="00825614" w:rsidRPr="00F66162">
        <w:rPr>
          <w:noProof/>
        </w:rPr>
        <w:t>prz</w:t>
      </w:r>
      <w:r w:rsidRPr="00F66162">
        <w:rPr>
          <w:noProof/>
        </w:rPr>
        <w:t>ypadku drobnych lub niezamierzonych błędów.</w:t>
      </w:r>
    </w:p>
    <w:p w14:paraId="53AEC879" w14:textId="472A0721" w:rsidR="0079054A" w:rsidRPr="00F66162" w:rsidRDefault="0074784E" w:rsidP="0074784E">
      <w:pPr>
        <w:pStyle w:val="ManualConsidrant"/>
        <w:rPr>
          <w:noProof/>
        </w:rPr>
      </w:pPr>
      <w:r w:rsidRPr="00F66162">
        <w:rPr>
          <w:noProof/>
        </w:rPr>
        <w:t>(25)</w:t>
      </w:r>
      <w:r w:rsidRPr="00F66162">
        <w:rPr>
          <w:noProof/>
        </w:rPr>
        <w:tab/>
        <w:t>CBAM ma zastosowanie do niektórych przywożonych do Unii wyrobów, których produkcja wiąże się</w:t>
      </w:r>
      <w:r w:rsidR="00825614" w:rsidRPr="00F66162">
        <w:rPr>
          <w:noProof/>
        </w:rPr>
        <w:t xml:space="preserve"> z</w:t>
      </w:r>
      <w:r w:rsidR="00825614">
        <w:rPr>
          <w:noProof/>
        </w:rPr>
        <w:t> </w:t>
      </w:r>
      <w:r w:rsidR="00825614" w:rsidRPr="00F66162">
        <w:rPr>
          <w:noProof/>
        </w:rPr>
        <w:t>wys</w:t>
      </w:r>
      <w:r w:rsidRPr="00F66162">
        <w:rPr>
          <w:noProof/>
        </w:rPr>
        <w:t>okimi emisjami</w:t>
      </w:r>
      <w:r w:rsidR="00825614" w:rsidRPr="00F66162">
        <w:rPr>
          <w:noProof/>
        </w:rPr>
        <w:t>. W</w:t>
      </w:r>
      <w:r w:rsidR="00825614">
        <w:rPr>
          <w:noProof/>
        </w:rPr>
        <w:t> </w:t>
      </w:r>
      <w:r w:rsidR="00825614" w:rsidRPr="00F66162">
        <w:rPr>
          <w:noProof/>
        </w:rPr>
        <w:t>zna</w:t>
      </w:r>
      <w:r w:rsidRPr="00F66162">
        <w:rPr>
          <w:noProof/>
        </w:rPr>
        <w:t>jdującym się</w:t>
      </w:r>
      <w:r w:rsidR="00825614" w:rsidRPr="00F66162">
        <w:rPr>
          <w:noProof/>
        </w:rPr>
        <w:t xml:space="preserve"> w</w:t>
      </w:r>
      <w:r w:rsidR="00825614">
        <w:rPr>
          <w:noProof/>
        </w:rPr>
        <w:t> </w:t>
      </w:r>
      <w:r w:rsidR="00825614" w:rsidRPr="00F66162">
        <w:rPr>
          <w:noProof/>
        </w:rPr>
        <w:t>zał</w:t>
      </w:r>
      <w:r w:rsidRPr="00F66162">
        <w:rPr>
          <w:noProof/>
        </w:rPr>
        <w:t>ączniku I do rozporządzenia (UE) 2023/956 wykazie towarów objętych CBAM wśród cementów wymieniono „[p]ozostałe gliny kaolinowe”. Produktami wysokoemisyjnymi są jednak wyłącznie kalcynowane gliny kaolinowe, nie są nimi natomiast niekalcynowane gliny kaolinowe. Niekalcynowane gliny kaolinowe należy zatem wyłączyć</w:t>
      </w:r>
      <w:r w:rsidR="00825614" w:rsidRPr="00F66162">
        <w:rPr>
          <w:noProof/>
        </w:rPr>
        <w:t xml:space="preserve"> z</w:t>
      </w:r>
      <w:r w:rsidR="00825614">
        <w:rPr>
          <w:noProof/>
        </w:rPr>
        <w:t> </w:t>
      </w:r>
      <w:r w:rsidR="00825614" w:rsidRPr="00F66162">
        <w:rPr>
          <w:noProof/>
        </w:rPr>
        <w:t>zak</w:t>
      </w:r>
      <w:r w:rsidRPr="00F66162">
        <w:rPr>
          <w:noProof/>
        </w:rPr>
        <w:t>resu stosowania CBAM.</w:t>
      </w:r>
    </w:p>
    <w:p w14:paraId="734DB686" w14:textId="4E15DEEE" w:rsidR="0079054A" w:rsidRPr="00F66162" w:rsidRDefault="0074784E" w:rsidP="0074784E">
      <w:pPr>
        <w:pStyle w:val="ManualConsidrant"/>
        <w:rPr>
          <w:noProof/>
        </w:rPr>
      </w:pPr>
      <w:r w:rsidRPr="00F66162">
        <w:rPr>
          <w:noProof/>
        </w:rPr>
        <w:t>(26)</w:t>
      </w:r>
      <w:r w:rsidRPr="00F66162">
        <w:rPr>
          <w:noProof/>
        </w:rPr>
        <w:tab/>
        <w:t>W załączniku II do rozporządzenia (UE) 2023/956 wymieniono towary,</w:t>
      </w:r>
      <w:r w:rsidR="00825614" w:rsidRPr="00F66162">
        <w:rPr>
          <w:noProof/>
        </w:rPr>
        <w:t xml:space="preserve"> w</w:t>
      </w:r>
      <w:r w:rsidR="00825614">
        <w:rPr>
          <w:noProof/>
        </w:rPr>
        <w:t> </w:t>
      </w:r>
      <w:r w:rsidR="00825614" w:rsidRPr="00F66162">
        <w:rPr>
          <w:noProof/>
        </w:rPr>
        <w:t>odn</w:t>
      </w:r>
      <w:r w:rsidRPr="00F66162">
        <w:rPr>
          <w:noProof/>
        </w:rPr>
        <w:t>iesieniu do których przy obliczaniu emisji wbudowanych należy uwzględniać wyłącznie emisje bezpośrednie</w:t>
      </w:r>
      <w:r w:rsidR="00825614" w:rsidRPr="00F66162">
        <w:rPr>
          <w:noProof/>
        </w:rPr>
        <w:t>. W</w:t>
      </w:r>
      <w:r w:rsidR="00825614">
        <w:rPr>
          <w:noProof/>
        </w:rPr>
        <w:t> </w:t>
      </w:r>
      <w:r w:rsidR="00825614" w:rsidRPr="00F66162">
        <w:rPr>
          <w:noProof/>
        </w:rPr>
        <w:t>odn</w:t>
      </w:r>
      <w:r w:rsidRPr="00F66162">
        <w:rPr>
          <w:noProof/>
        </w:rPr>
        <w:t>iesieniu do towarów niewymienionych</w:t>
      </w:r>
      <w:r w:rsidR="00825614" w:rsidRPr="00F66162">
        <w:rPr>
          <w:noProof/>
        </w:rPr>
        <w:t xml:space="preserve"> w</w:t>
      </w:r>
      <w:r w:rsidR="00825614">
        <w:rPr>
          <w:noProof/>
        </w:rPr>
        <w:t> </w:t>
      </w:r>
      <w:r w:rsidR="00825614" w:rsidRPr="00F66162">
        <w:rPr>
          <w:noProof/>
        </w:rPr>
        <w:t>tym</w:t>
      </w:r>
      <w:r w:rsidRPr="00F66162">
        <w:rPr>
          <w:noProof/>
        </w:rPr>
        <w:t xml:space="preserve"> załączniku należy uwzględniać zarówno emisje bezpośrednie, jak</w:t>
      </w:r>
      <w:r w:rsidR="00825614" w:rsidRPr="00F66162">
        <w:rPr>
          <w:noProof/>
        </w:rPr>
        <w:t xml:space="preserve"> i</w:t>
      </w:r>
      <w:r w:rsidR="00825614">
        <w:rPr>
          <w:noProof/>
        </w:rPr>
        <w:t> </w:t>
      </w:r>
      <w:r w:rsidR="00825614" w:rsidRPr="00F66162">
        <w:rPr>
          <w:noProof/>
        </w:rPr>
        <w:t>poś</w:t>
      </w:r>
      <w:r w:rsidRPr="00F66162">
        <w:rPr>
          <w:noProof/>
        </w:rPr>
        <w:t>rednie. Ponieważ emisje pośrednie nie mają znaczenia</w:t>
      </w:r>
      <w:r w:rsidR="00825614" w:rsidRPr="00F66162">
        <w:rPr>
          <w:noProof/>
        </w:rPr>
        <w:t xml:space="preserve"> w</w:t>
      </w:r>
      <w:r w:rsidR="00825614">
        <w:rPr>
          <w:noProof/>
        </w:rPr>
        <w:t> </w:t>
      </w:r>
      <w:r w:rsidR="00825614" w:rsidRPr="00F66162">
        <w:rPr>
          <w:noProof/>
        </w:rPr>
        <w:t>prz</w:t>
      </w:r>
      <w:r w:rsidRPr="00F66162">
        <w:rPr>
          <w:noProof/>
        </w:rPr>
        <w:t>ypadku wytwarzania energii elektrycznej, energię elektryczną należy dodać do wykazu towarów</w:t>
      </w:r>
      <w:r w:rsidR="00825614" w:rsidRPr="00F66162">
        <w:rPr>
          <w:noProof/>
        </w:rPr>
        <w:t xml:space="preserve"> w</w:t>
      </w:r>
      <w:r w:rsidR="00825614">
        <w:rPr>
          <w:noProof/>
        </w:rPr>
        <w:t> </w:t>
      </w:r>
      <w:r w:rsidR="00825614" w:rsidRPr="00F66162">
        <w:rPr>
          <w:noProof/>
        </w:rPr>
        <w:t>tym</w:t>
      </w:r>
      <w:r w:rsidRPr="00F66162">
        <w:rPr>
          <w:noProof/>
        </w:rPr>
        <w:t xml:space="preserve"> załączniku. </w:t>
      </w:r>
    </w:p>
    <w:p w14:paraId="07603A74" w14:textId="4976FBAB" w:rsidR="00C430B6" w:rsidRPr="00F66162" w:rsidRDefault="0074784E" w:rsidP="0074784E">
      <w:pPr>
        <w:pStyle w:val="ManualConsidrant"/>
        <w:rPr>
          <w:noProof/>
        </w:rPr>
      </w:pPr>
      <w:r w:rsidRPr="00F66162">
        <w:rPr>
          <w:noProof/>
        </w:rPr>
        <w:t>(27)</w:t>
      </w:r>
      <w:r w:rsidRPr="00F66162">
        <w:rPr>
          <w:noProof/>
        </w:rPr>
        <w:tab/>
        <w:t>Konieczne jest również uproszczenie sposobów określania wartości domyślnych, jeżeli</w:t>
      </w:r>
      <w:r w:rsidR="00825614" w:rsidRPr="00F66162">
        <w:rPr>
          <w:noProof/>
        </w:rPr>
        <w:t xml:space="preserve"> w</w:t>
      </w:r>
      <w:r w:rsidR="00825614">
        <w:rPr>
          <w:noProof/>
        </w:rPr>
        <w:t> </w:t>
      </w:r>
      <w:r w:rsidR="00825614" w:rsidRPr="00F66162">
        <w:rPr>
          <w:noProof/>
        </w:rPr>
        <w:t>odn</w:t>
      </w:r>
      <w:r w:rsidRPr="00F66162">
        <w:rPr>
          <w:noProof/>
        </w:rPr>
        <w:t>iesieniu do określonego rodzaju towarów nie istnieją wiarygodne dane dotyczące kraju wywozu</w:t>
      </w:r>
      <w:r w:rsidR="00825614" w:rsidRPr="00F66162">
        <w:rPr>
          <w:noProof/>
        </w:rPr>
        <w:t>. W</w:t>
      </w:r>
      <w:r w:rsidR="00825614">
        <w:rPr>
          <w:noProof/>
        </w:rPr>
        <w:t> </w:t>
      </w:r>
      <w:r w:rsidR="00825614" w:rsidRPr="00F66162">
        <w:rPr>
          <w:noProof/>
        </w:rPr>
        <w:t>tak</w:t>
      </w:r>
      <w:r w:rsidRPr="00F66162">
        <w:rPr>
          <w:noProof/>
        </w:rPr>
        <w:t>ich przypadkach, aby zapobiec ucieczce emisji, wartość domyślną należy ustalić na poziomie średniej intensywności emisji dziesięciu państw wywozu</w:t>
      </w:r>
      <w:r w:rsidR="00825614" w:rsidRPr="00F66162">
        <w:rPr>
          <w:noProof/>
        </w:rPr>
        <w:t xml:space="preserve"> o</w:t>
      </w:r>
      <w:r w:rsidR="00825614">
        <w:rPr>
          <w:noProof/>
        </w:rPr>
        <w:t> </w:t>
      </w:r>
      <w:r w:rsidR="00825614" w:rsidRPr="00F66162">
        <w:rPr>
          <w:noProof/>
        </w:rPr>
        <w:t>naj</w:t>
      </w:r>
      <w:r w:rsidRPr="00F66162">
        <w:rPr>
          <w:noProof/>
        </w:rPr>
        <w:t>wyższej intensywności emisji,</w:t>
      </w:r>
      <w:r w:rsidR="00825614" w:rsidRPr="00F66162">
        <w:rPr>
          <w:noProof/>
        </w:rPr>
        <w:t xml:space="preserve"> w</w:t>
      </w:r>
      <w:r w:rsidR="00825614">
        <w:rPr>
          <w:noProof/>
        </w:rPr>
        <w:t> </w:t>
      </w:r>
      <w:r w:rsidR="00825614" w:rsidRPr="00F66162">
        <w:rPr>
          <w:noProof/>
        </w:rPr>
        <w:t>odn</w:t>
      </w:r>
      <w:r w:rsidRPr="00F66162">
        <w:rPr>
          <w:noProof/>
        </w:rPr>
        <w:t>iesieniu do których dostępne są wiarygodne dane, co stanowi odpowiednią średnią, aby zapewnić osiągnięcie celu środowiskowego CBAM. Pozostaje to bez uszczerbku dla możliwości dostosowania tych wartości domyślnych</w:t>
      </w:r>
      <w:r w:rsidR="00825614" w:rsidRPr="00F66162">
        <w:rPr>
          <w:noProof/>
        </w:rPr>
        <w:t xml:space="preserve"> w</w:t>
      </w:r>
      <w:r w:rsidR="00825614">
        <w:rPr>
          <w:noProof/>
        </w:rPr>
        <w:t> </w:t>
      </w:r>
      <w:r w:rsidR="00825614" w:rsidRPr="00F66162">
        <w:rPr>
          <w:noProof/>
        </w:rPr>
        <w:t>opa</w:t>
      </w:r>
      <w:r w:rsidRPr="00F66162">
        <w:rPr>
          <w:noProof/>
        </w:rPr>
        <w:t>rciu</w:t>
      </w:r>
      <w:r w:rsidR="00825614" w:rsidRPr="00F66162">
        <w:rPr>
          <w:noProof/>
        </w:rPr>
        <w:t xml:space="preserve"> o</w:t>
      </w:r>
      <w:r w:rsidR="00825614">
        <w:rPr>
          <w:noProof/>
        </w:rPr>
        <w:t> </w:t>
      </w:r>
      <w:r w:rsidR="00825614" w:rsidRPr="00F66162">
        <w:rPr>
          <w:noProof/>
        </w:rPr>
        <w:t>cec</w:t>
      </w:r>
      <w:r w:rsidRPr="00F66162">
        <w:rPr>
          <w:noProof/>
        </w:rPr>
        <w:t>hy danego regionu, zgodnie</w:t>
      </w:r>
      <w:r w:rsidR="00825614" w:rsidRPr="00F66162">
        <w:rPr>
          <w:noProof/>
        </w:rPr>
        <w:t xml:space="preserve"> z</w:t>
      </w:r>
      <w:r w:rsidR="00825614">
        <w:rPr>
          <w:noProof/>
        </w:rPr>
        <w:t> </w:t>
      </w:r>
      <w:r w:rsidR="00825614" w:rsidRPr="00825614">
        <w:rPr>
          <w:noProof/>
        </w:rPr>
        <w:t>pkt </w:t>
      </w:r>
      <w:r w:rsidRPr="00825614">
        <w:rPr>
          <w:noProof/>
        </w:rPr>
        <w:t>7</w:t>
      </w:r>
      <w:r w:rsidRPr="00F66162">
        <w:rPr>
          <w:noProof/>
        </w:rPr>
        <w:t xml:space="preserve"> załącznika IV do CBAM. </w:t>
      </w:r>
    </w:p>
    <w:p w14:paraId="11AF2CB7" w14:textId="0B3A2642" w:rsidR="00437EB7" w:rsidRPr="00F66162" w:rsidRDefault="0074784E" w:rsidP="0074784E">
      <w:pPr>
        <w:pStyle w:val="ManualConsidrant"/>
        <w:rPr>
          <w:noProof/>
          <w:color w:val="000000" w:themeColor="text1"/>
        </w:rPr>
      </w:pPr>
      <w:r w:rsidRPr="00F66162">
        <w:rPr>
          <w:noProof/>
        </w:rPr>
        <w:t>(28)</w:t>
      </w:r>
      <w:r w:rsidRPr="00F66162">
        <w:rPr>
          <w:noProof/>
        </w:rPr>
        <w:tab/>
        <w:t>W celu zmiany niektórych, innych niż istotne, elementów rozporządzenia (UE) 2023/956 należy przekazać Komisji uprawnienia do przyjmowania aktów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90 Traktatu</w:t>
      </w:r>
      <w:r w:rsidR="00825614" w:rsidRPr="00F66162">
        <w:rPr>
          <w:noProof/>
        </w:rPr>
        <w:t xml:space="preserve"> o</w:t>
      </w:r>
      <w:r w:rsidR="00825614">
        <w:rPr>
          <w:noProof/>
        </w:rPr>
        <w:t> </w:t>
      </w:r>
      <w:r w:rsidR="00825614" w:rsidRPr="00F66162">
        <w:rPr>
          <w:noProof/>
        </w:rPr>
        <w:t>fun</w:t>
      </w:r>
      <w:r w:rsidRPr="00F66162">
        <w:rPr>
          <w:noProof/>
        </w:rPr>
        <w:t xml:space="preserve">kcjonowaniu Unii Europejskiej na potrzeby zmiany progu </w:t>
      </w:r>
      <w:r w:rsidRPr="00F66162">
        <w:rPr>
          <w:noProof/>
        </w:rPr>
        <w:lastRenderedPageBreak/>
        <w:t>określonego</w:t>
      </w:r>
      <w:r w:rsidR="00825614" w:rsidRPr="00F66162">
        <w:rPr>
          <w:noProof/>
        </w:rPr>
        <w:t xml:space="preserve"> w</w:t>
      </w:r>
      <w:r w:rsidR="00825614">
        <w:rPr>
          <w:noProof/>
        </w:rPr>
        <w:t> </w:t>
      </w:r>
      <w:r w:rsidR="00825614" w:rsidRPr="00F66162">
        <w:rPr>
          <w:noProof/>
        </w:rPr>
        <w:t>zał</w:t>
      </w:r>
      <w:r w:rsidRPr="00F66162">
        <w:rPr>
          <w:noProof/>
        </w:rPr>
        <w:t>ączniku VII do tego rozporządzenia,</w:t>
      </w:r>
      <w:r w:rsidR="00825614" w:rsidRPr="00F66162">
        <w:rPr>
          <w:noProof/>
        </w:rPr>
        <w:t xml:space="preserve"> w</w:t>
      </w:r>
      <w:r w:rsidR="00825614">
        <w:rPr>
          <w:noProof/>
        </w:rPr>
        <w:t> </w:t>
      </w:r>
      <w:r w:rsidR="00825614" w:rsidRPr="00F66162">
        <w:rPr>
          <w:noProof/>
        </w:rPr>
        <w:t>sto</w:t>
      </w:r>
      <w:r w:rsidRPr="00F66162">
        <w:rPr>
          <w:noProof/>
        </w:rPr>
        <w:t>sownych przypadkach, ustalonego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 </w:t>
      </w:r>
      <w:r w:rsidRPr="00825614">
        <w:rPr>
          <w:noProof/>
        </w:rPr>
        <w:t>ust.</w:t>
      </w:r>
      <w:r w:rsidR="00825614" w:rsidRPr="00825614">
        <w:rPr>
          <w:noProof/>
        </w:rPr>
        <w:t> </w:t>
      </w:r>
      <w:r w:rsidRPr="00825614">
        <w:rPr>
          <w:noProof/>
        </w:rPr>
        <w:t>3</w:t>
      </w:r>
      <w:r w:rsidRPr="00F66162">
        <w:rPr>
          <w:noProof/>
        </w:rPr>
        <w:t>a tego rozporządzenia. Szczególnie ważne jest, aby</w:t>
      </w:r>
      <w:r w:rsidR="00825614" w:rsidRPr="00F66162">
        <w:rPr>
          <w:noProof/>
        </w:rPr>
        <w:t xml:space="preserve"> w</w:t>
      </w:r>
      <w:r w:rsidR="00825614">
        <w:rPr>
          <w:noProof/>
        </w:rPr>
        <w:t> </w:t>
      </w:r>
      <w:r w:rsidR="00825614" w:rsidRPr="00F66162">
        <w:rPr>
          <w:noProof/>
        </w:rPr>
        <w:t>cza</w:t>
      </w:r>
      <w:r w:rsidRPr="00F66162">
        <w:rPr>
          <w:noProof/>
        </w:rPr>
        <w:t>sie prac przygotowawczych Komisja prowadziła stosowne konsultacje,</w:t>
      </w:r>
      <w:r w:rsidR="00825614" w:rsidRPr="00F66162">
        <w:rPr>
          <w:noProof/>
        </w:rPr>
        <w:t xml:space="preserve"> w</w:t>
      </w:r>
      <w:r w:rsidR="00825614">
        <w:rPr>
          <w:noProof/>
        </w:rPr>
        <w:t> </w:t>
      </w:r>
      <w:r w:rsidR="00825614" w:rsidRPr="00F66162">
        <w:rPr>
          <w:noProof/>
        </w:rPr>
        <w:t>tym</w:t>
      </w:r>
      <w:r w:rsidRPr="00F66162">
        <w:rPr>
          <w:noProof/>
        </w:rPr>
        <w:t xml:space="preserve"> na poziomie ekspertów, oraz aby konsultacje te prowadzone były zgodnie</w:t>
      </w:r>
      <w:r w:rsidR="00825614" w:rsidRPr="00F66162">
        <w:rPr>
          <w:noProof/>
        </w:rPr>
        <w:t xml:space="preserve"> z</w:t>
      </w:r>
      <w:r w:rsidR="00825614">
        <w:rPr>
          <w:noProof/>
        </w:rPr>
        <w:t> </w:t>
      </w:r>
      <w:r w:rsidR="00825614" w:rsidRPr="00F66162">
        <w:rPr>
          <w:noProof/>
        </w:rPr>
        <w:t>zas</w:t>
      </w:r>
      <w:r w:rsidRPr="00F66162">
        <w:rPr>
          <w:noProof/>
        </w:rPr>
        <w:t>adami określonymi</w:t>
      </w:r>
      <w:r w:rsidR="00825614" w:rsidRPr="00F66162">
        <w:rPr>
          <w:noProof/>
        </w:rPr>
        <w:t xml:space="preserve"> w</w:t>
      </w:r>
      <w:r w:rsidR="00825614">
        <w:rPr>
          <w:noProof/>
        </w:rPr>
        <w:t> </w:t>
      </w:r>
      <w:r w:rsidR="00825614" w:rsidRPr="00F66162">
        <w:rPr>
          <w:noProof/>
        </w:rPr>
        <w:t>Por</w:t>
      </w:r>
      <w:r w:rsidRPr="00F66162">
        <w:rPr>
          <w:noProof/>
        </w:rPr>
        <w:t>ozumieniu międzyinstytucjonalnym</w:t>
      </w:r>
      <w:r w:rsidR="00825614" w:rsidRPr="00F66162">
        <w:rPr>
          <w:noProof/>
        </w:rPr>
        <w:t xml:space="preserve"> z</w:t>
      </w:r>
      <w:r w:rsidR="00825614">
        <w:rPr>
          <w:noProof/>
        </w:rPr>
        <w:t> </w:t>
      </w:r>
      <w:r w:rsidR="00825614" w:rsidRPr="00F66162">
        <w:rPr>
          <w:noProof/>
        </w:rPr>
        <w:t>dni</w:t>
      </w:r>
      <w:r w:rsidRPr="00F66162">
        <w:rPr>
          <w:noProof/>
        </w:rPr>
        <w:t>a 13 kwietnia 20</w:t>
      </w:r>
      <w:r w:rsidRPr="00825614">
        <w:rPr>
          <w:noProof/>
        </w:rPr>
        <w:t>16</w:t>
      </w:r>
      <w:r w:rsidR="00825614" w:rsidRPr="00825614">
        <w:rPr>
          <w:noProof/>
        </w:rPr>
        <w:t> </w:t>
      </w:r>
      <w:r w:rsidRPr="00825614">
        <w:rPr>
          <w:noProof/>
        </w:rPr>
        <w:t>r.</w:t>
      </w:r>
      <w:r w:rsidR="00825614" w:rsidRPr="00F66162">
        <w:rPr>
          <w:noProof/>
        </w:rPr>
        <w:t xml:space="preserve"> w</w:t>
      </w:r>
      <w:r w:rsidR="00825614">
        <w:rPr>
          <w:noProof/>
        </w:rPr>
        <w:t> </w:t>
      </w:r>
      <w:r w:rsidR="00825614" w:rsidRPr="00F66162">
        <w:rPr>
          <w:noProof/>
        </w:rPr>
        <w:t>spr</w:t>
      </w:r>
      <w:r w:rsidRPr="00F66162">
        <w:rPr>
          <w:noProof/>
        </w:rPr>
        <w:t>awie lepszego stanowienia prawa*</w:t>
      </w:r>
      <w:r w:rsidR="00825614" w:rsidRPr="00F66162">
        <w:rPr>
          <w:noProof/>
        </w:rPr>
        <w:t>. W</w:t>
      </w:r>
      <w:r w:rsidR="00825614">
        <w:rPr>
          <w:noProof/>
        </w:rPr>
        <w:t> </w:t>
      </w:r>
      <w:r w:rsidR="00825614" w:rsidRPr="00F66162">
        <w:rPr>
          <w:noProof/>
        </w:rPr>
        <w:t>szc</w:t>
      </w:r>
      <w:r w:rsidRPr="00F66162">
        <w:rPr>
          <w:noProof/>
        </w:rPr>
        <w:t>zególności, aby zapewnić Parlamentowi Europejskiemu</w:t>
      </w:r>
      <w:r w:rsidR="00825614" w:rsidRPr="00F66162">
        <w:rPr>
          <w:noProof/>
        </w:rPr>
        <w:t xml:space="preserve"> i</w:t>
      </w:r>
      <w:r w:rsidR="00825614">
        <w:rPr>
          <w:noProof/>
        </w:rPr>
        <w:t> </w:t>
      </w:r>
      <w:r w:rsidR="00825614" w:rsidRPr="00F66162">
        <w:rPr>
          <w:noProof/>
        </w:rPr>
        <w:t>Rad</w:t>
      </w:r>
      <w:r w:rsidRPr="00F66162">
        <w:rPr>
          <w:noProof/>
        </w:rPr>
        <w:t>zie udział na równych zasadach</w:t>
      </w:r>
      <w:r w:rsidR="00825614" w:rsidRPr="00F66162">
        <w:rPr>
          <w:noProof/>
        </w:rPr>
        <w:t xml:space="preserve"> w</w:t>
      </w:r>
      <w:r w:rsidR="00825614">
        <w:rPr>
          <w:noProof/>
        </w:rPr>
        <w:t> </w:t>
      </w:r>
      <w:r w:rsidR="00825614" w:rsidRPr="00F66162">
        <w:rPr>
          <w:noProof/>
        </w:rPr>
        <w:t>prz</w:t>
      </w:r>
      <w:r w:rsidRPr="00F66162">
        <w:rPr>
          <w:noProof/>
        </w:rPr>
        <w:t>ygotowaniu aktów delegowanych, instytucje te otrzymują wszelkie dokumenty</w:t>
      </w:r>
      <w:r w:rsidR="00825614" w:rsidRPr="00F66162">
        <w:rPr>
          <w:noProof/>
        </w:rPr>
        <w:t xml:space="preserve"> w</w:t>
      </w:r>
      <w:r w:rsidR="00825614">
        <w:rPr>
          <w:noProof/>
        </w:rPr>
        <w:t> </w:t>
      </w:r>
      <w:r w:rsidR="00825614" w:rsidRPr="00F66162">
        <w:rPr>
          <w:noProof/>
        </w:rPr>
        <w:t>tym</w:t>
      </w:r>
      <w:r w:rsidRPr="00F66162">
        <w:rPr>
          <w:noProof/>
        </w:rPr>
        <w:t xml:space="preserve"> samym czasie co eksperci państw członkowskich,</w:t>
      </w:r>
      <w:r w:rsidR="00825614" w:rsidRPr="00F66162">
        <w:rPr>
          <w:noProof/>
        </w:rPr>
        <w:t xml:space="preserve"> a</w:t>
      </w:r>
      <w:r w:rsidR="00825614">
        <w:rPr>
          <w:noProof/>
        </w:rPr>
        <w:t> </w:t>
      </w:r>
      <w:r w:rsidR="00825614" w:rsidRPr="00F66162">
        <w:rPr>
          <w:noProof/>
        </w:rPr>
        <w:t>eks</w:t>
      </w:r>
      <w:r w:rsidRPr="00F66162">
        <w:rPr>
          <w:noProof/>
        </w:rPr>
        <w:t>perci tych instytucji mogą systematycznie brać udział</w:t>
      </w:r>
      <w:r w:rsidR="00825614" w:rsidRPr="00F66162">
        <w:rPr>
          <w:noProof/>
        </w:rPr>
        <w:t xml:space="preserve"> w</w:t>
      </w:r>
      <w:r w:rsidR="00825614">
        <w:rPr>
          <w:noProof/>
        </w:rPr>
        <w:t> </w:t>
      </w:r>
      <w:r w:rsidR="00825614" w:rsidRPr="00F66162">
        <w:rPr>
          <w:noProof/>
        </w:rPr>
        <w:t>pos</w:t>
      </w:r>
      <w:r w:rsidRPr="00F66162">
        <w:rPr>
          <w:noProof/>
        </w:rPr>
        <w:t>iedzeniach grup eksperckich Komisji zajmujących się przygotowaniem aktów delegowanych.</w:t>
      </w:r>
    </w:p>
    <w:p w14:paraId="08532148" w14:textId="78470326" w:rsidR="00BB469E" w:rsidRPr="00F66162" w:rsidRDefault="00BB469E" w:rsidP="005E4844">
      <w:pPr>
        <w:pStyle w:val="Text1"/>
        <w:rPr>
          <w:noProof/>
          <w:vertAlign w:val="superscript"/>
        </w:rPr>
      </w:pPr>
      <w:r w:rsidRPr="00F66162">
        <w:rPr>
          <w:noProof/>
          <w:vertAlign w:val="superscript"/>
        </w:rPr>
        <w:t>* Porozumienie międzyinstytucjonalne pomiędzy Parlamentem Europejskim, Radą Unii Europejskiej</w:t>
      </w:r>
      <w:r w:rsidR="00825614" w:rsidRPr="00F66162">
        <w:rPr>
          <w:noProof/>
          <w:vertAlign w:val="superscript"/>
        </w:rPr>
        <w:t xml:space="preserve"> a</w:t>
      </w:r>
      <w:r w:rsidR="00825614">
        <w:rPr>
          <w:noProof/>
          <w:vertAlign w:val="superscript"/>
        </w:rPr>
        <w:t> </w:t>
      </w:r>
      <w:r w:rsidR="00825614" w:rsidRPr="00F66162">
        <w:rPr>
          <w:noProof/>
          <w:vertAlign w:val="superscript"/>
        </w:rPr>
        <w:t>Kom</w:t>
      </w:r>
      <w:r w:rsidRPr="00F66162">
        <w:rPr>
          <w:noProof/>
          <w:vertAlign w:val="superscript"/>
        </w:rPr>
        <w:t>isją Europejską</w:t>
      </w:r>
      <w:r w:rsidR="00825614" w:rsidRPr="00F66162">
        <w:rPr>
          <w:noProof/>
          <w:vertAlign w:val="superscript"/>
        </w:rPr>
        <w:t xml:space="preserve"> w</w:t>
      </w:r>
      <w:r w:rsidR="00825614">
        <w:rPr>
          <w:noProof/>
          <w:vertAlign w:val="superscript"/>
        </w:rPr>
        <w:t> </w:t>
      </w:r>
      <w:r w:rsidR="00825614" w:rsidRPr="00F66162">
        <w:rPr>
          <w:noProof/>
          <w:vertAlign w:val="superscript"/>
        </w:rPr>
        <w:t>spr</w:t>
      </w:r>
      <w:r w:rsidRPr="00F66162">
        <w:rPr>
          <w:noProof/>
          <w:vertAlign w:val="superscript"/>
        </w:rPr>
        <w:t>awie lepszego stanowienia prawa, Porozumienie międzyinstytucjonalne</w:t>
      </w:r>
      <w:r w:rsidR="00825614" w:rsidRPr="00F66162">
        <w:rPr>
          <w:noProof/>
          <w:vertAlign w:val="superscript"/>
        </w:rPr>
        <w:t xml:space="preserve"> z</w:t>
      </w:r>
      <w:r w:rsidR="00825614">
        <w:rPr>
          <w:noProof/>
          <w:vertAlign w:val="superscript"/>
        </w:rPr>
        <w:t> </w:t>
      </w:r>
      <w:r w:rsidR="00825614" w:rsidRPr="00F66162">
        <w:rPr>
          <w:noProof/>
          <w:vertAlign w:val="superscript"/>
        </w:rPr>
        <w:t>dni</w:t>
      </w:r>
      <w:r w:rsidRPr="00F66162">
        <w:rPr>
          <w:noProof/>
          <w:vertAlign w:val="superscript"/>
        </w:rPr>
        <w:t>a 13 kwietnia 20</w:t>
      </w:r>
      <w:r w:rsidRPr="00825614">
        <w:rPr>
          <w:noProof/>
          <w:vertAlign w:val="superscript"/>
        </w:rPr>
        <w:t>16</w:t>
      </w:r>
      <w:r w:rsidR="00825614" w:rsidRPr="00825614">
        <w:rPr>
          <w:noProof/>
          <w:vertAlign w:val="superscript"/>
        </w:rPr>
        <w:t> </w:t>
      </w:r>
      <w:r w:rsidRPr="00825614">
        <w:rPr>
          <w:noProof/>
          <w:vertAlign w:val="superscript"/>
        </w:rPr>
        <w:t>r.</w:t>
      </w:r>
      <w:r w:rsidR="00825614" w:rsidRPr="00F66162">
        <w:rPr>
          <w:noProof/>
          <w:vertAlign w:val="superscript"/>
        </w:rPr>
        <w:t xml:space="preserve"> w</w:t>
      </w:r>
      <w:r w:rsidR="00825614">
        <w:rPr>
          <w:noProof/>
          <w:vertAlign w:val="superscript"/>
        </w:rPr>
        <w:t> </w:t>
      </w:r>
      <w:r w:rsidR="00825614" w:rsidRPr="00F66162">
        <w:rPr>
          <w:noProof/>
          <w:vertAlign w:val="superscript"/>
        </w:rPr>
        <w:t>spr</w:t>
      </w:r>
      <w:r w:rsidRPr="00F66162">
        <w:rPr>
          <w:noProof/>
          <w:vertAlign w:val="superscript"/>
        </w:rPr>
        <w:t>awie lepszego stanowienia prawa (Dz.U. L 123</w:t>
      </w:r>
      <w:r w:rsidR="00825614" w:rsidRPr="00F66162">
        <w:rPr>
          <w:noProof/>
          <w:vertAlign w:val="superscript"/>
        </w:rPr>
        <w:t xml:space="preserve"> z</w:t>
      </w:r>
      <w:r w:rsidR="00825614">
        <w:rPr>
          <w:noProof/>
          <w:vertAlign w:val="superscript"/>
        </w:rPr>
        <w:t> </w:t>
      </w:r>
      <w:r w:rsidR="00825614" w:rsidRPr="00F66162">
        <w:rPr>
          <w:noProof/>
          <w:vertAlign w:val="superscript"/>
        </w:rPr>
        <w:t>1</w:t>
      </w:r>
      <w:r w:rsidRPr="00F66162">
        <w:rPr>
          <w:noProof/>
          <w:vertAlign w:val="superscript"/>
        </w:rPr>
        <w:t>2.5.2016, s. 1, ELI: </w:t>
      </w:r>
      <w:hyperlink r:id="rId19" w:history="1">
        <w:r w:rsidRPr="00F66162">
          <w:rPr>
            <w:rStyle w:val="Hipercze"/>
            <w:noProof/>
          </w:rPr>
          <w:t>http://data.europa.eu/eli/agree_interinstit/2016/512/oj</w:t>
        </w:r>
      </w:hyperlink>
      <w:r w:rsidRPr="00F66162">
        <w:rPr>
          <w:noProof/>
          <w:vertAlign w:val="superscript"/>
        </w:rPr>
        <w:t>).</w:t>
      </w:r>
    </w:p>
    <w:p w14:paraId="78306E7E" w14:textId="28D94B3B" w:rsidR="0079054A" w:rsidRPr="00F66162" w:rsidRDefault="0074784E" w:rsidP="0074784E">
      <w:pPr>
        <w:pStyle w:val="ManualConsidrant"/>
        <w:rPr>
          <w:noProof/>
        </w:rPr>
      </w:pPr>
      <w:r w:rsidRPr="00F66162">
        <w:rPr>
          <w:noProof/>
        </w:rPr>
        <w:t>(29)</w:t>
      </w:r>
      <w:r w:rsidRPr="00F66162">
        <w:rPr>
          <w:noProof/>
        </w:rPr>
        <w:tab/>
        <w:t>Ponieważ cele niniejszego rozporządzenia – czyli uproszczenie niektórych obowiązków</w:t>
      </w:r>
      <w:r w:rsidR="00825614" w:rsidRPr="00F66162">
        <w:rPr>
          <w:noProof/>
        </w:rPr>
        <w:t xml:space="preserve"> i</w:t>
      </w:r>
      <w:r w:rsidR="00825614">
        <w:rPr>
          <w:noProof/>
        </w:rPr>
        <w:t> </w:t>
      </w:r>
      <w:r w:rsidR="00825614" w:rsidRPr="00F66162">
        <w:rPr>
          <w:noProof/>
        </w:rPr>
        <w:t>wzm</w:t>
      </w:r>
      <w:r w:rsidRPr="00F66162">
        <w:rPr>
          <w:noProof/>
        </w:rPr>
        <w:t>ocnienie mechanizmu przyjętego przez Unię</w:t>
      </w:r>
      <w:r w:rsidR="00825614" w:rsidRPr="00F66162">
        <w:rPr>
          <w:noProof/>
        </w:rPr>
        <w:t xml:space="preserve"> w</w:t>
      </w:r>
      <w:r w:rsidR="00825614">
        <w:rPr>
          <w:noProof/>
        </w:rPr>
        <w:t> </w:t>
      </w:r>
      <w:r w:rsidR="00825614" w:rsidRPr="00F66162">
        <w:rPr>
          <w:noProof/>
        </w:rPr>
        <w:t>cel</w:t>
      </w:r>
      <w:r w:rsidRPr="00F66162">
        <w:rPr>
          <w:noProof/>
        </w:rPr>
        <w:t>u zapobiegania ryzyku ucieczki emisji,</w:t>
      </w:r>
      <w:r w:rsidR="00825614" w:rsidRPr="00F66162">
        <w:rPr>
          <w:noProof/>
        </w:rPr>
        <w:t xml:space="preserve"> a</w:t>
      </w:r>
      <w:r w:rsidR="00825614">
        <w:rPr>
          <w:noProof/>
        </w:rPr>
        <w:t> </w:t>
      </w:r>
      <w:r w:rsidR="00825614" w:rsidRPr="00F66162">
        <w:rPr>
          <w:noProof/>
        </w:rPr>
        <w:t>tym</w:t>
      </w:r>
      <w:r w:rsidRPr="00F66162">
        <w:rPr>
          <w:noProof/>
        </w:rPr>
        <w:t xml:space="preserve"> samym ograniczenia globalnych emisji dwutlenku węgla – nie mogą zostać osiągnięte</w:t>
      </w:r>
      <w:r w:rsidR="00825614" w:rsidRPr="00F66162">
        <w:rPr>
          <w:noProof/>
        </w:rPr>
        <w:t xml:space="preserve"> w</w:t>
      </w:r>
      <w:r w:rsidR="00825614">
        <w:rPr>
          <w:noProof/>
        </w:rPr>
        <w:t> </w:t>
      </w:r>
      <w:r w:rsidR="00825614" w:rsidRPr="00F66162">
        <w:rPr>
          <w:noProof/>
        </w:rPr>
        <w:t>spo</w:t>
      </w:r>
      <w:r w:rsidRPr="00F66162">
        <w:rPr>
          <w:noProof/>
        </w:rPr>
        <w:t>sób wystarczający przez państwa członkowskie, natomiast ze względu na rozmiary</w:t>
      </w:r>
      <w:r w:rsidR="00825614" w:rsidRPr="00F66162">
        <w:rPr>
          <w:noProof/>
        </w:rPr>
        <w:t xml:space="preserve"> i</w:t>
      </w:r>
      <w:r w:rsidR="00825614">
        <w:rPr>
          <w:noProof/>
        </w:rPr>
        <w:t> </w:t>
      </w:r>
      <w:r w:rsidR="00825614" w:rsidRPr="00F66162">
        <w:rPr>
          <w:noProof/>
        </w:rPr>
        <w:t>sku</w:t>
      </w:r>
      <w:r w:rsidRPr="00F66162">
        <w:rPr>
          <w:noProof/>
        </w:rPr>
        <w:t>tki działań możliwe jest ich lepsze osiągnięcie na poziomie Unii, Unia może podjąć działania zgodnie</w:t>
      </w:r>
      <w:r w:rsidR="00825614" w:rsidRPr="00F66162">
        <w:rPr>
          <w:noProof/>
        </w:rPr>
        <w:t xml:space="preserve"> z</w:t>
      </w:r>
      <w:r w:rsidR="00825614">
        <w:rPr>
          <w:noProof/>
        </w:rPr>
        <w:t> </w:t>
      </w:r>
      <w:r w:rsidR="00825614" w:rsidRPr="00F66162">
        <w:rPr>
          <w:noProof/>
        </w:rPr>
        <w:t>zas</w:t>
      </w:r>
      <w:r w:rsidRPr="00F66162">
        <w:rPr>
          <w:noProof/>
        </w:rPr>
        <w:t>adą pomocniczości określoną</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5</w:t>
      </w:r>
      <w:r w:rsidRPr="00F66162">
        <w:rPr>
          <w:noProof/>
        </w:rPr>
        <w:t xml:space="preserve"> Traktatu</w:t>
      </w:r>
      <w:r w:rsidR="00825614" w:rsidRPr="00F66162">
        <w:rPr>
          <w:noProof/>
        </w:rPr>
        <w:t xml:space="preserve"> o</w:t>
      </w:r>
      <w:r w:rsidR="00825614">
        <w:rPr>
          <w:noProof/>
        </w:rPr>
        <w:t> </w:t>
      </w:r>
      <w:r w:rsidR="00825614" w:rsidRPr="00F66162">
        <w:rPr>
          <w:noProof/>
        </w:rPr>
        <w:t>Uni</w:t>
      </w:r>
      <w:r w:rsidRPr="00F66162">
        <w:rPr>
          <w:noProof/>
        </w:rPr>
        <w:t>i Europejskiej. Zgodnie</w:t>
      </w:r>
      <w:r w:rsidR="00825614" w:rsidRPr="00F66162">
        <w:rPr>
          <w:noProof/>
        </w:rPr>
        <w:t xml:space="preserve"> z</w:t>
      </w:r>
      <w:r w:rsidR="00825614">
        <w:rPr>
          <w:noProof/>
        </w:rPr>
        <w:t> </w:t>
      </w:r>
      <w:r w:rsidR="00825614" w:rsidRPr="00F66162">
        <w:rPr>
          <w:noProof/>
        </w:rPr>
        <w:t>zas</w:t>
      </w:r>
      <w:r w:rsidRPr="00F66162">
        <w:rPr>
          <w:noProof/>
        </w:rPr>
        <w:t>adą proporcjonalności określoną</w:t>
      </w:r>
      <w:r w:rsidR="00825614" w:rsidRPr="00F66162">
        <w:rPr>
          <w:noProof/>
        </w:rPr>
        <w:t xml:space="preserve"> w</w:t>
      </w:r>
      <w:r w:rsidR="00825614">
        <w:rPr>
          <w:noProof/>
        </w:rPr>
        <w:t> </w:t>
      </w:r>
      <w:r w:rsidR="00825614" w:rsidRPr="00F66162">
        <w:rPr>
          <w:noProof/>
        </w:rPr>
        <w:t>tym</w:t>
      </w:r>
      <w:r w:rsidRPr="00F66162">
        <w:rPr>
          <w:noProof/>
        </w:rPr>
        <w:t xml:space="preserve"> artykule niniejsze rozporządzenie nie wykracza poza to, co jest konieczne do osiągnięcia tych celów.</w:t>
      </w:r>
    </w:p>
    <w:p w14:paraId="750BBF79" w14:textId="77777777" w:rsidR="00D10628" w:rsidRPr="00F66162" w:rsidRDefault="0074784E" w:rsidP="0074784E">
      <w:pPr>
        <w:pStyle w:val="ManualConsidrant"/>
        <w:rPr>
          <w:noProof/>
        </w:rPr>
      </w:pPr>
      <w:r w:rsidRPr="00F66162">
        <w:rPr>
          <w:noProof/>
        </w:rPr>
        <w:t>(30)</w:t>
      </w:r>
      <w:r w:rsidRPr="00F66162">
        <w:rPr>
          <w:noProof/>
        </w:rPr>
        <w:tab/>
        <w:t>Należy zatem odpowiednio zmienić rozporządzenie (UE) 2023/956,</w:t>
      </w:r>
    </w:p>
    <w:p w14:paraId="5EBD6DC8" w14:textId="77777777" w:rsidR="00FA5543" w:rsidRPr="00F66162" w:rsidRDefault="00FA5543" w:rsidP="00390489">
      <w:pPr>
        <w:pStyle w:val="Formuledadoption"/>
        <w:rPr>
          <w:noProof/>
        </w:rPr>
      </w:pPr>
      <w:r w:rsidRPr="00F66162">
        <w:rPr>
          <w:noProof/>
        </w:rPr>
        <w:t>PRZYJMUJĄ NINIEJSZE ROZPORZĄDZENIE:</w:t>
      </w:r>
    </w:p>
    <w:p w14:paraId="24296FFE" w14:textId="77777777" w:rsidR="00FA5543" w:rsidRPr="00F66162" w:rsidRDefault="00FA5543" w:rsidP="00390489">
      <w:pPr>
        <w:pStyle w:val="Titrearticle"/>
        <w:rPr>
          <w:noProof/>
        </w:rPr>
      </w:pPr>
      <w:r w:rsidRPr="00F66162">
        <w:rPr>
          <w:noProof/>
        </w:rPr>
        <w:t>Artykuł 1</w:t>
      </w:r>
    </w:p>
    <w:p w14:paraId="64BA310C" w14:textId="77777777" w:rsidR="00A33883" w:rsidRPr="00F66162" w:rsidRDefault="00A33883" w:rsidP="00A33883">
      <w:pPr>
        <w:pStyle w:val="Titrearticle"/>
        <w:rPr>
          <w:b/>
          <w:bCs/>
          <w:i w:val="0"/>
          <w:iCs/>
          <w:noProof/>
        </w:rPr>
      </w:pPr>
      <w:r w:rsidRPr="00F66162">
        <w:rPr>
          <w:b/>
          <w:i w:val="0"/>
          <w:noProof/>
        </w:rPr>
        <w:t>Zmiany rozporządzenia (UE) 2023/956</w:t>
      </w:r>
    </w:p>
    <w:p w14:paraId="55F88807" w14:textId="77777777" w:rsidR="00A33883" w:rsidRPr="00F66162" w:rsidRDefault="00A33883" w:rsidP="00741D62">
      <w:pPr>
        <w:rPr>
          <w:noProof/>
          <w:color w:val="000000" w:themeColor="text1"/>
        </w:rPr>
      </w:pPr>
      <w:r w:rsidRPr="00F66162">
        <w:rPr>
          <w:noProof/>
          <w:color w:val="000000" w:themeColor="text1"/>
        </w:rPr>
        <w:t>W rozporządzeniu (UE) 2023/956 wprowadza się następujące zmiany: </w:t>
      </w:r>
    </w:p>
    <w:p w14:paraId="3A87593F" w14:textId="45DA2C9F" w:rsidR="00741D62" w:rsidRPr="00F66162" w:rsidRDefault="0074784E" w:rsidP="0074784E">
      <w:pPr>
        <w:pStyle w:val="Point0"/>
        <w:rPr>
          <w:noProof/>
        </w:rPr>
      </w:pPr>
      <w:r w:rsidRPr="00F66162">
        <w:rPr>
          <w:noProof/>
        </w:rPr>
        <w:t>1.</w:t>
      </w:r>
      <w:r w:rsidRPr="00F66162">
        <w:rPr>
          <w:noProof/>
        </w:rPr>
        <w:tab/>
        <w:t xml:space="preserve">w </w:t>
      </w:r>
      <w:r w:rsidRPr="00825614">
        <w:rPr>
          <w:noProof/>
        </w:rPr>
        <w:t>art.</w:t>
      </w:r>
      <w:r w:rsidR="00825614" w:rsidRPr="00825614">
        <w:rPr>
          <w:noProof/>
        </w:rPr>
        <w:t> </w:t>
      </w:r>
      <w:r w:rsidRPr="00825614">
        <w:rPr>
          <w:noProof/>
        </w:rPr>
        <w:t>2</w:t>
      </w:r>
      <w:r w:rsidRPr="00F66162">
        <w:rPr>
          <w:noProof/>
        </w:rPr>
        <w:t xml:space="preserve"> wprowadza się następujące zmiany: </w:t>
      </w:r>
    </w:p>
    <w:p w14:paraId="7577A485" w14:textId="26B118D8" w:rsidR="00741D62" w:rsidRPr="00F66162" w:rsidRDefault="0074784E" w:rsidP="0074784E">
      <w:pPr>
        <w:pStyle w:val="Point1"/>
        <w:rPr>
          <w:noProof/>
        </w:rPr>
      </w:pPr>
      <w:r w:rsidRPr="00F66162">
        <w:rPr>
          <w:noProof/>
        </w:rPr>
        <w:t>a)</w:t>
      </w:r>
      <w:r w:rsidRPr="00F66162">
        <w:rPr>
          <w:noProof/>
        </w:rPr>
        <w:tab/>
      </w:r>
      <w:r w:rsidRPr="00825614">
        <w:rPr>
          <w:noProof/>
        </w:rPr>
        <w:t>ust.</w:t>
      </w:r>
      <w:r w:rsidR="00825614" w:rsidRPr="00825614">
        <w:rPr>
          <w:noProof/>
        </w:rPr>
        <w:t> </w:t>
      </w:r>
      <w:r w:rsidRPr="00825614">
        <w:rPr>
          <w:noProof/>
        </w:rPr>
        <w:t>3</w:t>
      </w:r>
      <w:r w:rsidRPr="00F66162">
        <w:rPr>
          <w:noProof/>
        </w:rPr>
        <w:t xml:space="preserve"> otrzymuje brzmienie:</w:t>
      </w:r>
    </w:p>
    <w:p w14:paraId="09EF6BF8" w14:textId="56861DF5" w:rsidR="00514E43" w:rsidRPr="00F66162" w:rsidRDefault="00741D62" w:rsidP="00741D62">
      <w:pPr>
        <w:ind w:left="850"/>
        <w:rPr>
          <w:noProof/>
        </w:rPr>
      </w:pPr>
      <w:r w:rsidRPr="00F66162">
        <w:rPr>
          <w:noProof/>
        </w:rPr>
        <w:t xml:space="preserve">„3. Na zasadzie odstępstwa od </w:t>
      </w:r>
      <w:r w:rsidRPr="00825614">
        <w:rPr>
          <w:noProof/>
        </w:rPr>
        <w:t>ust.</w:t>
      </w:r>
      <w:r w:rsidR="00825614" w:rsidRPr="00825614">
        <w:rPr>
          <w:noProof/>
        </w:rPr>
        <w:t> </w:t>
      </w:r>
      <w:r w:rsidRPr="00825614">
        <w:rPr>
          <w:noProof/>
        </w:rPr>
        <w:t>1</w:t>
      </w:r>
      <w:r w:rsidR="00825614" w:rsidRPr="00F66162">
        <w:rPr>
          <w:noProof/>
        </w:rPr>
        <w:t xml:space="preserve"> i</w:t>
      </w:r>
      <w:r w:rsidR="00825614">
        <w:rPr>
          <w:noProof/>
        </w:rPr>
        <w:t> </w:t>
      </w:r>
      <w:r w:rsidR="00825614" w:rsidRPr="00F66162">
        <w:rPr>
          <w:noProof/>
        </w:rPr>
        <w:t>2</w:t>
      </w:r>
      <w:r w:rsidRPr="00F66162">
        <w:rPr>
          <w:noProof/>
        </w:rPr>
        <w:t xml:space="preserve"> niniejsze rozporządzenie nie ma zastosowania do towarów, które mają być transportowane lub wykorzystywane</w:t>
      </w:r>
      <w:r w:rsidR="00825614" w:rsidRPr="00F66162">
        <w:rPr>
          <w:noProof/>
        </w:rPr>
        <w:t xml:space="preserve"> w</w:t>
      </w:r>
      <w:r w:rsidR="00825614">
        <w:rPr>
          <w:noProof/>
        </w:rPr>
        <w:t> </w:t>
      </w:r>
      <w:r w:rsidR="00825614" w:rsidRPr="00F66162">
        <w:rPr>
          <w:noProof/>
        </w:rPr>
        <w:t>zwi</w:t>
      </w:r>
      <w:r w:rsidRPr="00F66162">
        <w:rPr>
          <w:noProof/>
        </w:rPr>
        <w:t>ązku</w:t>
      </w:r>
      <w:r w:rsidR="00825614" w:rsidRPr="00F66162">
        <w:rPr>
          <w:noProof/>
        </w:rPr>
        <w:t xml:space="preserve"> z</w:t>
      </w:r>
      <w:r w:rsidR="00825614">
        <w:rPr>
          <w:noProof/>
        </w:rPr>
        <w:t> </w:t>
      </w:r>
      <w:r w:rsidR="00825614" w:rsidRPr="00F66162">
        <w:rPr>
          <w:noProof/>
        </w:rPr>
        <w:t>dzi</w:t>
      </w:r>
      <w:r w:rsidRPr="00F66162">
        <w:rPr>
          <w:noProof/>
        </w:rPr>
        <w:t>ałaniami wojskowymi zgodnie</w:t>
      </w:r>
      <w:r w:rsidR="00825614" w:rsidRPr="00F66162">
        <w:rPr>
          <w:noProof/>
        </w:rPr>
        <w:t xml:space="preserve"> z</w:t>
      </w:r>
      <w:r w:rsidR="00825614">
        <w:rPr>
          <w:noProof/>
        </w:rPr>
        <w:t> </w:t>
      </w:r>
      <w:r w:rsidR="00825614" w:rsidRPr="00F66162">
        <w:rPr>
          <w:noProof/>
        </w:rPr>
        <w:t>art</w:t>
      </w:r>
      <w:r w:rsidRPr="00F66162">
        <w:rPr>
          <w:noProof/>
        </w:rPr>
        <w:t>. 1 pkt 49 rozporządzenia delegowanego Komisji (UE) 2015/2446*.</w:t>
      </w:r>
    </w:p>
    <w:p w14:paraId="410DC111" w14:textId="08BB3D68" w:rsidR="00741D62" w:rsidRPr="00F66162" w:rsidRDefault="00FD3F83" w:rsidP="00741D62">
      <w:pPr>
        <w:ind w:left="850"/>
        <w:rPr>
          <w:noProof/>
        </w:rPr>
      </w:pPr>
      <w:r w:rsidRPr="00F66162">
        <w:rPr>
          <w:noProof/>
          <w:vertAlign w:val="superscript"/>
        </w:rPr>
        <w:t>* Rozporządzenie delegowane Komisji (UE) 2015/2446</w:t>
      </w:r>
      <w:r w:rsidR="00825614" w:rsidRPr="00F66162">
        <w:rPr>
          <w:noProof/>
          <w:vertAlign w:val="superscript"/>
        </w:rPr>
        <w:t xml:space="preserve"> z</w:t>
      </w:r>
      <w:r w:rsidR="00825614">
        <w:rPr>
          <w:noProof/>
          <w:vertAlign w:val="superscript"/>
        </w:rPr>
        <w:t> </w:t>
      </w:r>
      <w:r w:rsidR="00825614" w:rsidRPr="00F66162">
        <w:rPr>
          <w:noProof/>
          <w:vertAlign w:val="superscript"/>
        </w:rPr>
        <w:t>dni</w:t>
      </w:r>
      <w:r w:rsidRPr="00F66162">
        <w:rPr>
          <w:noProof/>
          <w:vertAlign w:val="superscript"/>
        </w:rPr>
        <w:t>a 28 lipca 20</w:t>
      </w:r>
      <w:r w:rsidRPr="00825614">
        <w:rPr>
          <w:noProof/>
          <w:vertAlign w:val="superscript"/>
        </w:rPr>
        <w:t>15</w:t>
      </w:r>
      <w:r w:rsidR="00825614" w:rsidRPr="00825614">
        <w:rPr>
          <w:noProof/>
          <w:vertAlign w:val="superscript"/>
        </w:rPr>
        <w:t> </w:t>
      </w:r>
      <w:r w:rsidRPr="00825614">
        <w:rPr>
          <w:noProof/>
          <w:vertAlign w:val="superscript"/>
        </w:rPr>
        <w:t>r.</w:t>
      </w:r>
      <w:r w:rsidRPr="00F66162">
        <w:rPr>
          <w:noProof/>
          <w:vertAlign w:val="superscript"/>
        </w:rPr>
        <w:t xml:space="preserve"> uzupełniające rozporządzenie Parlamentu Europejskiego</w:t>
      </w:r>
      <w:r w:rsidR="00825614" w:rsidRPr="00F66162">
        <w:rPr>
          <w:noProof/>
          <w:vertAlign w:val="superscript"/>
        </w:rPr>
        <w:t xml:space="preserve"> i</w:t>
      </w:r>
      <w:r w:rsidR="00825614">
        <w:rPr>
          <w:noProof/>
          <w:vertAlign w:val="superscript"/>
        </w:rPr>
        <w:t> </w:t>
      </w:r>
      <w:r w:rsidR="00825614" w:rsidRPr="00F66162">
        <w:rPr>
          <w:noProof/>
          <w:vertAlign w:val="superscript"/>
        </w:rPr>
        <w:t>Rad</w:t>
      </w:r>
      <w:r w:rsidRPr="00F66162">
        <w:rPr>
          <w:noProof/>
          <w:vertAlign w:val="superscript"/>
        </w:rPr>
        <w:t xml:space="preserve">y (UE) </w:t>
      </w:r>
      <w:r w:rsidRPr="00825614">
        <w:rPr>
          <w:noProof/>
          <w:vertAlign w:val="superscript"/>
        </w:rPr>
        <w:t>nr</w:t>
      </w:r>
      <w:r w:rsidR="00825614" w:rsidRPr="00825614">
        <w:rPr>
          <w:noProof/>
          <w:vertAlign w:val="superscript"/>
        </w:rPr>
        <w:t> </w:t>
      </w:r>
      <w:r w:rsidRPr="00825614">
        <w:rPr>
          <w:noProof/>
          <w:vertAlign w:val="superscript"/>
        </w:rPr>
        <w:t>9</w:t>
      </w:r>
      <w:r w:rsidRPr="00F66162">
        <w:rPr>
          <w:noProof/>
          <w:vertAlign w:val="superscript"/>
        </w:rPr>
        <w:t>52/2013</w:t>
      </w:r>
      <w:r w:rsidR="00825614" w:rsidRPr="00F66162">
        <w:rPr>
          <w:noProof/>
          <w:vertAlign w:val="superscript"/>
        </w:rPr>
        <w:t xml:space="preserve"> w</w:t>
      </w:r>
      <w:r w:rsidR="00825614">
        <w:rPr>
          <w:noProof/>
          <w:vertAlign w:val="superscript"/>
        </w:rPr>
        <w:t> </w:t>
      </w:r>
      <w:r w:rsidR="00825614" w:rsidRPr="00F66162">
        <w:rPr>
          <w:noProof/>
          <w:vertAlign w:val="superscript"/>
        </w:rPr>
        <w:t>odn</w:t>
      </w:r>
      <w:r w:rsidRPr="00F66162">
        <w:rPr>
          <w:noProof/>
          <w:vertAlign w:val="superscript"/>
        </w:rPr>
        <w:t>iesieniu do szczegółowych zasad dotyczących niektórych przepisów unijnego kodeksu celnego (Dz.U. L 343</w:t>
      </w:r>
      <w:r w:rsidR="00825614" w:rsidRPr="00F66162">
        <w:rPr>
          <w:noProof/>
          <w:vertAlign w:val="superscript"/>
        </w:rPr>
        <w:t xml:space="preserve"> z</w:t>
      </w:r>
      <w:r w:rsidR="00825614">
        <w:rPr>
          <w:noProof/>
          <w:vertAlign w:val="superscript"/>
        </w:rPr>
        <w:t> </w:t>
      </w:r>
      <w:r w:rsidR="00825614" w:rsidRPr="00F66162">
        <w:rPr>
          <w:noProof/>
          <w:vertAlign w:val="superscript"/>
        </w:rPr>
        <w:t>2</w:t>
      </w:r>
      <w:r w:rsidRPr="00F66162">
        <w:rPr>
          <w:noProof/>
          <w:vertAlign w:val="superscript"/>
        </w:rPr>
        <w:t xml:space="preserve">9.12.2015, s. 1, ELI: </w:t>
      </w:r>
      <w:hyperlink r:id="rId20" w:history="1">
        <w:r w:rsidRPr="00F66162">
          <w:rPr>
            <w:rStyle w:val="Hipercze"/>
            <w:noProof/>
            <w:vertAlign w:val="superscript"/>
          </w:rPr>
          <w:t>http://data.europa.eu/eli/reg_del/2015/2446/oj</w:t>
        </w:r>
      </w:hyperlink>
      <w:r w:rsidRPr="00F66162">
        <w:rPr>
          <w:noProof/>
          <w:vertAlign w:val="superscript"/>
        </w:rPr>
        <w:t>).</w:t>
      </w:r>
      <w:r w:rsidRPr="00F66162">
        <w:rPr>
          <w:noProof/>
        </w:rPr>
        <w:t>”;</w:t>
      </w:r>
    </w:p>
    <w:p w14:paraId="47B476F4" w14:textId="6F14577B" w:rsidR="00294345" w:rsidRPr="00F66162" w:rsidRDefault="0074784E" w:rsidP="0074784E">
      <w:pPr>
        <w:pStyle w:val="Point1"/>
        <w:rPr>
          <w:noProof/>
        </w:rPr>
      </w:pPr>
      <w:r w:rsidRPr="00F66162">
        <w:rPr>
          <w:noProof/>
        </w:rPr>
        <w:t>b)</w:t>
      </w:r>
      <w:r w:rsidRPr="00F66162">
        <w:rPr>
          <w:noProof/>
        </w:rPr>
        <w:tab/>
        <w:t>dodaje się ust. 3 a</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714436F2" w14:textId="7B892215" w:rsidR="00C6591F" w:rsidRPr="00F66162" w:rsidRDefault="00741D62" w:rsidP="00C6591F">
      <w:pPr>
        <w:ind w:left="850"/>
        <w:rPr>
          <w:noProof/>
          <w:szCs w:val="24"/>
        </w:rPr>
      </w:pPr>
      <w:r w:rsidRPr="00F66162">
        <w:rPr>
          <w:noProof/>
        </w:rPr>
        <w:t xml:space="preserve">„3a. Na zasadzie odstępstwa od </w:t>
      </w:r>
      <w:r w:rsidRPr="00825614">
        <w:rPr>
          <w:noProof/>
        </w:rPr>
        <w:t>ust.</w:t>
      </w:r>
      <w:r w:rsidR="00825614" w:rsidRPr="00825614">
        <w:rPr>
          <w:noProof/>
        </w:rPr>
        <w:t> </w:t>
      </w:r>
      <w:r w:rsidRPr="00825614">
        <w:rPr>
          <w:noProof/>
        </w:rPr>
        <w:t>1</w:t>
      </w:r>
      <w:r w:rsidR="00825614" w:rsidRPr="00F66162">
        <w:rPr>
          <w:noProof/>
        </w:rPr>
        <w:t xml:space="preserve"> i</w:t>
      </w:r>
      <w:r w:rsidR="00825614">
        <w:rPr>
          <w:noProof/>
        </w:rPr>
        <w:t> </w:t>
      </w:r>
      <w:r w:rsidR="00825614" w:rsidRPr="00F66162">
        <w:rPr>
          <w:noProof/>
        </w:rPr>
        <w:t>2</w:t>
      </w:r>
      <w:r w:rsidRPr="00F66162">
        <w:rPr>
          <w:noProof/>
        </w:rPr>
        <w:t xml:space="preserve"> importerzy,</w:t>
      </w:r>
      <w:r w:rsidR="00825614" w:rsidRPr="00F66162">
        <w:rPr>
          <w:noProof/>
        </w:rPr>
        <w:t xml:space="preserve"> w</w:t>
      </w:r>
      <w:r w:rsidR="00825614">
        <w:rPr>
          <w:noProof/>
        </w:rPr>
        <w:t> </w:t>
      </w:r>
      <w:r w:rsidR="00825614" w:rsidRPr="00F66162">
        <w:rPr>
          <w:noProof/>
        </w:rPr>
        <w:t>tym</w:t>
      </w:r>
      <w:r w:rsidRPr="00F66162">
        <w:rPr>
          <w:noProof/>
        </w:rPr>
        <w:t xml:space="preserve"> upoważnieni zgłaszający CBAM, nie podlegają wymogom niniejszego rozporządzenia, jeżeli masa towarów wymienionych</w:t>
      </w:r>
      <w:r w:rsidR="00825614" w:rsidRPr="00F66162">
        <w:rPr>
          <w:noProof/>
        </w:rPr>
        <w:t xml:space="preserve"> w</w:t>
      </w:r>
      <w:r w:rsidR="00825614">
        <w:rPr>
          <w:noProof/>
        </w:rPr>
        <w:t> </w:t>
      </w:r>
      <w:r w:rsidR="00825614" w:rsidRPr="00F66162">
        <w:rPr>
          <w:noProof/>
        </w:rPr>
        <w:t>zał</w:t>
      </w:r>
      <w:r w:rsidRPr="00F66162">
        <w:rPr>
          <w:noProof/>
        </w:rPr>
        <w:t>ączniku I,</w:t>
      </w:r>
      <w:r w:rsidR="00825614" w:rsidRPr="00F66162">
        <w:rPr>
          <w:noProof/>
        </w:rPr>
        <w:t xml:space="preserve"> z</w:t>
      </w:r>
      <w:r w:rsidR="00825614">
        <w:rPr>
          <w:noProof/>
        </w:rPr>
        <w:t> </w:t>
      </w:r>
      <w:r w:rsidR="00825614" w:rsidRPr="00F66162">
        <w:rPr>
          <w:noProof/>
        </w:rPr>
        <w:t>wyj</w:t>
      </w:r>
      <w:r w:rsidRPr="00F66162">
        <w:rPr>
          <w:noProof/>
        </w:rPr>
        <w:t>ątkiem energii elektrycznej</w:t>
      </w:r>
      <w:r w:rsidR="00825614" w:rsidRPr="00F66162">
        <w:rPr>
          <w:noProof/>
        </w:rPr>
        <w:t xml:space="preserve"> i</w:t>
      </w:r>
      <w:r w:rsidR="00825614">
        <w:rPr>
          <w:noProof/>
        </w:rPr>
        <w:t> </w:t>
      </w:r>
      <w:r w:rsidR="00825614" w:rsidRPr="00F66162">
        <w:rPr>
          <w:noProof/>
        </w:rPr>
        <w:t>wod</w:t>
      </w:r>
      <w:r w:rsidRPr="00F66162">
        <w:rPr>
          <w:noProof/>
        </w:rPr>
        <w:t>oru,</w:t>
      </w:r>
      <w:r w:rsidR="00825614" w:rsidRPr="00F66162">
        <w:rPr>
          <w:noProof/>
        </w:rPr>
        <w:t xml:space="preserve"> w</w:t>
      </w:r>
      <w:r w:rsidR="00825614">
        <w:rPr>
          <w:noProof/>
        </w:rPr>
        <w:t> </w:t>
      </w:r>
      <w:r w:rsidR="00825614" w:rsidRPr="00F66162">
        <w:rPr>
          <w:noProof/>
        </w:rPr>
        <w:t>jed</w:t>
      </w:r>
      <w:r w:rsidRPr="00F66162">
        <w:rPr>
          <w:noProof/>
        </w:rPr>
        <w:t xml:space="preserve">nym </w:t>
      </w:r>
      <w:r w:rsidRPr="00F66162">
        <w:rPr>
          <w:noProof/>
        </w:rPr>
        <w:lastRenderedPageBreak/>
        <w:t>roku kalendarzowym nie przekracza łącznie progu określonego</w:t>
      </w:r>
      <w:r w:rsidR="00825614" w:rsidRPr="00F66162">
        <w:rPr>
          <w:noProof/>
        </w:rPr>
        <w:t xml:space="preserve"> w</w:t>
      </w:r>
      <w:r w:rsidR="00825614">
        <w:rPr>
          <w:noProof/>
        </w:rPr>
        <w:t> </w:t>
      </w:r>
      <w:r w:rsidR="00825614" w:rsidRPr="00F66162">
        <w:rPr>
          <w:noProof/>
        </w:rPr>
        <w:t>zał</w:t>
      </w:r>
      <w:r w:rsidRPr="00F66162">
        <w:rPr>
          <w:noProof/>
        </w:rPr>
        <w:t xml:space="preserve">ączniku VII </w:t>
      </w:r>
      <w:r w:rsidRPr="00825614">
        <w:rPr>
          <w:noProof/>
        </w:rPr>
        <w:t>pkt</w:t>
      </w:r>
      <w:r w:rsidR="00825614" w:rsidRPr="00825614">
        <w:rPr>
          <w:noProof/>
        </w:rPr>
        <w:t> </w:t>
      </w:r>
      <w:r w:rsidRPr="00825614">
        <w:rPr>
          <w:noProof/>
        </w:rPr>
        <w:t>1</w:t>
      </w:r>
      <w:r w:rsidRPr="00F66162">
        <w:rPr>
          <w:noProof/>
        </w:rPr>
        <w:t>.</w:t>
      </w:r>
    </w:p>
    <w:p w14:paraId="60FCC69E" w14:textId="70F921E1" w:rsidR="00ED2294" w:rsidRPr="00F66162" w:rsidRDefault="00ED2294" w:rsidP="00C6591F">
      <w:pPr>
        <w:ind w:left="850"/>
        <w:rPr>
          <w:noProof/>
          <w:szCs w:val="24"/>
        </w:rPr>
      </w:pPr>
      <w:r w:rsidRPr="00F66162">
        <w:rPr>
          <w:noProof/>
        </w:rPr>
        <w:t>Próg określony</w:t>
      </w:r>
      <w:r w:rsidR="00825614" w:rsidRPr="00F66162">
        <w:rPr>
          <w:noProof/>
        </w:rPr>
        <w:t xml:space="preserve"> w</w:t>
      </w:r>
      <w:r w:rsidR="00825614">
        <w:rPr>
          <w:noProof/>
        </w:rPr>
        <w:t> </w:t>
      </w:r>
      <w:r w:rsidR="00825614" w:rsidRPr="00F66162">
        <w:rPr>
          <w:noProof/>
        </w:rPr>
        <w:t>zał</w:t>
      </w:r>
      <w:r w:rsidRPr="00F66162">
        <w:rPr>
          <w:noProof/>
        </w:rPr>
        <w:t xml:space="preserve">ączniku VII </w:t>
      </w:r>
      <w:r w:rsidRPr="00825614">
        <w:rPr>
          <w:noProof/>
        </w:rPr>
        <w:t>pkt</w:t>
      </w:r>
      <w:r w:rsidR="00825614" w:rsidRPr="00825614">
        <w:rPr>
          <w:noProof/>
        </w:rPr>
        <w:t> </w:t>
      </w:r>
      <w:r w:rsidRPr="00825614">
        <w:rPr>
          <w:noProof/>
        </w:rPr>
        <w:t>1</w:t>
      </w:r>
      <w:r w:rsidRPr="00F66162">
        <w:rPr>
          <w:noProof/>
        </w:rPr>
        <w:t xml:space="preserve"> zapewnia, aby co najmniej 99 % emisji wbudowanych związanych</w:t>
      </w:r>
      <w:r w:rsidR="00825614" w:rsidRPr="00F66162">
        <w:rPr>
          <w:noProof/>
        </w:rPr>
        <w:t xml:space="preserve"> z</w:t>
      </w:r>
      <w:r w:rsidR="00825614">
        <w:rPr>
          <w:noProof/>
        </w:rPr>
        <w:t> </w:t>
      </w:r>
      <w:r w:rsidR="00825614" w:rsidRPr="00F66162">
        <w:rPr>
          <w:noProof/>
        </w:rPr>
        <w:t>tow</w:t>
      </w:r>
      <w:r w:rsidRPr="00F66162">
        <w:rPr>
          <w:noProof/>
        </w:rPr>
        <w:t>arami</w:t>
      </w:r>
      <w:r w:rsidR="00825614" w:rsidRPr="00F66162">
        <w:rPr>
          <w:noProof/>
        </w:rPr>
        <w:t xml:space="preserve"> i</w:t>
      </w:r>
      <w:r w:rsidR="00825614">
        <w:rPr>
          <w:noProof/>
        </w:rPr>
        <w:t> </w:t>
      </w:r>
      <w:r w:rsidR="00825614" w:rsidRPr="00F66162">
        <w:rPr>
          <w:noProof/>
        </w:rPr>
        <w:t>pro</w:t>
      </w:r>
      <w:r w:rsidRPr="00F66162">
        <w:rPr>
          <w:noProof/>
        </w:rPr>
        <w:t>duktami przetworzonymi przywożonymi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 </w:t>
      </w:r>
      <w:r w:rsidRPr="00825614">
        <w:rPr>
          <w:noProof/>
        </w:rPr>
        <w:t>ust.</w:t>
      </w:r>
      <w:r w:rsidR="00825614" w:rsidRPr="00825614">
        <w:rPr>
          <w:noProof/>
        </w:rPr>
        <w:t> </w:t>
      </w:r>
      <w:r w:rsidRPr="00825614">
        <w:rPr>
          <w:noProof/>
        </w:rPr>
        <w:t>1</w:t>
      </w:r>
      <w:r w:rsidR="00825614" w:rsidRPr="00F66162">
        <w:rPr>
          <w:noProof/>
        </w:rPr>
        <w:t xml:space="preserve"> i</w:t>
      </w:r>
      <w:r w:rsidR="00825614">
        <w:rPr>
          <w:noProof/>
        </w:rPr>
        <w:t> </w:t>
      </w:r>
      <w:r w:rsidR="00825614" w:rsidRPr="00F66162">
        <w:rPr>
          <w:noProof/>
        </w:rPr>
        <w:t>2</w:t>
      </w:r>
      <w:r w:rsidRPr="00F66162">
        <w:rPr>
          <w:noProof/>
        </w:rPr>
        <w:t xml:space="preserve"> nie było objętych odstępstwem,</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F66162">
        <w:rPr>
          <w:noProof/>
        </w:rPr>
        <w:t>aka</w:t>
      </w:r>
      <w:r w:rsidRPr="00F66162">
        <w:rPr>
          <w:noProof/>
        </w:rPr>
        <w:t>picie pierwszym.</w:t>
      </w:r>
    </w:p>
    <w:p w14:paraId="5C5C7A08" w14:textId="754414C7" w:rsidR="00741D62" w:rsidRPr="00F66162" w:rsidRDefault="00C6591F" w:rsidP="00C6591F">
      <w:pPr>
        <w:ind w:left="850"/>
        <w:rPr>
          <w:noProof/>
        </w:rPr>
      </w:pPr>
      <w:r w:rsidRPr="00F66162">
        <w:rPr>
          <w:noProof/>
        </w:rPr>
        <w:t>Komisja jest uprawniona do przyjmowania aktów delegowanych</w:t>
      </w:r>
      <w:r w:rsidR="00825614" w:rsidRPr="00F66162">
        <w:rPr>
          <w:noProof/>
        </w:rPr>
        <w:t xml:space="preserve"> w</w:t>
      </w:r>
      <w:r w:rsidR="00825614">
        <w:rPr>
          <w:noProof/>
        </w:rPr>
        <w:t> </w:t>
      </w:r>
      <w:r w:rsidR="00825614" w:rsidRPr="00F66162">
        <w:rPr>
          <w:noProof/>
        </w:rPr>
        <w:t>cel</w:t>
      </w:r>
      <w:r w:rsidRPr="00F66162">
        <w:rPr>
          <w:noProof/>
        </w:rPr>
        <w:t>u zmiany progu określonego</w:t>
      </w:r>
      <w:r w:rsidR="00825614" w:rsidRPr="00F66162">
        <w:rPr>
          <w:noProof/>
        </w:rPr>
        <w:t xml:space="preserve"> w</w:t>
      </w:r>
      <w:r w:rsidR="00825614">
        <w:rPr>
          <w:noProof/>
        </w:rPr>
        <w:t> </w:t>
      </w:r>
      <w:r w:rsidR="00825614" w:rsidRPr="00F66162">
        <w:rPr>
          <w:noProof/>
        </w:rPr>
        <w:t>zał</w:t>
      </w:r>
      <w:r w:rsidRPr="00F66162">
        <w:rPr>
          <w:noProof/>
        </w:rPr>
        <w:t>ączniku VII, aby odzwierciedlał on istotne zmiany średniej intensywności emisji związanych</w:t>
      </w:r>
      <w:r w:rsidR="00825614" w:rsidRPr="00F66162">
        <w:rPr>
          <w:noProof/>
        </w:rPr>
        <w:t xml:space="preserve"> z</w:t>
      </w:r>
      <w:r w:rsidR="00825614">
        <w:rPr>
          <w:noProof/>
        </w:rPr>
        <w:t> </w:t>
      </w:r>
      <w:r w:rsidR="00825614" w:rsidRPr="00F66162">
        <w:rPr>
          <w:noProof/>
        </w:rPr>
        <w:t>tow</w:t>
      </w:r>
      <w:r w:rsidRPr="00F66162">
        <w:rPr>
          <w:noProof/>
        </w:rPr>
        <w:t>arami, wykorzystywanej do obliczenia progu określonego</w:t>
      </w:r>
      <w:r w:rsidR="00825614" w:rsidRPr="00F66162">
        <w:rPr>
          <w:noProof/>
        </w:rPr>
        <w:t xml:space="preserve"> w</w:t>
      </w:r>
      <w:r w:rsidR="00825614">
        <w:rPr>
          <w:noProof/>
        </w:rPr>
        <w:t> </w:t>
      </w:r>
      <w:r w:rsidR="00825614" w:rsidRPr="00F66162">
        <w:rPr>
          <w:noProof/>
        </w:rPr>
        <w:t>zał</w:t>
      </w:r>
      <w:r w:rsidRPr="00F66162">
        <w:rPr>
          <w:noProof/>
        </w:rPr>
        <w:t xml:space="preserve">ączniku VII </w:t>
      </w:r>
      <w:r w:rsidRPr="00825614">
        <w:rPr>
          <w:noProof/>
        </w:rPr>
        <w:t>pkt</w:t>
      </w:r>
      <w:r w:rsidR="00825614" w:rsidRPr="00825614">
        <w:rPr>
          <w:noProof/>
        </w:rPr>
        <w:t> </w:t>
      </w:r>
      <w:r w:rsidRPr="00825614">
        <w:rPr>
          <w:noProof/>
        </w:rPr>
        <w:t>1</w:t>
      </w:r>
      <w:r w:rsidRPr="00F66162">
        <w:rPr>
          <w:noProof/>
        </w:rPr>
        <w:t>, lub istotne zmiany struktury handlu towarami,</w:t>
      </w:r>
      <w:r w:rsidR="00825614" w:rsidRPr="00F66162">
        <w:rPr>
          <w:noProof/>
        </w:rPr>
        <w:t xml:space="preserve"> w</w:t>
      </w:r>
      <w:r w:rsidR="00825614">
        <w:rPr>
          <w:noProof/>
        </w:rPr>
        <w:t> </w:t>
      </w:r>
      <w:r w:rsidR="00825614" w:rsidRPr="00F66162">
        <w:rPr>
          <w:noProof/>
        </w:rPr>
        <w:t>tym</w:t>
      </w:r>
      <w:r w:rsidRPr="00F66162">
        <w:rPr>
          <w:noProof/>
        </w:rPr>
        <w:t xml:space="preserve"> praktyki obchodzenia tego progu,</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7 </w:t>
      </w:r>
      <w:r w:rsidRPr="00825614">
        <w:rPr>
          <w:noProof/>
        </w:rPr>
        <w:t>ust.</w:t>
      </w:r>
      <w:r w:rsidR="00825614" w:rsidRPr="00825614">
        <w:rPr>
          <w:noProof/>
        </w:rPr>
        <w:t> </w:t>
      </w:r>
      <w:r w:rsidRPr="00825614">
        <w:rPr>
          <w:noProof/>
        </w:rPr>
        <w:t>2</w:t>
      </w:r>
      <w:r w:rsidRPr="00F66162">
        <w:rPr>
          <w:noProof/>
        </w:rPr>
        <w:t xml:space="preserve"> </w:t>
      </w:r>
      <w:r w:rsidRPr="00825614">
        <w:rPr>
          <w:noProof/>
        </w:rPr>
        <w:t>lit.</w:t>
      </w:r>
      <w:r w:rsidR="00825614" w:rsidRPr="00825614">
        <w:rPr>
          <w:noProof/>
        </w:rPr>
        <w:t> </w:t>
      </w:r>
      <w:r w:rsidRPr="00825614">
        <w:rPr>
          <w:noProof/>
        </w:rPr>
        <w:t>b)</w:t>
      </w:r>
      <w:r w:rsidRPr="00F66162">
        <w:rPr>
          <w:noProof/>
        </w:rPr>
        <w:t xml:space="preserve">.”; </w:t>
      </w:r>
    </w:p>
    <w:p w14:paraId="62C26E8E" w14:textId="00ABF059" w:rsidR="00741D62" w:rsidRPr="00F66162" w:rsidRDefault="0074784E" w:rsidP="0074784E">
      <w:pPr>
        <w:pStyle w:val="Point0"/>
        <w:rPr>
          <w:noProof/>
        </w:rPr>
      </w:pPr>
      <w:r w:rsidRPr="00F66162">
        <w:rPr>
          <w:noProof/>
        </w:rPr>
        <w:t>2.</w:t>
      </w:r>
      <w:r w:rsidRPr="00F66162">
        <w:rPr>
          <w:noProof/>
        </w:rPr>
        <w:tab/>
        <w:t xml:space="preserve">w </w:t>
      </w:r>
      <w:r w:rsidRPr="00825614">
        <w:rPr>
          <w:noProof/>
        </w:rPr>
        <w:t>art.</w:t>
      </w:r>
      <w:r w:rsidR="00825614" w:rsidRPr="00825614">
        <w:rPr>
          <w:noProof/>
        </w:rPr>
        <w:t> </w:t>
      </w:r>
      <w:r w:rsidRPr="00825614">
        <w:rPr>
          <w:noProof/>
        </w:rPr>
        <w:t>3</w:t>
      </w:r>
      <w:r w:rsidRPr="00F66162">
        <w:rPr>
          <w:noProof/>
        </w:rPr>
        <w:t xml:space="preserve"> wprowadza się następujące zmiany:</w:t>
      </w:r>
    </w:p>
    <w:p w14:paraId="58181BC5" w14:textId="59EFAE4E" w:rsidR="00DB79BE" w:rsidRPr="00F66162" w:rsidRDefault="0074784E" w:rsidP="0074784E">
      <w:pPr>
        <w:pStyle w:val="Point1"/>
        <w:rPr>
          <w:noProof/>
        </w:rPr>
      </w:pPr>
      <w:r w:rsidRPr="00F66162">
        <w:rPr>
          <w:noProof/>
        </w:rPr>
        <w:t>a)</w:t>
      </w:r>
      <w:r w:rsidRPr="00F66162">
        <w:rPr>
          <w:noProof/>
        </w:rPr>
        <w:tab/>
      </w:r>
      <w:r w:rsidRPr="00825614">
        <w:rPr>
          <w:noProof/>
        </w:rPr>
        <w:t>pkt</w:t>
      </w:r>
      <w:r w:rsidR="00825614" w:rsidRPr="00825614">
        <w:rPr>
          <w:noProof/>
        </w:rPr>
        <w:t> </w:t>
      </w:r>
      <w:r w:rsidRPr="00825614">
        <w:rPr>
          <w:noProof/>
        </w:rPr>
        <w:t>1</w:t>
      </w:r>
      <w:r w:rsidRPr="00F66162">
        <w:rPr>
          <w:noProof/>
        </w:rPr>
        <w:t xml:space="preserve">5 otrzymuje brzmienie: </w:t>
      </w:r>
    </w:p>
    <w:p w14:paraId="2FEE3AC5" w14:textId="38722E86" w:rsidR="00425206" w:rsidRPr="00F66162" w:rsidRDefault="00636BCB" w:rsidP="00636BCB">
      <w:pPr>
        <w:ind w:left="850"/>
        <w:rPr>
          <w:noProof/>
        </w:rPr>
      </w:pPr>
      <w:r w:rsidRPr="00F66162">
        <w:rPr>
          <w:noProof/>
        </w:rPr>
        <w:t>„15) »importer« oznacza osobę składającą zgłoszenie celne</w:t>
      </w:r>
      <w:r w:rsidR="00825614" w:rsidRPr="00F66162">
        <w:rPr>
          <w:noProof/>
        </w:rPr>
        <w:t xml:space="preserve"> o</w:t>
      </w:r>
      <w:r w:rsidR="00825614">
        <w:rPr>
          <w:noProof/>
        </w:rPr>
        <w:t> </w:t>
      </w:r>
      <w:r w:rsidR="00825614" w:rsidRPr="00F66162">
        <w:rPr>
          <w:noProof/>
        </w:rPr>
        <w:t>dop</w:t>
      </w:r>
      <w:r w:rsidRPr="00F66162">
        <w:rPr>
          <w:noProof/>
        </w:rPr>
        <w:t>uszczenie towarów do obrotu lub rozliczenie zamknięcia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 xml:space="preserve">75 </w:t>
      </w:r>
      <w:r w:rsidRPr="00825614">
        <w:rPr>
          <w:noProof/>
        </w:rPr>
        <w:t>ust.</w:t>
      </w:r>
      <w:r w:rsidR="00825614" w:rsidRPr="00825614">
        <w:rPr>
          <w:noProof/>
        </w:rPr>
        <w:t> </w:t>
      </w:r>
      <w:r w:rsidRPr="00825614">
        <w:rPr>
          <w:noProof/>
        </w:rPr>
        <w:t>5</w:t>
      </w:r>
      <w:r w:rsidRPr="00F66162">
        <w:rPr>
          <w:noProof/>
        </w:rPr>
        <w:t xml:space="preserve"> rozporządzenia delegowanego (UE) 2015/2446 we własnym imieniu albo –</w:t>
      </w:r>
      <w:r w:rsidR="00825614" w:rsidRPr="00F66162">
        <w:rPr>
          <w:noProof/>
        </w:rPr>
        <w:t xml:space="preserve"> w</w:t>
      </w:r>
      <w:r w:rsidR="00825614">
        <w:rPr>
          <w:noProof/>
        </w:rPr>
        <w:t> </w:t>
      </w:r>
      <w:r w:rsidR="00825614" w:rsidRPr="00F66162">
        <w:rPr>
          <w:noProof/>
        </w:rPr>
        <w:t>prz</w:t>
      </w:r>
      <w:r w:rsidRPr="00F66162">
        <w:rPr>
          <w:noProof/>
        </w:rPr>
        <w:t>ypadku gdy zgłoszenie celne składa pośredni przedstawiciel celny zgodnie</w:t>
      </w:r>
      <w:r w:rsidR="00825614" w:rsidRPr="00F66162">
        <w:rPr>
          <w:noProof/>
        </w:rPr>
        <w:t xml:space="preserve"> z</w:t>
      </w:r>
      <w:r w:rsidR="00825614">
        <w:rPr>
          <w:noProof/>
        </w:rPr>
        <w:t> </w:t>
      </w:r>
      <w:r w:rsidR="00825614" w:rsidRPr="00F66162">
        <w:rPr>
          <w:noProof/>
        </w:rPr>
        <w:t>art</w:t>
      </w:r>
      <w:r w:rsidRPr="00F66162">
        <w:rPr>
          <w:noProof/>
        </w:rPr>
        <w:t>. 18 rozporządzenia (UE) nr 952/2013 – osobę,</w:t>
      </w:r>
      <w:r w:rsidR="00825614" w:rsidRPr="00F66162">
        <w:rPr>
          <w:noProof/>
        </w:rPr>
        <w:t xml:space="preserve"> w</w:t>
      </w:r>
      <w:r w:rsidR="00825614">
        <w:rPr>
          <w:noProof/>
        </w:rPr>
        <w:t> </w:t>
      </w:r>
      <w:r w:rsidR="00825614" w:rsidRPr="00F66162">
        <w:rPr>
          <w:noProof/>
        </w:rPr>
        <w:t>któ</w:t>
      </w:r>
      <w:r w:rsidRPr="00F66162">
        <w:rPr>
          <w:noProof/>
        </w:rPr>
        <w:t xml:space="preserve">rej imieniu takie zgłoszenie jest składane;”; </w:t>
      </w:r>
    </w:p>
    <w:p w14:paraId="6151681D" w14:textId="4407E0FD" w:rsidR="00425A09" w:rsidRPr="00F66162" w:rsidRDefault="0074784E" w:rsidP="0074784E">
      <w:pPr>
        <w:pStyle w:val="Point1"/>
        <w:rPr>
          <w:noProof/>
        </w:rPr>
      </w:pPr>
      <w:r w:rsidRPr="00F66162">
        <w:rPr>
          <w:noProof/>
        </w:rPr>
        <w:t>b)</w:t>
      </w:r>
      <w:r w:rsidRPr="00F66162">
        <w:rPr>
          <w:noProof/>
        </w:rPr>
        <w:tab/>
      </w:r>
      <w:r w:rsidRPr="00825614">
        <w:rPr>
          <w:noProof/>
        </w:rPr>
        <w:t>pkt</w:t>
      </w:r>
      <w:r w:rsidR="00825614" w:rsidRPr="00825614">
        <w:rPr>
          <w:noProof/>
        </w:rPr>
        <w:t> </w:t>
      </w:r>
      <w:r w:rsidRPr="00825614">
        <w:rPr>
          <w:noProof/>
        </w:rPr>
        <w:t>3</w:t>
      </w:r>
      <w:r w:rsidRPr="00F66162">
        <w:rPr>
          <w:noProof/>
        </w:rPr>
        <w:t xml:space="preserve">1 otrzymuje brzmienie: </w:t>
      </w:r>
    </w:p>
    <w:p w14:paraId="0B14047E" w14:textId="73E7E186" w:rsidR="00DF5FB5" w:rsidRPr="00F66162" w:rsidRDefault="00600BA4" w:rsidP="00600BA4">
      <w:pPr>
        <w:ind w:left="850"/>
        <w:rPr>
          <w:noProof/>
        </w:rPr>
      </w:pPr>
      <w:r w:rsidRPr="00F66162">
        <w:rPr>
          <w:noProof/>
        </w:rPr>
        <w:t>„31) »operator« oznacza osobę, która eksploatuje lub kontroluje instalację</w:t>
      </w:r>
      <w:r w:rsidR="00825614" w:rsidRPr="00F66162">
        <w:rPr>
          <w:noProof/>
        </w:rPr>
        <w:t xml:space="preserve"> w</w:t>
      </w:r>
      <w:r w:rsidR="00825614">
        <w:rPr>
          <w:noProof/>
        </w:rPr>
        <w:t> </w:t>
      </w:r>
      <w:r w:rsidR="00825614" w:rsidRPr="00F66162">
        <w:rPr>
          <w:noProof/>
        </w:rPr>
        <w:t>pań</w:t>
      </w:r>
      <w:r w:rsidRPr="00F66162">
        <w:rPr>
          <w:noProof/>
        </w:rPr>
        <w:t>stwie trzecim,</w:t>
      </w:r>
      <w:r w:rsidR="00825614" w:rsidRPr="00F66162">
        <w:rPr>
          <w:noProof/>
        </w:rPr>
        <w:t xml:space="preserve"> w</w:t>
      </w:r>
      <w:r w:rsidR="00825614">
        <w:rPr>
          <w:noProof/>
        </w:rPr>
        <w:t> </w:t>
      </w:r>
      <w:r w:rsidR="00825614" w:rsidRPr="00F66162">
        <w:rPr>
          <w:noProof/>
        </w:rPr>
        <w:t>tym</w:t>
      </w:r>
      <w:r w:rsidRPr="00F66162">
        <w:rPr>
          <w:noProof/>
        </w:rPr>
        <w:t xml:space="preserve"> spółkę dominującą kontrolującą instalację</w:t>
      </w:r>
      <w:r w:rsidR="00825614" w:rsidRPr="00F66162">
        <w:rPr>
          <w:noProof/>
        </w:rPr>
        <w:t xml:space="preserve"> w</w:t>
      </w:r>
      <w:r w:rsidR="00825614">
        <w:rPr>
          <w:noProof/>
        </w:rPr>
        <w:t> </w:t>
      </w:r>
      <w:r w:rsidR="00825614" w:rsidRPr="00F66162">
        <w:rPr>
          <w:noProof/>
        </w:rPr>
        <w:t>pań</w:t>
      </w:r>
      <w:r w:rsidRPr="00F66162">
        <w:rPr>
          <w:noProof/>
        </w:rPr>
        <w:t>stwie trzecim;”;</w:t>
      </w:r>
    </w:p>
    <w:p w14:paraId="19FD1517" w14:textId="62A4F131" w:rsidR="0094704A" w:rsidRPr="00F66162" w:rsidRDefault="0074784E" w:rsidP="0074784E">
      <w:pPr>
        <w:pStyle w:val="Point0"/>
        <w:rPr>
          <w:noProof/>
        </w:rPr>
      </w:pPr>
      <w:r w:rsidRPr="00F66162">
        <w:rPr>
          <w:noProof/>
        </w:rPr>
        <w:t>3.</w:t>
      </w:r>
      <w:r w:rsidRPr="00F66162">
        <w:rPr>
          <w:noProof/>
        </w:rPr>
        <w:tab/>
        <w:t xml:space="preserve">w </w:t>
      </w:r>
      <w:r w:rsidRPr="00825614">
        <w:rPr>
          <w:noProof/>
        </w:rPr>
        <w:t>art.</w:t>
      </w:r>
      <w:r w:rsidR="00825614" w:rsidRPr="00825614">
        <w:rPr>
          <w:noProof/>
        </w:rPr>
        <w:t> </w:t>
      </w:r>
      <w:r w:rsidRPr="00825614">
        <w:rPr>
          <w:noProof/>
        </w:rPr>
        <w:t>5</w:t>
      </w:r>
      <w:r w:rsidRPr="00F66162">
        <w:rPr>
          <w:noProof/>
        </w:rPr>
        <w:t xml:space="preserve"> wprowadza się następujące zmiany: </w:t>
      </w:r>
    </w:p>
    <w:p w14:paraId="1D1ED97E" w14:textId="7D45BC2C" w:rsidR="00277CB6" w:rsidRPr="00F66162" w:rsidRDefault="0074784E" w:rsidP="0074784E">
      <w:pPr>
        <w:pStyle w:val="Point1"/>
        <w:rPr>
          <w:noProof/>
        </w:rPr>
      </w:pPr>
      <w:r w:rsidRPr="00F66162">
        <w:rPr>
          <w:noProof/>
        </w:rPr>
        <w:t>a)</w:t>
      </w:r>
      <w:r w:rsidRPr="00F66162">
        <w:rPr>
          <w:noProof/>
        </w:rPr>
        <w:tab/>
      </w:r>
      <w:r w:rsidRPr="00825614">
        <w:rPr>
          <w:noProof/>
        </w:rPr>
        <w:t>ust.</w:t>
      </w:r>
      <w:r w:rsidR="00825614" w:rsidRPr="00825614">
        <w:rPr>
          <w:noProof/>
        </w:rPr>
        <w:t> </w:t>
      </w:r>
      <w:r w:rsidRPr="00825614">
        <w:rPr>
          <w:noProof/>
        </w:rPr>
        <w:t>1</w:t>
      </w:r>
      <w:r w:rsidRPr="00F66162">
        <w:rPr>
          <w:noProof/>
        </w:rPr>
        <w:t xml:space="preserve"> otrzymuje brzmienie: </w:t>
      </w:r>
    </w:p>
    <w:p w14:paraId="438A6AD9" w14:textId="029BB996" w:rsidR="00454D71" w:rsidRPr="00F66162" w:rsidRDefault="00454D71" w:rsidP="00454D71">
      <w:pPr>
        <w:ind w:left="850"/>
        <w:rPr>
          <w:i/>
          <w:noProof/>
        </w:rPr>
      </w:pPr>
      <w:r w:rsidRPr="00F66162">
        <w:rPr>
          <w:noProof/>
        </w:rPr>
        <w:t>„1. Importer mający siedzibę</w:t>
      </w:r>
      <w:r w:rsidR="00825614" w:rsidRPr="00F66162">
        <w:rPr>
          <w:noProof/>
        </w:rPr>
        <w:t xml:space="preserve"> w</w:t>
      </w:r>
      <w:r w:rsidR="00825614">
        <w:rPr>
          <w:noProof/>
        </w:rPr>
        <w:t> </w:t>
      </w:r>
      <w:r w:rsidR="00825614" w:rsidRPr="00F66162">
        <w:rPr>
          <w:noProof/>
        </w:rPr>
        <w:t>pań</w:t>
      </w:r>
      <w:r w:rsidRPr="00F66162">
        <w:rPr>
          <w:noProof/>
        </w:rPr>
        <w:t>stwie członkowskim, przed przywozem towarów na obszar celny Unii, składa wniosek</w:t>
      </w:r>
      <w:r w:rsidR="00825614" w:rsidRPr="00F66162">
        <w:rPr>
          <w:noProof/>
        </w:rPr>
        <w:t xml:space="preserve"> o</w:t>
      </w:r>
      <w:r w:rsidR="00825614">
        <w:rPr>
          <w:noProof/>
        </w:rPr>
        <w:t> </w:t>
      </w:r>
      <w:r w:rsidR="00825614" w:rsidRPr="00F66162">
        <w:rPr>
          <w:noProof/>
        </w:rPr>
        <w:t>prz</w:t>
      </w:r>
      <w:r w:rsidRPr="00F66162">
        <w:rPr>
          <w:noProof/>
        </w:rPr>
        <w:t>yznanie statusu upoważnionego zgłaszającego CBAM (zwany dalej »wnioskiem</w:t>
      </w:r>
      <w:r w:rsidR="00825614" w:rsidRPr="00F66162">
        <w:rPr>
          <w:noProof/>
        </w:rPr>
        <w:t xml:space="preserve"> o</w:t>
      </w:r>
      <w:r w:rsidR="00825614">
        <w:rPr>
          <w:noProof/>
        </w:rPr>
        <w:t> </w:t>
      </w:r>
      <w:r w:rsidR="00825614" w:rsidRPr="00F66162">
        <w:rPr>
          <w:noProof/>
        </w:rPr>
        <w:t>udz</w:t>
      </w:r>
      <w:r w:rsidRPr="00F66162">
        <w:rPr>
          <w:noProof/>
        </w:rPr>
        <w:t xml:space="preserve">ielenie upoważnienia«). </w:t>
      </w:r>
    </w:p>
    <w:p w14:paraId="3031E9E3" w14:textId="29436BDF" w:rsidR="00DF5FB5" w:rsidRPr="00F66162" w:rsidRDefault="00454D71" w:rsidP="00454D71">
      <w:pPr>
        <w:ind w:left="850"/>
        <w:rPr>
          <w:noProof/>
        </w:rPr>
      </w:pPr>
      <w:r w:rsidRPr="00F66162">
        <w:rPr>
          <w:noProof/>
        </w:rPr>
        <w:t>Wniosek</w:t>
      </w:r>
      <w:r w:rsidR="00825614" w:rsidRPr="00F66162">
        <w:rPr>
          <w:noProof/>
        </w:rPr>
        <w:t xml:space="preserve"> o</w:t>
      </w:r>
      <w:r w:rsidR="00825614">
        <w:rPr>
          <w:noProof/>
        </w:rPr>
        <w:t> </w:t>
      </w:r>
      <w:r w:rsidR="00825614" w:rsidRPr="00F66162">
        <w:rPr>
          <w:noProof/>
        </w:rPr>
        <w:t>udz</w:t>
      </w:r>
      <w:r w:rsidRPr="00F66162">
        <w:rPr>
          <w:noProof/>
        </w:rPr>
        <w:t>ielenie upoważnienia składa pośredni przedstawiciel celny, jeżeli taki pośredni przedstawiciel celny został wyznaczony przez importera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 xml:space="preserve">8 rozporządzenia (UE) </w:t>
      </w:r>
      <w:r w:rsidRPr="00825614">
        <w:rPr>
          <w:noProof/>
        </w:rPr>
        <w:t>nr</w:t>
      </w:r>
      <w:r w:rsidR="00825614" w:rsidRPr="00825614">
        <w:rPr>
          <w:noProof/>
        </w:rPr>
        <w:t> </w:t>
      </w:r>
      <w:r w:rsidRPr="00825614">
        <w:rPr>
          <w:noProof/>
        </w:rPr>
        <w:t>9</w:t>
      </w:r>
      <w:r w:rsidRPr="00F66162">
        <w:rPr>
          <w:noProof/>
        </w:rPr>
        <w:t>52/2013</w:t>
      </w:r>
      <w:r w:rsidR="00825614" w:rsidRPr="00F66162">
        <w:rPr>
          <w:noProof/>
        </w:rPr>
        <w:t xml:space="preserve"> i</w:t>
      </w:r>
      <w:r w:rsidR="00825614">
        <w:rPr>
          <w:noProof/>
        </w:rPr>
        <w:t> </w:t>
      </w:r>
      <w:r w:rsidR="00825614" w:rsidRPr="00F66162">
        <w:rPr>
          <w:noProof/>
        </w:rPr>
        <w:t>jeż</w:t>
      </w:r>
      <w:r w:rsidRPr="00F66162">
        <w:rPr>
          <w:noProof/>
        </w:rPr>
        <w:t>eli wyraził on zgodę na działanie</w:t>
      </w:r>
      <w:r w:rsidR="00825614" w:rsidRPr="00F66162">
        <w:rPr>
          <w:noProof/>
        </w:rPr>
        <w:t xml:space="preserve"> w</w:t>
      </w:r>
      <w:r w:rsidR="00825614">
        <w:rPr>
          <w:noProof/>
        </w:rPr>
        <w:t> </w:t>
      </w:r>
      <w:r w:rsidR="00825614" w:rsidRPr="00F66162">
        <w:rPr>
          <w:noProof/>
        </w:rPr>
        <w:t>cha</w:t>
      </w:r>
      <w:r w:rsidRPr="00F66162">
        <w:rPr>
          <w:noProof/>
        </w:rPr>
        <w:t>rakterze upoważnionego zgłaszającego CBAM, także</w:t>
      </w:r>
      <w:r w:rsidR="00825614" w:rsidRPr="00F66162">
        <w:rPr>
          <w:noProof/>
        </w:rPr>
        <w:t xml:space="preserve"> w</w:t>
      </w:r>
      <w:r w:rsidR="00825614">
        <w:rPr>
          <w:noProof/>
        </w:rPr>
        <w:t> </w:t>
      </w:r>
      <w:r w:rsidR="00825614" w:rsidRPr="00F66162">
        <w:rPr>
          <w:noProof/>
        </w:rPr>
        <w:t>prz</w:t>
      </w:r>
      <w:r w:rsidRPr="00F66162">
        <w:rPr>
          <w:noProof/>
        </w:rPr>
        <w:t>ypadku gdy dany importer podlega odstępstwu ustanowionemu</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 </w:t>
      </w:r>
      <w:r w:rsidRPr="00825614">
        <w:rPr>
          <w:noProof/>
        </w:rPr>
        <w:t>ust.</w:t>
      </w:r>
      <w:r w:rsidR="00825614" w:rsidRPr="00825614">
        <w:rPr>
          <w:noProof/>
        </w:rPr>
        <w:t> </w:t>
      </w:r>
      <w:r w:rsidRPr="00825614">
        <w:rPr>
          <w:noProof/>
        </w:rPr>
        <w:t>3</w:t>
      </w:r>
      <w:r w:rsidRPr="00F66162">
        <w:rPr>
          <w:noProof/>
        </w:rPr>
        <w:t xml:space="preserve">a.”; </w:t>
      </w:r>
    </w:p>
    <w:p w14:paraId="05E68841" w14:textId="2F38BE65" w:rsidR="00E03382" w:rsidRPr="00F66162" w:rsidRDefault="0074784E" w:rsidP="0074784E">
      <w:pPr>
        <w:pStyle w:val="Point1"/>
        <w:rPr>
          <w:noProof/>
        </w:rPr>
      </w:pPr>
      <w:r w:rsidRPr="00F66162">
        <w:rPr>
          <w:noProof/>
        </w:rPr>
        <w:t>b)</w:t>
      </w:r>
      <w:r w:rsidRPr="00F66162">
        <w:rPr>
          <w:noProof/>
        </w:rPr>
        <w:tab/>
        <w:t>dodaje się ust. 1a</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7805D078" w14:textId="28042EF9" w:rsidR="001F1E2E" w:rsidRPr="00F66162" w:rsidRDefault="001F1E2E" w:rsidP="001F1E2E">
      <w:pPr>
        <w:ind w:left="850"/>
        <w:rPr>
          <w:noProof/>
        </w:rPr>
      </w:pPr>
      <w:r w:rsidRPr="00F66162">
        <w:rPr>
          <w:noProof/>
        </w:rPr>
        <w:t>„1a. Importer składa wniosek</w:t>
      </w:r>
      <w:r w:rsidR="00825614" w:rsidRPr="00F66162">
        <w:rPr>
          <w:noProof/>
        </w:rPr>
        <w:t xml:space="preserve"> o</w:t>
      </w:r>
      <w:r w:rsidR="00825614">
        <w:rPr>
          <w:noProof/>
        </w:rPr>
        <w:t> </w:t>
      </w:r>
      <w:r w:rsidR="00825614" w:rsidRPr="00F66162">
        <w:rPr>
          <w:noProof/>
        </w:rPr>
        <w:t>udz</w:t>
      </w:r>
      <w:r w:rsidRPr="00F66162">
        <w:rPr>
          <w:noProof/>
        </w:rPr>
        <w:t>ielenie upoważnienia zgodnie</w:t>
      </w:r>
      <w:r w:rsidR="00825614" w:rsidRPr="00F66162">
        <w:rPr>
          <w:noProof/>
        </w:rPr>
        <w:t xml:space="preserve"> z</w:t>
      </w:r>
      <w:r w:rsidR="00825614">
        <w:rPr>
          <w:noProof/>
        </w:rPr>
        <w:t> </w:t>
      </w:r>
      <w:r w:rsidR="00825614" w:rsidRPr="00825614">
        <w:rPr>
          <w:noProof/>
        </w:rPr>
        <w:t>ust</w:t>
      </w:r>
      <w:r w:rsidRPr="00825614">
        <w:rPr>
          <w:noProof/>
        </w:rPr>
        <w:t>.</w:t>
      </w:r>
      <w:r w:rsidR="00825614" w:rsidRPr="00825614">
        <w:rPr>
          <w:noProof/>
        </w:rPr>
        <w:t> </w:t>
      </w:r>
      <w:r w:rsidRPr="00825614">
        <w:rPr>
          <w:noProof/>
        </w:rPr>
        <w:t>1</w:t>
      </w:r>
      <w:r w:rsidRPr="00F66162">
        <w:rPr>
          <w:noProof/>
        </w:rPr>
        <w:t>, jeżeli spodziewa się, że przekroczy próg określony</w:t>
      </w:r>
      <w:r w:rsidR="00825614" w:rsidRPr="00F66162">
        <w:rPr>
          <w:noProof/>
        </w:rPr>
        <w:t xml:space="preserve"> w</w:t>
      </w:r>
      <w:r w:rsidR="00825614">
        <w:rPr>
          <w:noProof/>
        </w:rPr>
        <w:t> </w:t>
      </w:r>
      <w:r w:rsidR="00825614" w:rsidRPr="00F66162">
        <w:rPr>
          <w:noProof/>
        </w:rPr>
        <w:t>zał</w:t>
      </w:r>
      <w:r w:rsidRPr="00F66162">
        <w:rPr>
          <w:noProof/>
        </w:rPr>
        <w:t xml:space="preserve">ączniku VII </w:t>
      </w:r>
      <w:r w:rsidRPr="00825614">
        <w:rPr>
          <w:noProof/>
        </w:rPr>
        <w:t>pkt</w:t>
      </w:r>
      <w:r w:rsidR="00825614" w:rsidRPr="00825614">
        <w:rPr>
          <w:noProof/>
        </w:rPr>
        <w:t> </w:t>
      </w:r>
      <w:r w:rsidRPr="00825614">
        <w:rPr>
          <w:noProof/>
        </w:rPr>
        <w:t>1</w:t>
      </w:r>
      <w:r w:rsidRPr="00F66162">
        <w:rPr>
          <w:noProof/>
        </w:rPr>
        <w:t>.”;</w:t>
      </w:r>
    </w:p>
    <w:p w14:paraId="121B87E7" w14:textId="5BA5D400" w:rsidR="002B145C" w:rsidRPr="00F66162" w:rsidRDefault="0074784E" w:rsidP="0074784E">
      <w:pPr>
        <w:pStyle w:val="Point1"/>
        <w:rPr>
          <w:noProof/>
        </w:rPr>
      </w:pPr>
      <w:r w:rsidRPr="00F66162">
        <w:rPr>
          <w:noProof/>
        </w:rPr>
        <w:t>c)</w:t>
      </w:r>
      <w:r w:rsidRPr="00F66162">
        <w:rPr>
          <w:noProof/>
        </w:rPr>
        <w:tab/>
      </w:r>
      <w:r w:rsidRPr="00825614">
        <w:rPr>
          <w:noProof/>
        </w:rPr>
        <w:t>ust.</w:t>
      </w:r>
      <w:r w:rsidR="00825614" w:rsidRPr="00825614">
        <w:rPr>
          <w:noProof/>
        </w:rPr>
        <w:t> </w:t>
      </w:r>
      <w:r w:rsidRPr="00825614">
        <w:rPr>
          <w:noProof/>
        </w:rPr>
        <w:t>2</w:t>
      </w:r>
      <w:r w:rsidRPr="00F66162">
        <w:rPr>
          <w:noProof/>
        </w:rPr>
        <w:t xml:space="preserve"> otrzymuje brzmienie: </w:t>
      </w:r>
    </w:p>
    <w:p w14:paraId="45396995" w14:textId="02B9EB99" w:rsidR="00DF5FB5" w:rsidRPr="00F66162" w:rsidRDefault="00EB7AF4" w:rsidP="00EB7AF4">
      <w:pPr>
        <w:ind w:left="850"/>
        <w:rPr>
          <w:noProof/>
        </w:rPr>
      </w:pPr>
      <w:r w:rsidRPr="00F66162">
        <w:rPr>
          <w:noProof/>
        </w:rPr>
        <w:t>„2. Jeżeli importer nie ma siedziby</w:t>
      </w:r>
      <w:r w:rsidR="00825614" w:rsidRPr="00F66162">
        <w:rPr>
          <w:noProof/>
        </w:rPr>
        <w:t xml:space="preserve"> w</w:t>
      </w:r>
      <w:r w:rsidR="00825614">
        <w:rPr>
          <w:noProof/>
        </w:rPr>
        <w:t> </w:t>
      </w:r>
      <w:r w:rsidR="00825614" w:rsidRPr="00F66162">
        <w:rPr>
          <w:noProof/>
        </w:rPr>
        <w:t>pań</w:t>
      </w:r>
      <w:r w:rsidRPr="00F66162">
        <w:rPr>
          <w:noProof/>
        </w:rPr>
        <w:t>stwie członkowskim, wniosek</w:t>
      </w:r>
      <w:r w:rsidR="00825614" w:rsidRPr="00F66162">
        <w:rPr>
          <w:noProof/>
        </w:rPr>
        <w:t xml:space="preserve"> o</w:t>
      </w:r>
      <w:r w:rsidR="00825614">
        <w:rPr>
          <w:noProof/>
        </w:rPr>
        <w:t> </w:t>
      </w:r>
      <w:r w:rsidR="00825614" w:rsidRPr="00F66162">
        <w:rPr>
          <w:noProof/>
        </w:rPr>
        <w:t>prz</w:t>
      </w:r>
      <w:r w:rsidRPr="00F66162">
        <w:rPr>
          <w:noProof/>
        </w:rPr>
        <w:t>yznanie statusu upoważnionego zgłaszającego CBAM składa pośredni przedstawiciel celny, także</w:t>
      </w:r>
      <w:r w:rsidR="00825614" w:rsidRPr="00F66162">
        <w:rPr>
          <w:noProof/>
        </w:rPr>
        <w:t xml:space="preserve"> w</w:t>
      </w:r>
      <w:r w:rsidR="00825614">
        <w:rPr>
          <w:noProof/>
        </w:rPr>
        <w:t> </w:t>
      </w:r>
      <w:r w:rsidR="00825614" w:rsidRPr="00F66162">
        <w:rPr>
          <w:noProof/>
        </w:rPr>
        <w:t>prz</w:t>
      </w:r>
      <w:r w:rsidRPr="00F66162">
        <w:rPr>
          <w:noProof/>
        </w:rPr>
        <w:t>ypadku gdy dany importer podlega odstępstwu ustanowionemu</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 </w:t>
      </w:r>
      <w:r w:rsidRPr="00825614">
        <w:rPr>
          <w:noProof/>
        </w:rPr>
        <w:t>ust.</w:t>
      </w:r>
      <w:r w:rsidR="00825614" w:rsidRPr="00825614">
        <w:rPr>
          <w:noProof/>
        </w:rPr>
        <w:t> </w:t>
      </w:r>
      <w:r w:rsidRPr="00825614">
        <w:rPr>
          <w:noProof/>
        </w:rPr>
        <w:t>3</w:t>
      </w:r>
      <w:r w:rsidRPr="00F66162">
        <w:rPr>
          <w:noProof/>
        </w:rPr>
        <w:t xml:space="preserve">a.”; </w:t>
      </w:r>
    </w:p>
    <w:p w14:paraId="4694499A" w14:textId="77777777" w:rsidR="000E62BE" w:rsidRPr="00F66162" w:rsidRDefault="0074784E" w:rsidP="0074784E">
      <w:pPr>
        <w:pStyle w:val="Point1"/>
        <w:rPr>
          <w:noProof/>
        </w:rPr>
      </w:pPr>
      <w:r w:rsidRPr="00F66162">
        <w:rPr>
          <w:noProof/>
        </w:rPr>
        <w:t>d)</w:t>
      </w:r>
      <w:r w:rsidRPr="00F66162">
        <w:rPr>
          <w:noProof/>
        </w:rPr>
        <w:tab/>
        <w:t>ust. 5 lit. g) otrzymuje brzmienie:</w:t>
      </w:r>
    </w:p>
    <w:p w14:paraId="41D875EE" w14:textId="237FCD77" w:rsidR="00081E85" w:rsidRPr="00F66162" w:rsidRDefault="00353281" w:rsidP="00353281">
      <w:pPr>
        <w:ind w:left="850"/>
        <w:rPr>
          <w:noProof/>
        </w:rPr>
      </w:pPr>
      <w:r w:rsidRPr="00F66162">
        <w:rPr>
          <w:noProof/>
        </w:rPr>
        <w:lastRenderedPageBreak/>
        <w:t>„g) szacunkową wartość pieniężną, wielkość przywozu towarów na obszar celny Unii</w:t>
      </w:r>
      <w:r w:rsidR="00825614" w:rsidRPr="00F66162">
        <w:rPr>
          <w:noProof/>
        </w:rPr>
        <w:t xml:space="preserve"> w</w:t>
      </w:r>
      <w:r w:rsidR="00825614">
        <w:rPr>
          <w:noProof/>
        </w:rPr>
        <w:t> </w:t>
      </w:r>
      <w:r w:rsidR="00825614" w:rsidRPr="00F66162">
        <w:rPr>
          <w:noProof/>
        </w:rPr>
        <w:t>pod</w:t>
      </w:r>
      <w:r w:rsidRPr="00F66162">
        <w:rPr>
          <w:noProof/>
        </w:rPr>
        <w:t>ziale na rodzaje towarów oraz informacje</w:t>
      </w:r>
      <w:r w:rsidR="00825614" w:rsidRPr="00F66162">
        <w:rPr>
          <w:noProof/>
        </w:rPr>
        <w:t xml:space="preserve"> o</w:t>
      </w:r>
      <w:r w:rsidR="00825614">
        <w:rPr>
          <w:noProof/>
        </w:rPr>
        <w:t> </w:t>
      </w:r>
      <w:r w:rsidR="00825614" w:rsidRPr="00F66162">
        <w:rPr>
          <w:noProof/>
        </w:rPr>
        <w:t>pań</w:t>
      </w:r>
      <w:r w:rsidRPr="00F66162">
        <w:rPr>
          <w:noProof/>
        </w:rPr>
        <w:t>stwach członkowskich przywozu,</w:t>
      </w:r>
      <w:r w:rsidR="00825614" w:rsidRPr="00F66162">
        <w:rPr>
          <w:noProof/>
        </w:rPr>
        <w:t xml:space="preserve"> w</w:t>
      </w:r>
      <w:r w:rsidR="00825614">
        <w:rPr>
          <w:noProof/>
        </w:rPr>
        <w:t> </w:t>
      </w:r>
      <w:r w:rsidR="00825614" w:rsidRPr="00F66162">
        <w:rPr>
          <w:noProof/>
        </w:rPr>
        <w:t>rok</w:t>
      </w:r>
      <w:r w:rsidRPr="00F66162">
        <w:rPr>
          <w:noProof/>
        </w:rPr>
        <w:t>u kalendarzowym,</w:t>
      </w:r>
      <w:r w:rsidR="00825614" w:rsidRPr="00F66162">
        <w:rPr>
          <w:noProof/>
        </w:rPr>
        <w:t xml:space="preserve"> w</w:t>
      </w:r>
      <w:r w:rsidR="00825614">
        <w:rPr>
          <w:noProof/>
        </w:rPr>
        <w:t> </w:t>
      </w:r>
      <w:r w:rsidR="00825614" w:rsidRPr="00F66162">
        <w:rPr>
          <w:noProof/>
        </w:rPr>
        <w:t>któ</w:t>
      </w:r>
      <w:r w:rsidRPr="00F66162">
        <w:rPr>
          <w:noProof/>
        </w:rPr>
        <w:t>rym składany jest wniosek, oraz</w:t>
      </w:r>
      <w:r w:rsidR="00825614" w:rsidRPr="00F66162">
        <w:rPr>
          <w:noProof/>
        </w:rPr>
        <w:t xml:space="preserve"> w</w:t>
      </w:r>
      <w:r w:rsidR="00825614">
        <w:rPr>
          <w:noProof/>
        </w:rPr>
        <w:t> </w:t>
      </w:r>
      <w:r w:rsidR="00825614" w:rsidRPr="00F66162">
        <w:rPr>
          <w:noProof/>
        </w:rPr>
        <w:t>nas</w:t>
      </w:r>
      <w:r w:rsidRPr="00F66162">
        <w:rPr>
          <w:noProof/>
        </w:rPr>
        <w:t>tępnym roku kalendarzowym;”;</w:t>
      </w:r>
    </w:p>
    <w:p w14:paraId="28311543" w14:textId="40DBCF0E" w:rsidR="00786DE9" w:rsidRPr="00F66162" w:rsidRDefault="0074784E" w:rsidP="0074784E">
      <w:pPr>
        <w:pStyle w:val="Point1"/>
        <w:rPr>
          <w:noProof/>
        </w:rPr>
      </w:pPr>
      <w:r w:rsidRPr="00F66162">
        <w:rPr>
          <w:noProof/>
        </w:rPr>
        <w:t>e)</w:t>
      </w:r>
      <w:r w:rsidRPr="00F66162">
        <w:rPr>
          <w:noProof/>
        </w:rPr>
        <w:tab/>
        <w:t>dodaje się ust. 7a</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7E097118" w14:textId="522634FB" w:rsidR="00081E85" w:rsidRPr="00F66162" w:rsidRDefault="00FC5BD5" w:rsidP="00FC5BD5">
      <w:pPr>
        <w:ind w:left="850"/>
        <w:rPr>
          <w:noProof/>
        </w:rPr>
      </w:pPr>
      <w:r w:rsidRPr="00F66162">
        <w:rPr>
          <w:noProof/>
        </w:rPr>
        <w:t>„7a. Upoważniony zgłaszający CBAM może powierzyć składanie deklaracji CBAM,</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6</w:t>
      </w:r>
      <w:r w:rsidRPr="00F66162">
        <w:rPr>
          <w:noProof/>
        </w:rPr>
        <w:t>, osobie działającej</w:t>
      </w:r>
      <w:r w:rsidR="00825614" w:rsidRPr="00F66162">
        <w:rPr>
          <w:noProof/>
        </w:rPr>
        <w:t xml:space="preserve"> w</w:t>
      </w:r>
      <w:r w:rsidR="00825614">
        <w:rPr>
          <w:noProof/>
        </w:rPr>
        <w:t> </w:t>
      </w:r>
      <w:r w:rsidR="00825614" w:rsidRPr="00F66162">
        <w:rPr>
          <w:noProof/>
        </w:rPr>
        <w:t>jeg</w:t>
      </w:r>
      <w:r w:rsidRPr="00F66162">
        <w:rPr>
          <w:noProof/>
        </w:rPr>
        <w:t>o imieniu i na jego rzecz. Upoważniony zgłaszający CBAM pozostaje odpowiedzialny za wykonywanie obowiązków upoważnionego zgłaszającego CBAM określonych</w:t>
      </w:r>
      <w:r w:rsidR="00825614" w:rsidRPr="00F66162">
        <w:rPr>
          <w:noProof/>
        </w:rPr>
        <w:t xml:space="preserve"> w</w:t>
      </w:r>
      <w:r w:rsidR="00825614">
        <w:rPr>
          <w:noProof/>
        </w:rPr>
        <w:t> </w:t>
      </w:r>
      <w:r w:rsidR="00825614" w:rsidRPr="00F66162">
        <w:rPr>
          <w:noProof/>
        </w:rPr>
        <w:t>nin</w:t>
      </w:r>
      <w:r w:rsidRPr="00F66162">
        <w:rPr>
          <w:noProof/>
        </w:rPr>
        <w:t>iejszym rozporządzeniu.”;</w:t>
      </w:r>
    </w:p>
    <w:p w14:paraId="4B44AA0B" w14:textId="34E57141" w:rsidR="00DD6ACA" w:rsidRPr="00F66162" w:rsidRDefault="0074784E" w:rsidP="0074784E">
      <w:pPr>
        <w:pStyle w:val="Point0"/>
        <w:rPr>
          <w:noProof/>
        </w:rPr>
      </w:pPr>
      <w:r w:rsidRPr="00F66162">
        <w:rPr>
          <w:noProof/>
        </w:rPr>
        <w:t>4.</w:t>
      </w:r>
      <w:r w:rsidRPr="00F66162">
        <w:rPr>
          <w:noProof/>
        </w:rPr>
        <w:tab/>
        <w:t xml:space="preserve">w </w:t>
      </w:r>
      <w:r w:rsidRPr="00825614">
        <w:rPr>
          <w:noProof/>
        </w:rPr>
        <w:t>art.</w:t>
      </w:r>
      <w:r w:rsidR="00825614" w:rsidRPr="00825614">
        <w:rPr>
          <w:noProof/>
        </w:rPr>
        <w:t> </w:t>
      </w:r>
      <w:r w:rsidRPr="00825614">
        <w:rPr>
          <w:noProof/>
        </w:rPr>
        <w:t>6</w:t>
      </w:r>
      <w:r w:rsidRPr="00F66162">
        <w:rPr>
          <w:noProof/>
        </w:rPr>
        <w:t xml:space="preserve"> wprowadza się następujące zmiany: </w:t>
      </w:r>
    </w:p>
    <w:p w14:paraId="243C3972" w14:textId="06449F5B" w:rsidR="000869AC" w:rsidRPr="00F66162" w:rsidRDefault="0074784E" w:rsidP="0074784E">
      <w:pPr>
        <w:pStyle w:val="Point1"/>
        <w:rPr>
          <w:noProof/>
        </w:rPr>
      </w:pPr>
      <w:r w:rsidRPr="00F66162">
        <w:rPr>
          <w:noProof/>
        </w:rPr>
        <w:t>a)</w:t>
      </w:r>
      <w:r w:rsidRPr="00F66162">
        <w:rPr>
          <w:noProof/>
        </w:rPr>
        <w:tab/>
      </w:r>
      <w:r w:rsidRPr="00825614">
        <w:rPr>
          <w:noProof/>
        </w:rPr>
        <w:t>ust.</w:t>
      </w:r>
      <w:r w:rsidR="00825614" w:rsidRPr="00825614">
        <w:rPr>
          <w:noProof/>
        </w:rPr>
        <w:t> </w:t>
      </w:r>
      <w:r w:rsidRPr="00825614">
        <w:rPr>
          <w:noProof/>
        </w:rPr>
        <w:t>1</w:t>
      </w:r>
      <w:r w:rsidRPr="00F66162">
        <w:rPr>
          <w:noProof/>
        </w:rPr>
        <w:t xml:space="preserve"> otrzymuje brzmienie: </w:t>
      </w:r>
    </w:p>
    <w:p w14:paraId="35748EE6" w14:textId="288B4948" w:rsidR="0022437F" w:rsidRPr="00F66162" w:rsidRDefault="2C53B788" w:rsidP="00CD359D">
      <w:pPr>
        <w:ind w:left="850"/>
        <w:rPr>
          <w:noProof/>
        </w:rPr>
      </w:pPr>
      <w:r w:rsidRPr="00F66162">
        <w:rPr>
          <w:noProof/>
        </w:rPr>
        <w:t>„1.</w:t>
      </w:r>
      <w:r w:rsidRPr="00F66162">
        <w:rPr>
          <w:noProof/>
        </w:rPr>
        <w:tab/>
        <w:t>Do dnia 31 sierpnia każdego roku, a po raz pierwszy</w:t>
      </w:r>
      <w:r w:rsidR="00825614" w:rsidRPr="00F66162">
        <w:rPr>
          <w:noProof/>
        </w:rPr>
        <w:t xml:space="preserve"> w</w:t>
      </w:r>
      <w:r w:rsidR="00825614">
        <w:rPr>
          <w:noProof/>
        </w:rPr>
        <w:t> </w:t>
      </w:r>
      <w:r w:rsidR="00825614" w:rsidRPr="00F66162">
        <w:rPr>
          <w:noProof/>
        </w:rPr>
        <w:t>rok</w:t>
      </w:r>
      <w:r w:rsidRPr="00F66162">
        <w:rPr>
          <w:noProof/>
        </w:rPr>
        <w:t xml:space="preserve">u 2027 za </w:t>
      </w:r>
      <w:r w:rsidRPr="00825614">
        <w:rPr>
          <w:noProof/>
        </w:rPr>
        <w:t>rok</w:t>
      </w:r>
      <w:r w:rsidR="00825614" w:rsidRPr="00825614">
        <w:rPr>
          <w:noProof/>
        </w:rPr>
        <w:t> </w:t>
      </w:r>
      <w:r w:rsidRPr="00825614">
        <w:rPr>
          <w:noProof/>
        </w:rPr>
        <w:t>2</w:t>
      </w:r>
      <w:r w:rsidRPr="00F66162">
        <w:rPr>
          <w:noProof/>
        </w:rPr>
        <w:t>026, każdy upoważniony zgłaszający CBAM składa za pośrednictwem rejestru CBAM,</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F66162">
        <w:rPr>
          <w:noProof/>
        </w:rPr>
        <w:t>art</w:t>
      </w:r>
      <w:r w:rsidRPr="00F66162">
        <w:rPr>
          <w:noProof/>
        </w:rPr>
        <w:t>. 14, deklarację CBAM za poprzedni rok kalendarzowy.”;</w:t>
      </w:r>
    </w:p>
    <w:p w14:paraId="539AE824" w14:textId="3FDBD36C" w:rsidR="00E41E6A" w:rsidRPr="00F66162" w:rsidRDefault="0074784E" w:rsidP="0074784E">
      <w:pPr>
        <w:pStyle w:val="Point1"/>
        <w:rPr>
          <w:noProof/>
        </w:rPr>
      </w:pPr>
      <w:r w:rsidRPr="00F66162">
        <w:rPr>
          <w:noProof/>
        </w:rPr>
        <w:t>b)</w:t>
      </w:r>
      <w:r w:rsidRPr="00F66162">
        <w:rPr>
          <w:noProof/>
        </w:rPr>
        <w:tab/>
      </w:r>
      <w:r w:rsidRPr="00825614">
        <w:rPr>
          <w:noProof/>
        </w:rPr>
        <w:t>ust.</w:t>
      </w:r>
      <w:r w:rsidR="00825614" w:rsidRPr="00825614">
        <w:rPr>
          <w:noProof/>
        </w:rPr>
        <w:t> </w:t>
      </w:r>
      <w:r w:rsidRPr="00825614">
        <w:rPr>
          <w:noProof/>
        </w:rPr>
        <w:t>2</w:t>
      </w:r>
      <w:r w:rsidRPr="00F66162">
        <w:rPr>
          <w:noProof/>
        </w:rPr>
        <w:t xml:space="preserve"> otrzymuje brzmienie: </w:t>
      </w:r>
    </w:p>
    <w:p w14:paraId="78C89E11" w14:textId="77777777" w:rsidR="00E41E6A" w:rsidRPr="00F66162" w:rsidRDefault="006879CB" w:rsidP="006879CB">
      <w:pPr>
        <w:ind w:left="850"/>
        <w:rPr>
          <w:noProof/>
          <w:szCs w:val="24"/>
        </w:rPr>
      </w:pPr>
      <w:r w:rsidRPr="00F66162">
        <w:rPr>
          <w:noProof/>
        </w:rPr>
        <w:t>2. Deklaracja CBAM zawiera następujące informacje:</w:t>
      </w:r>
    </w:p>
    <w:p w14:paraId="4364EF15" w14:textId="66ED66D7" w:rsidR="001359C2" w:rsidRPr="00F66162" w:rsidRDefault="001359C2" w:rsidP="001359C2">
      <w:pPr>
        <w:ind w:left="850"/>
        <w:rPr>
          <w:noProof/>
        </w:rPr>
      </w:pPr>
      <w:r w:rsidRPr="00F66162">
        <w:rPr>
          <w:noProof/>
        </w:rPr>
        <w:t>a) całkowitą ilość poszczególnych rodzajów towarów przywiezionych</w:t>
      </w:r>
      <w:r w:rsidR="00825614" w:rsidRPr="00F66162">
        <w:rPr>
          <w:noProof/>
        </w:rPr>
        <w:t xml:space="preserve"> w</w:t>
      </w:r>
      <w:r w:rsidR="00825614">
        <w:rPr>
          <w:noProof/>
        </w:rPr>
        <w:t> </w:t>
      </w:r>
      <w:r w:rsidR="00825614" w:rsidRPr="00F66162">
        <w:rPr>
          <w:noProof/>
        </w:rPr>
        <w:t>pop</w:t>
      </w:r>
      <w:r w:rsidRPr="00F66162">
        <w:rPr>
          <w:noProof/>
        </w:rPr>
        <w:t>rzednim roku kalendarzowym, wyrażoną</w:t>
      </w:r>
      <w:r w:rsidR="00825614" w:rsidRPr="00F66162">
        <w:rPr>
          <w:noProof/>
        </w:rPr>
        <w:t xml:space="preserve"> w</w:t>
      </w:r>
      <w:r w:rsidR="00825614">
        <w:rPr>
          <w:noProof/>
        </w:rPr>
        <w:t> </w:t>
      </w:r>
      <w:r w:rsidR="00825614" w:rsidRPr="00F66162">
        <w:rPr>
          <w:noProof/>
        </w:rPr>
        <w:t>meg</w:t>
      </w:r>
      <w:r w:rsidRPr="00F66162">
        <w:rPr>
          <w:noProof/>
        </w:rPr>
        <w:t>awatogodzinach</w:t>
      </w:r>
      <w:r w:rsidR="00825614" w:rsidRPr="00F66162">
        <w:rPr>
          <w:noProof/>
        </w:rPr>
        <w:t xml:space="preserve"> w</w:t>
      </w:r>
      <w:r w:rsidR="00825614">
        <w:rPr>
          <w:noProof/>
        </w:rPr>
        <w:t> </w:t>
      </w:r>
      <w:r w:rsidR="00825614" w:rsidRPr="00F66162">
        <w:rPr>
          <w:noProof/>
        </w:rPr>
        <w:t>prz</w:t>
      </w:r>
      <w:r w:rsidRPr="00F66162">
        <w:rPr>
          <w:noProof/>
        </w:rPr>
        <w:t>ypadku energii elektrycznej</w:t>
      </w:r>
      <w:r w:rsidR="00825614" w:rsidRPr="00F66162">
        <w:rPr>
          <w:noProof/>
        </w:rPr>
        <w:t xml:space="preserve"> i</w:t>
      </w:r>
      <w:r w:rsidR="00825614">
        <w:rPr>
          <w:noProof/>
        </w:rPr>
        <w:t> </w:t>
      </w:r>
      <w:r w:rsidR="00825614" w:rsidRPr="00F66162">
        <w:rPr>
          <w:noProof/>
        </w:rPr>
        <w:t>w</w:t>
      </w:r>
      <w:r w:rsidR="00825614">
        <w:rPr>
          <w:noProof/>
        </w:rPr>
        <w:t> </w:t>
      </w:r>
      <w:r w:rsidR="00825614" w:rsidRPr="00F66162">
        <w:rPr>
          <w:noProof/>
        </w:rPr>
        <w:t>ton</w:t>
      </w:r>
      <w:r w:rsidRPr="00F66162">
        <w:rPr>
          <w:noProof/>
        </w:rPr>
        <w:t>ach</w:t>
      </w:r>
      <w:r w:rsidR="00825614" w:rsidRPr="00F66162">
        <w:rPr>
          <w:noProof/>
        </w:rPr>
        <w:t xml:space="preserve"> w</w:t>
      </w:r>
      <w:r w:rsidR="00825614">
        <w:rPr>
          <w:noProof/>
        </w:rPr>
        <w:t> </w:t>
      </w:r>
      <w:r w:rsidR="00825614" w:rsidRPr="00F66162">
        <w:rPr>
          <w:noProof/>
        </w:rPr>
        <w:t>prz</w:t>
      </w:r>
      <w:r w:rsidRPr="00F66162">
        <w:rPr>
          <w:noProof/>
        </w:rPr>
        <w:t>ypadku innych towarów,</w:t>
      </w:r>
      <w:r w:rsidR="00825614" w:rsidRPr="00F66162">
        <w:rPr>
          <w:noProof/>
        </w:rPr>
        <w:t xml:space="preserve"> w</w:t>
      </w:r>
      <w:r w:rsidR="00825614">
        <w:rPr>
          <w:noProof/>
        </w:rPr>
        <w:t> </w:t>
      </w:r>
      <w:r w:rsidR="00825614" w:rsidRPr="00F66162">
        <w:rPr>
          <w:noProof/>
        </w:rPr>
        <w:t>tym</w:t>
      </w:r>
      <w:r w:rsidRPr="00F66162">
        <w:rPr>
          <w:noProof/>
        </w:rPr>
        <w:t xml:space="preserve"> przywiezionych towarów nieprzekraczających progu określonego</w:t>
      </w:r>
      <w:r w:rsidR="00825614" w:rsidRPr="00F66162">
        <w:rPr>
          <w:noProof/>
        </w:rPr>
        <w:t xml:space="preserve"> w</w:t>
      </w:r>
      <w:r w:rsidR="00825614">
        <w:rPr>
          <w:noProof/>
        </w:rPr>
        <w:t> </w:t>
      </w:r>
      <w:r w:rsidR="00825614" w:rsidRPr="00F66162">
        <w:rPr>
          <w:noProof/>
        </w:rPr>
        <w:t>zał</w:t>
      </w:r>
      <w:r w:rsidRPr="00F66162">
        <w:rPr>
          <w:noProof/>
        </w:rPr>
        <w:t xml:space="preserve">ączniku VII </w:t>
      </w:r>
      <w:r w:rsidRPr="00825614">
        <w:rPr>
          <w:noProof/>
        </w:rPr>
        <w:t>pkt</w:t>
      </w:r>
      <w:r w:rsidR="00825614" w:rsidRPr="00825614">
        <w:rPr>
          <w:noProof/>
        </w:rPr>
        <w:t> </w:t>
      </w:r>
      <w:r w:rsidRPr="00825614">
        <w:rPr>
          <w:noProof/>
        </w:rPr>
        <w:t>1</w:t>
      </w:r>
      <w:r w:rsidRPr="00F66162">
        <w:rPr>
          <w:noProof/>
        </w:rPr>
        <w:t>);</w:t>
      </w:r>
    </w:p>
    <w:p w14:paraId="1234CAAE" w14:textId="58DAA81A" w:rsidR="001359C2" w:rsidRPr="00F66162" w:rsidRDefault="001359C2" w:rsidP="001359C2">
      <w:pPr>
        <w:ind w:left="850"/>
        <w:rPr>
          <w:noProof/>
        </w:rPr>
      </w:pPr>
      <w:r w:rsidRPr="00F66162">
        <w:rPr>
          <w:noProof/>
        </w:rPr>
        <w:t>b) całkowity poziom emisji wbudowanych związanych</w:t>
      </w:r>
      <w:r w:rsidR="00825614" w:rsidRPr="00F66162">
        <w:rPr>
          <w:noProof/>
        </w:rPr>
        <w:t xml:space="preserve"> z</w:t>
      </w:r>
      <w:r w:rsidR="00825614">
        <w:rPr>
          <w:noProof/>
        </w:rPr>
        <w:t> </w:t>
      </w:r>
      <w:r w:rsidR="00825614" w:rsidRPr="00F66162">
        <w:rPr>
          <w:noProof/>
        </w:rPr>
        <w:t>tow</w:t>
      </w:r>
      <w:r w:rsidRPr="00F66162">
        <w:rPr>
          <w:noProof/>
        </w:rPr>
        <w:t>arami,</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lit</w:t>
      </w:r>
      <w:r w:rsidRPr="00F66162">
        <w:rPr>
          <w:noProof/>
        </w:rPr>
        <w:t>. a) niniejszego ustępu, wyrażony</w:t>
      </w:r>
      <w:r w:rsidR="00825614" w:rsidRPr="00F66162">
        <w:rPr>
          <w:noProof/>
        </w:rPr>
        <w:t xml:space="preserve"> w</w:t>
      </w:r>
      <w:r w:rsidR="00825614">
        <w:rPr>
          <w:noProof/>
        </w:rPr>
        <w:t> </w:t>
      </w:r>
      <w:r w:rsidR="00825614" w:rsidRPr="00F66162">
        <w:rPr>
          <w:noProof/>
        </w:rPr>
        <w:t>ton</w:t>
      </w:r>
      <w:r w:rsidRPr="00F66162">
        <w:rPr>
          <w:noProof/>
        </w:rPr>
        <w:t>ach emisji ekwiwalentu dwutlenku węgla na megawatogodzinę energii elektrycznej lub –</w:t>
      </w:r>
      <w:r w:rsidR="00825614" w:rsidRPr="00F66162">
        <w:rPr>
          <w:noProof/>
        </w:rPr>
        <w:t xml:space="preserve"> w</w:t>
      </w:r>
      <w:r w:rsidR="00825614">
        <w:rPr>
          <w:noProof/>
        </w:rPr>
        <w:t> </w:t>
      </w:r>
      <w:r w:rsidR="00825614" w:rsidRPr="00F66162">
        <w:rPr>
          <w:noProof/>
        </w:rPr>
        <w:t>prz</w:t>
      </w:r>
      <w:r w:rsidRPr="00F66162">
        <w:rPr>
          <w:noProof/>
        </w:rPr>
        <w:t>ypadku innych towarów –</w:t>
      </w:r>
      <w:r w:rsidR="00825614" w:rsidRPr="00F66162">
        <w:rPr>
          <w:noProof/>
        </w:rPr>
        <w:t xml:space="preserve"> w</w:t>
      </w:r>
      <w:r w:rsidR="00825614">
        <w:rPr>
          <w:noProof/>
        </w:rPr>
        <w:t> </w:t>
      </w:r>
      <w:r w:rsidR="00825614" w:rsidRPr="00F66162">
        <w:rPr>
          <w:noProof/>
        </w:rPr>
        <w:t>ton</w:t>
      </w:r>
      <w:r w:rsidRPr="00F66162">
        <w:rPr>
          <w:noProof/>
        </w:rPr>
        <w:t>ach emisji ekwiwalentu dwutlenku węgla na tonę każdego rodzaju towarów, obliczony zgodnie</w:t>
      </w:r>
      <w:r w:rsidR="00825614" w:rsidRPr="00F66162">
        <w:rPr>
          <w:noProof/>
        </w:rPr>
        <w:t xml:space="preserve"> z</w:t>
      </w:r>
      <w:r w:rsidR="00825614">
        <w:rPr>
          <w:noProof/>
        </w:rPr>
        <w:t> </w:t>
      </w:r>
      <w:r w:rsidR="00825614" w:rsidRPr="00F66162">
        <w:rPr>
          <w:noProof/>
        </w:rPr>
        <w:t>art</w:t>
      </w:r>
      <w:r w:rsidRPr="00F66162">
        <w:rPr>
          <w:noProof/>
        </w:rPr>
        <w:t>. 7</w:t>
      </w:r>
      <w:r w:rsidR="00825614" w:rsidRPr="00F66162">
        <w:rPr>
          <w:noProof/>
        </w:rPr>
        <w:t xml:space="preserve"> i</w:t>
      </w:r>
      <w:r w:rsidR="00825614">
        <w:rPr>
          <w:noProof/>
        </w:rPr>
        <w:t> </w:t>
      </w:r>
      <w:r w:rsidR="00825614" w:rsidRPr="00F66162">
        <w:rPr>
          <w:noProof/>
        </w:rPr>
        <w:t>zwe</w:t>
      </w:r>
      <w:r w:rsidRPr="00F66162">
        <w:rPr>
          <w:noProof/>
        </w:rPr>
        <w:t>ryfikowany, jeżeli wykorzystano rzeczywiste emisje, zgodnie</w:t>
      </w:r>
      <w:r w:rsidR="00825614" w:rsidRPr="00F66162">
        <w:rPr>
          <w:noProof/>
        </w:rPr>
        <w:t xml:space="preserve"> z</w:t>
      </w:r>
      <w:r w:rsidR="00825614">
        <w:rPr>
          <w:noProof/>
        </w:rPr>
        <w:t> </w:t>
      </w:r>
      <w:r w:rsidR="00825614" w:rsidRPr="00F66162">
        <w:rPr>
          <w:noProof/>
        </w:rPr>
        <w:t>art</w:t>
      </w:r>
      <w:r w:rsidRPr="00F66162">
        <w:rPr>
          <w:noProof/>
        </w:rPr>
        <w:t>. 8;</w:t>
      </w:r>
    </w:p>
    <w:p w14:paraId="0E5024B8" w14:textId="30FEC928" w:rsidR="001359C2" w:rsidRPr="00F66162" w:rsidRDefault="001359C2" w:rsidP="001359C2">
      <w:pPr>
        <w:ind w:left="850"/>
        <w:rPr>
          <w:noProof/>
        </w:rPr>
      </w:pPr>
      <w:r w:rsidRPr="00F66162">
        <w:rPr>
          <w:noProof/>
        </w:rPr>
        <w:t>c) całkowitą liczbę certyfikatów CBAM, które mają zostać przekazane do umorzenia – odpowiadającą całkowitej wielkości emisji wbudowanych,</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F66162">
        <w:rPr>
          <w:noProof/>
        </w:rPr>
        <w:t>lit</w:t>
      </w:r>
      <w:r w:rsidRPr="00F66162">
        <w:rPr>
          <w:noProof/>
        </w:rPr>
        <w:t>. b) niniejszego ustępu – po dokonaniu redukcji</w:t>
      </w:r>
      <w:r w:rsidR="00825614" w:rsidRPr="00F66162">
        <w:rPr>
          <w:noProof/>
        </w:rPr>
        <w:t xml:space="preserve"> z</w:t>
      </w:r>
      <w:r w:rsidR="00825614">
        <w:rPr>
          <w:noProof/>
        </w:rPr>
        <w:t> </w:t>
      </w:r>
      <w:r w:rsidR="00825614" w:rsidRPr="00F66162">
        <w:rPr>
          <w:noProof/>
        </w:rPr>
        <w:t>tyt</w:t>
      </w:r>
      <w:r w:rsidRPr="00F66162">
        <w:rPr>
          <w:noProof/>
        </w:rPr>
        <w:t>ułu opłaty emisyjnej uiszczonej</w:t>
      </w:r>
      <w:r w:rsidR="00825614" w:rsidRPr="00F66162">
        <w:rPr>
          <w:noProof/>
        </w:rPr>
        <w:t xml:space="preserve"> w</w:t>
      </w:r>
      <w:r w:rsidR="00825614">
        <w:rPr>
          <w:noProof/>
        </w:rPr>
        <w:t> </w:t>
      </w:r>
      <w:r w:rsidR="00825614" w:rsidRPr="00F66162">
        <w:rPr>
          <w:noProof/>
        </w:rPr>
        <w:t>pań</w:t>
      </w:r>
      <w:r w:rsidRPr="00F66162">
        <w:rPr>
          <w:noProof/>
        </w:rPr>
        <w:t>stwie trzecim zgodnie</w:t>
      </w:r>
      <w:r w:rsidR="00825614" w:rsidRPr="00F66162">
        <w:rPr>
          <w:noProof/>
        </w:rPr>
        <w:t xml:space="preserve"> z</w:t>
      </w:r>
      <w:r w:rsidR="00825614">
        <w:rPr>
          <w:noProof/>
        </w:rPr>
        <w:t> </w:t>
      </w:r>
      <w:r w:rsidR="00825614" w:rsidRPr="00F66162">
        <w:rPr>
          <w:noProof/>
        </w:rPr>
        <w:t>art</w:t>
      </w:r>
      <w:r w:rsidRPr="00F66162">
        <w:rPr>
          <w:noProof/>
        </w:rPr>
        <w:t>. 9 oraz dostosowania niezbędnego, by odzwierciedlić zakres,</w:t>
      </w:r>
      <w:r w:rsidR="00825614" w:rsidRPr="00F66162">
        <w:rPr>
          <w:noProof/>
        </w:rPr>
        <w:t xml:space="preserve"> w</w:t>
      </w:r>
      <w:r w:rsidR="00825614">
        <w:rPr>
          <w:noProof/>
        </w:rPr>
        <w:t> </w:t>
      </w:r>
      <w:r w:rsidR="00825614" w:rsidRPr="00F66162">
        <w:rPr>
          <w:noProof/>
        </w:rPr>
        <w:t>jak</w:t>
      </w:r>
      <w:r w:rsidRPr="00F66162">
        <w:rPr>
          <w:noProof/>
        </w:rPr>
        <w:t>im uprawnienia</w:t>
      </w:r>
      <w:r w:rsidR="00825614" w:rsidRPr="00F66162">
        <w:rPr>
          <w:noProof/>
        </w:rPr>
        <w:t xml:space="preserve"> w</w:t>
      </w:r>
      <w:r w:rsidR="00825614">
        <w:rPr>
          <w:noProof/>
        </w:rPr>
        <w:t> </w:t>
      </w:r>
      <w:r w:rsidR="00825614" w:rsidRPr="00F66162">
        <w:rPr>
          <w:noProof/>
        </w:rPr>
        <w:t>ram</w:t>
      </w:r>
      <w:r w:rsidRPr="00F66162">
        <w:rPr>
          <w:noProof/>
        </w:rPr>
        <w:t>ach EU ETS są przydzielane bezpłatnie zgodnie</w:t>
      </w:r>
      <w:r w:rsidR="00825614" w:rsidRPr="00F66162">
        <w:rPr>
          <w:noProof/>
        </w:rPr>
        <w:t xml:space="preserve"> z</w:t>
      </w:r>
      <w:r w:rsidR="00825614">
        <w:rPr>
          <w:noProof/>
        </w:rPr>
        <w:t> </w:t>
      </w:r>
      <w:r w:rsidR="00825614" w:rsidRPr="00F66162">
        <w:rPr>
          <w:noProof/>
        </w:rPr>
        <w:t>art</w:t>
      </w:r>
      <w:r w:rsidRPr="00F66162">
        <w:rPr>
          <w:noProof/>
        </w:rPr>
        <w:t>. 31;</w:t>
      </w:r>
    </w:p>
    <w:p w14:paraId="339D6077" w14:textId="62DAC5C4" w:rsidR="001359C2" w:rsidRPr="00F66162" w:rsidRDefault="001359C2" w:rsidP="001359C2">
      <w:pPr>
        <w:ind w:left="850"/>
        <w:rPr>
          <w:noProof/>
        </w:rPr>
      </w:pPr>
      <w:r w:rsidRPr="00F66162">
        <w:rPr>
          <w:noProof/>
        </w:rPr>
        <w:t>d)</w:t>
      </w:r>
      <w:r w:rsidR="00825614" w:rsidRPr="00F66162">
        <w:rPr>
          <w:noProof/>
        </w:rPr>
        <w:t xml:space="preserve"> w</w:t>
      </w:r>
      <w:r w:rsidR="00825614">
        <w:rPr>
          <w:noProof/>
        </w:rPr>
        <w:t> </w:t>
      </w:r>
      <w:r w:rsidR="00825614" w:rsidRPr="00F66162">
        <w:rPr>
          <w:noProof/>
        </w:rPr>
        <w:t>sto</w:t>
      </w:r>
      <w:r w:rsidRPr="00F66162">
        <w:rPr>
          <w:noProof/>
        </w:rPr>
        <w:t>sownych przypadkach, kopie sprawozdań</w:t>
      </w:r>
      <w:r w:rsidR="00825614" w:rsidRPr="00F66162">
        <w:rPr>
          <w:noProof/>
        </w:rPr>
        <w:t xml:space="preserve"> z</w:t>
      </w:r>
      <w:r w:rsidR="00825614">
        <w:rPr>
          <w:noProof/>
        </w:rPr>
        <w:t> </w:t>
      </w:r>
      <w:r w:rsidR="00825614" w:rsidRPr="00F66162">
        <w:rPr>
          <w:noProof/>
        </w:rPr>
        <w:t>wer</w:t>
      </w:r>
      <w:r w:rsidRPr="00F66162">
        <w:rPr>
          <w:noProof/>
        </w:rPr>
        <w:t>yfikacji wydanych przez akredytowanego weryfikatora zgodnie</w:t>
      </w:r>
      <w:r w:rsidR="00825614" w:rsidRPr="00F66162">
        <w:rPr>
          <w:noProof/>
        </w:rPr>
        <w:t xml:space="preserve"> z</w:t>
      </w:r>
      <w:r w:rsidR="00825614">
        <w:rPr>
          <w:noProof/>
        </w:rPr>
        <w:t> </w:t>
      </w:r>
      <w:r w:rsidR="00825614" w:rsidRPr="00F66162">
        <w:rPr>
          <w:noProof/>
        </w:rPr>
        <w:t>art</w:t>
      </w:r>
      <w:r w:rsidRPr="00F66162">
        <w:rPr>
          <w:noProof/>
        </w:rPr>
        <w:t>. 8</w:t>
      </w:r>
      <w:r w:rsidR="00825614" w:rsidRPr="00F66162">
        <w:rPr>
          <w:noProof/>
        </w:rPr>
        <w:t xml:space="preserve"> i</w:t>
      </w:r>
      <w:r w:rsidR="00825614">
        <w:rPr>
          <w:noProof/>
        </w:rPr>
        <w:t> </w:t>
      </w:r>
      <w:r w:rsidR="00825614" w:rsidRPr="00F66162">
        <w:rPr>
          <w:noProof/>
        </w:rPr>
        <w:t>zał</w:t>
      </w:r>
      <w:r w:rsidRPr="00F66162">
        <w:rPr>
          <w:noProof/>
        </w:rPr>
        <w:t>ącznikiem VI.”;</w:t>
      </w:r>
    </w:p>
    <w:p w14:paraId="378A82DB" w14:textId="552FE288" w:rsidR="00B864A0" w:rsidRPr="00F66162" w:rsidRDefault="0074784E" w:rsidP="0074784E">
      <w:pPr>
        <w:pStyle w:val="Point1"/>
        <w:rPr>
          <w:noProof/>
        </w:rPr>
      </w:pPr>
      <w:r w:rsidRPr="00F66162">
        <w:rPr>
          <w:noProof/>
        </w:rPr>
        <w:t>c)</w:t>
      </w:r>
      <w:r w:rsidRPr="00F66162">
        <w:rPr>
          <w:noProof/>
        </w:rPr>
        <w:tab/>
      </w:r>
      <w:r w:rsidRPr="00825614">
        <w:rPr>
          <w:noProof/>
        </w:rPr>
        <w:t>ust.</w:t>
      </w:r>
      <w:r w:rsidR="00825614" w:rsidRPr="00825614">
        <w:rPr>
          <w:noProof/>
        </w:rPr>
        <w:t> </w:t>
      </w:r>
      <w:r w:rsidRPr="00825614">
        <w:rPr>
          <w:noProof/>
        </w:rPr>
        <w:t>6</w:t>
      </w:r>
      <w:r w:rsidRPr="00F66162">
        <w:rPr>
          <w:noProof/>
        </w:rPr>
        <w:t xml:space="preserve"> otrzymuje brzmienie: </w:t>
      </w:r>
    </w:p>
    <w:p w14:paraId="57CAEC4A" w14:textId="27E37974" w:rsidR="00081E85" w:rsidRPr="00F66162" w:rsidRDefault="7A65C892" w:rsidP="00C63A4F">
      <w:pPr>
        <w:ind w:left="850"/>
        <w:rPr>
          <w:noProof/>
        </w:rPr>
      </w:pPr>
      <w:r w:rsidRPr="00F66162">
        <w:rPr>
          <w:noProof/>
        </w:rPr>
        <w:t>„6.</w:t>
      </w:r>
      <w:r w:rsidRPr="00F66162">
        <w:rPr>
          <w:noProof/>
        </w:rPr>
        <w:tab/>
        <w:t>Komisja jest uprawniona do przyjmowania aktów wykonawczych dotyczących standardowego formatu deklaracji CBAM,</w:t>
      </w:r>
      <w:r w:rsidR="00825614" w:rsidRPr="00F66162">
        <w:rPr>
          <w:noProof/>
        </w:rPr>
        <w:t xml:space="preserve"> w</w:t>
      </w:r>
      <w:r w:rsidR="00825614">
        <w:rPr>
          <w:noProof/>
        </w:rPr>
        <w:t> </w:t>
      </w:r>
      <w:r w:rsidR="00825614" w:rsidRPr="00F66162">
        <w:rPr>
          <w:noProof/>
        </w:rPr>
        <w:t>tym</w:t>
      </w:r>
      <w:r w:rsidRPr="00F66162">
        <w:rPr>
          <w:noProof/>
        </w:rPr>
        <w:t xml:space="preserve"> szczegółowych informacji</w:t>
      </w:r>
      <w:r w:rsidR="00825614" w:rsidRPr="00F66162">
        <w:rPr>
          <w:noProof/>
        </w:rPr>
        <w:t xml:space="preserve"> w</w:t>
      </w:r>
      <w:r w:rsidR="00825614">
        <w:rPr>
          <w:noProof/>
        </w:rPr>
        <w:t> </w:t>
      </w:r>
      <w:r w:rsidR="00825614" w:rsidRPr="00F66162">
        <w:rPr>
          <w:noProof/>
        </w:rPr>
        <w:t>pod</w:t>
      </w:r>
      <w:r w:rsidRPr="00F66162">
        <w:rPr>
          <w:noProof/>
        </w:rPr>
        <w:t>ziale na instalacje, państwo pochodzenia lub inne państwo trzecie</w:t>
      </w:r>
      <w:r w:rsidR="00825614" w:rsidRPr="00F66162">
        <w:rPr>
          <w:noProof/>
        </w:rPr>
        <w:t xml:space="preserve"> i</w:t>
      </w:r>
      <w:r w:rsidR="00825614">
        <w:rPr>
          <w:noProof/>
        </w:rPr>
        <w:t> </w:t>
      </w:r>
      <w:r w:rsidR="00825614" w:rsidRPr="00F66162">
        <w:rPr>
          <w:noProof/>
        </w:rPr>
        <w:t>rod</w:t>
      </w:r>
      <w:r w:rsidRPr="00F66162">
        <w:rPr>
          <w:noProof/>
        </w:rPr>
        <w:t>zaj towarów, które mają być zgłaszane, na poparcie sum,</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2 niniejszego artykułu,</w:t>
      </w:r>
      <w:r w:rsidR="00825614" w:rsidRPr="00F66162">
        <w:rPr>
          <w:noProof/>
        </w:rPr>
        <w:t xml:space="preserve"> w</w:t>
      </w:r>
      <w:r w:rsidR="00825614">
        <w:rPr>
          <w:noProof/>
        </w:rPr>
        <w:t> </w:t>
      </w:r>
      <w:r w:rsidR="00825614" w:rsidRPr="00F66162">
        <w:rPr>
          <w:noProof/>
        </w:rPr>
        <w:t>szc</w:t>
      </w:r>
      <w:r w:rsidRPr="00F66162">
        <w:rPr>
          <w:noProof/>
        </w:rPr>
        <w:t>zególności</w:t>
      </w:r>
      <w:r w:rsidR="00825614" w:rsidRPr="00F66162">
        <w:rPr>
          <w:noProof/>
        </w:rPr>
        <w:t xml:space="preserve"> w</w:t>
      </w:r>
      <w:r w:rsidR="00825614">
        <w:rPr>
          <w:noProof/>
        </w:rPr>
        <w:t> </w:t>
      </w:r>
      <w:r w:rsidR="00825614" w:rsidRPr="00F66162">
        <w:rPr>
          <w:noProof/>
        </w:rPr>
        <w:t>odn</w:t>
      </w:r>
      <w:r w:rsidRPr="00F66162">
        <w:rPr>
          <w:noProof/>
        </w:rPr>
        <w:t>iesieniu do emisji wbudowanych, uiszczonej opłaty emisyjnej, domyślnej opłaty emisyjnej, procedury składania deklaracji CBAM za pośrednictwem rejestru CBAM oraz warunków przekazywania certyfikatów CBAM,</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2 lit. c) niniejszego artykułu, do umorzenia zgodnie</w:t>
      </w:r>
      <w:r w:rsidR="00825614" w:rsidRPr="00F66162">
        <w:rPr>
          <w:noProof/>
        </w:rPr>
        <w:t xml:space="preserve"> z</w:t>
      </w:r>
      <w:r w:rsidR="00825614">
        <w:rPr>
          <w:noProof/>
        </w:rPr>
        <w:t> </w:t>
      </w:r>
      <w:r w:rsidR="00825614" w:rsidRPr="00F66162">
        <w:rPr>
          <w:noProof/>
        </w:rPr>
        <w:t>art</w:t>
      </w:r>
      <w:r w:rsidRPr="00F66162">
        <w:rPr>
          <w:noProof/>
        </w:rPr>
        <w:t>. 22 ust. 1,</w:t>
      </w:r>
      <w:r w:rsidR="00825614" w:rsidRPr="00F66162">
        <w:rPr>
          <w:noProof/>
        </w:rPr>
        <w:t xml:space="preserve"> w</w:t>
      </w:r>
      <w:r w:rsidR="00825614">
        <w:rPr>
          <w:noProof/>
        </w:rPr>
        <w:t> </w:t>
      </w:r>
      <w:r w:rsidR="00825614" w:rsidRPr="00F66162">
        <w:rPr>
          <w:noProof/>
        </w:rPr>
        <w:t>szc</w:t>
      </w:r>
      <w:r w:rsidRPr="00F66162">
        <w:rPr>
          <w:noProof/>
        </w:rPr>
        <w:t>zególności</w:t>
      </w:r>
      <w:r w:rsidR="00825614" w:rsidRPr="00F66162">
        <w:rPr>
          <w:noProof/>
        </w:rPr>
        <w:t xml:space="preserve"> w</w:t>
      </w:r>
      <w:r w:rsidR="00825614">
        <w:rPr>
          <w:noProof/>
        </w:rPr>
        <w:t> </w:t>
      </w:r>
      <w:r w:rsidR="00825614" w:rsidRPr="00F66162">
        <w:rPr>
          <w:noProof/>
        </w:rPr>
        <w:t>odn</w:t>
      </w:r>
      <w:r w:rsidRPr="00F66162">
        <w:rPr>
          <w:noProof/>
        </w:rPr>
        <w:t>iesieniu do procesu</w:t>
      </w:r>
      <w:r w:rsidR="00825614" w:rsidRPr="00F66162">
        <w:rPr>
          <w:noProof/>
        </w:rPr>
        <w:t xml:space="preserve"> </w:t>
      </w:r>
      <w:r w:rsidR="00825614" w:rsidRPr="00F66162">
        <w:rPr>
          <w:noProof/>
        </w:rPr>
        <w:lastRenderedPageBreak/>
        <w:t>i</w:t>
      </w:r>
      <w:r w:rsidR="00825614">
        <w:rPr>
          <w:noProof/>
        </w:rPr>
        <w:t> </w:t>
      </w:r>
      <w:r w:rsidR="00825614" w:rsidRPr="00F66162">
        <w:rPr>
          <w:noProof/>
        </w:rPr>
        <w:t>wyb</w:t>
      </w:r>
      <w:r w:rsidRPr="00F66162">
        <w:rPr>
          <w:noProof/>
        </w:rPr>
        <w:t>oru przez upoważnionego zgłaszającego CBAM certyfikatów, które mają zostać przekazane do umorzenia. Te akty wykonawcze przyjmuje się zgodnie</w:t>
      </w:r>
      <w:r w:rsidR="00825614" w:rsidRPr="00F66162">
        <w:rPr>
          <w:noProof/>
        </w:rPr>
        <w:t xml:space="preserve"> z</w:t>
      </w:r>
      <w:r w:rsidR="00825614">
        <w:rPr>
          <w:noProof/>
        </w:rPr>
        <w:t> </w:t>
      </w:r>
      <w:r w:rsidR="00825614" w:rsidRPr="00F66162">
        <w:rPr>
          <w:noProof/>
        </w:rPr>
        <w:t>pro</w:t>
      </w:r>
      <w:r w:rsidRPr="00F66162">
        <w:rPr>
          <w:noProof/>
        </w:rPr>
        <w:t>cedurą sprawdzającą,</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F66162">
        <w:rPr>
          <w:noProof/>
        </w:rPr>
        <w:t>art</w:t>
      </w:r>
      <w:r w:rsidRPr="00F66162">
        <w:rPr>
          <w:noProof/>
        </w:rPr>
        <w:t>. 29 ust. 2.”;</w:t>
      </w:r>
    </w:p>
    <w:p w14:paraId="1ED7BFD5" w14:textId="420944C7" w:rsidR="001503FF" w:rsidRPr="00F66162" w:rsidRDefault="0074784E" w:rsidP="0074784E">
      <w:pPr>
        <w:pStyle w:val="Point0"/>
        <w:rPr>
          <w:noProof/>
        </w:rPr>
      </w:pPr>
      <w:r w:rsidRPr="00F66162">
        <w:rPr>
          <w:noProof/>
        </w:rPr>
        <w:t>5.</w:t>
      </w:r>
      <w:r w:rsidRPr="00F66162">
        <w:rPr>
          <w:noProof/>
        </w:rPr>
        <w:tab/>
        <w:t xml:space="preserve">w </w:t>
      </w:r>
      <w:r w:rsidRPr="00825614">
        <w:rPr>
          <w:noProof/>
        </w:rPr>
        <w:t>art.</w:t>
      </w:r>
      <w:r w:rsidR="00825614" w:rsidRPr="00825614">
        <w:rPr>
          <w:noProof/>
        </w:rPr>
        <w:t> </w:t>
      </w:r>
      <w:r w:rsidRPr="00825614">
        <w:rPr>
          <w:noProof/>
        </w:rPr>
        <w:t>7</w:t>
      </w:r>
      <w:r w:rsidRPr="00F66162">
        <w:rPr>
          <w:noProof/>
        </w:rPr>
        <w:t xml:space="preserve"> wprowadza się następujące zmiany: </w:t>
      </w:r>
    </w:p>
    <w:p w14:paraId="55E705E6" w14:textId="3E01AE17" w:rsidR="00C719D4" w:rsidRPr="00F66162" w:rsidRDefault="0074784E" w:rsidP="0074784E">
      <w:pPr>
        <w:pStyle w:val="Point1"/>
        <w:rPr>
          <w:noProof/>
        </w:rPr>
      </w:pPr>
      <w:r w:rsidRPr="00F66162">
        <w:rPr>
          <w:noProof/>
        </w:rPr>
        <w:t>a)</w:t>
      </w:r>
      <w:r w:rsidRPr="00F66162">
        <w:rPr>
          <w:noProof/>
        </w:rPr>
        <w:tab/>
      </w:r>
      <w:r w:rsidRPr="00825614">
        <w:rPr>
          <w:noProof/>
        </w:rPr>
        <w:t>ust.</w:t>
      </w:r>
      <w:r w:rsidR="00825614" w:rsidRPr="00825614">
        <w:rPr>
          <w:noProof/>
        </w:rPr>
        <w:t> </w:t>
      </w:r>
      <w:r w:rsidRPr="00825614">
        <w:rPr>
          <w:noProof/>
        </w:rPr>
        <w:t>5</w:t>
      </w:r>
      <w:r w:rsidRPr="00F66162">
        <w:rPr>
          <w:noProof/>
        </w:rPr>
        <w:t xml:space="preserve"> otrzymuje brzmienie: </w:t>
      </w:r>
    </w:p>
    <w:p w14:paraId="1ADA3940" w14:textId="06AE2CB2" w:rsidR="00081E85" w:rsidRPr="00F66162" w:rsidRDefault="007253BC" w:rsidP="007253BC">
      <w:pPr>
        <w:ind w:left="850"/>
        <w:rPr>
          <w:noProof/>
        </w:rPr>
      </w:pPr>
      <w:r w:rsidRPr="00F66162">
        <w:rPr>
          <w:noProof/>
        </w:rPr>
        <w:t>„5. Upoważniony zgłaszający CBAM prowadzi rejestry informacji wymaganych do obliczenia emisji wbudowanych zgodnie</w:t>
      </w:r>
      <w:r w:rsidR="00825614" w:rsidRPr="00F66162">
        <w:rPr>
          <w:noProof/>
        </w:rPr>
        <w:t xml:space="preserve"> z</w:t>
      </w:r>
      <w:r w:rsidR="00825614">
        <w:rPr>
          <w:noProof/>
        </w:rPr>
        <w:t> </w:t>
      </w:r>
      <w:r w:rsidR="00825614" w:rsidRPr="00F66162">
        <w:rPr>
          <w:noProof/>
        </w:rPr>
        <w:t>wym</w:t>
      </w:r>
      <w:r w:rsidRPr="00F66162">
        <w:rPr>
          <w:noProof/>
        </w:rPr>
        <w:t>ogami określonymi</w:t>
      </w:r>
      <w:r w:rsidR="00825614" w:rsidRPr="00F66162">
        <w:rPr>
          <w:noProof/>
        </w:rPr>
        <w:t xml:space="preserve"> w</w:t>
      </w:r>
      <w:r w:rsidR="00825614">
        <w:rPr>
          <w:noProof/>
        </w:rPr>
        <w:t> </w:t>
      </w:r>
      <w:r w:rsidR="00825614" w:rsidRPr="00F66162">
        <w:rPr>
          <w:noProof/>
        </w:rPr>
        <w:t>zał</w:t>
      </w:r>
      <w:r w:rsidRPr="00F66162">
        <w:rPr>
          <w:noProof/>
        </w:rPr>
        <w:t>ączniku V. Rejestry te muszą być wystarczająco szczegółowe, aby</w:t>
      </w:r>
      <w:r w:rsidR="00825614" w:rsidRPr="00F66162">
        <w:rPr>
          <w:noProof/>
        </w:rPr>
        <w:t xml:space="preserve"> w</w:t>
      </w:r>
      <w:r w:rsidR="00825614">
        <w:rPr>
          <w:noProof/>
        </w:rPr>
        <w:t> </w:t>
      </w:r>
      <w:r w:rsidR="00825614" w:rsidRPr="00F66162">
        <w:rPr>
          <w:noProof/>
        </w:rPr>
        <w:t>sto</w:t>
      </w:r>
      <w:r w:rsidRPr="00F66162">
        <w:rPr>
          <w:noProof/>
        </w:rPr>
        <w:t>sownych przypadkach umożliwić weryfikatorom akredytowanym zgodnie</w:t>
      </w:r>
      <w:r w:rsidR="00825614" w:rsidRPr="00F66162">
        <w:rPr>
          <w:noProof/>
        </w:rPr>
        <w:t xml:space="preserve"> z</w:t>
      </w:r>
      <w:r w:rsidR="00825614">
        <w:rPr>
          <w:noProof/>
        </w:rPr>
        <w:t> </w:t>
      </w:r>
      <w:r w:rsidR="00825614" w:rsidRPr="00F66162">
        <w:rPr>
          <w:noProof/>
        </w:rPr>
        <w:t>art</w:t>
      </w:r>
      <w:r w:rsidRPr="00F66162">
        <w:rPr>
          <w:noProof/>
        </w:rPr>
        <w:t>. 18 zweryfikowanie wielkości emisji wbudowanych zgodnie</w:t>
      </w:r>
      <w:r w:rsidR="00825614" w:rsidRPr="00F66162">
        <w:rPr>
          <w:noProof/>
        </w:rPr>
        <w:t xml:space="preserve"> z</w:t>
      </w:r>
      <w:r w:rsidR="00825614">
        <w:rPr>
          <w:noProof/>
        </w:rPr>
        <w:t> </w:t>
      </w:r>
      <w:r w:rsidR="00825614" w:rsidRPr="00F66162">
        <w:rPr>
          <w:noProof/>
        </w:rPr>
        <w:t>art</w:t>
      </w:r>
      <w:r w:rsidRPr="00F66162">
        <w:rPr>
          <w:noProof/>
        </w:rPr>
        <w:t>. 8</w:t>
      </w:r>
      <w:r w:rsidR="00825614" w:rsidRPr="00F66162">
        <w:rPr>
          <w:noProof/>
        </w:rPr>
        <w:t xml:space="preserve"> i</w:t>
      </w:r>
      <w:r w:rsidR="00825614">
        <w:rPr>
          <w:noProof/>
        </w:rPr>
        <w:t> </w:t>
      </w:r>
      <w:r w:rsidR="00825614" w:rsidRPr="00F66162">
        <w:rPr>
          <w:noProof/>
        </w:rPr>
        <w:t>zał</w:t>
      </w:r>
      <w:r w:rsidRPr="00F66162">
        <w:rPr>
          <w:noProof/>
        </w:rPr>
        <w:t>ącznikiem VI oraz aby umożliwić Komisji</w:t>
      </w:r>
      <w:r w:rsidR="00825614" w:rsidRPr="00F66162">
        <w:rPr>
          <w:noProof/>
        </w:rPr>
        <w:t xml:space="preserve"> i</w:t>
      </w:r>
      <w:r w:rsidR="00825614">
        <w:rPr>
          <w:noProof/>
        </w:rPr>
        <w:t> </w:t>
      </w:r>
      <w:r w:rsidR="00825614" w:rsidRPr="00F66162">
        <w:rPr>
          <w:noProof/>
        </w:rPr>
        <w:t>wła</w:t>
      </w:r>
      <w:r w:rsidRPr="00F66162">
        <w:rPr>
          <w:noProof/>
        </w:rPr>
        <w:t>ściwemu organowi dokonanie przeglądu deklaracji CBAM zgodnie</w:t>
      </w:r>
      <w:r w:rsidR="00825614" w:rsidRPr="00F66162">
        <w:rPr>
          <w:noProof/>
        </w:rPr>
        <w:t xml:space="preserve"> z</w:t>
      </w:r>
      <w:r w:rsidR="00825614">
        <w:rPr>
          <w:noProof/>
        </w:rPr>
        <w:t> </w:t>
      </w:r>
      <w:r w:rsidR="00825614" w:rsidRPr="00F66162">
        <w:rPr>
          <w:noProof/>
        </w:rPr>
        <w:t>art</w:t>
      </w:r>
      <w:r w:rsidRPr="00F66162">
        <w:rPr>
          <w:noProof/>
        </w:rPr>
        <w:t>. 19 ust. 2.”;</w:t>
      </w:r>
    </w:p>
    <w:p w14:paraId="40D306EB" w14:textId="666B00AD" w:rsidR="00656EB7" w:rsidRPr="00F66162" w:rsidRDefault="0074784E" w:rsidP="0074784E">
      <w:pPr>
        <w:pStyle w:val="Point1"/>
        <w:rPr>
          <w:noProof/>
        </w:rPr>
      </w:pPr>
      <w:r w:rsidRPr="00F66162">
        <w:rPr>
          <w:noProof/>
        </w:rPr>
        <w:t>b)</w:t>
      </w:r>
      <w:r w:rsidRPr="00F66162">
        <w:rPr>
          <w:noProof/>
        </w:rPr>
        <w:tab/>
      </w:r>
      <w:r w:rsidRPr="00825614">
        <w:rPr>
          <w:noProof/>
        </w:rPr>
        <w:t>ust.</w:t>
      </w:r>
      <w:r w:rsidR="00825614" w:rsidRPr="00825614">
        <w:rPr>
          <w:noProof/>
        </w:rPr>
        <w:t> </w:t>
      </w:r>
      <w:r w:rsidRPr="00825614">
        <w:rPr>
          <w:noProof/>
        </w:rPr>
        <w:t>7</w:t>
      </w:r>
      <w:r w:rsidRPr="00F66162">
        <w:rPr>
          <w:noProof/>
        </w:rPr>
        <w:t xml:space="preserve"> </w:t>
      </w:r>
      <w:r w:rsidRPr="00825614">
        <w:rPr>
          <w:noProof/>
        </w:rPr>
        <w:t>lit.</w:t>
      </w:r>
      <w:r w:rsidR="00825614" w:rsidRPr="00825614">
        <w:rPr>
          <w:noProof/>
        </w:rPr>
        <w:t> </w:t>
      </w:r>
      <w:r w:rsidRPr="00825614">
        <w:rPr>
          <w:noProof/>
        </w:rPr>
        <w:t>a)</w:t>
      </w:r>
      <w:r w:rsidRPr="00F66162">
        <w:rPr>
          <w:noProof/>
        </w:rPr>
        <w:t xml:space="preserve"> otrzymuje brzmienie: </w:t>
      </w:r>
    </w:p>
    <w:p w14:paraId="7ABD47D3" w14:textId="234E1A2D" w:rsidR="00081E85" w:rsidRPr="00F66162" w:rsidRDefault="005144EA" w:rsidP="005144EA">
      <w:pPr>
        <w:ind w:left="850"/>
        <w:rPr>
          <w:noProof/>
        </w:rPr>
      </w:pPr>
      <w:r w:rsidRPr="00F66162">
        <w:rPr>
          <w:noProof/>
        </w:rPr>
        <w:t>„a) stosowania elementów metod obliczeniowych określonych</w:t>
      </w:r>
      <w:r w:rsidR="00825614" w:rsidRPr="00F66162">
        <w:rPr>
          <w:noProof/>
        </w:rPr>
        <w:t xml:space="preserve"> w</w:t>
      </w:r>
      <w:r w:rsidR="00825614">
        <w:rPr>
          <w:noProof/>
        </w:rPr>
        <w:t> </w:t>
      </w:r>
      <w:r w:rsidR="00825614" w:rsidRPr="00F66162">
        <w:rPr>
          <w:noProof/>
        </w:rPr>
        <w:t>zał</w:t>
      </w:r>
      <w:r w:rsidRPr="00F66162">
        <w:rPr>
          <w:noProof/>
        </w:rPr>
        <w:t>ączniku IV,</w:t>
      </w:r>
      <w:r w:rsidR="00825614" w:rsidRPr="00F66162">
        <w:rPr>
          <w:noProof/>
        </w:rPr>
        <w:t xml:space="preserve"> w</w:t>
      </w:r>
      <w:r w:rsidR="00825614">
        <w:rPr>
          <w:noProof/>
        </w:rPr>
        <w:t> </w:t>
      </w:r>
      <w:r w:rsidR="00825614" w:rsidRPr="00F66162">
        <w:rPr>
          <w:noProof/>
        </w:rPr>
        <w:t>tym</w:t>
      </w:r>
      <w:r w:rsidRPr="00F66162">
        <w:rPr>
          <w:noProof/>
        </w:rPr>
        <w:t xml:space="preserve"> dotyczących określania granic systemowych procesów produkcji, niewykraczających poza granice systemowe procesów produkcji objętych EU ETS,</w:t>
      </w:r>
      <w:r w:rsidR="00825614" w:rsidRPr="00F66162">
        <w:rPr>
          <w:noProof/>
        </w:rPr>
        <w:t xml:space="preserve"> i</w:t>
      </w:r>
      <w:r w:rsidR="00825614">
        <w:rPr>
          <w:noProof/>
        </w:rPr>
        <w:t> </w:t>
      </w:r>
      <w:r w:rsidR="00825614" w:rsidRPr="00F66162">
        <w:rPr>
          <w:noProof/>
        </w:rPr>
        <w:t>odn</w:t>
      </w:r>
      <w:r w:rsidRPr="00F66162">
        <w:rPr>
          <w:noProof/>
        </w:rPr>
        <w:t>ośnych materiałów wsadowych (prekursorów), współczynników emisji, ustalanych dla konkretnych instalacji wartości rzeczywistych emisji</w:t>
      </w:r>
      <w:r w:rsidR="00825614" w:rsidRPr="00F66162">
        <w:rPr>
          <w:noProof/>
        </w:rPr>
        <w:t xml:space="preserve"> i</w:t>
      </w:r>
      <w:r w:rsidR="00825614">
        <w:rPr>
          <w:noProof/>
        </w:rPr>
        <w:t> </w:t>
      </w:r>
      <w:r w:rsidR="00825614" w:rsidRPr="00F66162">
        <w:rPr>
          <w:noProof/>
        </w:rPr>
        <w:t>war</w:t>
      </w:r>
      <w:r w:rsidRPr="00F66162">
        <w:rPr>
          <w:noProof/>
        </w:rPr>
        <w:t>tości domyślnych oraz ich stosowania</w:t>
      </w:r>
      <w:r w:rsidR="00825614" w:rsidRPr="00F66162">
        <w:rPr>
          <w:noProof/>
        </w:rPr>
        <w:t xml:space="preserve"> w</w:t>
      </w:r>
      <w:r w:rsidR="00825614">
        <w:rPr>
          <w:noProof/>
        </w:rPr>
        <w:t> </w:t>
      </w:r>
      <w:r w:rsidR="00825614" w:rsidRPr="00F66162">
        <w:rPr>
          <w:noProof/>
        </w:rPr>
        <w:t>odn</w:t>
      </w:r>
      <w:r w:rsidRPr="00F66162">
        <w:rPr>
          <w:noProof/>
        </w:rPr>
        <w:t>iesieniu do poszczególnych towarów,</w:t>
      </w:r>
      <w:r w:rsidR="00825614" w:rsidRPr="00F66162">
        <w:rPr>
          <w:noProof/>
        </w:rPr>
        <w:t xml:space="preserve"> a</w:t>
      </w:r>
      <w:r w:rsidR="00825614">
        <w:rPr>
          <w:noProof/>
        </w:rPr>
        <w:t> </w:t>
      </w:r>
      <w:r w:rsidR="00825614" w:rsidRPr="00F66162">
        <w:rPr>
          <w:noProof/>
        </w:rPr>
        <w:t>tak</w:t>
      </w:r>
      <w:r w:rsidRPr="00F66162">
        <w:rPr>
          <w:noProof/>
        </w:rPr>
        <w:t>że do określenia metod zapewnienia wiarygodności danych, na podstawie których ustala się wartości domyślne,</w:t>
      </w:r>
      <w:r w:rsidR="00825614" w:rsidRPr="00F66162">
        <w:rPr>
          <w:noProof/>
        </w:rPr>
        <w:t xml:space="preserve"> w</w:t>
      </w:r>
      <w:r w:rsidR="00825614">
        <w:rPr>
          <w:noProof/>
        </w:rPr>
        <w:t> </w:t>
      </w:r>
      <w:r w:rsidR="00825614" w:rsidRPr="00F66162">
        <w:rPr>
          <w:noProof/>
        </w:rPr>
        <w:t>tym</w:t>
      </w:r>
      <w:r w:rsidRPr="00F66162">
        <w:rPr>
          <w:noProof/>
        </w:rPr>
        <w:t xml:space="preserve"> poziomu szczegółowości danych,</w:t>
      </w:r>
      <w:r w:rsidR="00825614" w:rsidRPr="00F66162">
        <w:rPr>
          <w:noProof/>
        </w:rPr>
        <w:t xml:space="preserve"> a</w:t>
      </w:r>
      <w:r w:rsidR="00825614">
        <w:rPr>
          <w:noProof/>
        </w:rPr>
        <w:t> </w:t>
      </w:r>
      <w:r w:rsidR="00825614" w:rsidRPr="00F66162">
        <w:rPr>
          <w:noProof/>
        </w:rPr>
        <w:t>tak</w:t>
      </w:r>
      <w:r w:rsidRPr="00F66162">
        <w:rPr>
          <w:noProof/>
        </w:rPr>
        <w:t xml:space="preserve">że dalszych specyfikacji towarów, które do celów załącznika IV </w:t>
      </w:r>
      <w:r w:rsidRPr="00825614">
        <w:rPr>
          <w:noProof/>
        </w:rPr>
        <w:t>pkt</w:t>
      </w:r>
      <w:r w:rsidR="00825614" w:rsidRPr="00825614">
        <w:rPr>
          <w:noProof/>
        </w:rPr>
        <w:t> </w:t>
      </w:r>
      <w:r w:rsidRPr="00825614">
        <w:rPr>
          <w:noProof/>
        </w:rPr>
        <w:t>1</w:t>
      </w:r>
      <w:r w:rsidRPr="00F66162">
        <w:rPr>
          <w:noProof/>
        </w:rPr>
        <w:t xml:space="preserve"> należy uznać za „towary proste” i „towary złożone”</w:t>
      </w:r>
      <w:r w:rsidR="00825614" w:rsidRPr="00F66162">
        <w:rPr>
          <w:noProof/>
        </w:rPr>
        <w:t>. W</w:t>
      </w:r>
      <w:r w:rsidR="00825614">
        <w:rPr>
          <w:noProof/>
        </w:rPr>
        <w:t> </w:t>
      </w:r>
      <w:r w:rsidR="00825614" w:rsidRPr="00F66162">
        <w:rPr>
          <w:noProof/>
        </w:rPr>
        <w:t>tyc</w:t>
      </w:r>
      <w:r w:rsidRPr="00F66162">
        <w:rPr>
          <w:noProof/>
        </w:rPr>
        <w:t>h aktach wykonawczych określa się również elementy dowodów wykazujące spełnienie kryteriów – wymienionych</w:t>
      </w:r>
      <w:r w:rsidR="00825614" w:rsidRPr="00F66162">
        <w:rPr>
          <w:noProof/>
        </w:rPr>
        <w:t xml:space="preserve"> w</w:t>
      </w:r>
      <w:r w:rsidR="00825614">
        <w:rPr>
          <w:noProof/>
        </w:rPr>
        <w:t> </w:t>
      </w:r>
      <w:r w:rsidR="00825614" w:rsidRPr="00F66162">
        <w:rPr>
          <w:noProof/>
        </w:rPr>
        <w:t>zał</w:t>
      </w:r>
      <w:r w:rsidRPr="00F66162">
        <w:rPr>
          <w:noProof/>
        </w:rPr>
        <w:t xml:space="preserve">ączniku IV </w:t>
      </w:r>
      <w:r w:rsidRPr="00825614">
        <w:rPr>
          <w:noProof/>
        </w:rPr>
        <w:t>pkt</w:t>
      </w:r>
      <w:r w:rsidR="00825614" w:rsidRPr="00825614">
        <w:rPr>
          <w:noProof/>
        </w:rPr>
        <w:t> </w:t>
      </w:r>
      <w:r w:rsidRPr="00825614">
        <w:rPr>
          <w:noProof/>
        </w:rPr>
        <w:t>5</w:t>
      </w:r>
      <w:r w:rsidR="00825614" w:rsidRPr="00F66162">
        <w:rPr>
          <w:noProof/>
        </w:rPr>
        <w:t xml:space="preserve"> i</w:t>
      </w:r>
      <w:r w:rsidR="00825614">
        <w:rPr>
          <w:noProof/>
        </w:rPr>
        <w:t> </w:t>
      </w:r>
      <w:r w:rsidR="00825614" w:rsidRPr="00F66162">
        <w:rPr>
          <w:noProof/>
        </w:rPr>
        <w:t>6</w:t>
      </w:r>
      <w:r w:rsidRPr="00F66162">
        <w:rPr>
          <w:noProof/>
        </w:rPr>
        <w:t xml:space="preserve"> – wymaganych, aby do celów </w:t>
      </w:r>
      <w:r w:rsidRPr="00825614">
        <w:rPr>
          <w:noProof/>
        </w:rPr>
        <w:t>ust.</w:t>
      </w:r>
      <w:r w:rsidR="00825614" w:rsidRPr="00825614">
        <w:rPr>
          <w:noProof/>
        </w:rPr>
        <w:t> </w:t>
      </w:r>
      <w:r w:rsidRPr="00825614">
        <w:rPr>
          <w:noProof/>
        </w:rPr>
        <w:t>2</w:t>
      </w:r>
      <w:r w:rsidRPr="00F66162">
        <w:rPr>
          <w:noProof/>
        </w:rPr>
        <w:t xml:space="preserve"> uzasadnić wykorzystanie rzeczywistych emisji</w:t>
      </w:r>
      <w:r w:rsidR="00825614" w:rsidRPr="00F66162">
        <w:rPr>
          <w:noProof/>
        </w:rPr>
        <w:t xml:space="preserve"> w</w:t>
      </w:r>
      <w:r w:rsidR="00825614">
        <w:rPr>
          <w:noProof/>
        </w:rPr>
        <w:t> </w:t>
      </w:r>
      <w:r w:rsidR="00825614" w:rsidRPr="00F66162">
        <w:rPr>
          <w:noProof/>
        </w:rPr>
        <w:t>odn</w:t>
      </w:r>
      <w:r w:rsidRPr="00F66162">
        <w:rPr>
          <w:noProof/>
        </w:rPr>
        <w:t>iesieniu do energii elektrycznej zużywanej</w:t>
      </w:r>
      <w:r w:rsidR="00825614" w:rsidRPr="00F66162">
        <w:rPr>
          <w:noProof/>
        </w:rPr>
        <w:t xml:space="preserve"> w</w:t>
      </w:r>
      <w:r w:rsidR="00825614">
        <w:rPr>
          <w:noProof/>
        </w:rPr>
        <w:t> </w:t>
      </w:r>
      <w:r w:rsidR="00825614" w:rsidRPr="00F66162">
        <w:rPr>
          <w:noProof/>
        </w:rPr>
        <w:t>pro</w:t>
      </w:r>
      <w:r w:rsidRPr="00F66162">
        <w:rPr>
          <w:noProof/>
        </w:rPr>
        <w:t>cesach produkcji towarów;”;</w:t>
      </w:r>
    </w:p>
    <w:p w14:paraId="4A795D6B" w14:textId="0581551A" w:rsidR="00C5648E" w:rsidRPr="00F66162" w:rsidRDefault="0074784E" w:rsidP="0074784E">
      <w:pPr>
        <w:pStyle w:val="Point0"/>
        <w:rPr>
          <w:noProof/>
        </w:rPr>
      </w:pPr>
      <w:r w:rsidRPr="00F66162">
        <w:rPr>
          <w:noProof/>
        </w:rPr>
        <w:t>6.</w:t>
      </w:r>
      <w:r w:rsidRPr="00F66162">
        <w:rPr>
          <w:noProof/>
        </w:rPr>
        <w:tab/>
      </w:r>
      <w:r w:rsidRPr="00825614">
        <w:rPr>
          <w:noProof/>
        </w:rPr>
        <w:t>art.</w:t>
      </w:r>
      <w:r w:rsidR="00825614" w:rsidRPr="00825614">
        <w:rPr>
          <w:noProof/>
        </w:rPr>
        <w:t> </w:t>
      </w:r>
      <w:r w:rsidRPr="00825614">
        <w:rPr>
          <w:noProof/>
        </w:rPr>
        <w:t>8</w:t>
      </w:r>
      <w:r w:rsidRPr="00F66162">
        <w:rPr>
          <w:noProof/>
        </w:rPr>
        <w:t xml:space="preserve"> </w:t>
      </w:r>
      <w:r w:rsidRPr="00825614">
        <w:rPr>
          <w:noProof/>
        </w:rPr>
        <w:t>ust.</w:t>
      </w:r>
      <w:r w:rsidR="00825614" w:rsidRPr="00825614">
        <w:rPr>
          <w:noProof/>
        </w:rPr>
        <w:t> </w:t>
      </w:r>
      <w:r w:rsidRPr="00825614">
        <w:rPr>
          <w:noProof/>
        </w:rPr>
        <w:t>1</w:t>
      </w:r>
      <w:r w:rsidRPr="00F66162">
        <w:rPr>
          <w:noProof/>
        </w:rPr>
        <w:t xml:space="preserve"> otrzymuje brzmienie: </w:t>
      </w:r>
    </w:p>
    <w:p w14:paraId="2D019DC6" w14:textId="1C72103E" w:rsidR="00081E85" w:rsidRPr="00F66162" w:rsidRDefault="00665119" w:rsidP="00665119">
      <w:pPr>
        <w:ind w:left="850"/>
        <w:rPr>
          <w:noProof/>
        </w:rPr>
      </w:pPr>
      <w:r w:rsidRPr="00F66162">
        <w:rPr>
          <w:noProof/>
        </w:rPr>
        <w:t>„1</w:t>
      </w:r>
      <w:r w:rsidR="00825614" w:rsidRPr="00F66162">
        <w:rPr>
          <w:noProof/>
        </w:rPr>
        <w:t>. W</w:t>
      </w:r>
      <w:r w:rsidR="00825614">
        <w:rPr>
          <w:noProof/>
        </w:rPr>
        <w:t> </w:t>
      </w:r>
      <w:r w:rsidR="00825614" w:rsidRPr="00F66162">
        <w:rPr>
          <w:noProof/>
        </w:rPr>
        <w:t>prz</w:t>
      </w:r>
      <w:r w:rsidRPr="00F66162">
        <w:rPr>
          <w:noProof/>
        </w:rPr>
        <w:t>ypadku gdy emisje wbudowane ustala się na podstawie rzeczywistych emisji, upoważniony zgłaszający CBAM zapewnia, aby całkowity poziom emisji wbudowanych zadeklarowany</w:t>
      </w:r>
      <w:r w:rsidR="00825614" w:rsidRPr="00F66162">
        <w:rPr>
          <w:noProof/>
        </w:rPr>
        <w:t xml:space="preserve"> w</w:t>
      </w:r>
      <w:r w:rsidR="00825614">
        <w:rPr>
          <w:noProof/>
        </w:rPr>
        <w:t> </w:t>
      </w:r>
      <w:r w:rsidR="00825614" w:rsidRPr="00F66162">
        <w:rPr>
          <w:noProof/>
        </w:rPr>
        <w:t>dek</w:t>
      </w:r>
      <w:r w:rsidRPr="00F66162">
        <w:rPr>
          <w:noProof/>
        </w:rPr>
        <w:t>laracji CBAM złożonej zgodnie</w:t>
      </w:r>
      <w:r w:rsidR="00825614" w:rsidRPr="00F66162">
        <w:rPr>
          <w:noProof/>
        </w:rPr>
        <w:t xml:space="preserve"> z</w:t>
      </w:r>
      <w:r w:rsidR="00825614">
        <w:rPr>
          <w:noProof/>
        </w:rPr>
        <w:t> </w:t>
      </w:r>
      <w:r w:rsidR="00825614" w:rsidRPr="00F66162">
        <w:rPr>
          <w:noProof/>
        </w:rPr>
        <w:t>art</w:t>
      </w:r>
      <w:r w:rsidRPr="00F66162">
        <w:rPr>
          <w:noProof/>
        </w:rPr>
        <w:t>. 6 został zweryfikowany przez weryfikatora akredytowanego zgodnie</w:t>
      </w:r>
      <w:r w:rsidR="00825614" w:rsidRPr="00F66162">
        <w:rPr>
          <w:noProof/>
        </w:rPr>
        <w:t xml:space="preserve"> z</w:t>
      </w:r>
      <w:r w:rsidR="00825614">
        <w:rPr>
          <w:noProof/>
        </w:rPr>
        <w:t> </w:t>
      </w:r>
      <w:r w:rsidR="00825614" w:rsidRPr="00F66162">
        <w:rPr>
          <w:noProof/>
        </w:rPr>
        <w:t>art</w:t>
      </w:r>
      <w:r w:rsidRPr="00F66162">
        <w:rPr>
          <w:noProof/>
        </w:rPr>
        <w:t>. 18</w:t>
      </w:r>
      <w:r w:rsidR="00825614" w:rsidRPr="00F66162">
        <w:rPr>
          <w:noProof/>
        </w:rPr>
        <w:t xml:space="preserve"> w</w:t>
      </w:r>
      <w:r w:rsidR="00825614">
        <w:rPr>
          <w:noProof/>
        </w:rPr>
        <w:t> </w:t>
      </w:r>
      <w:r w:rsidR="00825614" w:rsidRPr="00F66162">
        <w:rPr>
          <w:noProof/>
        </w:rPr>
        <w:t>opa</w:t>
      </w:r>
      <w:r w:rsidRPr="00F66162">
        <w:rPr>
          <w:noProof/>
        </w:rPr>
        <w:t>rciu</w:t>
      </w:r>
      <w:r w:rsidR="00825614" w:rsidRPr="00F66162">
        <w:rPr>
          <w:noProof/>
        </w:rPr>
        <w:t xml:space="preserve"> o</w:t>
      </w:r>
      <w:r w:rsidR="00825614">
        <w:rPr>
          <w:noProof/>
        </w:rPr>
        <w:t> </w:t>
      </w:r>
      <w:r w:rsidR="00825614" w:rsidRPr="00F66162">
        <w:rPr>
          <w:noProof/>
        </w:rPr>
        <w:t>zas</w:t>
      </w:r>
      <w:r w:rsidRPr="00F66162">
        <w:rPr>
          <w:noProof/>
        </w:rPr>
        <w:t>ady weryfikacji określone</w:t>
      </w:r>
      <w:r w:rsidR="00825614" w:rsidRPr="00F66162">
        <w:rPr>
          <w:noProof/>
        </w:rPr>
        <w:t xml:space="preserve"> w</w:t>
      </w:r>
      <w:r w:rsidR="00825614">
        <w:rPr>
          <w:noProof/>
        </w:rPr>
        <w:t> </w:t>
      </w:r>
      <w:r w:rsidR="00825614" w:rsidRPr="00F66162">
        <w:rPr>
          <w:noProof/>
        </w:rPr>
        <w:t>zał</w:t>
      </w:r>
      <w:r w:rsidRPr="00F66162">
        <w:rPr>
          <w:noProof/>
        </w:rPr>
        <w:t>ączniku VI.”;</w:t>
      </w:r>
    </w:p>
    <w:p w14:paraId="320E8ED8" w14:textId="1F704BC8" w:rsidR="003F15F8" w:rsidRPr="00F66162" w:rsidRDefault="0074784E" w:rsidP="0074784E">
      <w:pPr>
        <w:pStyle w:val="Point0"/>
        <w:rPr>
          <w:noProof/>
        </w:rPr>
      </w:pPr>
      <w:r w:rsidRPr="00F66162">
        <w:rPr>
          <w:noProof/>
        </w:rPr>
        <w:t>7.</w:t>
      </w:r>
      <w:r w:rsidRPr="00F66162">
        <w:rPr>
          <w:noProof/>
        </w:rPr>
        <w:tab/>
      </w:r>
      <w:r w:rsidRPr="00825614">
        <w:rPr>
          <w:noProof/>
        </w:rPr>
        <w:t>art.</w:t>
      </w:r>
      <w:r w:rsidR="00825614" w:rsidRPr="00825614">
        <w:rPr>
          <w:noProof/>
        </w:rPr>
        <w:t> </w:t>
      </w:r>
      <w:r w:rsidRPr="00825614">
        <w:rPr>
          <w:noProof/>
        </w:rPr>
        <w:t>9</w:t>
      </w:r>
      <w:r w:rsidRPr="00F66162">
        <w:rPr>
          <w:noProof/>
        </w:rPr>
        <w:t xml:space="preserve"> otrzymuje brzmienie:</w:t>
      </w:r>
    </w:p>
    <w:p w14:paraId="738ACD1B" w14:textId="77777777" w:rsidR="00081E85" w:rsidRPr="00F66162" w:rsidRDefault="002A2137" w:rsidP="00CD359D">
      <w:pPr>
        <w:pStyle w:val="Titrearticle"/>
        <w:rPr>
          <w:noProof/>
        </w:rPr>
      </w:pPr>
      <w:r w:rsidRPr="00F66162">
        <w:rPr>
          <w:noProof/>
        </w:rPr>
        <w:t>„Artykuł 9</w:t>
      </w:r>
    </w:p>
    <w:p w14:paraId="2EEB8071" w14:textId="731D0B70" w:rsidR="00081E85" w:rsidRPr="00F66162" w:rsidRDefault="58FD30F9" w:rsidP="00CD359D">
      <w:pPr>
        <w:pStyle w:val="Titrearticle"/>
        <w:rPr>
          <w:b/>
          <w:bCs/>
          <w:noProof/>
        </w:rPr>
      </w:pPr>
      <w:r w:rsidRPr="00F66162">
        <w:rPr>
          <w:b/>
          <w:noProof/>
        </w:rPr>
        <w:t>Opłata emisyjna uiszczana</w:t>
      </w:r>
      <w:r w:rsidR="00825614" w:rsidRPr="00F66162">
        <w:rPr>
          <w:b/>
          <w:noProof/>
        </w:rPr>
        <w:t xml:space="preserve"> w</w:t>
      </w:r>
      <w:r w:rsidR="00825614">
        <w:rPr>
          <w:b/>
          <w:noProof/>
        </w:rPr>
        <w:t> </w:t>
      </w:r>
      <w:r w:rsidR="00825614" w:rsidRPr="00F66162">
        <w:rPr>
          <w:b/>
          <w:noProof/>
        </w:rPr>
        <w:t>pań</w:t>
      </w:r>
      <w:r w:rsidRPr="00F66162">
        <w:rPr>
          <w:b/>
          <w:noProof/>
        </w:rPr>
        <w:t>stwie trzecim</w:t>
      </w:r>
    </w:p>
    <w:p w14:paraId="1BAB3DCE" w14:textId="1F022327" w:rsidR="00081E85" w:rsidRPr="00F66162" w:rsidRDefault="002A2137" w:rsidP="002A2137">
      <w:pPr>
        <w:ind w:left="850"/>
        <w:rPr>
          <w:noProof/>
        </w:rPr>
      </w:pPr>
      <w:r w:rsidRPr="00F66162">
        <w:rPr>
          <w:noProof/>
        </w:rPr>
        <w:t>1</w:t>
      </w:r>
      <w:r w:rsidR="00825614" w:rsidRPr="00F66162">
        <w:rPr>
          <w:noProof/>
        </w:rPr>
        <w:t>. W</w:t>
      </w:r>
      <w:r w:rsidR="00825614">
        <w:rPr>
          <w:noProof/>
        </w:rPr>
        <w:t> </w:t>
      </w:r>
      <w:r w:rsidR="00825614" w:rsidRPr="00F66162">
        <w:rPr>
          <w:noProof/>
        </w:rPr>
        <w:t>cel</w:t>
      </w:r>
      <w:r w:rsidRPr="00F66162">
        <w:rPr>
          <w:noProof/>
        </w:rPr>
        <w:t>u uwzględnienia opłaty emisyjnej uiszczonej</w:t>
      </w:r>
      <w:r w:rsidR="00825614" w:rsidRPr="00F66162">
        <w:rPr>
          <w:noProof/>
        </w:rPr>
        <w:t xml:space="preserve"> w</w:t>
      </w:r>
      <w:r w:rsidR="00825614">
        <w:rPr>
          <w:noProof/>
        </w:rPr>
        <w:t> </w:t>
      </w:r>
      <w:r w:rsidR="00825614" w:rsidRPr="00F66162">
        <w:rPr>
          <w:noProof/>
        </w:rPr>
        <w:t>pań</w:t>
      </w:r>
      <w:r w:rsidRPr="00F66162">
        <w:rPr>
          <w:noProof/>
        </w:rPr>
        <w:t>stwie trzecim</w:t>
      </w:r>
      <w:r w:rsidR="00825614" w:rsidRPr="00F66162">
        <w:rPr>
          <w:noProof/>
        </w:rPr>
        <w:t xml:space="preserve"> w</w:t>
      </w:r>
      <w:r w:rsidR="00825614">
        <w:rPr>
          <w:noProof/>
        </w:rPr>
        <w:t> </w:t>
      </w:r>
      <w:r w:rsidR="00825614" w:rsidRPr="00F66162">
        <w:rPr>
          <w:noProof/>
        </w:rPr>
        <w:t>odn</w:t>
      </w:r>
      <w:r w:rsidRPr="00F66162">
        <w:rPr>
          <w:noProof/>
        </w:rPr>
        <w:t>iesieniu do zadeklarowanych emisji wbudowanych upoważniony zgłaszający CBAM może zgłosić</w:t>
      </w:r>
      <w:r w:rsidR="00825614" w:rsidRPr="00F66162">
        <w:rPr>
          <w:noProof/>
        </w:rPr>
        <w:t xml:space="preserve"> w</w:t>
      </w:r>
      <w:r w:rsidR="00825614">
        <w:rPr>
          <w:noProof/>
        </w:rPr>
        <w:t> </w:t>
      </w:r>
      <w:r w:rsidR="00825614" w:rsidRPr="00F66162">
        <w:rPr>
          <w:noProof/>
        </w:rPr>
        <w:t>swo</w:t>
      </w:r>
      <w:r w:rsidRPr="00F66162">
        <w:rPr>
          <w:noProof/>
        </w:rPr>
        <w:t>jej deklaracji CBAM zmniejszenie liczby certyfikatów CBAM, które mają zostać przekazane do umorzenia. Zmniejszenie można zgłosić tylko wtedy, gdy opłata emisyjna została faktycznie uiszczona</w:t>
      </w:r>
      <w:r w:rsidR="00825614" w:rsidRPr="00F66162">
        <w:rPr>
          <w:noProof/>
        </w:rPr>
        <w:t xml:space="preserve"> w</w:t>
      </w:r>
      <w:r w:rsidR="00825614">
        <w:rPr>
          <w:noProof/>
        </w:rPr>
        <w:t> </w:t>
      </w:r>
      <w:r w:rsidR="00825614" w:rsidRPr="00F66162">
        <w:rPr>
          <w:noProof/>
        </w:rPr>
        <w:t>pań</w:t>
      </w:r>
      <w:r w:rsidRPr="00F66162">
        <w:rPr>
          <w:noProof/>
        </w:rPr>
        <w:t>stwie trzecim</w:t>
      </w:r>
      <w:r w:rsidR="00825614" w:rsidRPr="00F66162">
        <w:rPr>
          <w:noProof/>
        </w:rPr>
        <w:t>. W</w:t>
      </w:r>
      <w:r w:rsidR="00825614">
        <w:rPr>
          <w:noProof/>
        </w:rPr>
        <w:t> </w:t>
      </w:r>
      <w:r w:rsidR="00825614" w:rsidRPr="00F66162">
        <w:rPr>
          <w:noProof/>
        </w:rPr>
        <w:t>tak</w:t>
      </w:r>
      <w:r w:rsidRPr="00F66162">
        <w:rPr>
          <w:noProof/>
        </w:rPr>
        <w:t>im przypadku uwzględnia się rabaty lub inne formy rekompensaty dostępne</w:t>
      </w:r>
      <w:r w:rsidR="00825614" w:rsidRPr="00F66162">
        <w:rPr>
          <w:noProof/>
        </w:rPr>
        <w:t xml:space="preserve"> w</w:t>
      </w:r>
      <w:r w:rsidR="00825614">
        <w:rPr>
          <w:noProof/>
        </w:rPr>
        <w:t> </w:t>
      </w:r>
      <w:r w:rsidR="00825614" w:rsidRPr="00F66162">
        <w:rPr>
          <w:noProof/>
        </w:rPr>
        <w:t>tym</w:t>
      </w:r>
      <w:r w:rsidRPr="00F66162">
        <w:rPr>
          <w:noProof/>
        </w:rPr>
        <w:t xml:space="preserve"> państwie, które skutkują obniżeniem tej opłaty. </w:t>
      </w:r>
    </w:p>
    <w:p w14:paraId="136EB7A5" w14:textId="6F239ECC" w:rsidR="00B279C4" w:rsidRPr="00F66162" w:rsidRDefault="002664AA" w:rsidP="002664AA">
      <w:pPr>
        <w:ind w:left="850"/>
        <w:rPr>
          <w:noProof/>
        </w:rPr>
      </w:pPr>
      <w:r w:rsidRPr="00F66162">
        <w:rPr>
          <w:noProof/>
        </w:rPr>
        <w:lastRenderedPageBreak/>
        <w:t>2. Upoważniony zgłaszający CBAM prowadzi rejestry dokumentów wymaganych do wykazania, że zadeklarowane emisje wbudowane podlegały</w:t>
      </w:r>
      <w:r w:rsidR="00825614" w:rsidRPr="00F66162">
        <w:rPr>
          <w:noProof/>
        </w:rPr>
        <w:t xml:space="preserve"> w</w:t>
      </w:r>
      <w:r w:rsidR="00825614">
        <w:rPr>
          <w:noProof/>
        </w:rPr>
        <w:t> </w:t>
      </w:r>
      <w:r w:rsidR="00825614" w:rsidRPr="00F66162">
        <w:rPr>
          <w:noProof/>
        </w:rPr>
        <w:t>pań</w:t>
      </w:r>
      <w:r w:rsidRPr="00F66162">
        <w:rPr>
          <w:noProof/>
        </w:rPr>
        <w:t>stwie trzecim opłacie emisyjnej, która została faktycznie uiszczona zgodnie</w:t>
      </w:r>
      <w:r w:rsidR="00825614" w:rsidRPr="00F66162">
        <w:rPr>
          <w:noProof/>
        </w:rPr>
        <w:t xml:space="preserve"> z</w:t>
      </w:r>
      <w:r w:rsidR="00825614">
        <w:rPr>
          <w:noProof/>
        </w:rPr>
        <w:t> </w:t>
      </w:r>
      <w:r w:rsidR="00825614" w:rsidRPr="00F66162">
        <w:rPr>
          <w:noProof/>
        </w:rPr>
        <w:t>ust</w:t>
      </w:r>
      <w:r w:rsidRPr="00F66162">
        <w:rPr>
          <w:noProof/>
        </w:rPr>
        <w:t>. 1. Upoważniony zgłaszający CBAM przechowuje</w:t>
      </w:r>
      <w:r w:rsidR="00825614" w:rsidRPr="00F66162">
        <w:rPr>
          <w:noProof/>
        </w:rPr>
        <w:t xml:space="preserve"> w</w:t>
      </w:r>
      <w:r w:rsidR="00825614">
        <w:rPr>
          <w:noProof/>
        </w:rPr>
        <w:t> </w:t>
      </w:r>
      <w:r w:rsidR="00825614" w:rsidRPr="00F66162">
        <w:rPr>
          <w:noProof/>
        </w:rPr>
        <w:t>szc</w:t>
      </w:r>
      <w:r w:rsidRPr="00F66162">
        <w:rPr>
          <w:noProof/>
        </w:rPr>
        <w:t>zególności dowody dotyczące dostępnych rabatów lub innych form rekompensaty, zwłaszcza odniesienia do odpowiednich przepisów prawa tego państwa. Informacje zawarte</w:t>
      </w:r>
      <w:r w:rsidR="00825614" w:rsidRPr="00F66162">
        <w:rPr>
          <w:noProof/>
        </w:rPr>
        <w:t xml:space="preserve"> w</w:t>
      </w:r>
      <w:r w:rsidR="00825614">
        <w:rPr>
          <w:noProof/>
        </w:rPr>
        <w:t> </w:t>
      </w:r>
      <w:r w:rsidR="00825614" w:rsidRPr="00F66162">
        <w:rPr>
          <w:noProof/>
        </w:rPr>
        <w:t>tej</w:t>
      </w:r>
      <w:r w:rsidRPr="00F66162">
        <w:rPr>
          <w:noProof/>
        </w:rPr>
        <w:t xml:space="preserve"> dokumentacji poświadcza osoba niezależna od upoważnionego zgłaszającego CBAM i od organów danego państwa trzeciego. Imię</w:t>
      </w:r>
      <w:r w:rsidR="00825614" w:rsidRPr="00F66162">
        <w:rPr>
          <w:noProof/>
        </w:rPr>
        <w:t xml:space="preserve"> i</w:t>
      </w:r>
      <w:r w:rsidR="00825614">
        <w:rPr>
          <w:noProof/>
        </w:rPr>
        <w:t> </w:t>
      </w:r>
      <w:r w:rsidR="00825614" w:rsidRPr="00F66162">
        <w:rPr>
          <w:noProof/>
        </w:rPr>
        <w:t>naz</w:t>
      </w:r>
      <w:r w:rsidRPr="00F66162">
        <w:rPr>
          <w:noProof/>
        </w:rPr>
        <w:t>wisko lub nazwa oraz dane kontaktowe tej niezależnej osoby są wskazane</w:t>
      </w:r>
      <w:r w:rsidR="00825614" w:rsidRPr="00F66162">
        <w:rPr>
          <w:noProof/>
        </w:rPr>
        <w:t xml:space="preserve"> w</w:t>
      </w:r>
      <w:r w:rsidR="00825614">
        <w:rPr>
          <w:noProof/>
        </w:rPr>
        <w:t> </w:t>
      </w:r>
      <w:r w:rsidR="00825614" w:rsidRPr="00F66162">
        <w:rPr>
          <w:noProof/>
        </w:rPr>
        <w:t>dok</w:t>
      </w:r>
      <w:r w:rsidRPr="00F66162">
        <w:rPr>
          <w:noProof/>
        </w:rPr>
        <w:t>umentacji. Upoważniony zgłaszający CBAM przechowuje również dowody faktycznego uiszczenia opłaty emisyjnej.</w:t>
      </w:r>
    </w:p>
    <w:p w14:paraId="1987E413" w14:textId="1F87B880" w:rsidR="00081E85" w:rsidRPr="00F66162" w:rsidRDefault="00B279C4" w:rsidP="002664AA">
      <w:pPr>
        <w:ind w:left="850"/>
        <w:rPr>
          <w:noProof/>
        </w:rPr>
      </w:pPr>
      <w:r w:rsidRPr="00F66162">
        <w:rPr>
          <w:noProof/>
        </w:rPr>
        <w:t>3. Upoważniony zgłaszający CBAM przechowuje rejestry,</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2, do końca czwartego roku po roku,</w:t>
      </w:r>
      <w:r w:rsidR="00825614" w:rsidRPr="00F66162">
        <w:rPr>
          <w:noProof/>
        </w:rPr>
        <w:t xml:space="preserve"> w</w:t>
      </w:r>
      <w:r w:rsidR="00825614">
        <w:rPr>
          <w:noProof/>
        </w:rPr>
        <w:t> </w:t>
      </w:r>
      <w:r w:rsidR="00825614" w:rsidRPr="00F66162">
        <w:rPr>
          <w:noProof/>
        </w:rPr>
        <w:t>któ</w:t>
      </w:r>
      <w:r w:rsidRPr="00F66162">
        <w:rPr>
          <w:noProof/>
        </w:rPr>
        <w:t>rym złożono lub</w:t>
      </w:r>
      <w:r w:rsidR="00825614" w:rsidRPr="00F66162">
        <w:rPr>
          <w:noProof/>
        </w:rPr>
        <w:t xml:space="preserve"> w</w:t>
      </w:r>
      <w:r w:rsidR="00825614">
        <w:rPr>
          <w:noProof/>
        </w:rPr>
        <w:t> </w:t>
      </w:r>
      <w:r w:rsidR="00825614" w:rsidRPr="00F66162">
        <w:rPr>
          <w:noProof/>
        </w:rPr>
        <w:t>któ</w:t>
      </w:r>
      <w:r w:rsidRPr="00F66162">
        <w:rPr>
          <w:noProof/>
        </w:rPr>
        <w:t xml:space="preserve">rym należało złożyć deklarację CBAM. </w:t>
      </w:r>
    </w:p>
    <w:p w14:paraId="0D456A0C" w14:textId="395312B4" w:rsidR="00035EEC" w:rsidRPr="00F66162" w:rsidRDefault="2FCB2E32" w:rsidP="00035EEC">
      <w:pPr>
        <w:ind w:left="850"/>
        <w:rPr>
          <w:noProof/>
        </w:rPr>
      </w:pPr>
      <w:r w:rsidRPr="00F66162">
        <w:rPr>
          <w:noProof/>
        </w:rPr>
        <w:t xml:space="preserve">3a. Na zasadzie odstępstwa od </w:t>
      </w:r>
      <w:r w:rsidRPr="00825614">
        <w:rPr>
          <w:noProof/>
        </w:rPr>
        <w:t>ust.</w:t>
      </w:r>
      <w:r w:rsidR="00825614" w:rsidRPr="00825614">
        <w:rPr>
          <w:noProof/>
        </w:rPr>
        <w:t> </w:t>
      </w:r>
      <w:r w:rsidRPr="00825614">
        <w:rPr>
          <w:noProof/>
        </w:rPr>
        <w:t>1</w:t>
      </w:r>
      <w:r w:rsidRPr="00F66162">
        <w:rPr>
          <w:noProof/>
        </w:rPr>
        <w:t>, 2</w:t>
      </w:r>
      <w:r w:rsidR="00825614" w:rsidRPr="00F66162">
        <w:rPr>
          <w:noProof/>
        </w:rPr>
        <w:t xml:space="preserve"> i</w:t>
      </w:r>
      <w:r w:rsidR="00825614">
        <w:rPr>
          <w:noProof/>
        </w:rPr>
        <w:t> </w:t>
      </w:r>
      <w:r w:rsidR="00825614" w:rsidRPr="00F66162">
        <w:rPr>
          <w:noProof/>
        </w:rPr>
        <w:t>3</w:t>
      </w:r>
      <w:r w:rsidRPr="00F66162">
        <w:rPr>
          <w:noProof/>
        </w:rPr>
        <w:t>,</w:t>
      </w:r>
      <w:r w:rsidR="00825614" w:rsidRPr="00F66162">
        <w:rPr>
          <w:noProof/>
        </w:rPr>
        <w:t xml:space="preserve"> w</w:t>
      </w:r>
      <w:r w:rsidR="00825614">
        <w:rPr>
          <w:noProof/>
        </w:rPr>
        <w:t> </w:t>
      </w:r>
      <w:r w:rsidR="00825614" w:rsidRPr="00F66162">
        <w:rPr>
          <w:noProof/>
        </w:rPr>
        <w:t>prz</w:t>
      </w:r>
      <w:r w:rsidRPr="00F66162">
        <w:rPr>
          <w:noProof/>
        </w:rPr>
        <w:t>ypadku gdy nie można ustalić opłaty emisyjnej faktycznie uiszczonej</w:t>
      </w:r>
      <w:r w:rsidR="00825614" w:rsidRPr="00F66162">
        <w:rPr>
          <w:noProof/>
        </w:rPr>
        <w:t xml:space="preserve"> w</w:t>
      </w:r>
      <w:r w:rsidR="00825614">
        <w:rPr>
          <w:noProof/>
        </w:rPr>
        <w:t> </w:t>
      </w:r>
      <w:r w:rsidR="00825614" w:rsidRPr="00F66162">
        <w:rPr>
          <w:noProof/>
        </w:rPr>
        <w:t>pań</w:t>
      </w:r>
      <w:r w:rsidRPr="00F66162">
        <w:rPr>
          <w:noProof/>
        </w:rPr>
        <w:t>stwie trzecim</w:t>
      </w:r>
      <w:r w:rsidR="00825614" w:rsidRPr="00F66162">
        <w:rPr>
          <w:noProof/>
        </w:rPr>
        <w:t xml:space="preserve"> w</w:t>
      </w:r>
      <w:r w:rsidR="00825614">
        <w:rPr>
          <w:noProof/>
        </w:rPr>
        <w:t> </w:t>
      </w:r>
      <w:r w:rsidR="00825614" w:rsidRPr="00F66162">
        <w:rPr>
          <w:noProof/>
        </w:rPr>
        <w:t>odn</w:t>
      </w:r>
      <w:r w:rsidRPr="00F66162">
        <w:rPr>
          <w:noProof/>
        </w:rPr>
        <w:t>iesieniu do zadeklarowanych emisji wbudowanych, upoważniony zgłaszający CBAM może zgłosić</w:t>
      </w:r>
      <w:r w:rsidR="00825614" w:rsidRPr="00F66162">
        <w:rPr>
          <w:noProof/>
        </w:rPr>
        <w:t xml:space="preserve"> w</w:t>
      </w:r>
      <w:r w:rsidR="00825614">
        <w:rPr>
          <w:noProof/>
        </w:rPr>
        <w:t> </w:t>
      </w:r>
      <w:r w:rsidR="00825614" w:rsidRPr="00F66162">
        <w:rPr>
          <w:noProof/>
        </w:rPr>
        <w:t>swo</w:t>
      </w:r>
      <w:r w:rsidRPr="00F66162">
        <w:rPr>
          <w:noProof/>
        </w:rPr>
        <w:t>jej deklaracji CBAM zmniejszenie liczby certyfikatów CBAM, które mają zostać przekazane do umorzenia,</w:t>
      </w:r>
      <w:r w:rsidR="00825614" w:rsidRPr="00F66162">
        <w:rPr>
          <w:noProof/>
        </w:rPr>
        <w:t xml:space="preserve"> w</w:t>
      </w:r>
      <w:r w:rsidR="00825614">
        <w:rPr>
          <w:noProof/>
        </w:rPr>
        <w:t> </w:t>
      </w:r>
      <w:r w:rsidR="00825614" w:rsidRPr="00F66162">
        <w:rPr>
          <w:noProof/>
        </w:rPr>
        <w:t>cel</w:t>
      </w:r>
      <w:r w:rsidRPr="00F66162">
        <w:rPr>
          <w:noProof/>
        </w:rPr>
        <w:t>u uwzględnienia tej opłaty emisyjnej</w:t>
      </w:r>
      <w:r w:rsidR="00825614" w:rsidRPr="00F66162">
        <w:rPr>
          <w:noProof/>
        </w:rPr>
        <w:t xml:space="preserve"> w</w:t>
      </w:r>
      <w:r w:rsidR="00825614">
        <w:rPr>
          <w:noProof/>
        </w:rPr>
        <w:t> </w:t>
      </w:r>
      <w:r w:rsidR="00825614" w:rsidRPr="00F66162">
        <w:rPr>
          <w:noProof/>
        </w:rPr>
        <w:t>odn</w:t>
      </w:r>
      <w:r w:rsidRPr="00F66162">
        <w:rPr>
          <w:noProof/>
        </w:rPr>
        <w:t>iesieniu do zadeklarowanych emisji wbudowanych, poprzez odniesienie do rocznych domyślnych opłat emisyjnych</w:t>
      </w:r>
      <w:r w:rsidR="00825614" w:rsidRPr="00F66162">
        <w:rPr>
          <w:noProof/>
        </w:rPr>
        <w:t>. W</w:t>
      </w:r>
      <w:r w:rsidR="00825614">
        <w:rPr>
          <w:noProof/>
        </w:rPr>
        <w:t> </w:t>
      </w:r>
      <w:r w:rsidR="00825614" w:rsidRPr="00F66162">
        <w:rPr>
          <w:noProof/>
        </w:rPr>
        <w:t>tak</w:t>
      </w:r>
      <w:r w:rsidRPr="00F66162">
        <w:rPr>
          <w:noProof/>
        </w:rPr>
        <w:t>im przypadku uwzględnia się rabaty lub inne formy rekompensaty dostępne</w:t>
      </w:r>
      <w:r w:rsidR="00825614" w:rsidRPr="00F66162">
        <w:rPr>
          <w:noProof/>
        </w:rPr>
        <w:t xml:space="preserve"> w</w:t>
      </w:r>
      <w:r w:rsidR="00825614">
        <w:rPr>
          <w:noProof/>
        </w:rPr>
        <w:t> </w:t>
      </w:r>
      <w:r w:rsidR="00825614" w:rsidRPr="00F66162">
        <w:rPr>
          <w:noProof/>
        </w:rPr>
        <w:t>tym</w:t>
      </w:r>
      <w:r w:rsidRPr="00F66162">
        <w:rPr>
          <w:noProof/>
        </w:rPr>
        <w:t xml:space="preserve"> państwie, które skutkują obniżeniem domyślnej opłaty emisyjnej</w:t>
      </w:r>
      <w:r w:rsidR="00825614" w:rsidRPr="00F66162">
        <w:rPr>
          <w:noProof/>
        </w:rPr>
        <w:t>. O</w:t>
      </w:r>
      <w:r w:rsidR="00825614">
        <w:rPr>
          <w:noProof/>
        </w:rPr>
        <w:t> </w:t>
      </w:r>
      <w:r w:rsidR="00825614" w:rsidRPr="00F66162">
        <w:rPr>
          <w:noProof/>
        </w:rPr>
        <w:t>obn</w:t>
      </w:r>
      <w:r w:rsidRPr="00F66162">
        <w:rPr>
          <w:noProof/>
        </w:rPr>
        <w:t>iżenie takiej opłaty można wnioskować tylko wówczas, gdy opłatę emisyjną ustalono na podstawie przepisów mających zastosowanie</w:t>
      </w:r>
      <w:r w:rsidR="00825614" w:rsidRPr="00F66162">
        <w:rPr>
          <w:noProof/>
        </w:rPr>
        <w:t xml:space="preserve"> w</w:t>
      </w:r>
      <w:r w:rsidR="00825614">
        <w:rPr>
          <w:noProof/>
        </w:rPr>
        <w:t> </w:t>
      </w:r>
      <w:r w:rsidR="00825614" w:rsidRPr="00F66162">
        <w:rPr>
          <w:noProof/>
        </w:rPr>
        <w:t>dan</w:t>
      </w:r>
      <w:r w:rsidRPr="00F66162">
        <w:rPr>
          <w:noProof/>
        </w:rPr>
        <w:t>ym państwie trzecim,</w:t>
      </w:r>
      <w:r w:rsidR="00825614" w:rsidRPr="00F66162">
        <w:rPr>
          <w:noProof/>
        </w:rPr>
        <w:t xml:space="preserve"> w</w:t>
      </w:r>
      <w:r w:rsidR="00825614">
        <w:rPr>
          <w:noProof/>
        </w:rPr>
        <w:t> </w:t>
      </w:r>
      <w:r w:rsidR="00825614" w:rsidRPr="00F66162">
        <w:rPr>
          <w:noProof/>
        </w:rPr>
        <w:t>odn</w:t>
      </w:r>
      <w:r w:rsidRPr="00F66162">
        <w:rPr>
          <w:noProof/>
        </w:rPr>
        <w:t>iesieniu do którego można ustalić roczną domyślną opłatę emisyjną,</w:t>
      </w:r>
      <w:r w:rsidR="00825614" w:rsidRPr="00F66162">
        <w:rPr>
          <w:noProof/>
        </w:rPr>
        <w:t xml:space="preserve"> w</w:t>
      </w:r>
      <w:r w:rsidR="00825614">
        <w:rPr>
          <w:noProof/>
        </w:rPr>
        <w:t> </w:t>
      </w:r>
      <w:r w:rsidR="00825614" w:rsidRPr="00F66162">
        <w:rPr>
          <w:noProof/>
        </w:rPr>
        <w:t>tym</w:t>
      </w:r>
      <w:r w:rsidRPr="00F66162">
        <w:rPr>
          <w:noProof/>
        </w:rPr>
        <w:t xml:space="preserve"> na podstawie ostrożnych założeń.</w:t>
      </w:r>
    </w:p>
    <w:p w14:paraId="3B020A3A" w14:textId="5A6575BF" w:rsidR="00081E85" w:rsidRPr="00F66162" w:rsidRDefault="4580D096" w:rsidP="00035EEC">
      <w:pPr>
        <w:ind w:left="850"/>
        <w:rPr>
          <w:noProof/>
        </w:rPr>
      </w:pPr>
      <w:r w:rsidRPr="00F66162">
        <w:rPr>
          <w:noProof/>
        </w:rPr>
        <w:t>Od 20</w:t>
      </w:r>
      <w:r w:rsidRPr="00825614">
        <w:rPr>
          <w:noProof/>
        </w:rPr>
        <w:t>27</w:t>
      </w:r>
      <w:r w:rsidR="00825614" w:rsidRPr="00825614">
        <w:rPr>
          <w:noProof/>
        </w:rPr>
        <w:t> </w:t>
      </w:r>
      <w:r w:rsidRPr="00825614">
        <w:rPr>
          <w:noProof/>
        </w:rPr>
        <w:t>r.</w:t>
      </w:r>
      <w:r w:rsidRPr="00F66162">
        <w:rPr>
          <w:noProof/>
        </w:rPr>
        <w:t xml:space="preserve"> Komisja może,</w:t>
      </w:r>
      <w:r w:rsidR="00825614" w:rsidRPr="00F66162">
        <w:rPr>
          <w:noProof/>
        </w:rPr>
        <w:t xml:space="preserve"> w</w:t>
      </w:r>
      <w:r w:rsidR="00825614">
        <w:rPr>
          <w:noProof/>
        </w:rPr>
        <w:t> </w:t>
      </w:r>
      <w:r w:rsidR="00825614" w:rsidRPr="00F66162">
        <w:rPr>
          <w:noProof/>
        </w:rPr>
        <w:t>odn</w:t>
      </w:r>
      <w:r w:rsidRPr="00F66162">
        <w:rPr>
          <w:noProof/>
        </w:rPr>
        <w:t>iesieniu do państw trzecich,</w:t>
      </w:r>
      <w:r w:rsidR="00825614" w:rsidRPr="00F66162">
        <w:rPr>
          <w:noProof/>
        </w:rPr>
        <w:t xml:space="preserve"> w</w:t>
      </w:r>
      <w:r w:rsidR="00825614">
        <w:rPr>
          <w:noProof/>
        </w:rPr>
        <w:t> </w:t>
      </w:r>
      <w:r w:rsidR="00825614" w:rsidRPr="00F66162">
        <w:rPr>
          <w:noProof/>
        </w:rPr>
        <w:t>któ</w:t>
      </w:r>
      <w:r w:rsidRPr="00F66162">
        <w:rPr>
          <w:noProof/>
        </w:rPr>
        <w:t>rych istnieją przepisy dotyczące ustalania opłat emisyjnych, określić domyślne opłaty emisyjne –</w:t>
      </w:r>
      <w:r w:rsidR="00825614" w:rsidRPr="00F66162">
        <w:rPr>
          <w:noProof/>
        </w:rPr>
        <w:t xml:space="preserve"> w</w:t>
      </w:r>
      <w:r w:rsidR="00825614">
        <w:rPr>
          <w:noProof/>
        </w:rPr>
        <w:t> </w:t>
      </w:r>
      <w:r w:rsidR="00825614" w:rsidRPr="00F66162">
        <w:rPr>
          <w:noProof/>
        </w:rPr>
        <w:t>opa</w:t>
      </w:r>
      <w:r w:rsidRPr="00F66162">
        <w:rPr>
          <w:noProof/>
        </w:rPr>
        <w:t>rciu</w:t>
      </w:r>
      <w:r w:rsidR="00825614" w:rsidRPr="00F66162">
        <w:rPr>
          <w:noProof/>
        </w:rPr>
        <w:t xml:space="preserve"> o</w:t>
      </w:r>
      <w:r w:rsidR="00825614">
        <w:rPr>
          <w:noProof/>
        </w:rPr>
        <w:t> </w:t>
      </w:r>
      <w:r w:rsidR="00825614" w:rsidRPr="00F66162">
        <w:rPr>
          <w:noProof/>
        </w:rPr>
        <w:t>naj</w:t>
      </w:r>
      <w:r w:rsidRPr="00F66162">
        <w:rPr>
          <w:noProof/>
        </w:rPr>
        <w:t>lepsze dostępne dane</w:t>
      </w:r>
      <w:r w:rsidR="00825614" w:rsidRPr="00F66162">
        <w:rPr>
          <w:noProof/>
        </w:rPr>
        <w:t xml:space="preserve"> z</w:t>
      </w:r>
      <w:r w:rsidR="00825614">
        <w:rPr>
          <w:noProof/>
        </w:rPr>
        <w:t> </w:t>
      </w:r>
      <w:r w:rsidR="00825614" w:rsidRPr="00F66162">
        <w:rPr>
          <w:noProof/>
        </w:rPr>
        <w:t>wia</w:t>
      </w:r>
      <w:r w:rsidRPr="00F66162">
        <w:rPr>
          <w:noProof/>
        </w:rPr>
        <w:t>rygodnych, publicznie dostępnych źródeł</w:t>
      </w:r>
      <w:r w:rsidR="00825614" w:rsidRPr="00F66162">
        <w:rPr>
          <w:noProof/>
        </w:rPr>
        <w:t xml:space="preserve"> i</w:t>
      </w:r>
      <w:r w:rsidR="00825614">
        <w:rPr>
          <w:noProof/>
        </w:rPr>
        <w:t> </w:t>
      </w:r>
      <w:r w:rsidR="00825614" w:rsidRPr="00F66162">
        <w:rPr>
          <w:noProof/>
        </w:rPr>
        <w:t>inf</w:t>
      </w:r>
      <w:r w:rsidRPr="00F66162">
        <w:rPr>
          <w:noProof/>
        </w:rPr>
        <w:t>ormacje dostarczone przez te państwa trzecie – opublikować zastosowaną metodykę</w:t>
      </w:r>
      <w:r w:rsidR="00825614" w:rsidRPr="00F66162">
        <w:rPr>
          <w:noProof/>
        </w:rPr>
        <w:t xml:space="preserve"> i</w:t>
      </w:r>
      <w:r w:rsidR="00825614">
        <w:rPr>
          <w:noProof/>
        </w:rPr>
        <w:t> </w:t>
      </w:r>
      <w:r w:rsidR="00825614" w:rsidRPr="00F66162">
        <w:rPr>
          <w:noProof/>
        </w:rPr>
        <w:t>udo</w:t>
      </w:r>
      <w:r w:rsidRPr="00F66162">
        <w:rPr>
          <w:noProof/>
        </w:rPr>
        <w:t>stępnić określone</w:t>
      </w:r>
      <w:r w:rsidR="00825614" w:rsidRPr="00F66162">
        <w:rPr>
          <w:noProof/>
        </w:rPr>
        <w:t xml:space="preserve"> w</w:t>
      </w:r>
      <w:r w:rsidR="00825614">
        <w:rPr>
          <w:noProof/>
        </w:rPr>
        <w:t> </w:t>
      </w:r>
      <w:r w:rsidR="00825614" w:rsidRPr="00F66162">
        <w:rPr>
          <w:noProof/>
        </w:rPr>
        <w:t>ten</w:t>
      </w:r>
      <w:r w:rsidRPr="00F66162">
        <w:rPr>
          <w:noProof/>
        </w:rPr>
        <w:t xml:space="preserve"> sposób opłaty</w:t>
      </w:r>
      <w:r w:rsidR="00825614" w:rsidRPr="00F66162">
        <w:rPr>
          <w:noProof/>
        </w:rPr>
        <w:t xml:space="preserve"> w</w:t>
      </w:r>
      <w:r w:rsidR="00825614">
        <w:rPr>
          <w:noProof/>
        </w:rPr>
        <w:t> </w:t>
      </w:r>
      <w:r w:rsidR="00825614" w:rsidRPr="00F66162">
        <w:rPr>
          <w:noProof/>
        </w:rPr>
        <w:t>rej</w:t>
      </w:r>
      <w:r w:rsidRPr="00F66162">
        <w:rPr>
          <w:noProof/>
        </w:rPr>
        <w:t>estrze CBAM,</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4</w:t>
      </w:r>
      <w:r w:rsidR="00825614" w:rsidRPr="00F66162">
        <w:rPr>
          <w:noProof/>
        </w:rPr>
        <w:t>. W</w:t>
      </w:r>
      <w:r w:rsidR="00825614">
        <w:rPr>
          <w:noProof/>
        </w:rPr>
        <w:t> </w:t>
      </w:r>
      <w:r w:rsidR="00825614" w:rsidRPr="00F66162">
        <w:rPr>
          <w:noProof/>
        </w:rPr>
        <w:t>tak</w:t>
      </w:r>
      <w:r w:rsidRPr="00F66162">
        <w:rPr>
          <w:noProof/>
        </w:rPr>
        <w:t>im przypadku uwzględnia się rabaty lub inne formy rekompensaty dostępne</w:t>
      </w:r>
      <w:r w:rsidR="00825614" w:rsidRPr="00F66162">
        <w:rPr>
          <w:noProof/>
        </w:rPr>
        <w:t xml:space="preserve"> w</w:t>
      </w:r>
      <w:r w:rsidR="00825614">
        <w:rPr>
          <w:noProof/>
        </w:rPr>
        <w:t> </w:t>
      </w:r>
      <w:r w:rsidR="00825614" w:rsidRPr="00F66162">
        <w:rPr>
          <w:noProof/>
        </w:rPr>
        <w:t>tym</w:t>
      </w:r>
      <w:r w:rsidRPr="00F66162">
        <w:rPr>
          <w:noProof/>
        </w:rPr>
        <w:t xml:space="preserve"> państwie, które skutkują obniżeniem domyślnej opłaty emisyjnej. </w:t>
      </w:r>
    </w:p>
    <w:p w14:paraId="584F31EE" w14:textId="1FD835B1" w:rsidR="00081E85" w:rsidRPr="00F66162" w:rsidRDefault="00BF79FF" w:rsidP="003556CE">
      <w:pPr>
        <w:ind w:left="850"/>
        <w:rPr>
          <w:noProof/>
        </w:rPr>
      </w:pPr>
      <w:r w:rsidRPr="00F66162">
        <w:rPr>
          <w:noProof/>
        </w:rPr>
        <w:t>4. Komisja jest uprawniona do przyjmowania aktów wykonawczych dotyczących przeliczania średniej rocznej opłaty emisyjnej faktycznie uiszczonej zgodnie</w:t>
      </w:r>
      <w:r w:rsidR="00825614" w:rsidRPr="00F66162">
        <w:rPr>
          <w:noProof/>
        </w:rPr>
        <w:t xml:space="preserve"> z</w:t>
      </w:r>
      <w:r w:rsidR="00825614">
        <w:rPr>
          <w:noProof/>
        </w:rPr>
        <w:t> </w:t>
      </w:r>
      <w:r w:rsidR="00825614" w:rsidRPr="00825614">
        <w:rPr>
          <w:noProof/>
        </w:rPr>
        <w:t>ust</w:t>
      </w:r>
      <w:r w:rsidRPr="00825614">
        <w:rPr>
          <w:noProof/>
        </w:rPr>
        <w:t>.</w:t>
      </w:r>
      <w:r w:rsidR="00825614" w:rsidRPr="00825614">
        <w:rPr>
          <w:noProof/>
        </w:rPr>
        <w:t> </w:t>
      </w:r>
      <w:r w:rsidRPr="00825614">
        <w:rPr>
          <w:noProof/>
        </w:rPr>
        <w:t>1</w:t>
      </w:r>
      <w:r w:rsidRPr="00F66162">
        <w:rPr>
          <w:noProof/>
        </w:rPr>
        <w:t xml:space="preserve"> oraz rocznych domyślnych opłat emisyjnych</w:t>
      </w:r>
      <w:r w:rsidR="00825614" w:rsidRPr="00F66162">
        <w:rPr>
          <w:noProof/>
        </w:rPr>
        <w:t xml:space="preserve"> w</w:t>
      </w:r>
      <w:r w:rsidR="00825614">
        <w:rPr>
          <w:noProof/>
        </w:rPr>
        <w:t> </w:t>
      </w:r>
      <w:r w:rsidR="00825614" w:rsidRPr="00F66162">
        <w:rPr>
          <w:noProof/>
        </w:rPr>
        <w:t>odn</w:t>
      </w:r>
      <w:r w:rsidRPr="00F66162">
        <w:rPr>
          <w:noProof/>
        </w:rPr>
        <w:t>iesieniu do poszczególnych państw trzecich, zgodnie</w:t>
      </w:r>
      <w:r w:rsidR="00825614" w:rsidRPr="00F66162">
        <w:rPr>
          <w:noProof/>
        </w:rPr>
        <w:t xml:space="preserve"> z</w:t>
      </w:r>
      <w:r w:rsidR="00825614">
        <w:rPr>
          <w:noProof/>
        </w:rPr>
        <w:t> </w:t>
      </w:r>
      <w:r w:rsidR="00825614" w:rsidRPr="00825614">
        <w:rPr>
          <w:noProof/>
        </w:rPr>
        <w:t>ust</w:t>
      </w:r>
      <w:r w:rsidRPr="00825614">
        <w:rPr>
          <w:noProof/>
        </w:rPr>
        <w:t>.</w:t>
      </w:r>
      <w:r w:rsidR="00825614" w:rsidRPr="00825614">
        <w:rPr>
          <w:noProof/>
        </w:rPr>
        <w:t> </w:t>
      </w:r>
      <w:r w:rsidRPr="00825614">
        <w:rPr>
          <w:noProof/>
        </w:rPr>
        <w:t>3</w:t>
      </w:r>
      <w:r w:rsidRPr="00F66162">
        <w:rPr>
          <w:noProof/>
        </w:rPr>
        <w:t>a, na odpowiednią redukcję liczby certyfikatów CBAM, które mają zostać przekazane do umorzenia. Te akty dotyczą również przeliczania kwoty opłaty emisyjnej wyrażonej</w:t>
      </w:r>
      <w:r w:rsidR="00825614" w:rsidRPr="00F66162">
        <w:rPr>
          <w:noProof/>
        </w:rPr>
        <w:t xml:space="preserve"> w</w:t>
      </w:r>
      <w:r w:rsidR="00825614">
        <w:rPr>
          <w:noProof/>
        </w:rPr>
        <w:t> </w:t>
      </w:r>
      <w:r w:rsidR="00825614" w:rsidRPr="00F66162">
        <w:rPr>
          <w:noProof/>
        </w:rPr>
        <w:t>wal</w:t>
      </w:r>
      <w:r w:rsidRPr="00F66162">
        <w:rPr>
          <w:noProof/>
        </w:rPr>
        <w:t>ucie obcej na euro po średnim rocznym kursie wymiany, wymaganych dowodów faktycznego uiszczenia opłaty emisyjnej, przykładów odpowiednich rabatów lub innych form rekompensaty,</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1, oraz kwalifikacji niezależnej osoby,</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F66162">
        <w:rPr>
          <w:noProof/>
        </w:rPr>
        <w:t>ust</w:t>
      </w:r>
      <w:r w:rsidRPr="00F66162">
        <w:rPr>
          <w:noProof/>
        </w:rPr>
        <w:t>. 2 niniejszego artykułu,</w:t>
      </w:r>
      <w:r w:rsidR="00825614" w:rsidRPr="00F66162">
        <w:rPr>
          <w:noProof/>
        </w:rPr>
        <w:t xml:space="preserve"> a</w:t>
      </w:r>
      <w:r w:rsidR="00825614">
        <w:rPr>
          <w:noProof/>
        </w:rPr>
        <w:t> </w:t>
      </w:r>
      <w:r w:rsidR="00825614" w:rsidRPr="00F66162">
        <w:rPr>
          <w:noProof/>
        </w:rPr>
        <w:t>tak</w:t>
      </w:r>
      <w:r w:rsidRPr="00F66162">
        <w:rPr>
          <w:noProof/>
        </w:rPr>
        <w:t>że warunków służących ustaleniu jej niezależności. Te akty wykonawcze przyjmuje się zgodnie</w:t>
      </w:r>
      <w:r w:rsidR="00825614" w:rsidRPr="00F66162">
        <w:rPr>
          <w:noProof/>
        </w:rPr>
        <w:t xml:space="preserve"> z</w:t>
      </w:r>
      <w:r w:rsidR="00825614">
        <w:rPr>
          <w:noProof/>
        </w:rPr>
        <w:t> </w:t>
      </w:r>
      <w:r w:rsidR="00825614" w:rsidRPr="00F66162">
        <w:rPr>
          <w:noProof/>
        </w:rPr>
        <w:t>pro</w:t>
      </w:r>
      <w:r w:rsidRPr="00F66162">
        <w:rPr>
          <w:noProof/>
        </w:rPr>
        <w:t>cedurą sprawdzającą,</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F66162">
        <w:rPr>
          <w:noProof/>
        </w:rPr>
        <w:t>art</w:t>
      </w:r>
      <w:r w:rsidRPr="00F66162">
        <w:rPr>
          <w:noProof/>
        </w:rPr>
        <w:t xml:space="preserve">. 29 ust. 2.”; </w:t>
      </w:r>
    </w:p>
    <w:p w14:paraId="713B4FA6" w14:textId="06BA3D47" w:rsidR="00453006" w:rsidRPr="00F66162" w:rsidRDefault="0074784E" w:rsidP="0074784E">
      <w:pPr>
        <w:pStyle w:val="Point0"/>
        <w:rPr>
          <w:noProof/>
        </w:rPr>
      </w:pPr>
      <w:r w:rsidRPr="00F66162">
        <w:rPr>
          <w:noProof/>
        </w:rPr>
        <w:t>8.</w:t>
      </w:r>
      <w:r w:rsidRPr="00F66162">
        <w:rPr>
          <w:noProof/>
        </w:rPr>
        <w:tab/>
      </w:r>
      <w:r w:rsidRPr="00825614">
        <w:rPr>
          <w:noProof/>
        </w:rPr>
        <w:t>art.</w:t>
      </w:r>
      <w:r w:rsidR="00825614" w:rsidRPr="00825614">
        <w:rPr>
          <w:noProof/>
        </w:rPr>
        <w:t> </w:t>
      </w:r>
      <w:r w:rsidRPr="00825614">
        <w:rPr>
          <w:noProof/>
        </w:rPr>
        <w:t>1</w:t>
      </w:r>
      <w:r w:rsidRPr="00F66162">
        <w:rPr>
          <w:noProof/>
        </w:rPr>
        <w:t xml:space="preserve">0 otrzymuje brzmienie: </w:t>
      </w:r>
    </w:p>
    <w:p w14:paraId="0B6B8B7E" w14:textId="77777777" w:rsidR="003E087B" w:rsidRPr="00F66162" w:rsidRDefault="003E087B" w:rsidP="00CD359D">
      <w:pPr>
        <w:pStyle w:val="Titrearticle"/>
        <w:rPr>
          <w:noProof/>
        </w:rPr>
      </w:pPr>
      <w:r w:rsidRPr="00F66162">
        <w:rPr>
          <w:noProof/>
        </w:rPr>
        <w:lastRenderedPageBreak/>
        <w:t>„Artykuł 10</w:t>
      </w:r>
    </w:p>
    <w:p w14:paraId="37D321BD" w14:textId="10952D42" w:rsidR="003E087B" w:rsidRPr="00F66162" w:rsidRDefault="003E087B" w:rsidP="00CD359D">
      <w:pPr>
        <w:pStyle w:val="Titrearticle"/>
        <w:rPr>
          <w:b/>
          <w:bCs/>
          <w:noProof/>
        </w:rPr>
      </w:pPr>
      <w:r w:rsidRPr="00F66162">
        <w:rPr>
          <w:b/>
          <w:noProof/>
        </w:rPr>
        <w:t>Rejestracja operatorów</w:t>
      </w:r>
      <w:r w:rsidR="00825614" w:rsidRPr="00F66162">
        <w:rPr>
          <w:b/>
          <w:noProof/>
        </w:rPr>
        <w:t xml:space="preserve"> i</w:t>
      </w:r>
      <w:r w:rsidR="00825614">
        <w:rPr>
          <w:b/>
          <w:noProof/>
        </w:rPr>
        <w:t> </w:t>
      </w:r>
      <w:r w:rsidR="00825614" w:rsidRPr="00F66162">
        <w:rPr>
          <w:b/>
          <w:noProof/>
        </w:rPr>
        <w:t>ins</w:t>
      </w:r>
      <w:r w:rsidRPr="00F66162">
        <w:rPr>
          <w:b/>
          <w:noProof/>
        </w:rPr>
        <w:t>talacji</w:t>
      </w:r>
      <w:r w:rsidR="00825614" w:rsidRPr="00F66162">
        <w:rPr>
          <w:b/>
          <w:noProof/>
        </w:rPr>
        <w:t xml:space="preserve"> w</w:t>
      </w:r>
      <w:r w:rsidR="00825614">
        <w:rPr>
          <w:b/>
          <w:noProof/>
        </w:rPr>
        <w:t> </w:t>
      </w:r>
      <w:r w:rsidR="00825614" w:rsidRPr="00F66162">
        <w:rPr>
          <w:b/>
          <w:noProof/>
        </w:rPr>
        <w:t>pań</w:t>
      </w:r>
      <w:r w:rsidRPr="00F66162">
        <w:rPr>
          <w:b/>
          <w:noProof/>
        </w:rPr>
        <w:t>stwach trzecich</w:t>
      </w:r>
    </w:p>
    <w:p w14:paraId="39C215A5" w14:textId="2961EF37" w:rsidR="003E087B" w:rsidRPr="00F66162" w:rsidRDefault="00100A19" w:rsidP="001925C8">
      <w:pPr>
        <w:ind w:left="850"/>
        <w:rPr>
          <w:noProof/>
        </w:rPr>
      </w:pPr>
      <w:r w:rsidRPr="00F66162">
        <w:rPr>
          <w:noProof/>
        </w:rPr>
        <w:t>1. Na wniosek operatora instalacji znajdującej się</w:t>
      </w:r>
      <w:r w:rsidR="00825614" w:rsidRPr="00F66162">
        <w:rPr>
          <w:noProof/>
        </w:rPr>
        <w:t xml:space="preserve"> w</w:t>
      </w:r>
      <w:r w:rsidR="00825614">
        <w:rPr>
          <w:noProof/>
        </w:rPr>
        <w:t> </w:t>
      </w:r>
      <w:r w:rsidR="00825614" w:rsidRPr="00F66162">
        <w:rPr>
          <w:noProof/>
        </w:rPr>
        <w:t>pań</w:t>
      </w:r>
      <w:r w:rsidRPr="00F66162">
        <w:rPr>
          <w:noProof/>
        </w:rPr>
        <w:t>stwie trzecim Komisja rejestruje informacje dotyczące tego operatora</w:t>
      </w:r>
      <w:r w:rsidR="00825614" w:rsidRPr="00F66162">
        <w:rPr>
          <w:noProof/>
        </w:rPr>
        <w:t xml:space="preserve"> i</w:t>
      </w:r>
      <w:r w:rsidR="00825614">
        <w:rPr>
          <w:noProof/>
        </w:rPr>
        <w:t> </w:t>
      </w:r>
      <w:r w:rsidR="00825614" w:rsidRPr="00F66162">
        <w:rPr>
          <w:noProof/>
        </w:rPr>
        <w:t>jeg</w:t>
      </w:r>
      <w:r w:rsidRPr="00F66162">
        <w:rPr>
          <w:noProof/>
        </w:rPr>
        <w:t>o instalacji</w:t>
      </w:r>
      <w:r w:rsidR="00825614" w:rsidRPr="00F66162">
        <w:rPr>
          <w:noProof/>
        </w:rPr>
        <w:t xml:space="preserve"> w</w:t>
      </w:r>
      <w:r w:rsidR="00825614">
        <w:rPr>
          <w:noProof/>
        </w:rPr>
        <w:t> </w:t>
      </w:r>
      <w:r w:rsidR="00825614" w:rsidRPr="00F66162">
        <w:rPr>
          <w:noProof/>
        </w:rPr>
        <w:t>rej</w:t>
      </w:r>
      <w:r w:rsidRPr="00F66162">
        <w:rPr>
          <w:noProof/>
        </w:rPr>
        <w:t>estrze CBAM,</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F66162">
        <w:rPr>
          <w:noProof/>
        </w:rPr>
        <w:t>art</w:t>
      </w:r>
      <w:r w:rsidRPr="00F66162">
        <w:rPr>
          <w:noProof/>
        </w:rPr>
        <w:t xml:space="preserve">. 14. </w:t>
      </w:r>
    </w:p>
    <w:p w14:paraId="65C52771" w14:textId="33941839" w:rsidR="003E087B" w:rsidRPr="00F66162" w:rsidRDefault="00100A19" w:rsidP="001925C8">
      <w:pPr>
        <w:ind w:left="850"/>
        <w:rPr>
          <w:noProof/>
        </w:rPr>
      </w:pPr>
      <w:r w:rsidRPr="00F66162">
        <w:rPr>
          <w:noProof/>
        </w:rPr>
        <w:t>2. Wniosek</w:t>
      </w:r>
      <w:r w:rsidR="00825614" w:rsidRPr="00F66162">
        <w:rPr>
          <w:noProof/>
        </w:rPr>
        <w:t xml:space="preserve"> o</w:t>
      </w:r>
      <w:r w:rsidR="00825614">
        <w:rPr>
          <w:noProof/>
        </w:rPr>
        <w:t> </w:t>
      </w:r>
      <w:r w:rsidR="00825614" w:rsidRPr="00F66162">
        <w:rPr>
          <w:noProof/>
        </w:rPr>
        <w:t>rej</w:t>
      </w:r>
      <w:r w:rsidRPr="00F66162">
        <w:rPr>
          <w:noProof/>
        </w:rPr>
        <w:t>estrację,</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F66162">
        <w:rPr>
          <w:noProof/>
        </w:rPr>
        <w:t>ust</w:t>
      </w:r>
      <w:r w:rsidRPr="00F66162">
        <w:rPr>
          <w:noProof/>
        </w:rPr>
        <w:t>. 1, zawiera następujące informacje, które mają zostać umieszczone</w:t>
      </w:r>
      <w:r w:rsidR="00825614" w:rsidRPr="00F66162">
        <w:rPr>
          <w:noProof/>
        </w:rPr>
        <w:t xml:space="preserve"> w</w:t>
      </w:r>
      <w:r w:rsidR="00825614">
        <w:rPr>
          <w:noProof/>
        </w:rPr>
        <w:t> </w:t>
      </w:r>
      <w:r w:rsidR="00825614" w:rsidRPr="00F66162">
        <w:rPr>
          <w:noProof/>
        </w:rPr>
        <w:t>rej</w:t>
      </w:r>
      <w:r w:rsidRPr="00F66162">
        <w:rPr>
          <w:noProof/>
        </w:rPr>
        <w:t xml:space="preserve">estrze CBAM po dokonaniu rejestracji: </w:t>
      </w:r>
    </w:p>
    <w:p w14:paraId="57870559" w14:textId="0B7DD715" w:rsidR="003E087B" w:rsidRPr="00F66162" w:rsidRDefault="00100A19" w:rsidP="00CD359D">
      <w:pPr>
        <w:ind w:left="850"/>
        <w:rPr>
          <w:noProof/>
        </w:rPr>
      </w:pPr>
      <w:r w:rsidRPr="00F66162">
        <w:rPr>
          <w:noProof/>
        </w:rPr>
        <w:t>a) imię</w:t>
      </w:r>
      <w:r w:rsidR="00825614" w:rsidRPr="00F66162">
        <w:rPr>
          <w:noProof/>
        </w:rPr>
        <w:t xml:space="preserve"> i</w:t>
      </w:r>
      <w:r w:rsidR="00825614">
        <w:rPr>
          <w:noProof/>
        </w:rPr>
        <w:t> </w:t>
      </w:r>
      <w:r w:rsidR="00825614" w:rsidRPr="00F66162">
        <w:rPr>
          <w:noProof/>
        </w:rPr>
        <w:t>naz</w:t>
      </w:r>
      <w:r w:rsidRPr="00F66162">
        <w:rPr>
          <w:noProof/>
        </w:rPr>
        <w:t>wisko lub nazwę, adres, numer wpisu do rejestru przedsiębiorców lub rejestru działalności gospodarczej, dane kontaktowe operatora oraz,</w:t>
      </w:r>
      <w:r w:rsidR="00825614" w:rsidRPr="00F66162">
        <w:rPr>
          <w:noProof/>
        </w:rPr>
        <w:t xml:space="preserve"> w</w:t>
      </w:r>
      <w:r w:rsidR="00825614">
        <w:rPr>
          <w:noProof/>
        </w:rPr>
        <w:t> </w:t>
      </w:r>
      <w:r w:rsidR="00825614" w:rsidRPr="00F66162">
        <w:rPr>
          <w:noProof/>
        </w:rPr>
        <w:t>sto</w:t>
      </w:r>
      <w:r w:rsidRPr="00F66162">
        <w:rPr>
          <w:noProof/>
        </w:rPr>
        <w:t>sownych przypadkach, podmiotu sprawującego nad nim kontrolę,</w:t>
      </w:r>
      <w:r w:rsidR="00825614" w:rsidRPr="00F66162">
        <w:rPr>
          <w:noProof/>
        </w:rPr>
        <w:t xml:space="preserve"> w</w:t>
      </w:r>
      <w:r w:rsidR="00825614">
        <w:rPr>
          <w:noProof/>
        </w:rPr>
        <w:t> </w:t>
      </w:r>
      <w:r w:rsidR="00825614" w:rsidRPr="00F66162">
        <w:rPr>
          <w:noProof/>
        </w:rPr>
        <w:t>tym</w:t>
      </w:r>
      <w:r w:rsidRPr="00F66162">
        <w:rPr>
          <w:noProof/>
        </w:rPr>
        <w:t xml:space="preserve"> jego spółki dominującej, wraz</w:t>
      </w:r>
      <w:r w:rsidR="00825614" w:rsidRPr="00F66162">
        <w:rPr>
          <w:noProof/>
        </w:rPr>
        <w:t xml:space="preserve"> z</w:t>
      </w:r>
      <w:r w:rsidR="00825614">
        <w:rPr>
          <w:noProof/>
        </w:rPr>
        <w:t> </w:t>
      </w:r>
      <w:r w:rsidR="00825614" w:rsidRPr="00F66162">
        <w:rPr>
          <w:noProof/>
        </w:rPr>
        <w:t>dok</w:t>
      </w:r>
      <w:r w:rsidRPr="00F66162">
        <w:rPr>
          <w:noProof/>
        </w:rPr>
        <w:t>umentami potwierdzającymi;</w:t>
      </w:r>
    </w:p>
    <w:p w14:paraId="71E5055D" w14:textId="4BCE2BEF" w:rsidR="003E087B" w:rsidRPr="00F66162" w:rsidRDefault="00100A19" w:rsidP="00CD359D">
      <w:pPr>
        <w:ind w:left="850"/>
        <w:rPr>
          <w:noProof/>
        </w:rPr>
      </w:pPr>
      <w:r w:rsidRPr="00F66162">
        <w:rPr>
          <w:noProof/>
        </w:rPr>
        <w:t>b) położenie każdej instalacji,</w:t>
      </w:r>
      <w:r w:rsidR="00825614" w:rsidRPr="00F66162">
        <w:rPr>
          <w:noProof/>
        </w:rPr>
        <w:t xml:space="preserve"> w</w:t>
      </w:r>
      <w:r w:rsidR="00825614">
        <w:rPr>
          <w:noProof/>
        </w:rPr>
        <w:t> </w:t>
      </w:r>
      <w:r w:rsidR="00825614" w:rsidRPr="00F66162">
        <w:rPr>
          <w:noProof/>
        </w:rPr>
        <w:t>tym</w:t>
      </w:r>
      <w:r w:rsidRPr="00F66162">
        <w:rPr>
          <w:noProof/>
        </w:rPr>
        <w:t xml:space="preserve"> pełny adres</w:t>
      </w:r>
      <w:r w:rsidR="00825614" w:rsidRPr="00F66162">
        <w:rPr>
          <w:noProof/>
        </w:rPr>
        <w:t xml:space="preserve"> i</w:t>
      </w:r>
      <w:r w:rsidR="00825614">
        <w:rPr>
          <w:noProof/>
        </w:rPr>
        <w:t> </w:t>
      </w:r>
      <w:r w:rsidR="00825614" w:rsidRPr="00F66162">
        <w:rPr>
          <w:noProof/>
        </w:rPr>
        <w:t>wsp</w:t>
      </w:r>
      <w:r w:rsidRPr="00F66162">
        <w:rPr>
          <w:noProof/>
        </w:rPr>
        <w:t>ółrzędne wyrażone jako długość</w:t>
      </w:r>
      <w:r w:rsidR="00825614" w:rsidRPr="00F66162">
        <w:rPr>
          <w:noProof/>
        </w:rPr>
        <w:t xml:space="preserve"> i</w:t>
      </w:r>
      <w:r w:rsidR="00825614">
        <w:rPr>
          <w:noProof/>
        </w:rPr>
        <w:t> </w:t>
      </w:r>
      <w:r w:rsidR="00825614" w:rsidRPr="00F66162">
        <w:rPr>
          <w:noProof/>
        </w:rPr>
        <w:t>sze</w:t>
      </w:r>
      <w:r w:rsidRPr="00F66162">
        <w:rPr>
          <w:noProof/>
        </w:rPr>
        <w:t>rokość geograficzna</w:t>
      </w:r>
      <w:r w:rsidR="00825614" w:rsidRPr="00F66162">
        <w:rPr>
          <w:noProof/>
        </w:rPr>
        <w:t xml:space="preserve"> z</w:t>
      </w:r>
      <w:r w:rsidR="00825614">
        <w:rPr>
          <w:noProof/>
        </w:rPr>
        <w:t> </w:t>
      </w:r>
      <w:r w:rsidR="00825614" w:rsidRPr="00F66162">
        <w:rPr>
          <w:noProof/>
        </w:rPr>
        <w:t>dok</w:t>
      </w:r>
      <w:r w:rsidRPr="00F66162">
        <w:rPr>
          <w:noProof/>
        </w:rPr>
        <w:t xml:space="preserve">ładnością do sześciu miejsc po przecinku; </w:t>
      </w:r>
    </w:p>
    <w:p w14:paraId="7A0BBF69" w14:textId="77777777" w:rsidR="003E087B" w:rsidRPr="00F66162" w:rsidRDefault="00100A19" w:rsidP="00CD359D">
      <w:pPr>
        <w:ind w:left="850"/>
        <w:rPr>
          <w:noProof/>
        </w:rPr>
      </w:pPr>
      <w:r w:rsidRPr="00F66162">
        <w:rPr>
          <w:noProof/>
        </w:rPr>
        <w:t>c) wskazanie głównej działalności instalacji.</w:t>
      </w:r>
    </w:p>
    <w:p w14:paraId="2FBB1E73" w14:textId="1DA5769C" w:rsidR="003E087B" w:rsidRPr="00F66162" w:rsidRDefault="00100A19" w:rsidP="001925C8">
      <w:pPr>
        <w:ind w:left="850"/>
        <w:rPr>
          <w:noProof/>
        </w:rPr>
      </w:pPr>
      <w:r w:rsidRPr="00F66162">
        <w:rPr>
          <w:noProof/>
        </w:rPr>
        <w:t>3. Komisja powiadamia operatora</w:t>
      </w:r>
      <w:r w:rsidR="00825614" w:rsidRPr="00F66162">
        <w:rPr>
          <w:noProof/>
        </w:rPr>
        <w:t xml:space="preserve"> o</w:t>
      </w:r>
      <w:r w:rsidR="00825614">
        <w:rPr>
          <w:noProof/>
        </w:rPr>
        <w:t> </w:t>
      </w:r>
      <w:r w:rsidR="00825614" w:rsidRPr="00F66162">
        <w:rPr>
          <w:noProof/>
        </w:rPr>
        <w:t>rej</w:t>
      </w:r>
      <w:r w:rsidRPr="00F66162">
        <w:rPr>
          <w:noProof/>
        </w:rPr>
        <w:t>estracji</w:t>
      </w:r>
      <w:r w:rsidR="00825614" w:rsidRPr="00F66162">
        <w:rPr>
          <w:noProof/>
        </w:rPr>
        <w:t xml:space="preserve"> w</w:t>
      </w:r>
      <w:r w:rsidR="00825614">
        <w:rPr>
          <w:noProof/>
        </w:rPr>
        <w:t> </w:t>
      </w:r>
      <w:r w:rsidR="00825614" w:rsidRPr="00F66162">
        <w:rPr>
          <w:noProof/>
        </w:rPr>
        <w:t>rej</w:t>
      </w:r>
      <w:r w:rsidRPr="00F66162">
        <w:rPr>
          <w:noProof/>
        </w:rPr>
        <w:t>estrze CBAM. Rejestracja jest ważna przez okres pięciu lat od daty powiadomienia</w:t>
      </w:r>
      <w:r w:rsidR="00825614" w:rsidRPr="00F66162">
        <w:rPr>
          <w:noProof/>
        </w:rPr>
        <w:t xml:space="preserve"> o</w:t>
      </w:r>
      <w:r w:rsidR="00825614">
        <w:rPr>
          <w:noProof/>
        </w:rPr>
        <w:t> </w:t>
      </w:r>
      <w:r w:rsidR="00825614" w:rsidRPr="00F66162">
        <w:rPr>
          <w:noProof/>
        </w:rPr>
        <w:t>nie</w:t>
      </w:r>
      <w:r w:rsidRPr="00F66162">
        <w:rPr>
          <w:noProof/>
        </w:rPr>
        <w:t xml:space="preserve">j operatora instalacji. </w:t>
      </w:r>
    </w:p>
    <w:p w14:paraId="388BECA2" w14:textId="0904B20E" w:rsidR="003E087B" w:rsidRPr="00F66162" w:rsidRDefault="00100A19" w:rsidP="001925C8">
      <w:pPr>
        <w:ind w:left="850"/>
        <w:rPr>
          <w:noProof/>
        </w:rPr>
      </w:pPr>
      <w:r w:rsidRPr="00F66162">
        <w:rPr>
          <w:noProof/>
        </w:rPr>
        <w:t>4. Operator bezzwłocznie powiadamia Komisję</w:t>
      </w:r>
      <w:r w:rsidR="00825614" w:rsidRPr="00F66162">
        <w:rPr>
          <w:noProof/>
        </w:rPr>
        <w:t xml:space="preserve"> o</w:t>
      </w:r>
      <w:r w:rsidR="00825614">
        <w:rPr>
          <w:noProof/>
        </w:rPr>
        <w:t> </w:t>
      </w:r>
      <w:r w:rsidR="00825614" w:rsidRPr="00F66162">
        <w:rPr>
          <w:noProof/>
        </w:rPr>
        <w:t>zmi</w:t>
      </w:r>
      <w:r w:rsidRPr="00F66162">
        <w:rPr>
          <w:noProof/>
        </w:rPr>
        <w:t>anach</w:t>
      </w:r>
      <w:r w:rsidR="00825614" w:rsidRPr="00F66162">
        <w:rPr>
          <w:noProof/>
        </w:rPr>
        <w:t xml:space="preserve"> w</w:t>
      </w:r>
      <w:r w:rsidR="00825614">
        <w:rPr>
          <w:noProof/>
        </w:rPr>
        <w:t> </w:t>
      </w:r>
      <w:r w:rsidR="00825614" w:rsidRPr="00F66162">
        <w:rPr>
          <w:noProof/>
        </w:rPr>
        <w:t>zak</w:t>
      </w:r>
      <w:r w:rsidRPr="00F66162">
        <w:rPr>
          <w:noProof/>
        </w:rPr>
        <w:t>resie informacji,</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2, zaistniałych po dokonaniu rejestracji,</w:t>
      </w:r>
      <w:r w:rsidR="00825614" w:rsidRPr="00F66162">
        <w:rPr>
          <w:noProof/>
        </w:rPr>
        <w:t xml:space="preserve"> a</w:t>
      </w:r>
      <w:r w:rsidR="00825614">
        <w:rPr>
          <w:noProof/>
        </w:rPr>
        <w:t> </w:t>
      </w:r>
      <w:r w:rsidR="00825614" w:rsidRPr="00F66162">
        <w:rPr>
          <w:noProof/>
        </w:rPr>
        <w:t>Kom</w:t>
      </w:r>
      <w:r w:rsidRPr="00F66162">
        <w:rPr>
          <w:noProof/>
        </w:rPr>
        <w:t>isja aktualizuje odpowiednie informacje</w:t>
      </w:r>
      <w:r w:rsidR="00825614" w:rsidRPr="00F66162">
        <w:rPr>
          <w:noProof/>
        </w:rPr>
        <w:t xml:space="preserve"> w</w:t>
      </w:r>
      <w:r w:rsidR="00825614">
        <w:rPr>
          <w:noProof/>
        </w:rPr>
        <w:t> </w:t>
      </w:r>
      <w:r w:rsidR="00825614" w:rsidRPr="00F66162">
        <w:rPr>
          <w:noProof/>
        </w:rPr>
        <w:t>rej</w:t>
      </w:r>
      <w:r w:rsidRPr="00F66162">
        <w:rPr>
          <w:noProof/>
        </w:rPr>
        <w:t xml:space="preserve">estrze CBAM. </w:t>
      </w:r>
    </w:p>
    <w:p w14:paraId="6B01C7EF" w14:textId="77777777" w:rsidR="003E087B" w:rsidRPr="00F66162" w:rsidRDefault="00100A19" w:rsidP="001925C8">
      <w:pPr>
        <w:ind w:left="850"/>
        <w:rPr>
          <w:noProof/>
        </w:rPr>
      </w:pPr>
      <w:r w:rsidRPr="00F66162">
        <w:rPr>
          <w:noProof/>
        </w:rPr>
        <w:t xml:space="preserve">5. Operator: </w:t>
      </w:r>
    </w:p>
    <w:p w14:paraId="3E6007CC" w14:textId="1388DA75" w:rsidR="003E087B" w:rsidRPr="00F66162" w:rsidRDefault="00100A19" w:rsidP="00CD359D">
      <w:pPr>
        <w:ind w:left="850"/>
        <w:rPr>
          <w:noProof/>
        </w:rPr>
      </w:pPr>
      <w:r w:rsidRPr="00F66162">
        <w:rPr>
          <w:noProof/>
        </w:rPr>
        <w:t>a) ustala poziom emisji wbudowanych, obliczonych zgodnie</w:t>
      </w:r>
      <w:r w:rsidR="00825614" w:rsidRPr="00F66162">
        <w:rPr>
          <w:noProof/>
        </w:rPr>
        <w:t xml:space="preserve"> z</w:t>
      </w:r>
      <w:r w:rsidR="00825614">
        <w:rPr>
          <w:noProof/>
        </w:rPr>
        <w:t> </w:t>
      </w:r>
      <w:r w:rsidR="00825614" w:rsidRPr="00F66162">
        <w:rPr>
          <w:noProof/>
        </w:rPr>
        <w:t>met</w:t>
      </w:r>
      <w:r w:rsidRPr="00F66162">
        <w:rPr>
          <w:noProof/>
        </w:rPr>
        <w:t>odami określonymi</w:t>
      </w:r>
      <w:r w:rsidR="00825614" w:rsidRPr="00F66162">
        <w:rPr>
          <w:noProof/>
        </w:rPr>
        <w:t xml:space="preserve"> w</w:t>
      </w:r>
      <w:r w:rsidR="00825614">
        <w:rPr>
          <w:noProof/>
        </w:rPr>
        <w:t> </w:t>
      </w:r>
      <w:r w:rsidR="00825614" w:rsidRPr="00F66162">
        <w:rPr>
          <w:noProof/>
        </w:rPr>
        <w:t>zał</w:t>
      </w:r>
      <w:r w:rsidRPr="00F66162">
        <w:rPr>
          <w:noProof/>
        </w:rPr>
        <w:t>ączniku IV,</w:t>
      </w:r>
      <w:r w:rsidR="00825614" w:rsidRPr="00F66162">
        <w:rPr>
          <w:noProof/>
        </w:rPr>
        <w:t xml:space="preserve"> w</w:t>
      </w:r>
      <w:r w:rsidR="00825614">
        <w:rPr>
          <w:noProof/>
        </w:rPr>
        <w:t> </w:t>
      </w:r>
      <w:r w:rsidR="00825614" w:rsidRPr="00F66162">
        <w:rPr>
          <w:noProof/>
        </w:rPr>
        <w:t>pod</w:t>
      </w:r>
      <w:r w:rsidRPr="00F66162">
        <w:rPr>
          <w:noProof/>
        </w:rPr>
        <w:t>ziale na rodzaje towarów produkowanych</w:t>
      </w:r>
      <w:r w:rsidR="00825614" w:rsidRPr="00F66162">
        <w:rPr>
          <w:noProof/>
        </w:rPr>
        <w:t xml:space="preserve"> w</w:t>
      </w:r>
      <w:r w:rsidR="00825614">
        <w:rPr>
          <w:noProof/>
        </w:rPr>
        <w:t> </w:t>
      </w:r>
      <w:r w:rsidR="00825614" w:rsidRPr="00F66162">
        <w:rPr>
          <w:noProof/>
        </w:rPr>
        <w:t>ins</w:t>
      </w:r>
      <w:r w:rsidRPr="00F66162">
        <w:rPr>
          <w:noProof/>
        </w:rPr>
        <w:t>talacji,</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F66162">
        <w:rPr>
          <w:noProof/>
        </w:rPr>
        <w:t>ust</w:t>
      </w:r>
      <w:r w:rsidRPr="00F66162">
        <w:rPr>
          <w:noProof/>
        </w:rPr>
        <w:t xml:space="preserve">. 1 niniejszego artykułu; </w:t>
      </w:r>
    </w:p>
    <w:p w14:paraId="0517ED36" w14:textId="06BD4422" w:rsidR="003E087B" w:rsidRPr="00F66162" w:rsidRDefault="00361C44" w:rsidP="00CD359D">
      <w:pPr>
        <w:ind w:left="850"/>
        <w:rPr>
          <w:noProof/>
        </w:rPr>
      </w:pPr>
      <w:r w:rsidRPr="00F66162">
        <w:rPr>
          <w:noProof/>
        </w:rPr>
        <w:t>b) zapewnia weryfikację emisji wbudowanych,</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lit</w:t>
      </w:r>
      <w:r w:rsidRPr="00F66162">
        <w:rPr>
          <w:noProof/>
        </w:rPr>
        <w:t>. a) niniejszego ustępu, zgodnie</w:t>
      </w:r>
      <w:r w:rsidR="00825614" w:rsidRPr="00F66162">
        <w:rPr>
          <w:noProof/>
        </w:rPr>
        <w:t xml:space="preserve"> z</w:t>
      </w:r>
      <w:r w:rsidR="00825614">
        <w:rPr>
          <w:noProof/>
        </w:rPr>
        <w:t> </w:t>
      </w:r>
      <w:r w:rsidR="00825614" w:rsidRPr="00F66162">
        <w:rPr>
          <w:noProof/>
        </w:rPr>
        <w:t>zas</w:t>
      </w:r>
      <w:r w:rsidRPr="00F66162">
        <w:rPr>
          <w:noProof/>
        </w:rPr>
        <w:t>adami weryfikacji określonymi</w:t>
      </w:r>
      <w:r w:rsidR="00825614" w:rsidRPr="00F66162">
        <w:rPr>
          <w:noProof/>
        </w:rPr>
        <w:t xml:space="preserve"> w</w:t>
      </w:r>
      <w:r w:rsidR="00825614">
        <w:rPr>
          <w:noProof/>
        </w:rPr>
        <w:t> </w:t>
      </w:r>
      <w:r w:rsidR="00825614" w:rsidRPr="00F66162">
        <w:rPr>
          <w:noProof/>
        </w:rPr>
        <w:t>zał</w:t>
      </w:r>
      <w:r w:rsidRPr="00F66162">
        <w:rPr>
          <w:noProof/>
        </w:rPr>
        <w:t>ączniku VI, dokonywaną przez weryfikatora akredytowanego zgodnie</w:t>
      </w:r>
      <w:r w:rsidR="00825614" w:rsidRPr="00F66162">
        <w:rPr>
          <w:noProof/>
        </w:rPr>
        <w:t xml:space="preserve"> z</w:t>
      </w:r>
      <w:r w:rsidR="00825614">
        <w:rPr>
          <w:noProof/>
        </w:rPr>
        <w:t> </w:t>
      </w:r>
      <w:r w:rsidR="00825614" w:rsidRPr="00F66162">
        <w:rPr>
          <w:noProof/>
        </w:rPr>
        <w:t>art</w:t>
      </w:r>
      <w:r w:rsidRPr="00F66162">
        <w:rPr>
          <w:noProof/>
        </w:rPr>
        <w:t>. 18;</w:t>
      </w:r>
    </w:p>
    <w:p w14:paraId="01F3EAC4" w14:textId="5949B2C9" w:rsidR="003E087B" w:rsidRPr="00F66162" w:rsidRDefault="00361C44" w:rsidP="00CD359D">
      <w:pPr>
        <w:ind w:left="850"/>
        <w:rPr>
          <w:noProof/>
        </w:rPr>
      </w:pPr>
      <w:r w:rsidRPr="00F66162">
        <w:rPr>
          <w:noProof/>
        </w:rPr>
        <w:t>c) przechowuje kopię sprawozdania</w:t>
      </w:r>
      <w:r w:rsidR="00825614" w:rsidRPr="00F66162">
        <w:rPr>
          <w:noProof/>
        </w:rPr>
        <w:t xml:space="preserve"> z</w:t>
      </w:r>
      <w:r w:rsidR="00825614">
        <w:rPr>
          <w:noProof/>
        </w:rPr>
        <w:t> </w:t>
      </w:r>
      <w:r w:rsidR="00825614" w:rsidRPr="00F66162">
        <w:rPr>
          <w:noProof/>
        </w:rPr>
        <w:t>wer</w:t>
      </w:r>
      <w:r w:rsidRPr="00F66162">
        <w:rPr>
          <w:noProof/>
        </w:rPr>
        <w:t>yfikacji</w:t>
      </w:r>
      <w:r w:rsidR="00825614" w:rsidRPr="00F66162">
        <w:rPr>
          <w:noProof/>
        </w:rPr>
        <w:t xml:space="preserve"> i</w:t>
      </w:r>
      <w:r w:rsidR="00825614">
        <w:rPr>
          <w:noProof/>
        </w:rPr>
        <w:t> </w:t>
      </w:r>
      <w:r w:rsidR="00825614" w:rsidRPr="00F66162">
        <w:rPr>
          <w:noProof/>
        </w:rPr>
        <w:t>pro</w:t>
      </w:r>
      <w:r w:rsidRPr="00F66162">
        <w:rPr>
          <w:noProof/>
        </w:rPr>
        <w:t>wadzi rejestr informacji wymaganych do obliczenia wielkości emisji wbudowanych związanych</w:t>
      </w:r>
      <w:r w:rsidR="00825614" w:rsidRPr="00F66162">
        <w:rPr>
          <w:noProof/>
        </w:rPr>
        <w:t xml:space="preserve"> z</w:t>
      </w:r>
      <w:r w:rsidR="00825614">
        <w:rPr>
          <w:noProof/>
        </w:rPr>
        <w:t> </w:t>
      </w:r>
      <w:r w:rsidR="00825614" w:rsidRPr="00F66162">
        <w:rPr>
          <w:noProof/>
        </w:rPr>
        <w:t>tow</w:t>
      </w:r>
      <w:r w:rsidRPr="00F66162">
        <w:rPr>
          <w:noProof/>
        </w:rPr>
        <w:t>arami zgodnie</w:t>
      </w:r>
      <w:r w:rsidR="00825614" w:rsidRPr="00F66162">
        <w:rPr>
          <w:noProof/>
        </w:rPr>
        <w:t xml:space="preserve"> z</w:t>
      </w:r>
      <w:r w:rsidR="00825614">
        <w:rPr>
          <w:noProof/>
        </w:rPr>
        <w:t> </w:t>
      </w:r>
      <w:r w:rsidR="00825614" w:rsidRPr="00F66162">
        <w:rPr>
          <w:noProof/>
        </w:rPr>
        <w:t>wym</w:t>
      </w:r>
      <w:r w:rsidRPr="00F66162">
        <w:rPr>
          <w:noProof/>
        </w:rPr>
        <w:t>ogami określonymi</w:t>
      </w:r>
      <w:r w:rsidR="00825614" w:rsidRPr="00F66162">
        <w:rPr>
          <w:noProof/>
        </w:rPr>
        <w:t xml:space="preserve"> w</w:t>
      </w:r>
      <w:r w:rsidR="00825614">
        <w:rPr>
          <w:noProof/>
        </w:rPr>
        <w:t> </w:t>
      </w:r>
      <w:r w:rsidR="00825614" w:rsidRPr="00F66162">
        <w:rPr>
          <w:noProof/>
        </w:rPr>
        <w:t>zał</w:t>
      </w:r>
      <w:r w:rsidRPr="00F66162">
        <w:rPr>
          <w:noProof/>
        </w:rPr>
        <w:t>ączniku V przez cztery lata po przeprowadzeniu weryfikacji,</w:t>
      </w:r>
      <w:r w:rsidR="00825614" w:rsidRPr="00F66162">
        <w:rPr>
          <w:noProof/>
        </w:rPr>
        <w:t xml:space="preserve"> a</w:t>
      </w:r>
      <w:r w:rsidR="00825614">
        <w:rPr>
          <w:noProof/>
        </w:rPr>
        <w:t> </w:t>
      </w:r>
      <w:r w:rsidR="00825614" w:rsidRPr="00F66162">
        <w:rPr>
          <w:noProof/>
        </w:rPr>
        <w:t>tak</w:t>
      </w:r>
      <w:r w:rsidRPr="00F66162">
        <w:rPr>
          <w:noProof/>
        </w:rPr>
        <w:t>że,</w:t>
      </w:r>
      <w:r w:rsidR="00825614" w:rsidRPr="00F66162">
        <w:rPr>
          <w:noProof/>
        </w:rPr>
        <w:t xml:space="preserve"> w</w:t>
      </w:r>
      <w:r w:rsidR="00825614">
        <w:rPr>
          <w:noProof/>
        </w:rPr>
        <w:t> </w:t>
      </w:r>
      <w:r w:rsidR="00825614" w:rsidRPr="00F66162">
        <w:rPr>
          <w:noProof/>
        </w:rPr>
        <w:t>sto</w:t>
      </w:r>
      <w:r w:rsidRPr="00F66162">
        <w:rPr>
          <w:noProof/>
        </w:rPr>
        <w:t>sownych przypadkach, przechowuje kopię dokumentacji wymaganej do wykazania, że zadeklarowane emisje wbudowane podlegały opłacie emisyjnej faktycznie uiszczonej</w:t>
      </w:r>
      <w:r w:rsidR="00825614" w:rsidRPr="00F66162">
        <w:rPr>
          <w:noProof/>
        </w:rPr>
        <w:t xml:space="preserve"> w</w:t>
      </w:r>
      <w:r w:rsidR="00825614">
        <w:rPr>
          <w:noProof/>
        </w:rPr>
        <w:t> </w:t>
      </w:r>
      <w:r w:rsidR="00825614" w:rsidRPr="00F66162">
        <w:rPr>
          <w:noProof/>
        </w:rPr>
        <w:t>pań</w:t>
      </w:r>
      <w:r w:rsidRPr="00F66162">
        <w:rPr>
          <w:noProof/>
        </w:rPr>
        <w:t>stwie trzecim, do końca czwartego roku po roku,</w:t>
      </w:r>
      <w:r w:rsidR="00825614" w:rsidRPr="00F66162">
        <w:rPr>
          <w:noProof/>
        </w:rPr>
        <w:t xml:space="preserve"> w</w:t>
      </w:r>
      <w:r w:rsidR="00825614">
        <w:rPr>
          <w:noProof/>
        </w:rPr>
        <w:t> </w:t>
      </w:r>
      <w:r w:rsidR="00825614" w:rsidRPr="00F66162">
        <w:rPr>
          <w:noProof/>
        </w:rPr>
        <w:t>któ</w:t>
      </w:r>
      <w:r w:rsidRPr="00F66162">
        <w:rPr>
          <w:noProof/>
        </w:rPr>
        <w:t>rym osoba niezależna poświadczyła informacje zawarte</w:t>
      </w:r>
      <w:r w:rsidR="00825614" w:rsidRPr="00F66162">
        <w:rPr>
          <w:noProof/>
        </w:rPr>
        <w:t xml:space="preserve"> w</w:t>
      </w:r>
      <w:r w:rsidR="00825614">
        <w:rPr>
          <w:noProof/>
        </w:rPr>
        <w:t> </w:t>
      </w:r>
      <w:r w:rsidR="00825614" w:rsidRPr="00F66162">
        <w:rPr>
          <w:noProof/>
        </w:rPr>
        <w:t>tej</w:t>
      </w:r>
      <w:r w:rsidRPr="00F66162">
        <w:rPr>
          <w:noProof/>
        </w:rPr>
        <w:t xml:space="preserve"> dokumentacji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9</w:t>
      </w:r>
      <w:r w:rsidRPr="00F66162">
        <w:rPr>
          <w:noProof/>
        </w:rPr>
        <w:t xml:space="preserve"> </w:t>
      </w:r>
      <w:r w:rsidRPr="00825614">
        <w:rPr>
          <w:noProof/>
        </w:rPr>
        <w:t>ust.</w:t>
      </w:r>
      <w:r w:rsidR="00825614" w:rsidRPr="00825614">
        <w:rPr>
          <w:noProof/>
        </w:rPr>
        <w:t> </w:t>
      </w:r>
      <w:r w:rsidRPr="00825614">
        <w:rPr>
          <w:noProof/>
        </w:rPr>
        <w:t>2</w:t>
      </w:r>
      <w:r w:rsidRPr="00F66162">
        <w:rPr>
          <w:noProof/>
        </w:rPr>
        <w:t>;</w:t>
      </w:r>
    </w:p>
    <w:p w14:paraId="058212E2" w14:textId="07A67AC4" w:rsidR="00F367B4" w:rsidRPr="00F66162" w:rsidRDefault="00F367B4" w:rsidP="00CD359D">
      <w:pPr>
        <w:ind w:left="850"/>
        <w:rPr>
          <w:noProof/>
        </w:rPr>
      </w:pPr>
      <w:r w:rsidRPr="00F66162">
        <w:rPr>
          <w:noProof/>
        </w:rPr>
        <w:t>d) określa,</w:t>
      </w:r>
      <w:r w:rsidR="00825614" w:rsidRPr="00F66162">
        <w:rPr>
          <w:noProof/>
        </w:rPr>
        <w:t xml:space="preserve"> w</w:t>
      </w:r>
      <w:r w:rsidR="00825614">
        <w:rPr>
          <w:noProof/>
        </w:rPr>
        <w:t> </w:t>
      </w:r>
      <w:r w:rsidR="00825614" w:rsidRPr="00F66162">
        <w:rPr>
          <w:noProof/>
        </w:rPr>
        <w:t>sto</w:t>
      </w:r>
      <w:r w:rsidRPr="00F66162">
        <w:rPr>
          <w:noProof/>
        </w:rPr>
        <w:t>sownych przypadkach, opłatę emisyjną uiszczaną</w:t>
      </w:r>
      <w:r w:rsidR="00825614" w:rsidRPr="00F66162">
        <w:rPr>
          <w:noProof/>
        </w:rPr>
        <w:t xml:space="preserve"> w</w:t>
      </w:r>
      <w:r w:rsidR="00825614">
        <w:rPr>
          <w:noProof/>
        </w:rPr>
        <w:t> </w:t>
      </w:r>
      <w:r w:rsidR="00825614" w:rsidRPr="00F66162">
        <w:rPr>
          <w:noProof/>
        </w:rPr>
        <w:t>pań</w:t>
      </w:r>
      <w:r w:rsidRPr="00F66162">
        <w:rPr>
          <w:noProof/>
        </w:rPr>
        <w:t>stwie trzecim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9</w:t>
      </w:r>
      <w:r w:rsidRPr="00F66162">
        <w:rPr>
          <w:noProof/>
        </w:rPr>
        <w:t xml:space="preserve"> oraz przesyła towarzyszące dokumenty</w:t>
      </w:r>
      <w:r w:rsidR="00825614" w:rsidRPr="00F66162">
        <w:rPr>
          <w:noProof/>
        </w:rPr>
        <w:t xml:space="preserve"> i</w:t>
      </w:r>
      <w:r w:rsidR="00825614">
        <w:rPr>
          <w:noProof/>
        </w:rPr>
        <w:t> </w:t>
      </w:r>
      <w:r w:rsidR="00825614" w:rsidRPr="00F66162">
        <w:rPr>
          <w:noProof/>
        </w:rPr>
        <w:t>dow</w:t>
      </w:r>
      <w:r w:rsidRPr="00F66162">
        <w:rPr>
          <w:noProof/>
        </w:rPr>
        <w:t>ody.</w:t>
      </w:r>
    </w:p>
    <w:p w14:paraId="6A1B2BFD" w14:textId="5DE46D0E" w:rsidR="003E087B" w:rsidRPr="00F66162" w:rsidRDefault="00361C44" w:rsidP="001925C8">
      <w:pPr>
        <w:ind w:left="850"/>
        <w:rPr>
          <w:noProof/>
        </w:rPr>
      </w:pPr>
      <w:r w:rsidRPr="00F66162">
        <w:rPr>
          <w:noProof/>
        </w:rPr>
        <w:t>6. Rejestry,</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5 lit. c) niniejszego artykułu, muszą być wystarczająco szczegółowe, aby umożliwić weryfikację emisji wbudowanych zgodnie</w:t>
      </w:r>
      <w:r w:rsidR="00825614" w:rsidRPr="00F66162">
        <w:rPr>
          <w:noProof/>
        </w:rPr>
        <w:t xml:space="preserve"> z</w:t>
      </w:r>
      <w:r w:rsidR="00825614">
        <w:rPr>
          <w:noProof/>
        </w:rPr>
        <w:t> </w:t>
      </w:r>
      <w:r w:rsidR="00825614" w:rsidRPr="00F66162">
        <w:rPr>
          <w:noProof/>
        </w:rPr>
        <w:t>art</w:t>
      </w:r>
      <w:r w:rsidRPr="00F66162">
        <w:rPr>
          <w:noProof/>
        </w:rPr>
        <w:t>. 8</w:t>
      </w:r>
      <w:r w:rsidR="00825614" w:rsidRPr="00F66162">
        <w:rPr>
          <w:noProof/>
        </w:rPr>
        <w:t xml:space="preserve"> i</w:t>
      </w:r>
      <w:r w:rsidR="00825614">
        <w:rPr>
          <w:noProof/>
        </w:rPr>
        <w:t> </w:t>
      </w:r>
      <w:r w:rsidR="00825614" w:rsidRPr="00F66162">
        <w:rPr>
          <w:noProof/>
        </w:rPr>
        <w:t>zał</w:t>
      </w:r>
      <w:r w:rsidRPr="00F66162">
        <w:rPr>
          <w:noProof/>
        </w:rPr>
        <w:t>ącznikiem VI oraz przeprowadzenie, zgodnie</w:t>
      </w:r>
      <w:r w:rsidR="00825614" w:rsidRPr="00F66162">
        <w:rPr>
          <w:noProof/>
        </w:rPr>
        <w:t xml:space="preserve"> z</w:t>
      </w:r>
      <w:r w:rsidR="00825614">
        <w:rPr>
          <w:noProof/>
        </w:rPr>
        <w:t> </w:t>
      </w:r>
      <w:r w:rsidR="00825614" w:rsidRPr="00F66162">
        <w:rPr>
          <w:noProof/>
        </w:rPr>
        <w:t>art</w:t>
      </w:r>
      <w:r w:rsidRPr="00F66162">
        <w:rPr>
          <w:noProof/>
        </w:rPr>
        <w:t>. 19, przeglądu deklaracji CBAM złożonej przez upoważnionego zgłaszającego CBAM, któremu ujawniono odpowiednie informacje zgodnie</w:t>
      </w:r>
      <w:r w:rsidR="00825614" w:rsidRPr="00F66162">
        <w:rPr>
          <w:noProof/>
        </w:rPr>
        <w:t xml:space="preserve"> z</w:t>
      </w:r>
      <w:r w:rsidR="00825614">
        <w:rPr>
          <w:noProof/>
        </w:rPr>
        <w:t> </w:t>
      </w:r>
      <w:r w:rsidR="00825614" w:rsidRPr="00F66162">
        <w:rPr>
          <w:noProof/>
        </w:rPr>
        <w:t>ust</w:t>
      </w:r>
      <w:r w:rsidRPr="00F66162">
        <w:rPr>
          <w:noProof/>
        </w:rPr>
        <w:t>. 7 niniejszego artykułu.</w:t>
      </w:r>
    </w:p>
    <w:p w14:paraId="2F73691C" w14:textId="3B29E18D" w:rsidR="003E087B" w:rsidRPr="00F66162" w:rsidRDefault="00361C44" w:rsidP="001925C8">
      <w:pPr>
        <w:ind w:left="850"/>
        <w:rPr>
          <w:noProof/>
        </w:rPr>
      </w:pPr>
      <w:r w:rsidRPr="00F66162">
        <w:rPr>
          <w:noProof/>
        </w:rPr>
        <w:t>7. Operator może ujawnić upoważnionemu zgłaszającemu CBAM informacje dotyczące weryfikacji emisji wbudowanych</w:t>
      </w:r>
      <w:r w:rsidR="00825614" w:rsidRPr="00F66162">
        <w:rPr>
          <w:noProof/>
        </w:rPr>
        <w:t xml:space="preserve"> i</w:t>
      </w:r>
      <w:r w:rsidR="00825614">
        <w:rPr>
          <w:noProof/>
        </w:rPr>
        <w:t> </w:t>
      </w:r>
      <w:r w:rsidR="00825614" w:rsidRPr="00F66162">
        <w:rPr>
          <w:noProof/>
        </w:rPr>
        <w:t>opł</w:t>
      </w:r>
      <w:r w:rsidRPr="00F66162">
        <w:rPr>
          <w:noProof/>
        </w:rPr>
        <w:t>aty emisyjnej uiszczonej</w:t>
      </w:r>
      <w:r w:rsidR="00825614" w:rsidRPr="00F66162">
        <w:rPr>
          <w:noProof/>
        </w:rPr>
        <w:t xml:space="preserve"> w</w:t>
      </w:r>
      <w:r w:rsidR="00825614">
        <w:rPr>
          <w:noProof/>
        </w:rPr>
        <w:t> </w:t>
      </w:r>
      <w:r w:rsidR="00825614" w:rsidRPr="00F66162">
        <w:rPr>
          <w:noProof/>
        </w:rPr>
        <w:t>pań</w:t>
      </w:r>
      <w:r w:rsidRPr="00F66162">
        <w:rPr>
          <w:noProof/>
        </w:rPr>
        <w:t xml:space="preserve">stwie </w:t>
      </w:r>
      <w:r w:rsidRPr="00F66162">
        <w:rPr>
          <w:noProof/>
        </w:rPr>
        <w:lastRenderedPageBreak/>
        <w:t>trzecim,</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5 niniejszego artykułu. Upoważniony zgłaszający CBAM jest uprawniony do skorzystania</w:t>
      </w:r>
      <w:r w:rsidR="00825614" w:rsidRPr="00F66162">
        <w:rPr>
          <w:noProof/>
        </w:rPr>
        <w:t xml:space="preserve"> z</w:t>
      </w:r>
      <w:r w:rsidR="00825614">
        <w:rPr>
          <w:noProof/>
        </w:rPr>
        <w:t> </w:t>
      </w:r>
      <w:r w:rsidR="00825614" w:rsidRPr="00F66162">
        <w:rPr>
          <w:noProof/>
        </w:rPr>
        <w:t>uja</w:t>
      </w:r>
      <w:r w:rsidRPr="00F66162">
        <w:rPr>
          <w:noProof/>
        </w:rPr>
        <w:t>wnionych mu informacji</w:t>
      </w:r>
      <w:r w:rsidR="00825614" w:rsidRPr="00F66162">
        <w:rPr>
          <w:noProof/>
        </w:rPr>
        <w:t xml:space="preserve"> w</w:t>
      </w:r>
      <w:r w:rsidR="00825614">
        <w:rPr>
          <w:noProof/>
        </w:rPr>
        <w:t> </w:t>
      </w:r>
      <w:r w:rsidR="00825614" w:rsidRPr="00F66162">
        <w:rPr>
          <w:noProof/>
        </w:rPr>
        <w:t>cel</w:t>
      </w:r>
      <w:r w:rsidRPr="00F66162">
        <w:rPr>
          <w:noProof/>
        </w:rPr>
        <w:t>u wypełnienia obowiązku,</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F66162">
        <w:rPr>
          <w:noProof/>
        </w:rPr>
        <w:t>art</w:t>
      </w:r>
      <w:r w:rsidRPr="00F66162">
        <w:rPr>
          <w:noProof/>
        </w:rPr>
        <w:t xml:space="preserve">. 8. </w:t>
      </w:r>
    </w:p>
    <w:p w14:paraId="79942A6A" w14:textId="5EBAF833" w:rsidR="003E087B" w:rsidRPr="00F66162" w:rsidRDefault="00361C44" w:rsidP="001925C8">
      <w:pPr>
        <w:ind w:left="850"/>
        <w:rPr>
          <w:noProof/>
        </w:rPr>
      </w:pPr>
      <w:r w:rsidRPr="00F66162">
        <w:rPr>
          <w:noProof/>
        </w:rPr>
        <w:t>8. Operator może</w:t>
      </w:r>
      <w:r w:rsidR="00825614" w:rsidRPr="00F66162">
        <w:rPr>
          <w:noProof/>
        </w:rPr>
        <w:t xml:space="preserve"> w</w:t>
      </w:r>
      <w:r w:rsidR="00825614">
        <w:rPr>
          <w:noProof/>
        </w:rPr>
        <w:t> </w:t>
      </w:r>
      <w:r w:rsidR="00825614" w:rsidRPr="00F66162">
        <w:rPr>
          <w:noProof/>
        </w:rPr>
        <w:t>każ</w:t>
      </w:r>
      <w:r w:rsidRPr="00F66162">
        <w:rPr>
          <w:noProof/>
        </w:rPr>
        <w:t>dej chwili wystąpić</w:t>
      </w:r>
      <w:r w:rsidR="00825614" w:rsidRPr="00F66162">
        <w:rPr>
          <w:noProof/>
        </w:rPr>
        <w:t xml:space="preserve"> o</w:t>
      </w:r>
      <w:r w:rsidR="00825614">
        <w:rPr>
          <w:noProof/>
        </w:rPr>
        <w:t> </w:t>
      </w:r>
      <w:r w:rsidR="00825614" w:rsidRPr="00F66162">
        <w:rPr>
          <w:noProof/>
        </w:rPr>
        <w:t>wyr</w:t>
      </w:r>
      <w:r w:rsidRPr="00F66162">
        <w:rPr>
          <w:noProof/>
        </w:rPr>
        <w:t>ejestrowanie go</w:t>
      </w:r>
      <w:r w:rsidR="00825614" w:rsidRPr="00F66162">
        <w:rPr>
          <w:noProof/>
        </w:rPr>
        <w:t xml:space="preserve"> z</w:t>
      </w:r>
      <w:r w:rsidR="00825614">
        <w:rPr>
          <w:noProof/>
        </w:rPr>
        <w:t> </w:t>
      </w:r>
      <w:r w:rsidR="00825614" w:rsidRPr="00F66162">
        <w:rPr>
          <w:noProof/>
        </w:rPr>
        <w:t>rej</w:t>
      </w:r>
      <w:r w:rsidRPr="00F66162">
        <w:rPr>
          <w:noProof/>
        </w:rPr>
        <w:t>estru CBAM. Komisja, na taki wniosek i po powiadomieniu właściwych organów, wyrejestrowuje operatora</w:t>
      </w:r>
      <w:r w:rsidR="00825614" w:rsidRPr="00F66162">
        <w:rPr>
          <w:noProof/>
        </w:rPr>
        <w:t xml:space="preserve"> i</w:t>
      </w:r>
      <w:r w:rsidR="00825614">
        <w:rPr>
          <w:noProof/>
        </w:rPr>
        <w:t> </w:t>
      </w:r>
      <w:r w:rsidR="00825614" w:rsidRPr="00F66162">
        <w:rPr>
          <w:noProof/>
        </w:rPr>
        <w:t>wyk</w:t>
      </w:r>
      <w:r w:rsidRPr="00F66162">
        <w:rPr>
          <w:noProof/>
        </w:rPr>
        <w:t>reśla</w:t>
      </w:r>
      <w:r w:rsidR="00825614" w:rsidRPr="00F66162">
        <w:rPr>
          <w:noProof/>
        </w:rPr>
        <w:t xml:space="preserve"> z</w:t>
      </w:r>
      <w:r w:rsidR="00825614">
        <w:rPr>
          <w:noProof/>
        </w:rPr>
        <w:t> </w:t>
      </w:r>
      <w:r w:rsidR="00825614" w:rsidRPr="00F66162">
        <w:rPr>
          <w:noProof/>
        </w:rPr>
        <w:t>rej</w:t>
      </w:r>
      <w:r w:rsidRPr="00F66162">
        <w:rPr>
          <w:noProof/>
        </w:rPr>
        <w:t>estru CBAM informacje</w:t>
      </w:r>
      <w:r w:rsidR="00825614" w:rsidRPr="00F66162">
        <w:rPr>
          <w:noProof/>
        </w:rPr>
        <w:t xml:space="preserve"> o</w:t>
      </w:r>
      <w:r w:rsidR="00825614">
        <w:rPr>
          <w:noProof/>
        </w:rPr>
        <w:t> </w:t>
      </w:r>
      <w:r w:rsidR="00825614" w:rsidRPr="00F66162">
        <w:rPr>
          <w:noProof/>
        </w:rPr>
        <w:t>nim i</w:t>
      </w:r>
      <w:r w:rsidR="00825614">
        <w:rPr>
          <w:noProof/>
        </w:rPr>
        <w:t> </w:t>
      </w:r>
      <w:r w:rsidR="00825614" w:rsidRPr="00F66162">
        <w:rPr>
          <w:noProof/>
        </w:rPr>
        <w:t>jeg</w:t>
      </w:r>
      <w:r w:rsidRPr="00F66162">
        <w:rPr>
          <w:noProof/>
        </w:rPr>
        <w:t>o instalacji, pod warunkiem że informacje te nie są niezbędne do przeglądu złożonych deklaracji CBAM. Po umożliwieniu operatorowi przedstawienia jego stanowiska i po skonsultowaniu się</w:t>
      </w:r>
      <w:r w:rsidR="00825614" w:rsidRPr="00F66162">
        <w:rPr>
          <w:noProof/>
        </w:rPr>
        <w:t xml:space="preserve"> z</w:t>
      </w:r>
      <w:r w:rsidR="00825614">
        <w:rPr>
          <w:noProof/>
        </w:rPr>
        <w:t> </w:t>
      </w:r>
      <w:r w:rsidR="00825614" w:rsidRPr="00F66162">
        <w:rPr>
          <w:noProof/>
        </w:rPr>
        <w:t>wła</w:t>
      </w:r>
      <w:r w:rsidRPr="00F66162">
        <w:rPr>
          <w:noProof/>
        </w:rPr>
        <w:t>ściwymi organami Komisja może również wyrejestrować informacje, jeżeli uzna, że informacje</w:t>
      </w:r>
      <w:r w:rsidR="00825614" w:rsidRPr="00F66162">
        <w:rPr>
          <w:noProof/>
        </w:rPr>
        <w:t xml:space="preserve"> o</w:t>
      </w:r>
      <w:r w:rsidR="00825614">
        <w:rPr>
          <w:noProof/>
        </w:rPr>
        <w:t> </w:t>
      </w:r>
      <w:r w:rsidR="00825614" w:rsidRPr="00F66162">
        <w:rPr>
          <w:noProof/>
        </w:rPr>
        <w:t>tym</w:t>
      </w:r>
      <w:r w:rsidRPr="00F66162">
        <w:rPr>
          <w:noProof/>
        </w:rPr>
        <w:t xml:space="preserve"> operatorze nie są już prawidłowe. Komisja informuje</w:t>
      </w:r>
      <w:r w:rsidR="00825614" w:rsidRPr="00F66162">
        <w:rPr>
          <w:noProof/>
        </w:rPr>
        <w:t xml:space="preserve"> o</w:t>
      </w:r>
      <w:r w:rsidR="00825614">
        <w:rPr>
          <w:noProof/>
        </w:rPr>
        <w:t> </w:t>
      </w:r>
      <w:r w:rsidR="00825614" w:rsidRPr="00F66162">
        <w:rPr>
          <w:noProof/>
        </w:rPr>
        <w:t>wyr</w:t>
      </w:r>
      <w:r w:rsidRPr="00F66162">
        <w:rPr>
          <w:noProof/>
        </w:rPr>
        <w:t>ejestrowaniu tych informacji właściwe organy.”;</w:t>
      </w:r>
    </w:p>
    <w:p w14:paraId="442C1D24" w14:textId="104D5B2A" w:rsidR="00973402" w:rsidRPr="00F66162" w:rsidRDefault="0074784E" w:rsidP="0074784E">
      <w:pPr>
        <w:pStyle w:val="Point0"/>
        <w:rPr>
          <w:noProof/>
        </w:rPr>
      </w:pPr>
      <w:r w:rsidRPr="00F66162">
        <w:rPr>
          <w:noProof/>
        </w:rPr>
        <w:t>9.</w:t>
      </w:r>
      <w:r w:rsidRPr="00F66162">
        <w:rPr>
          <w:noProof/>
        </w:rPr>
        <w:tab/>
        <w:t xml:space="preserve">dodaje się </w:t>
      </w:r>
      <w:r w:rsidRPr="00825614">
        <w:rPr>
          <w:noProof/>
        </w:rPr>
        <w:t>art.</w:t>
      </w:r>
      <w:r w:rsidR="00825614" w:rsidRPr="00825614">
        <w:rPr>
          <w:noProof/>
        </w:rPr>
        <w:t> </w:t>
      </w:r>
      <w:r w:rsidRPr="00825614">
        <w:rPr>
          <w:noProof/>
        </w:rPr>
        <w:t>1</w:t>
      </w:r>
      <w:r w:rsidRPr="00F66162">
        <w:rPr>
          <w:noProof/>
        </w:rPr>
        <w:t>0a</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6B66D900" w14:textId="77777777" w:rsidR="00EB1BCA" w:rsidRPr="00F66162" w:rsidRDefault="00EB1BCA" w:rsidP="00CD359D">
      <w:pPr>
        <w:pStyle w:val="Titrearticle"/>
        <w:rPr>
          <w:noProof/>
        </w:rPr>
      </w:pPr>
      <w:r w:rsidRPr="00F66162">
        <w:rPr>
          <w:noProof/>
        </w:rPr>
        <w:t>„Artykuł 10a</w:t>
      </w:r>
    </w:p>
    <w:p w14:paraId="639FB68E" w14:textId="77777777" w:rsidR="00EB1BCA" w:rsidRPr="00F66162" w:rsidRDefault="00EB1BCA" w:rsidP="00CD359D">
      <w:pPr>
        <w:pStyle w:val="Titrearticle"/>
        <w:rPr>
          <w:noProof/>
        </w:rPr>
      </w:pPr>
      <w:r w:rsidRPr="00F66162">
        <w:rPr>
          <w:b/>
          <w:noProof/>
        </w:rPr>
        <w:t>Rejestracja akredytowanych weryfikatorów</w:t>
      </w:r>
    </w:p>
    <w:p w14:paraId="012B529C" w14:textId="41A7936E" w:rsidR="00EB1BCA" w:rsidRPr="00F66162" w:rsidRDefault="00EB1BCA" w:rsidP="001925C8">
      <w:pPr>
        <w:ind w:left="850"/>
        <w:rPr>
          <w:noProof/>
        </w:rPr>
      </w:pPr>
      <w:r w:rsidRPr="00F66162">
        <w:rPr>
          <w:noProof/>
        </w:rPr>
        <w:t>1. Weryfikator akredytowany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8 składa do właściwego organu państwa członkowskiego,</w:t>
      </w:r>
      <w:r w:rsidR="00825614" w:rsidRPr="00F66162">
        <w:rPr>
          <w:noProof/>
        </w:rPr>
        <w:t xml:space="preserve"> w</w:t>
      </w:r>
      <w:r w:rsidR="00825614">
        <w:rPr>
          <w:noProof/>
        </w:rPr>
        <w:t> </w:t>
      </w:r>
      <w:r w:rsidR="00825614" w:rsidRPr="00F66162">
        <w:rPr>
          <w:noProof/>
        </w:rPr>
        <w:t>któ</w:t>
      </w:r>
      <w:r w:rsidRPr="00F66162">
        <w:rPr>
          <w:noProof/>
        </w:rPr>
        <w:t>rym krajowa jednostka akredytująca ma siedzibę, wniosek</w:t>
      </w:r>
      <w:r w:rsidR="00825614" w:rsidRPr="00F66162">
        <w:rPr>
          <w:noProof/>
        </w:rPr>
        <w:t xml:space="preserve"> o</w:t>
      </w:r>
      <w:r w:rsidR="00825614">
        <w:rPr>
          <w:noProof/>
        </w:rPr>
        <w:t> </w:t>
      </w:r>
      <w:r w:rsidR="00825614" w:rsidRPr="00F66162">
        <w:rPr>
          <w:noProof/>
        </w:rPr>
        <w:t>rej</w:t>
      </w:r>
      <w:r w:rsidRPr="00F66162">
        <w:rPr>
          <w:noProof/>
        </w:rPr>
        <w:t>estrację</w:t>
      </w:r>
      <w:r w:rsidR="00825614" w:rsidRPr="00F66162">
        <w:rPr>
          <w:noProof/>
        </w:rPr>
        <w:t xml:space="preserve"> w</w:t>
      </w:r>
      <w:r w:rsidR="00825614">
        <w:rPr>
          <w:noProof/>
        </w:rPr>
        <w:t> </w:t>
      </w:r>
      <w:r w:rsidR="00825614" w:rsidRPr="00F66162">
        <w:rPr>
          <w:noProof/>
        </w:rPr>
        <w:t>rej</w:t>
      </w:r>
      <w:r w:rsidRPr="00F66162">
        <w:rPr>
          <w:noProof/>
        </w:rPr>
        <w:t>estrze CBAM. Wniosek</w:t>
      </w:r>
      <w:r w:rsidR="00825614" w:rsidRPr="00F66162">
        <w:rPr>
          <w:noProof/>
        </w:rPr>
        <w:t xml:space="preserve"> o</w:t>
      </w:r>
      <w:r w:rsidR="00825614">
        <w:rPr>
          <w:noProof/>
        </w:rPr>
        <w:t> </w:t>
      </w:r>
      <w:r w:rsidR="00825614" w:rsidRPr="00F66162">
        <w:rPr>
          <w:noProof/>
        </w:rPr>
        <w:t>rej</w:t>
      </w:r>
      <w:r w:rsidRPr="00F66162">
        <w:rPr>
          <w:noProof/>
        </w:rPr>
        <w:t>estrację składa się</w:t>
      </w:r>
      <w:r w:rsidR="00825614" w:rsidRPr="00F66162">
        <w:rPr>
          <w:noProof/>
        </w:rPr>
        <w:t xml:space="preserve"> w</w:t>
      </w:r>
      <w:r w:rsidR="00825614">
        <w:rPr>
          <w:noProof/>
        </w:rPr>
        <w:t> </w:t>
      </w:r>
      <w:r w:rsidR="00825614" w:rsidRPr="00F66162">
        <w:rPr>
          <w:noProof/>
        </w:rPr>
        <w:t>ter</w:t>
      </w:r>
      <w:r w:rsidRPr="00F66162">
        <w:rPr>
          <w:noProof/>
        </w:rPr>
        <w:t>minie dwóch miesięcy od akredytowania. Właściwy organ rejestruje</w:t>
      </w:r>
      <w:r w:rsidR="00825614" w:rsidRPr="00F66162">
        <w:rPr>
          <w:noProof/>
        </w:rPr>
        <w:t xml:space="preserve"> w</w:t>
      </w:r>
      <w:r w:rsidR="00825614">
        <w:rPr>
          <w:noProof/>
        </w:rPr>
        <w:t> </w:t>
      </w:r>
      <w:r w:rsidR="00825614" w:rsidRPr="00F66162">
        <w:rPr>
          <w:noProof/>
        </w:rPr>
        <w:t>rej</w:t>
      </w:r>
      <w:r w:rsidRPr="00F66162">
        <w:rPr>
          <w:noProof/>
        </w:rPr>
        <w:t>estrze CBAM informacje</w:t>
      </w:r>
      <w:r w:rsidR="00825614" w:rsidRPr="00F66162">
        <w:rPr>
          <w:noProof/>
        </w:rPr>
        <w:t xml:space="preserve"> o</w:t>
      </w:r>
      <w:r w:rsidR="00825614">
        <w:rPr>
          <w:noProof/>
        </w:rPr>
        <w:t> </w:t>
      </w:r>
      <w:r w:rsidR="00825614" w:rsidRPr="00F66162">
        <w:rPr>
          <w:noProof/>
        </w:rPr>
        <w:t>akr</w:t>
      </w:r>
      <w:r w:rsidRPr="00F66162">
        <w:rPr>
          <w:noProof/>
        </w:rPr>
        <w:t xml:space="preserve">edytowanych weryfikatorach. </w:t>
      </w:r>
    </w:p>
    <w:p w14:paraId="760CE929" w14:textId="30E6FDEB" w:rsidR="00EB1BCA" w:rsidRPr="00F66162" w:rsidRDefault="00EB1BCA" w:rsidP="001925C8">
      <w:pPr>
        <w:ind w:left="850"/>
        <w:rPr>
          <w:noProof/>
        </w:rPr>
      </w:pPr>
      <w:r w:rsidRPr="00F66162">
        <w:rPr>
          <w:noProof/>
        </w:rPr>
        <w:t>2. Wniosek</w:t>
      </w:r>
      <w:r w:rsidR="00825614" w:rsidRPr="00F66162">
        <w:rPr>
          <w:noProof/>
        </w:rPr>
        <w:t xml:space="preserve"> o</w:t>
      </w:r>
      <w:r w:rsidR="00825614">
        <w:rPr>
          <w:noProof/>
        </w:rPr>
        <w:t> </w:t>
      </w:r>
      <w:r w:rsidR="00825614" w:rsidRPr="00F66162">
        <w:rPr>
          <w:noProof/>
        </w:rPr>
        <w:t>rej</w:t>
      </w:r>
      <w:r w:rsidRPr="00F66162">
        <w:rPr>
          <w:noProof/>
        </w:rPr>
        <w:t>estrację,</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F66162">
        <w:rPr>
          <w:noProof/>
        </w:rPr>
        <w:t>ust</w:t>
      </w:r>
      <w:r w:rsidRPr="00F66162">
        <w:rPr>
          <w:noProof/>
        </w:rPr>
        <w:t>. 1, zawiera co najmniej następujące informacje, które mają zostać umieszczone</w:t>
      </w:r>
      <w:r w:rsidR="00825614" w:rsidRPr="00F66162">
        <w:rPr>
          <w:noProof/>
        </w:rPr>
        <w:t xml:space="preserve"> w</w:t>
      </w:r>
      <w:r w:rsidR="00825614">
        <w:rPr>
          <w:noProof/>
        </w:rPr>
        <w:t> </w:t>
      </w:r>
      <w:r w:rsidR="00825614" w:rsidRPr="00F66162">
        <w:rPr>
          <w:noProof/>
        </w:rPr>
        <w:t>rej</w:t>
      </w:r>
      <w:r w:rsidRPr="00F66162">
        <w:rPr>
          <w:noProof/>
        </w:rPr>
        <w:t>estrze CBAM po dokonaniu rejestracji:</w:t>
      </w:r>
    </w:p>
    <w:p w14:paraId="6859B677" w14:textId="2F8B195C" w:rsidR="00EB1BCA" w:rsidRPr="00F66162" w:rsidRDefault="00EB1BCA" w:rsidP="00CD359D">
      <w:pPr>
        <w:ind w:left="850"/>
        <w:rPr>
          <w:noProof/>
        </w:rPr>
      </w:pPr>
      <w:r w:rsidRPr="00F66162">
        <w:rPr>
          <w:noProof/>
        </w:rPr>
        <w:t>a) imię</w:t>
      </w:r>
      <w:r w:rsidR="00825614" w:rsidRPr="00F66162">
        <w:rPr>
          <w:noProof/>
        </w:rPr>
        <w:t xml:space="preserve"> i</w:t>
      </w:r>
      <w:r w:rsidR="00825614">
        <w:rPr>
          <w:noProof/>
        </w:rPr>
        <w:t> </w:t>
      </w:r>
      <w:r w:rsidR="00825614" w:rsidRPr="00F66162">
        <w:rPr>
          <w:noProof/>
        </w:rPr>
        <w:t>naz</w:t>
      </w:r>
      <w:r w:rsidRPr="00F66162">
        <w:rPr>
          <w:noProof/>
        </w:rPr>
        <w:t>wisko lub nazwę oraz niepowtarzalny numer akredytacji weryfikatora;</w:t>
      </w:r>
    </w:p>
    <w:p w14:paraId="54B9E040" w14:textId="77777777" w:rsidR="00EB1BCA" w:rsidRPr="00F66162" w:rsidRDefault="00EB1BCA" w:rsidP="00CD359D">
      <w:pPr>
        <w:ind w:left="850"/>
        <w:rPr>
          <w:noProof/>
        </w:rPr>
      </w:pPr>
      <w:r w:rsidRPr="00F66162">
        <w:rPr>
          <w:noProof/>
        </w:rPr>
        <w:t>b) zakres akredytacji istotny dla CBAM;</w:t>
      </w:r>
    </w:p>
    <w:p w14:paraId="79DCDC1A" w14:textId="77777777" w:rsidR="00EB1BCA" w:rsidRPr="00F66162" w:rsidRDefault="00EB1BCA" w:rsidP="00CD359D">
      <w:pPr>
        <w:ind w:left="850"/>
        <w:rPr>
          <w:noProof/>
        </w:rPr>
      </w:pPr>
      <w:r w:rsidRPr="00F66162">
        <w:rPr>
          <w:noProof/>
        </w:rPr>
        <w:t>c) państwo siedziby weryfikatora;</w:t>
      </w:r>
    </w:p>
    <w:p w14:paraId="28F4BE05" w14:textId="1A61E314" w:rsidR="00EB1BCA" w:rsidRPr="00F66162" w:rsidRDefault="00EB1BCA" w:rsidP="00CD359D">
      <w:pPr>
        <w:ind w:left="850"/>
        <w:rPr>
          <w:noProof/>
        </w:rPr>
      </w:pPr>
      <w:r w:rsidRPr="00F66162">
        <w:rPr>
          <w:noProof/>
        </w:rPr>
        <w:t>d) datę akredytacji</w:t>
      </w:r>
      <w:r w:rsidR="00825614" w:rsidRPr="00F66162">
        <w:rPr>
          <w:noProof/>
        </w:rPr>
        <w:t xml:space="preserve"> i</w:t>
      </w:r>
      <w:r w:rsidR="00825614">
        <w:rPr>
          <w:noProof/>
        </w:rPr>
        <w:t> </w:t>
      </w:r>
      <w:r w:rsidR="00825614" w:rsidRPr="00F66162">
        <w:rPr>
          <w:noProof/>
        </w:rPr>
        <w:t>dat</w:t>
      </w:r>
      <w:r w:rsidRPr="00F66162">
        <w:rPr>
          <w:noProof/>
        </w:rPr>
        <w:t>ę wygaśnięcia certyfikatów akredytacji istotnych dla CBAM;</w:t>
      </w:r>
    </w:p>
    <w:p w14:paraId="502A80EF" w14:textId="029D4A3F" w:rsidR="00EB1BCA" w:rsidRPr="00F66162" w:rsidRDefault="00EB1BCA" w:rsidP="00CD359D">
      <w:pPr>
        <w:ind w:left="850"/>
        <w:rPr>
          <w:noProof/>
        </w:rPr>
      </w:pPr>
      <w:r w:rsidRPr="00F66162">
        <w:rPr>
          <w:noProof/>
        </w:rPr>
        <w:t>e) wszelkie informacje</w:t>
      </w:r>
      <w:r w:rsidR="00825614" w:rsidRPr="00F66162">
        <w:rPr>
          <w:noProof/>
        </w:rPr>
        <w:t xml:space="preserve"> o</w:t>
      </w:r>
      <w:r w:rsidR="00825614">
        <w:rPr>
          <w:noProof/>
        </w:rPr>
        <w:t> </w:t>
      </w:r>
      <w:r w:rsidR="00825614" w:rsidRPr="00F66162">
        <w:rPr>
          <w:noProof/>
        </w:rPr>
        <w:t>śro</w:t>
      </w:r>
      <w:r w:rsidRPr="00F66162">
        <w:rPr>
          <w:noProof/>
        </w:rPr>
        <w:t>dkach administracyjnych nałożonych na weryfikatora istotnych dla CBAM;</w:t>
      </w:r>
    </w:p>
    <w:p w14:paraId="09A136BB" w14:textId="77777777" w:rsidR="00EB1BCA" w:rsidRPr="00F66162" w:rsidRDefault="00EB1BCA" w:rsidP="00CD359D">
      <w:pPr>
        <w:ind w:left="850"/>
        <w:rPr>
          <w:noProof/>
        </w:rPr>
      </w:pPr>
      <w:r w:rsidRPr="00F66162">
        <w:rPr>
          <w:noProof/>
        </w:rPr>
        <w:t>f) kopie certyfikatów akredytacji.</w:t>
      </w:r>
    </w:p>
    <w:p w14:paraId="08BD589D" w14:textId="15642EB6" w:rsidR="00EB1BCA" w:rsidRPr="00F66162" w:rsidRDefault="00EB1BCA" w:rsidP="001925C8">
      <w:pPr>
        <w:ind w:left="850"/>
        <w:rPr>
          <w:noProof/>
        </w:rPr>
      </w:pPr>
      <w:r w:rsidRPr="00F66162">
        <w:rPr>
          <w:noProof/>
        </w:rPr>
        <w:t>3. Właściwy organ powiadamia weryfikatora</w:t>
      </w:r>
      <w:r w:rsidR="00825614" w:rsidRPr="00F66162">
        <w:rPr>
          <w:noProof/>
        </w:rPr>
        <w:t xml:space="preserve"> o</w:t>
      </w:r>
      <w:r w:rsidR="00825614">
        <w:rPr>
          <w:noProof/>
        </w:rPr>
        <w:t> </w:t>
      </w:r>
      <w:r w:rsidR="00825614" w:rsidRPr="00F66162">
        <w:rPr>
          <w:noProof/>
        </w:rPr>
        <w:t>rej</w:t>
      </w:r>
      <w:r w:rsidRPr="00F66162">
        <w:rPr>
          <w:noProof/>
        </w:rPr>
        <w:t>estracji</w:t>
      </w:r>
      <w:r w:rsidR="00825614" w:rsidRPr="00F66162">
        <w:rPr>
          <w:noProof/>
        </w:rPr>
        <w:t xml:space="preserve"> w</w:t>
      </w:r>
      <w:r w:rsidR="00825614">
        <w:rPr>
          <w:noProof/>
        </w:rPr>
        <w:t> </w:t>
      </w:r>
      <w:r w:rsidR="00825614" w:rsidRPr="00F66162">
        <w:rPr>
          <w:noProof/>
        </w:rPr>
        <w:t>rej</w:t>
      </w:r>
      <w:r w:rsidRPr="00F66162">
        <w:rPr>
          <w:noProof/>
        </w:rPr>
        <w:t>estrze CBAM.</w:t>
      </w:r>
    </w:p>
    <w:p w14:paraId="62FD26BF" w14:textId="38DEFE5A" w:rsidR="00EB1BCA" w:rsidRPr="00F66162" w:rsidRDefault="00EB1BCA" w:rsidP="001925C8">
      <w:pPr>
        <w:ind w:left="850"/>
        <w:rPr>
          <w:noProof/>
        </w:rPr>
      </w:pPr>
      <w:r w:rsidRPr="00F66162">
        <w:rPr>
          <w:noProof/>
        </w:rPr>
        <w:t>4. Akredytowany weryfikator powiadamia właściwy organ</w:t>
      </w:r>
      <w:r w:rsidR="00825614" w:rsidRPr="00F66162">
        <w:rPr>
          <w:noProof/>
        </w:rPr>
        <w:t xml:space="preserve"> o</w:t>
      </w:r>
      <w:r w:rsidR="00825614">
        <w:rPr>
          <w:noProof/>
        </w:rPr>
        <w:t> </w:t>
      </w:r>
      <w:r w:rsidR="00825614" w:rsidRPr="00F66162">
        <w:rPr>
          <w:noProof/>
        </w:rPr>
        <w:t>zmi</w:t>
      </w:r>
      <w:r w:rsidRPr="00F66162">
        <w:rPr>
          <w:noProof/>
        </w:rPr>
        <w:t>anach</w:t>
      </w:r>
      <w:r w:rsidR="00825614" w:rsidRPr="00F66162">
        <w:rPr>
          <w:noProof/>
        </w:rPr>
        <w:t xml:space="preserve"> w</w:t>
      </w:r>
      <w:r w:rsidR="00825614">
        <w:rPr>
          <w:noProof/>
        </w:rPr>
        <w:t> </w:t>
      </w:r>
      <w:r w:rsidR="00825614" w:rsidRPr="00F66162">
        <w:rPr>
          <w:noProof/>
        </w:rPr>
        <w:t>zak</w:t>
      </w:r>
      <w:r w:rsidRPr="00F66162">
        <w:rPr>
          <w:noProof/>
        </w:rPr>
        <w:t>resie informacji,</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825614">
        <w:rPr>
          <w:noProof/>
        </w:rPr>
        <w:t>ust</w:t>
      </w:r>
      <w:r w:rsidRPr="00825614">
        <w:rPr>
          <w:noProof/>
        </w:rPr>
        <w:t>.</w:t>
      </w:r>
      <w:r w:rsidR="00825614" w:rsidRPr="00825614">
        <w:rPr>
          <w:noProof/>
        </w:rPr>
        <w:t> </w:t>
      </w:r>
      <w:r w:rsidRPr="00825614">
        <w:rPr>
          <w:noProof/>
        </w:rPr>
        <w:t>2</w:t>
      </w:r>
      <w:r w:rsidRPr="00F66162">
        <w:rPr>
          <w:noProof/>
        </w:rPr>
        <w:t>, zaistniałych po dokonaniu rejestracji. Właściwy organ zapewnia, aby odpowiednie informacje należycie zaktualizowano</w:t>
      </w:r>
      <w:r w:rsidR="00825614" w:rsidRPr="00F66162">
        <w:rPr>
          <w:noProof/>
        </w:rPr>
        <w:t xml:space="preserve"> w</w:t>
      </w:r>
      <w:r w:rsidR="00825614">
        <w:rPr>
          <w:noProof/>
        </w:rPr>
        <w:t> </w:t>
      </w:r>
      <w:r w:rsidR="00825614" w:rsidRPr="00F66162">
        <w:rPr>
          <w:noProof/>
        </w:rPr>
        <w:t>rej</w:t>
      </w:r>
      <w:r w:rsidRPr="00F66162">
        <w:rPr>
          <w:noProof/>
        </w:rPr>
        <w:t xml:space="preserve">estrze CBAM. </w:t>
      </w:r>
    </w:p>
    <w:p w14:paraId="24C45191" w14:textId="6DBECDF7" w:rsidR="00EB1BCA" w:rsidRPr="00F66162" w:rsidRDefault="00EB1BCA" w:rsidP="001925C8">
      <w:pPr>
        <w:ind w:left="850"/>
        <w:rPr>
          <w:noProof/>
        </w:rPr>
      </w:pPr>
      <w:r w:rsidRPr="00F66162">
        <w:rPr>
          <w:noProof/>
        </w:rPr>
        <w:t>5. Na wniosek operatora, złożony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 xml:space="preserve">0 </w:t>
      </w:r>
      <w:r w:rsidRPr="00825614">
        <w:rPr>
          <w:noProof/>
        </w:rPr>
        <w:t>ust.</w:t>
      </w:r>
      <w:r w:rsidR="00825614" w:rsidRPr="00825614">
        <w:rPr>
          <w:noProof/>
        </w:rPr>
        <w:t> </w:t>
      </w:r>
      <w:r w:rsidRPr="00825614">
        <w:rPr>
          <w:noProof/>
        </w:rPr>
        <w:t>5</w:t>
      </w:r>
      <w:r w:rsidRPr="00F66162">
        <w:rPr>
          <w:noProof/>
        </w:rPr>
        <w:t xml:space="preserve"> </w:t>
      </w:r>
      <w:r w:rsidRPr="00825614">
        <w:rPr>
          <w:noProof/>
        </w:rPr>
        <w:t>lit.</w:t>
      </w:r>
      <w:r w:rsidR="00825614" w:rsidRPr="00825614">
        <w:rPr>
          <w:noProof/>
        </w:rPr>
        <w:t> </w:t>
      </w:r>
      <w:r w:rsidRPr="00825614">
        <w:rPr>
          <w:noProof/>
        </w:rPr>
        <w:t>b)</w:t>
      </w:r>
      <w:r w:rsidRPr="00F66162">
        <w:rPr>
          <w:noProof/>
        </w:rPr>
        <w:t>, weryfikator weryfikuje</w:t>
      </w:r>
      <w:r w:rsidR="00825614" w:rsidRPr="00F66162">
        <w:rPr>
          <w:noProof/>
        </w:rPr>
        <w:t xml:space="preserve"> w</w:t>
      </w:r>
      <w:r w:rsidR="00825614">
        <w:rPr>
          <w:noProof/>
        </w:rPr>
        <w:t> </w:t>
      </w:r>
      <w:r w:rsidR="00825614" w:rsidRPr="00F66162">
        <w:rPr>
          <w:noProof/>
        </w:rPr>
        <w:t>rej</w:t>
      </w:r>
      <w:r w:rsidRPr="00F66162">
        <w:rPr>
          <w:noProof/>
        </w:rPr>
        <w:t xml:space="preserve">estrze CBAM emisje wbudowane. </w:t>
      </w:r>
    </w:p>
    <w:p w14:paraId="1A79FBE6" w14:textId="2F9B35BE" w:rsidR="00EB1BCA" w:rsidRPr="00F66162" w:rsidRDefault="00EB1BCA" w:rsidP="001925C8">
      <w:pPr>
        <w:ind w:left="850"/>
        <w:rPr>
          <w:noProof/>
        </w:rPr>
      </w:pPr>
      <w:r w:rsidRPr="00F66162">
        <w:rPr>
          <w:noProof/>
        </w:rPr>
        <w:t>6. Właściwy organ wyrejestrowuje weryfikatora</w:t>
      </w:r>
      <w:r w:rsidR="00825614" w:rsidRPr="00F66162">
        <w:rPr>
          <w:noProof/>
        </w:rPr>
        <w:t xml:space="preserve"> z</w:t>
      </w:r>
      <w:r w:rsidR="00825614">
        <w:rPr>
          <w:noProof/>
        </w:rPr>
        <w:t> </w:t>
      </w:r>
      <w:r w:rsidR="00825614" w:rsidRPr="00F66162">
        <w:rPr>
          <w:noProof/>
        </w:rPr>
        <w:t>rej</w:t>
      </w:r>
      <w:r w:rsidRPr="00F66162">
        <w:rPr>
          <w:noProof/>
        </w:rPr>
        <w:t>estru CBAM, jeżeli weryfikator ten nie jest już akredytowany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8 lub jeżeli nie wypełnił on obowiązku określonego</w:t>
      </w:r>
      <w:r w:rsidR="00825614" w:rsidRPr="00F66162">
        <w:rPr>
          <w:noProof/>
        </w:rPr>
        <w:t xml:space="preserve"> w</w:t>
      </w:r>
      <w:r w:rsidR="00825614">
        <w:rPr>
          <w:noProof/>
        </w:rPr>
        <w:t> </w:t>
      </w:r>
      <w:r w:rsidR="00825614" w:rsidRPr="00825614">
        <w:rPr>
          <w:noProof/>
        </w:rPr>
        <w:t>ust</w:t>
      </w:r>
      <w:r w:rsidRPr="00825614">
        <w:rPr>
          <w:noProof/>
        </w:rPr>
        <w:t>.</w:t>
      </w:r>
      <w:r w:rsidR="00825614" w:rsidRPr="00825614">
        <w:rPr>
          <w:noProof/>
        </w:rPr>
        <w:t> </w:t>
      </w:r>
      <w:r w:rsidRPr="00825614">
        <w:rPr>
          <w:noProof/>
        </w:rPr>
        <w:t>4</w:t>
      </w:r>
      <w:r w:rsidRPr="00F66162">
        <w:rPr>
          <w:noProof/>
        </w:rPr>
        <w:t>. Właściwy organ powiadamia Komisję</w:t>
      </w:r>
      <w:r w:rsidR="00825614" w:rsidRPr="00F66162">
        <w:rPr>
          <w:noProof/>
        </w:rPr>
        <w:t xml:space="preserve"> i</w:t>
      </w:r>
      <w:r w:rsidR="00825614">
        <w:rPr>
          <w:noProof/>
        </w:rPr>
        <w:t> </w:t>
      </w:r>
      <w:r w:rsidR="00825614" w:rsidRPr="00F66162">
        <w:rPr>
          <w:noProof/>
        </w:rPr>
        <w:t>inn</w:t>
      </w:r>
      <w:r w:rsidRPr="00F66162">
        <w:rPr>
          <w:noProof/>
        </w:rPr>
        <w:t>e właściwe organy</w:t>
      </w:r>
      <w:r w:rsidR="00825614" w:rsidRPr="00F66162">
        <w:rPr>
          <w:noProof/>
        </w:rPr>
        <w:t xml:space="preserve"> o</w:t>
      </w:r>
      <w:r w:rsidR="00825614">
        <w:rPr>
          <w:noProof/>
        </w:rPr>
        <w:t> </w:t>
      </w:r>
      <w:r w:rsidR="00825614" w:rsidRPr="00F66162">
        <w:rPr>
          <w:noProof/>
        </w:rPr>
        <w:t>tak</w:t>
      </w:r>
      <w:r w:rsidRPr="00F66162">
        <w:rPr>
          <w:noProof/>
        </w:rPr>
        <w:t>im wyrejestrowaniu. Właściwy organ wykreśla</w:t>
      </w:r>
      <w:r w:rsidR="00825614" w:rsidRPr="00F66162">
        <w:rPr>
          <w:noProof/>
        </w:rPr>
        <w:t xml:space="preserve"> z</w:t>
      </w:r>
      <w:r w:rsidR="00825614">
        <w:rPr>
          <w:noProof/>
        </w:rPr>
        <w:t> </w:t>
      </w:r>
      <w:r w:rsidR="00825614" w:rsidRPr="00F66162">
        <w:rPr>
          <w:noProof/>
        </w:rPr>
        <w:t>rej</w:t>
      </w:r>
      <w:r w:rsidRPr="00F66162">
        <w:rPr>
          <w:noProof/>
        </w:rPr>
        <w:t>estru CBAM informacje</w:t>
      </w:r>
      <w:r w:rsidR="00825614" w:rsidRPr="00F66162">
        <w:rPr>
          <w:noProof/>
        </w:rPr>
        <w:t xml:space="preserve"> o</w:t>
      </w:r>
      <w:r w:rsidR="00825614">
        <w:rPr>
          <w:noProof/>
        </w:rPr>
        <w:t> </w:t>
      </w:r>
      <w:r w:rsidR="00825614" w:rsidRPr="00F66162">
        <w:rPr>
          <w:noProof/>
        </w:rPr>
        <w:t>tym</w:t>
      </w:r>
      <w:r w:rsidRPr="00F66162">
        <w:rPr>
          <w:noProof/>
        </w:rPr>
        <w:t xml:space="preserve"> akredytowanym weryfikatorze, pod warunkiem że informacje te nie są niezbędne do przeglądu złożonych deklaracji CBAM.”;</w:t>
      </w:r>
    </w:p>
    <w:p w14:paraId="54C16053" w14:textId="77391422" w:rsidR="00545AD4" w:rsidRPr="00F66162" w:rsidRDefault="0074784E" w:rsidP="0074784E">
      <w:pPr>
        <w:pStyle w:val="Point0"/>
        <w:rPr>
          <w:noProof/>
        </w:rPr>
      </w:pPr>
      <w:r w:rsidRPr="00F66162">
        <w:rPr>
          <w:noProof/>
        </w:rPr>
        <w:lastRenderedPageBreak/>
        <w:t>10.</w:t>
      </w:r>
      <w:r w:rsidRPr="00F66162">
        <w:rPr>
          <w:noProof/>
        </w:rPr>
        <w:tab/>
        <w:t xml:space="preserve">w </w:t>
      </w:r>
      <w:r w:rsidRPr="00825614">
        <w:rPr>
          <w:noProof/>
        </w:rPr>
        <w:t>art.</w:t>
      </w:r>
      <w:r w:rsidR="00825614" w:rsidRPr="00825614">
        <w:rPr>
          <w:noProof/>
        </w:rPr>
        <w:t> </w:t>
      </w:r>
      <w:r w:rsidRPr="00825614">
        <w:rPr>
          <w:noProof/>
        </w:rPr>
        <w:t>1</w:t>
      </w:r>
      <w:r w:rsidRPr="00F66162">
        <w:rPr>
          <w:noProof/>
        </w:rPr>
        <w:t xml:space="preserve">1 wprowadza się następujące zmiany: </w:t>
      </w:r>
    </w:p>
    <w:p w14:paraId="19992BB8" w14:textId="4D71EBF1" w:rsidR="001A114B" w:rsidRPr="00F66162" w:rsidRDefault="0074784E" w:rsidP="0074784E">
      <w:pPr>
        <w:pStyle w:val="Point1"/>
        <w:rPr>
          <w:noProof/>
        </w:rPr>
      </w:pPr>
      <w:r w:rsidRPr="00F66162">
        <w:rPr>
          <w:noProof/>
        </w:rPr>
        <w:t>a)</w:t>
      </w:r>
      <w:r w:rsidRPr="00F66162">
        <w:rPr>
          <w:noProof/>
        </w:rPr>
        <w:tab/>
        <w:t>w ust. 1 akapit pierwszy dodaje się zdanie</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242EE3F9" w14:textId="3BD770D2" w:rsidR="00081E85" w:rsidRPr="00F66162" w:rsidRDefault="00126623" w:rsidP="00126623">
      <w:pPr>
        <w:pStyle w:val="Text1"/>
        <w:rPr>
          <w:noProof/>
        </w:rPr>
      </w:pPr>
      <w:r w:rsidRPr="00F66162">
        <w:rPr>
          <w:noProof/>
        </w:rPr>
        <w:t>„Każde państwo członkowskie zapewnia, aby wyznaczony organ posiadał wszelkie uprawnienia niezbędne do wypełniania funkcji</w:t>
      </w:r>
      <w:r w:rsidR="00825614" w:rsidRPr="00F66162">
        <w:rPr>
          <w:noProof/>
        </w:rPr>
        <w:t xml:space="preserve"> i</w:t>
      </w:r>
      <w:r w:rsidR="00825614">
        <w:rPr>
          <w:noProof/>
        </w:rPr>
        <w:t> </w:t>
      </w:r>
      <w:r w:rsidR="00825614" w:rsidRPr="00F66162">
        <w:rPr>
          <w:noProof/>
        </w:rPr>
        <w:t>obo</w:t>
      </w:r>
      <w:r w:rsidRPr="00F66162">
        <w:rPr>
          <w:noProof/>
        </w:rPr>
        <w:t>wiązków wynikających</w:t>
      </w:r>
      <w:r w:rsidR="00825614" w:rsidRPr="00F66162">
        <w:rPr>
          <w:noProof/>
        </w:rPr>
        <w:t xml:space="preserve"> z</w:t>
      </w:r>
      <w:r w:rsidR="00825614">
        <w:rPr>
          <w:noProof/>
        </w:rPr>
        <w:t> </w:t>
      </w:r>
      <w:r w:rsidR="00825614" w:rsidRPr="00F66162">
        <w:rPr>
          <w:noProof/>
        </w:rPr>
        <w:t>nin</w:t>
      </w:r>
      <w:r w:rsidRPr="00F66162">
        <w:rPr>
          <w:noProof/>
        </w:rPr>
        <w:t>iejszego rozporządzenia.”;</w:t>
      </w:r>
    </w:p>
    <w:p w14:paraId="35EC8ECA" w14:textId="02FD89A6" w:rsidR="00B47984" w:rsidRPr="00F66162" w:rsidRDefault="0074784E" w:rsidP="0074784E">
      <w:pPr>
        <w:pStyle w:val="Point1"/>
        <w:rPr>
          <w:noProof/>
        </w:rPr>
      </w:pPr>
      <w:r w:rsidRPr="00F66162">
        <w:rPr>
          <w:noProof/>
        </w:rPr>
        <w:t>b)</w:t>
      </w:r>
      <w:r w:rsidRPr="00F66162">
        <w:rPr>
          <w:noProof/>
        </w:rPr>
        <w:tab/>
        <w:t>dodaje się ust. 3</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4F2EB239" w14:textId="161E3ACF" w:rsidR="00081E85" w:rsidRPr="00F66162" w:rsidRDefault="000515A6" w:rsidP="000515A6">
      <w:pPr>
        <w:ind w:left="850"/>
        <w:rPr>
          <w:noProof/>
        </w:rPr>
      </w:pPr>
      <w:r w:rsidRPr="00F66162">
        <w:rPr>
          <w:noProof/>
        </w:rPr>
        <w:t>„3. Właściwe organy przekazują Komisji, na jej wniosek, informacje na temat wykonania niniejszego rozporządzenia. Komisja może wykorzystać te informacje na potrzeby sporządzenia sprawozdania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3</w:t>
      </w:r>
      <w:r w:rsidRPr="00F66162">
        <w:rPr>
          <w:noProof/>
        </w:rPr>
        <w:t xml:space="preserve">0 </w:t>
      </w:r>
      <w:r w:rsidRPr="00825614">
        <w:rPr>
          <w:noProof/>
        </w:rPr>
        <w:t>ust.</w:t>
      </w:r>
      <w:r w:rsidR="00825614" w:rsidRPr="00825614">
        <w:rPr>
          <w:noProof/>
        </w:rPr>
        <w:t> </w:t>
      </w:r>
      <w:r w:rsidRPr="00825614">
        <w:rPr>
          <w:noProof/>
        </w:rPr>
        <w:t>6</w:t>
      </w:r>
      <w:r w:rsidRPr="00F66162">
        <w:rPr>
          <w:noProof/>
        </w:rPr>
        <w:t xml:space="preserve">.”; </w:t>
      </w:r>
    </w:p>
    <w:p w14:paraId="4D78228D" w14:textId="17AEB337" w:rsidR="00A54B01" w:rsidRPr="00F66162" w:rsidRDefault="0074784E" w:rsidP="0074784E">
      <w:pPr>
        <w:pStyle w:val="Point0"/>
        <w:rPr>
          <w:noProof/>
        </w:rPr>
      </w:pPr>
      <w:r w:rsidRPr="00F66162">
        <w:rPr>
          <w:noProof/>
        </w:rPr>
        <w:t>11.</w:t>
      </w:r>
      <w:r w:rsidRPr="00F66162">
        <w:rPr>
          <w:noProof/>
        </w:rPr>
        <w:tab/>
        <w:t xml:space="preserve">w </w:t>
      </w:r>
      <w:r w:rsidRPr="00825614">
        <w:rPr>
          <w:noProof/>
        </w:rPr>
        <w:t>art.</w:t>
      </w:r>
      <w:r w:rsidR="00825614" w:rsidRPr="00825614">
        <w:rPr>
          <w:noProof/>
        </w:rPr>
        <w:t> </w:t>
      </w:r>
      <w:r w:rsidRPr="00825614">
        <w:rPr>
          <w:noProof/>
        </w:rPr>
        <w:t>1</w:t>
      </w:r>
      <w:r w:rsidRPr="00F66162">
        <w:rPr>
          <w:noProof/>
        </w:rPr>
        <w:t xml:space="preserve">4 wprowadza się następujące zmiany: </w:t>
      </w:r>
    </w:p>
    <w:p w14:paraId="14D26001" w14:textId="07B5F39A" w:rsidR="00A07D94" w:rsidRPr="00F66162" w:rsidRDefault="0074784E" w:rsidP="0074784E">
      <w:pPr>
        <w:pStyle w:val="Point1"/>
        <w:rPr>
          <w:noProof/>
        </w:rPr>
      </w:pPr>
      <w:r w:rsidRPr="00F66162">
        <w:rPr>
          <w:noProof/>
        </w:rPr>
        <w:t>a)</w:t>
      </w:r>
      <w:r w:rsidRPr="00F66162">
        <w:rPr>
          <w:noProof/>
        </w:rPr>
        <w:tab/>
      </w:r>
      <w:r w:rsidRPr="00825614">
        <w:rPr>
          <w:noProof/>
        </w:rPr>
        <w:t>ust.</w:t>
      </w:r>
      <w:r w:rsidR="00825614" w:rsidRPr="00825614">
        <w:rPr>
          <w:noProof/>
        </w:rPr>
        <w:t> </w:t>
      </w:r>
      <w:r w:rsidRPr="00825614">
        <w:rPr>
          <w:noProof/>
        </w:rPr>
        <w:t>3</w:t>
      </w:r>
      <w:r w:rsidR="00825614" w:rsidRPr="00F66162">
        <w:rPr>
          <w:noProof/>
        </w:rPr>
        <w:t xml:space="preserve"> i</w:t>
      </w:r>
      <w:r w:rsidR="00825614">
        <w:rPr>
          <w:noProof/>
        </w:rPr>
        <w:t> </w:t>
      </w:r>
      <w:r w:rsidR="00825614" w:rsidRPr="00F66162">
        <w:rPr>
          <w:noProof/>
        </w:rPr>
        <w:t>4</w:t>
      </w:r>
      <w:r w:rsidRPr="00F66162">
        <w:rPr>
          <w:noProof/>
        </w:rPr>
        <w:t xml:space="preserve"> otrzymują brzmienie: </w:t>
      </w:r>
    </w:p>
    <w:p w14:paraId="65B9C59A" w14:textId="157D7758" w:rsidR="00081E85" w:rsidRPr="00F66162" w:rsidRDefault="00023214" w:rsidP="00023214">
      <w:pPr>
        <w:ind w:left="850"/>
        <w:rPr>
          <w:noProof/>
        </w:rPr>
      </w:pPr>
      <w:r w:rsidRPr="00F66162">
        <w:rPr>
          <w:noProof/>
        </w:rPr>
        <w:t>„3</w:t>
      </w:r>
      <w:r w:rsidR="00825614" w:rsidRPr="00F66162">
        <w:rPr>
          <w:noProof/>
        </w:rPr>
        <w:t>. W</w:t>
      </w:r>
      <w:r w:rsidR="00825614">
        <w:rPr>
          <w:noProof/>
        </w:rPr>
        <w:t> </w:t>
      </w:r>
      <w:r w:rsidR="00825614" w:rsidRPr="00F66162">
        <w:rPr>
          <w:noProof/>
        </w:rPr>
        <w:t>oso</w:t>
      </w:r>
      <w:r w:rsidRPr="00F66162">
        <w:rPr>
          <w:noProof/>
        </w:rPr>
        <w:t>bnej sekcji rejestr CBAM zawiera informacje</w:t>
      </w:r>
      <w:r w:rsidR="00825614" w:rsidRPr="00F66162">
        <w:rPr>
          <w:noProof/>
        </w:rPr>
        <w:t xml:space="preserve"> o</w:t>
      </w:r>
      <w:r w:rsidR="00825614">
        <w:rPr>
          <w:noProof/>
        </w:rPr>
        <w:t> </w:t>
      </w:r>
      <w:r w:rsidR="00825614" w:rsidRPr="00F66162">
        <w:rPr>
          <w:noProof/>
        </w:rPr>
        <w:t>ope</w:t>
      </w:r>
      <w:r w:rsidRPr="00F66162">
        <w:rPr>
          <w:noProof/>
        </w:rPr>
        <w:t>ratorach</w:t>
      </w:r>
      <w:r w:rsidR="00825614" w:rsidRPr="00F66162">
        <w:rPr>
          <w:noProof/>
        </w:rPr>
        <w:t xml:space="preserve"> i</w:t>
      </w:r>
      <w:r w:rsidR="00825614">
        <w:rPr>
          <w:noProof/>
        </w:rPr>
        <w:t> </w:t>
      </w:r>
      <w:r w:rsidR="00825614" w:rsidRPr="00F66162">
        <w:rPr>
          <w:noProof/>
        </w:rPr>
        <w:t>ins</w:t>
      </w:r>
      <w:r w:rsidRPr="00F66162">
        <w:rPr>
          <w:noProof/>
        </w:rPr>
        <w:t>talacjach</w:t>
      </w:r>
      <w:r w:rsidR="00825614" w:rsidRPr="00F66162">
        <w:rPr>
          <w:noProof/>
        </w:rPr>
        <w:t xml:space="preserve"> w</w:t>
      </w:r>
      <w:r w:rsidR="00825614">
        <w:rPr>
          <w:noProof/>
        </w:rPr>
        <w:t> </w:t>
      </w:r>
      <w:r w:rsidR="00825614" w:rsidRPr="00F66162">
        <w:rPr>
          <w:noProof/>
        </w:rPr>
        <w:t>pań</w:t>
      </w:r>
      <w:r w:rsidRPr="00F66162">
        <w:rPr>
          <w:noProof/>
        </w:rPr>
        <w:t>stwach trzecich zarejestrowanych zgodnie</w:t>
      </w:r>
      <w:r w:rsidR="00825614" w:rsidRPr="00F66162">
        <w:rPr>
          <w:noProof/>
        </w:rPr>
        <w:t xml:space="preserve"> z</w:t>
      </w:r>
      <w:r w:rsidR="00825614">
        <w:rPr>
          <w:noProof/>
        </w:rPr>
        <w:t> </w:t>
      </w:r>
      <w:r w:rsidR="00825614" w:rsidRPr="00F66162">
        <w:rPr>
          <w:noProof/>
        </w:rPr>
        <w:t>art</w:t>
      </w:r>
      <w:r w:rsidRPr="00F66162">
        <w:rPr>
          <w:noProof/>
        </w:rPr>
        <w:t>. 10 ust. 2 oraz informacje</w:t>
      </w:r>
      <w:r w:rsidR="00825614" w:rsidRPr="00F66162">
        <w:rPr>
          <w:noProof/>
        </w:rPr>
        <w:t xml:space="preserve"> o</w:t>
      </w:r>
      <w:r w:rsidR="00825614">
        <w:rPr>
          <w:noProof/>
        </w:rPr>
        <w:t> </w:t>
      </w:r>
      <w:r w:rsidR="00825614" w:rsidRPr="00F66162">
        <w:rPr>
          <w:noProof/>
        </w:rPr>
        <w:t>akr</w:t>
      </w:r>
      <w:r w:rsidRPr="00F66162">
        <w:rPr>
          <w:noProof/>
        </w:rPr>
        <w:t>edytowanych weryfikatorach zarejestrowanych zgodnie</w:t>
      </w:r>
      <w:r w:rsidR="00825614" w:rsidRPr="00F66162">
        <w:rPr>
          <w:noProof/>
        </w:rPr>
        <w:t xml:space="preserve"> z</w:t>
      </w:r>
      <w:r w:rsidR="00825614">
        <w:rPr>
          <w:noProof/>
        </w:rPr>
        <w:t> </w:t>
      </w:r>
      <w:r w:rsidR="00825614" w:rsidRPr="00F66162">
        <w:rPr>
          <w:noProof/>
        </w:rPr>
        <w:t>art</w:t>
      </w:r>
      <w:r w:rsidRPr="00F66162">
        <w:rPr>
          <w:noProof/>
        </w:rPr>
        <w:t>. 10a.</w:t>
      </w:r>
    </w:p>
    <w:p w14:paraId="22DE8A7A" w14:textId="21CC4511" w:rsidR="00081E85" w:rsidRPr="00F66162" w:rsidRDefault="006F0069" w:rsidP="006F0069">
      <w:pPr>
        <w:ind w:left="850"/>
        <w:rPr>
          <w:noProof/>
        </w:rPr>
      </w:pPr>
      <w:r w:rsidRPr="00F66162">
        <w:rPr>
          <w:noProof/>
        </w:rPr>
        <w:t>4. Informacje zawarte</w:t>
      </w:r>
      <w:r w:rsidR="00825614" w:rsidRPr="00F66162">
        <w:rPr>
          <w:noProof/>
        </w:rPr>
        <w:t xml:space="preserve"> w</w:t>
      </w:r>
      <w:r w:rsidR="00825614">
        <w:rPr>
          <w:noProof/>
        </w:rPr>
        <w:t> </w:t>
      </w:r>
      <w:r w:rsidR="00825614" w:rsidRPr="00F66162">
        <w:rPr>
          <w:noProof/>
        </w:rPr>
        <w:t>rej</w:t>
      </w:r>
      <w:r w:rsidRPr="00F66162">
        <w:rPr>
          <w:noProof/>
        </w:rPr>
        <w:t>estrze CBAM,</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2</w:t>
      </w:r>
      <w:r w:rsidR="00825614" w:rsidRPr="00F66162">
        <w:rPr>
          <w:noProof/>
        </w:rPr>
        <w:t xml:space="preserve"> i</w:t>
      </w:r>
      <w:r w:rsidR="00825614">
        <w:rPr>
          <w:noProof/>
        </w:rPr>
        <w:t> </w:t>
      </w:r>
      <w:r w:rsidR="00825614" w:rsidRPr="00F66162">
        <w:rPr>
          <w:noProof/>
        </w:rPr>
        <w:t>3</w:t>
      </w:r>
      <w:r w:rsidRPr="00F66162">
        <w:rPr>
          <w:noProof/>
        </w:rPr>
        <w:t>, są poufne,</w:t>
      </w:r>
      <w:r w:rsidR="00825614" w:rsidRPr="00F66162">
        <w:rPr>
          <w:noProof/>
        </w:rPr>
        <w:t xml:space="preserve"> z</w:t>
      </w:r>
      <w:r w:rsidR="00825614">
        <w:rPr>
          <w:noProof/>
        </w:rPr>
        <w:t> </w:t>
      </w:r>
      <w:r w:rsidR="00825614" w:rsidRPr="00F66162">
        <w:rPr>
          <w:noProof/>
        </w:rPr>
        <w:t>wyj</w:t>
      </w:r>
      <w:r w:rsidRPr="00F66162">
        <w:rPr>
          <w:noProof/>
        </w:rPr>
        <w:t>ątkiem imion</w:t>
      </w:r>
      <w:r w:rsidR="00825614" w:rsidRPr="00F66162">
        <w:rPr>
          <w:noProof/>
        </w:rPr>
        <w:t xml:space="preserve"> i</w:t>
      </w:r>
      <w:r w:rsidR="00825614">
        <w:rPr>
          <w:noProof/>
        </w:rPr>
        <w:t> </w:t>
      </w:r>
      <w:r w:rsidR="00825614" w:rsidRPr="00F66162">
        <w:rPr>
          <w:noProof/>
        </w:rPr>
        <w:t>naz</w:t>
      </w:r>
      <w:r w:rsidRPr="00F66162">
        <w:rPr>
          <w:noProof/>
        </w:rPr>
        <w:t>wisk lub nazw, adresów, numerów wpisu do rejestru przedsiębiorców lub rejestru działalności gospodarczej</w:t>
      </w:r>
      <w:r w:rsidR="00825614" w:rsidRPr="00F66162">
        <w:rPr>
          <w:noProof/>
        </w:rPr>
        <w:t xml:space="preserve"> i</w:t>
      </w:r>
      <w:r w:rsidR="00825614">
        <w:rPr>
          <w:noProof/>
        </w:rPr>
        <w:t> </w:t>
      </w:r>
      <w:r w:rsidR="00825614" w:rsidRPr="00F66162">
        <w:rPr>
          <w:noProof/>
        </w:rPr>
        <w:t>dan</w:t>
      </w:r>
      <w:r w:rsidRPr="00F66162">
        <w:rPr>
          <w:noProof/>
        </w:rPr>
        <w:t>ych kontaktowych operatorów, lokalizacji instalacji</w:t>
      </w:r>
      <w:r w:rsidR="00825614" w:rsidRPr="00F66162">
        <w:rPr>
          <w:noProof/>
        </w:rPr>
        <w:t xml:space="preserve"> w</w:t>
      </w:r>
      <w:r w:rsidR="00825614">
        <w:rPr>
          <w:noProof/>
        </w:rPr>
        <w:t> </w:t>
      </w:r>
      <w:r w:rsidR="00825614" w:rsidRPr="00F66162">
        <w:rPr>
          <w:noProof/>
        </w:rPr>
        <w:t>pań</w:t>
      </w:r>
      <w:r w:rsidRPr="00F66162">
        <w:rPr>
          <w:noProof/>
        </w:rPr>
        <w:t>stwach trzecich oraz informacji</w:t>
      </w:r>
      <w:r w:rsidR="00825614" w:rsidRPr="00F66162">
        <w:rPr>
          <w:noProof/>
        </w:rPr>
        <w:t xml:space="preserve"> o</w:t>
      </w:r>
      <w:r w:rsidR="00825614">
        <w:rPr>
          <w:noProof/>
        </w:rPr>
        <w:t> </w:t>
      </w:r>
      <w:r w:rsidR="00825614" w:rsidRPr="00F66162">
        <w:rPr>
          <w:noProof/>
        </w:rPr>
        <w:t>akr</w:t>
      </w:r>
      <w:r w:rsidRPr="00F66162">
        <w:rPr>
          <w:noProof/>
        </w:rPr>
        <w:t>edytowanych weryfikatorach,</w:t>
      </w:r>
      <w:r w:rsidR="00825614" w:rsidRPr="00F66162">
        <w:rPr>
          <w:noProof/>
        </w:rPr>
        <w:t xml:space="preserve"> o</w:t>
      </w:r>
      <w:r w:rsidR="00825614">
        <w:rPr>
          <w:noProof/>
        </w:rPr>
        <w:t> </w:t>
      </w:r>
      <w:r w:rsidR="00825614" w:rsidRPr="00F66162">
        <w:rPr>
          <w:noProof/>
        </w:rPr>
        <w:t>któ</w:t>
      </w:r>
      <w:r w:rsidRPr="00F66162">
        <w:rPr>
          <w:noProof/>
        </w:rPr>
        <w:t>rych to informacjach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1</w:t>
      </w:r>
      <w:r w:rsidRPr="00F66162">
        <w:rPr>
          <w:noProof/>
        </w:rPr>
        <w:t xml:space="preserve">0a </w:t>
      </w:r>
      <w:r w:rsidRPr="00825614">
        <w:rPr>
          <w:noProof/>
        </w:rPr>
        <w:t>ust.</w:t>
      </w:r>
      <w:r w:rsidR="00825614" w:rsidRPr="00825614">
        <w:rPr>
          <w:noProof/>
        </w:rPr>
        <w:t> </w:t>
      </w:r>
      <w:r w:rsidRPr="00825614">
        <w:rPr>
          <w:noProof/>
        </w:rPr>
        <w:t>2</w:t>
      </w:r>
      <w:r w:rsidRPr="00F66162">
        <w:rPr>
          <w:noProof/>
        </w:rPr>
        <w:t>. Operator może zdecydować</w:t>
      </w:r>
      <w:r w:rsidR="00825614" w:rsidRPr="00F66162">
        <w:rPr>
          <w:noProof/>
        </w:rPr>
        <w:t xml:space="preserve"> o</w:t>
      </w:r>
      <w:r w:rsidR="00825614">
        <w:rPr>
          <w:noProof/>
        </w:rPr>
        <w:t> </w:t>
      </w:r>
      <w:r w:rsidR="00825614" w:rsidRPr="00F66162">
        <w:rPr>
          <w:noProof/>
        </w:rPr>
        <w:t>nie</w:t>
      </w:r>
      <w:r w:rsidRPr="00F66162">
        <w:rPr>
          <w:noProof/>
        </w:rPr>
        <w:t>udostępnianiu publicznie swojego imienia</w:t>
      </w:r>
      <w:r w:rsidR="00825614" w:rsidRPr="00F66162">
        <w:rPr>
          <w:noProof/>
        </w:rPr>
        <w:t xml:space="preserve"> i</w:t>
      </w:r>
      <w:r w:rsidR="00825614">
        <w:rPr>
          <w:noProof/>
        </w:rPr>
        <w:t> </w:t>
      </w:r>
      <w:r w:rsidR="00825614" w:rsidRPr="00F66162">
        <w:rPr>
          <w:noProof/>
        </w:rPr>
        <w:t>naz</w:t>
      </w:r>
      <w:r w:rsidRPr="00F66162">
        <w:rPr>
          <w:noProof/>
        </w:rPr>
        <w:t>wiska lub swojej nazwy, adresu, numeru wpisu do rejestru przedsiębiorców lub rejestru działalności gospodarczej, danych kontaktowych</w:t>
      </w:r>
      <w:r w:rsidR="00825614" w:rsidRPr="00F66162">
        <w:rPr>
          <w:noProof/>
        </w:rPr>
        <w:t xml:space="preserve"> i</w:t>
      </w:r>
      <w:r w:rsidR="00825614">
        <w:rPr>
          <w:noProof/>
        </w:rPr>
        <w:t> </w:t>
      </w:r>
      <w:r w:rsidR="00825614" w:rsidRPr="00F66162">
        <w:rPr>
          <w:noProof/>
        </w:rPr>
        <w:t>lok</w:t>
      </w:r>
      <w:r w:rsidRPr="00F66162">
        <w:rPr>
          <w:noProof/>
        </w:rPr>
        <w:t>alizacji swojej instalacji. Komisja udostępnia publiczne informacje zawarte</w:t>
      </w:r>
      <w:r w:rsidR="00825614" w:rsidRPr="00F66162">
        <w:rPr>
          <w:noProof/>
        </w:rPr>
        <w:t xml:space="preserve"> w</w:t>
      </w:r>
      <w:r w:rsidR="00825614">
        <w:rPr>
          <w:noProof/>
        </w:rPr>
        <w:t> </w:t>
      </w:r>
      <w:r w:rsidR="00825614" w:rsidRPr="00F66162">
        <w:rPr>
          <w:noProof/>
        </w:rPr>
        <w:t>rej</w:t>
      </w:r>
      <w:r w:rsidRPr="00F66162">
        <w:rPr>
          <w:noProof/>
        </w:rPr>
        <w:t>estrze CBAM</w:t>
      </w:r>
      <w:r w:rsidR="00825614" w:rsidRPr="00F66162">
        <w:rPr>
          <w:noProof/>
        </w:rPr>
        <w:t xml:space="preserve"> w</w:t>
      </w:r>
      <w:r w:rsidR="00825614">
        <w:rPr>
          <w:noProof/>
        </w:rPr>
        <w:t> </w:t>
      </w:r>
      <w:r w:rsidR="00825614" w:rsidRPr="00F66162">
        <w:rPr>
          <w:noProof/>
        </w:rPr>
        <w:t>int</w:t>
      </w:r>
      <w:r w:rsidRPr="00F66162">
        <w:rPr>
          <w:noProof/>
        </w:rPr>
        <w:t>eroperacyjnym formacie.”;</w:t>
      </w:r>
    </w:p>
    <w:p w14:paraId="4E732284" w14:textId="077D178D" w:rsidR="00C92FC0" w:rsidRPr="00F66162" w:rsidRDefault="0074784E" w:rsidP="0074784E">
      <w:pPr>
        <w:pStyle w:val="Point1"/>
        <w:rPr>
          <w:noProof/>
        </w:rPr>
      </w:pPr>
      <w:r w:rsidRPr="00F66162">
        <w:rPr>
          <w:noProof/>
        </w:rPr>
        <w:t>b)</w:t>
      </w:r>
      <w:r w:rsidRPr="00F66162">
        <w:rPr>
          <w:noProof/>
        </w:rPr>
        <w:tab/>
      </w:r>
      <w:r w:rsidRPr="00825614">
        <w:rPr>
          <w:noProof/>
        </w:rPr>
        <w:t>ust.</w:t>
      </w:r>
      <w:r w:rsidR="00825614" w:rsidRPr="00825614">
        <w:rPr>
          <w:noProof/>
        </w:rPr>
        <w:t> </w:t>
      </w:r>
      <w:r w:rsidRPr="00825614">
        <w:rPr>
          <w:noProof/>
        </w:rPr>
        <w:t>6</w:t>
      </w:r>
      <w:r w:rsidRPr="00F66162">
        <w:rPr>
          <w:noProof/>
        </w:rPr>
        <w:t xml:space="preserve"> otrzymuje brzmienie:</w:t>
      </w:r>
    </w:p>
    <w:p w14:paraId="320004A3" w14:textId="29371D30" w:rsidR="00081E85" w:rsidRPr="00F66162" w:rsidRDefault="00385B69" w:rsidP="00385B69">
      <w:pPr>
        <w:ind w:left="850"/>
        <w:rPr>
          <w:noProof/>
        </w:rPr>
      </w:pPr>
      <w:r w:rsidRPr="00F66162">
        <w:rPr>
          <w:noProof/>
        </w:rPr>
        <w:t>„6. Komisja przyjmuje akty wykonawcze dotyczące infrastruktury oraz konkretnych procesów</w:t>
      </w:r>
      <w:r w:rsidR="00825614" w:rsidRPr="00F66162">
        <w:rPr>
          <w:noProof/>
        </w:rPr>
        <w:t xml:space="preserve"> i</w:t>
      </w:r>
      <w:r w:rsidR="00825614">
        <w:rPr>
          <w:noProof/>
        </w:rPr>
        <w:t> </w:t>
      </w:r>
      <w:r w:rsidR="00825614" w:rsidRPr="00F66162">
        <w:rPr>
          <w:noProof/>
        </w:rPr>
        <w:t>pro</w:t>
      </w:r>
      <w:r w:rsidRPr="00F66162">
        <w:rPr>
          <w:noProof/>
        </w:rPr>
        <w:t>cedur związanych</w:t>
      </w:r>
      <w:r w:rsidR="00825614" w:rsidRPr="00F66162">
        <w:rPr>
          <w:noProof/>
        </w:rPr>
        <w:t xml:space="preserve"> z</w:t>
      </w:r>
      <w:r w:rsidR="00825614">
        <w:rPr>
          <w:noProof/>
        </w:rPr>
        <w:t> </w:t>
      </w:r>
      <w:r w:rsidR="00825614" w:rsidRPr="00F66162">
        <w:rPr>
          <w:noProof/>
        </w:rPr>
        <w:t>rej</w:t>
      </w:r>
      <w:r w:rsidRPr="00F66162">
        <w:rPr>
          <w:noProof/>
        </w:rPr>
        <w:t>estrem CBAM,</w:t>
      </w:r>
      <w:r w:rsidR="00825614" w:rsidRPr="00F66162">
        <w:rPr>
          <w:noProof/>
        </w:rPr>
        <w:t xml:space="preserve"> w</w:t>
      </w:r>
      <w:r w:rsidR="00825614">
        <w:rPr>
          <w:noProof/>
        </w:rPr>
        <w:t> </w:t>
      </w:r>
      <w:r w:rsidR="00825614" w:rsidRPr="00F66162">
        <w:rPr>
          <w:noProof/>
        </w:rPr>
        <w:t>tym</w:t>
      </w:r>
      <w:r w:rsidRPr="00F66162">
        <w:rPr>
          <w:noProof/>
        </w:rPr>
        <w:t xml:space="preserve"> analizy ryzyka,</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F66162">
        <w:rPr>
          <w:noProof/>
        </w:rPr>
        <w:t>art</w:t>
      </w:r>
      <w:r w:rsidRPr="00F66162">
        <w:rPr>
          <w:noProof/>
        </w:rPr>
        <w:t>. 15, elektronicznych baz danych zawierających informacje,</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2</w:t>
      </w:r>
      <w:r w:rsidR="00825614" w:rsidRPr="00F66162">
        <w:rPr>
          <w:noProof/>
        </w:rPr>
        <w:t xml:space="preserve"> i</w:t>
      </w:r>
      <w:r w:rsidR="00825614">
        <w:rPr>
          <w:noProof/>
        </w:rPr>
        <w:t> </w:t>
      </w:r>
      <w:r w:rsidR="00825614" w:rsidRPr="00F66162">
        <w:rPr>
          <w:noProof/>
        </w:rPr>
        <w:t>3</w:t>
      </w:r>
      <w:r w:rsidRPr="00F66162">
        <w:rPr>
          <w:noProof/>
        </w:rPr>
        <w:t xml:space="preserve"> niniejszego artykułu, procedur, wymogów technicznych</w:t>
      </w:r>
      <w:r w:rsidR="00825614" w:rsidRPr="00F66162">
        <w:rPr>
          <w:noProof/>
        </w:rPr>
        <w:t xml:space="preserve"> i</w:t>
      </w:r>
      <w:r w:rsidR="00825614">
        <w:rPr>
          <w:noProof/>
        </w:rPr>
        <w:t> </w:t>
      </w:r>
      <w:r w:rsidR="00825614" w:rsidRPr="00F66162">
        <w:rPr>
          <w:noProof/>
        </w:rPr>
        <w:t>dan</w:t>
      </w:r>
      <w:r w:rsidRPr="00F66162">
        <w:rPr>
          <w:noProof/>
        </w:rPr>
        <w:t xml:space="preserve">ych uwierzytelniających potrzebnych do wykonywania uprawnień przekazanych na mocy </w:t>
      </w:r>
      <w:r w:rsidRPr="00825614">
        <w:rPr>
          <w:noProof/>
        </w:rPr>
        <w:t>art.</w:t>
      </w:r>
      <w:r w:rsidR="00825614" w:rsidRPr="00825614">
        <w:rPr>
          <w:noProof/>
        </w:rPr>
        <w:t> </w:t>
      </w:r>
      <w:r w:rsidRPr="00825614">
        <w:rPr>
          <w:noProof/>
        </w:rPr>
        <w:t>5</w:t>
      </w:r>
      <w:r w:rsidRPr="00F66162">
        <w:rPr>
          <w:noProof/>
        </w:rPr>
        <w:t xml:space="preserve"> </w:t>
      </w:r>
      <w:r w:rsidRPr="00825614">
        <w:rPr>
          <w:noProof/>
        </w:rPr>
        <w:t>ust.</w:t>
      </w:r>
      <w:r w:rsidR="00825614" w:rsidRPr="00825614">
        <w:rPr>
          <w:noProof/>
        </w:rPr>
        <w:t> </w:t>
      </w:r>
      <w:r w:rsidRPr="00825614">
        <w:rPr>
          <w:noProof/>
        </w:rPr>
        <w:t>7</w:t>
      </w:r>
      <w:r w:rsidRPr="00F66162">
        <w:rPr>
          <w:noProof/>
        </w:rPr>
        <w:t>a, danych dotyczących rachunków</w:t>
      </w:r>
      <w:r w:rsidR="00825614" w:rsidRPr="00F66162">
        <w:rPr>
          <w:noProof/>
        </w:rPr>
        <w:t xml:space="preserve"> w</w:t>
      </w:r>
      <w:r w:rsidR="00825614">
        <w:rPr>
          <w:noProof/>
        </w:rPr>
        <w:t> </w:t>
      </w:r>
      <w:r w:rsidR="00825614" w:rsidRPr="00F66162">
        <w:rPr>
          <w:noProof/>
        </w:rPr>
        <w:t>rej</w:t>
      </w:r>
      <w:r w:rsidRPr="00F66162">
        <w:rPr>
          <w:noProof/>
        </w:rPr>
        <w:t>estrze CBAM,</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art</w:t>
      </w:r>
      <w:r w:rsidRPr="00F66162">
        <w:rPr>
          <w:noProof/>
        </w:rPr>
        <w:t>. 16, przekazywania do rejestru CBAM informacji dotyczących sprzedaży</w:t>
      </w:r>
      <w:r w:rsidR="00825614" w:rsidRPr="00F66162">
        <w:rPr>
          <w:noProof/>
        </w:rPr>
        <w:t xml:space="preserve"> i</w:t>
      </w:r>
      <w:r w:rsidR="00825614">
        <w:rPr>
          <w:noProof/>
        </w:rPr>
        <w:t> </w:t>
      </w:r>
      <w:r w:rsidR="00825614" w:rsidRPr="00F66162">
        <w:rPr>
          <w:noProof/>
        </w:rPr>
        <w:t>odk</w:t>
      </w:r>
      <w:r w:rsidRPr="00F66162">
        <w:rPr>
          <w:noProof/>
        </w:rPr>
        <w:t>upu certyfikatów CBAM,</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art</w:t>
      </w:r>
      <w:r w:rsidRPr="00F66162">
        <w:rPr>
          <w:noProof/>
        </w:rPr>
        <w:t>. 20, oraz sprawdzonych informacji,</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art</w:t>
      </w:r>
      <w:r w:rsidRPr="00F66162">
        <w:rPr>
          <w:noProof/>
        </w:rPr>
        <w:t>. 25 ust. 3. Te akty wykonawcze przyjmuje się zgodnie</w:t>
      </w:r>
      <w:r w:rsidR="00825614" w:rsidRPr="00F66162">
        <w:rPr>
          <w:noProof/>
        </w:rPr>
        <w:t xml:space="preserve"> z</w:t>
      </w:r>
      <w:r w:rsidR="00825614">
        <w:rPr>
          <w:noProof/>
        </w:rPr>
        <w:t> </w:t>
      </w:r>
      <w:r w:rsidR="00825614" w:rsidRPr="00F66162">
        <w:rPr>
          <w:noProof/>
        </w:rPr>
        <w:t>pro</w:t>
      </w:r>
      <w:r w:rsidRPr="00F66162">
        <w:rPr>
          <w:noProof/>
        </w:rPr>
        <w:t>cedurą sprawdzającą,</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F66162">
        <w:rPr>
          <w:noProof/>
        </w:rPr>
        <w:t>art</w:t>
      </w:r>
      <w:r w:rsidRPr="00F66162">
        <w:rPr>
          <w:noProof/>
        </w:rPr>
        <w:t>. 29 ust. 2.”;</w:t>
      </w:r>
    </w:p>
    <w:p w14:paraId="45BE9D28" w14:textId="571817C4" w:rsidR="008F0D28" w:rsidRPr="00F66162" w:rsidRDefault="0074784E" w:rsidP="0074784E">
      <w:pPr>
        <w:pStyle w:val="Point0"/>
        <w:rPr>
          <w:noProof/>
        </w:rPr>
      </w:pPr>
      <w:r w:rsidRPr="00F66162">
        <w:rPr>
          <w:noProof/>
        </w:rPr>
        <w:t>12.</w:t>
      </w:r>
      <w:r w:rsidRPr="00F66162">
        <w:rPr>
          <w:noProof/>
        </w:rPr>
        <w:tab/>
        <w:t xml:space="preserve">w </w:t>
      </w:r>
      <w:r w:rsidRPr="00825614">
        <w:rPr>
          <w:noProof/>
        </w:rPr>
        <w:t>art.</w:t>
      </w:r>
      <w:r w:rsidR="00825614" w:rsidRPr="00825614">
        <w:rPr>
          <w:noProof/>
        </w:rPr>
        <w:t> </w:t>
      </w:r>
      <w:r w:rsidRPr="00825614">
        <w:rPr>
          <w:noProof/>
        </w:rPr>
        <w:t>1</w:t>
      </w:r>
      <w:r w:rsidRPr="00F66162">
        <w:rPr>
          <w:noProof/>
        </w:rPr>
        <w:t xml:space="preserve">7 wprowadza się następujące zmiany: </w:t>
      </w:r>
    </w:p>
    <w:p w14:paraId="3C9FED5C" w14:textId="11A93CB5" w:rsidR="001E483F" w:rsidRPr="00F66162" w:rsidRDefault="0074784E" w:rsidP="0074784E">
      <w:pPr>
        <w:pStyle w:val="Point1"/>
        <w:rPr>
          <w:noProof/>
        </w:rPr>
      </w:pPr>
      <w:r w:rsidRPr="00F66162">
        <w:rPr>
          <w:noProof/>
        </w:rPr>
        <w:t>a)</w:t>
      </w:r>
      <w:r w:rsidRPr="00F66162">
        <w:rPr>
          <w:noProof/>
        </w:rPr>
        <w:tab/>
      </w:r>
      <w:r w:rsidRPr="00825614">
        <w:rPr>
          <w:noProof/>
        </w:rPr>
        <w:t>ust.</w:t>
      </w:r>
      <w:r w:rsidR="00825614" w:rsidRPr="00825614">
        <w:rPr>
          <w:noProof/>
        </w:rPr>
        <w:t> </w:t>
      </w:r>
      <w:r w:rsidRPr="00825614">
        <w:rPr>
          <w:noProof/>
        </w:rPr>
        <w:t>1</w:t>
      </w:r>
      <w:r w:rsidRPr="00F66162">
        <w:rPr>
          <w:noProof/>
        </w:rPr>
        <w:t xml:space="preserve"> akapit drugi otrzymuje brzmienie: </w:t>
      </w:r>
    </w:p>
    <w:p w14:paraId="5E61B67D" w14:textId="6ACA7210" w:rsidR="002436B8" w:rsidRPr="00F66162" w:rsidRDefault="002436B8" w:rsidP="002436B8">
      <w:pPr>
        <w:ind w:left="850"/>
        <w:rPr>
          <w:noProof/>
        </w:rPr>
      </w:pPr>
      <w:r w:rsidRPr="00F66162">
        <w:rPr>
          <w:noProof/>
        </w:rPr>
        <w:t>„Przed przyznaniem danemu podmiotowi statusu upoważnionego zgłaszającego CBAM właściwy organ może skonsultować się</w:t>
      </w:r>
      <w:r w:rsidR="00825614" w:rsidRPr="00F66162">
        <w:rPr>
          <w:noProof/>
        </w:rPr>
        <w:t xml:space="preserve"> z</w:t>
      </w:r>
      <w:r w:rsidR="00825614">
        <w:rPr>
          <w:noProof/>
        </w:rPr>
        <w:t> </w:t>
      </w:r>
      <w:r w:rsidR="00825614" w:rsidRPr="00F66162">
        <w:rPr>
          <w:noProof/>
        </w:rPr>
        <w:t>inn</w:t>
      </w:r>
      <w:r w:rsidRPr="00F66162">
        <w:rPr>
          <w:noProof/>
        </w:rPr>
        <w:t>ymi odpowiednimi właściwymi organami lub Komisją za pośrednictwem rejestru CBAM</w:t>
      </w:r>
      <w:r w:rsidR="00825614" w:rsidRPr="00F66162">
        <w:rPr>
          <w:noProof/>
        </w:rPr>
        <w:t xml:space="preserve"> w</w:t>
      </w:r>
      <w:r w:rsidR="00825614">
        <w:rPr>
          <w:noProof/>
        </w:rPr>
        <w:t> </w:t>
      </w:r>
      <w:r w:rsidR="00825614" w:rsidRPr="00F66162">
        <w:rPr>
          <w:noProof/>
        </w:rPr>
        <w:t>spr</w:t>
      </w:r>
      <w:r w:rsidRPr="00F66162">
        <w:rPr>
          <w:noProof/>
        </w:rPr>
        <w:t>awie spełnienia przez dany podmiot warunków</w:t>
      </w:r>
      <w:r w:rsidR="00825614" w:rsidRPr="00F66162">
        <w:rPr>
          <w:noProof/>
        </w:rPr>
        <w:t xml:space="preserve"> i</w:t>
      </w:r>
      <w:r w:rsidR="00825614">
        <w:rPr>
          <w:noProof/>
        </w:rPr>
        <w:t> </w:t>
      </w:r>
      <w:r w:rsidR="00825614" w:rsidRPr="00F66162">
        <w:rPr>
          <w:noProof/>
        </w:rPr>
        <w:t>kry</w:t>
      </w:r>
      <w:r w:rsidRPr="00F66162">
        <w:rPr>
          <w:noProof/>
        </w:rPr>
        <w:t>teriów niezbędnych do przyznania mu tego statusu. Procedura konsultacji odbywa się</w:t>
      </w:r>
      <w:r w:rsidR="00825614" w:rsidRPr="00F66162">
        <w:rPr>
          <w:noProof/>
        </w:rPr>
        <w:t xml:space="preserve"> w</w:t>
      </w:r>
      <w:r w:rsidR="00825614">
        <w:rPr>
          <w:noProof/>
        </w:rPr>
        <w:t> </w:t>
      </w:r>
      <w:r w:rsidR="00825614" w:rsidRPr="00F66162">
        <w:rPr>
          <w:noProof/>
        </w:rPr>
        <w:t>ter</w:t>
      </w:r>
      <w:r w:rsidRPr="00F66162">
        <w:rPr>
          <w:noProof/>
        </w:rPr>
        <w:t>minie przewidzianym na podjęcie danej decyzji</w:t>
      </w:r>
      <w:r w:rsidR="00825614" w:rsidRPr="00F66162">
        <w:rPr>
          <w:noProof/>
        </w:rPr>
        <w:t xml:space="preserve"> i</w:t>
      </w:r>
      <w:r w:rsidR="00825614">
        <w:rPr>
          <w:noProof/>
        </w:rPr>
        <w:t> </w:t>
      </w:r>
      <w:r w:rsidR="00825614" w:rsidRPr="00F66162">
        <w:rPr>
          <w:noProof/>
        </w:rPr>
        <w:t>nie</w:t>
      </w:r>
      <w:r w:rsidRPr="00F66162">
        <w:rPr>
          <w:noProof/>
        </w:rPr>
        <w:t xml:space="preserve"> przekracza 15 dni kalendarzowych.</w:t>
      </w:r>
    </w:p>
    <w:p w14:paraId="65A2D1F8" w14:textId="46125DE6" w:rsidR="00081E85" w:rsidRPr="00F66162" w:rsidRDefault="002436B8" w:rsidP="002436B8">
      <w:pPr>
        <w:ind w:left="850"/>
        <w:rPr>
          <w:noProof/>
        </w:rPr>
      </w:pPr>
      <w:r w:rsidRPr="00F66162">
        <w:rPr>
          <w:noProof/>
        </w:rPr>
        <w:lastRenderedPageBreak/>
        <w:t>Procedurę konsultacji można również stosować do celów ponownej oceny</w:t>
      </w:r>
      <w:r w:rsidR="00825614" w:rsidRPr="00F66162">
        <w:rPr>
          <w:noProof/>
        </w:rPr>
        <w:t xml:space="preserve"> i</w:t>
      </w:r>
      <w:r w:rsidR="00825614">
        <w:rPr>
          <w:noProof/>
        </w:rPr>
        <w:t> </w:t>
      </w:r>
      <w:r w:rsidR="00825614" w:rsidRPr="00F66162">
        <w:rPr>
          <w:noProof/>
        </w:rPr>
        <w:t>mon</w:t>
      </w:r>
      <w:r w:rsidRPr="00F66162">
        <w:rPr>
          <w:noProof/>
        </w:rPr>
        <w:t xml:space="preserve">itorowania decyzji.”; </w:t>
      </w:r>
    </w:p>
    <w:p w14:paraId="325DFAE6" w14:textId="77777777" w:rsidR="00FD0E25" w:rsidRPr="00F66162" w:rsidRDefault="0074784E" w:rsidP="0074784E">
      <w:pPr>
        <w:pStyle w:val="Point1"/>
        <w:rPr>
          <w:noProof/>
        </w:rPr>
      </w:pPr>
      <w:r w:rsidRPr="00F66162">
        <w:rPr>
          <w:noProof/>
        </w:rPr>
        <w:t>b)</w:t>
      </w:r>
      <w:r w:rsidRPr="00F66162">
        <w:rPr>
          <w:noProof/>
        </w:rPr>
        <w:tab/>
        <w:t>ust. 8 akapit drugi otrzymuje brzmienie:</w:t>
      </w:r>
    </w:p>
    <w:p w14:paraId="5A6F214B" w14:textId="31CB132B" w:rsidR="00081E85" w:rsidRPr="00F66162" w:rsidRDefault="00A06904" w:rsidP="00A06904">
      <w:pPr>
        <w:ind w:left="850"/>
        <w:rPr>
          <w:noProof/>
        </w:rPr>
      </w:pPr>
      <w:r w:rsidRPr="00F66162">
        <w:rPr>
          <w:noProof/>
        </w:rPr>
        <w:t>„Przed cofnięciem statusu upoważnionego zgłaszającego CBAM właściwy organ daje upoważnionemu zgłaszającemu CBAM możliwość przedstawienia jego stanowiska. Właściwy organ może konsultować się</w:t>
      </w:r>
      <w:r w:rsidR="00825614" w:rsidRPr="00F66162">
        <w:rPr>
          <w:noProof/>
        </w:rPr>
        <w:t xml:space="preserve"> z</w:t>
      </w:r>
      <w:r w:rsidR="00825614">
        <w:rPr>
          <w:noProof/>
        </w:rPr>
        <w:t> </w:t>
      </w:r>
      <w:r w:rsidR="00825614" w:rsidRPr="00F66162">
        <w:rPr>
          <w:noProof/>
        </w:rPr>
        <w:t>inn</w:t>
      </w:r>
      <w:r w:rsidRPr="00F66162">
        <w:rPr>
          <w:noProof/>
        </w:rPr>
        <w:t>ymi odpowiednimi właściwymi organami lub Komisją za pośrednictwem rejestru CBAM</w:t>
      </w:r>
      <w:r w:rsidR="00825614" w:rsidRPr="00F66162">
        <w:rPr>
          <w:noProof/>
        </w:rPr>
        <w:t xml:space="preserve"> w</w:t>
      </w:r>
      <w:r w:rsidR="00825614">
        <w:rPr>
          <w:noProof/>
        </w:rPr>
        <w:t> </w:t>
      </w:r>
      <w:r w:rsidR="00825614" w:rsidRPr="00F66162">
        <w:rPr>
          <w:noProof/>
        </w:rPr>
        <w:t>spr</w:t>
      </w:r>
      <w:r w:rsidRPr="00F66162">
        <w:rPr>
          <w:noProof/>
        </w:rPr>
        <w:t>awie warunków</w:t>
      </w:r>
      <w:r w:rsidR="00825614" w:rsidRPr="00F66162">
        <w:rPr>
          <w:noProof/>
        </w:rPr>
        <w:t xml:space="preserve"> i</w:t>
      </w:r>
      <w:r w:rsidR="00825614">
        <w:rPr>
          <w:noProof/>
        </w:rPr>
        <w:t> </w:t>
      </w:r>
      <w:r w:rsidR="00825614" w:rsidRPr="00F66162">
        <w:rPr>
          <w:noProof/>
        </w:rPr>
        <w:t>kry</w:t>
      </w:r>
      <w:r w:rsidRPr="00F66162">
        <w:rPr>
          <w:noProof/>
        </w:rPr>
        <w:t>teriów takiego cofnięcia. Procedura konsultacji nie przekracza 15 dni kalendarzowych.”;</w:t>
      </w:r>
    </w:p>
    <w:p w14:paraId="745D2EFB" w14:textId="77777777" w:rsidR="00513CFE" w:rsidRPr="00F66162" w:rsidRDefault="0074784E" w:rsidP="0074784E">
      <w:pPr>
        <w:pStyle w:val="Point1"/>
        <w:rPr>
          <w:noProof/>
        </w:rPr>
      </w:pPr>
      <w:r w:rsidRPr="00F66162">
        <w:rPr>
          <w:noProof/>
        </w:rPr>
        <w:t>c)</w:t>
      </w:r>
      <w:r w:rsidRPr="00F66162">
        <w:rPr>
          <w:noProof/>
        </w:rPr>
        <w:tab/>
        <w:t xml:space="preserve">ust. 10 lit. e) otrzymuje brzmienie: </w:t>
      </w:r>
    </w:p>
    <w:p w14:paraId="35E0533D" w14:textId="15F9B120" w:rsidR="00081E85" w:rsidRPr="00F66162" w:rsidRDefault="00B45A81" w:rsidP="00B45A81">
      <w:pPr>
        <w:ind w:left="850"/>
        <w:rPr>
          <w:noProof/>
        </w:rPr>
      </w:pPr>
      <w:r w:rsidRPr="00F66162">
        <w:rPr>
          <w:noProof/>
        </w:rPr>
        <w:t>„e) szczegółowych terminów, zakresu</w:t>
      </w:r>
      <w:r w:rsidR="00825614" w:rsidRPr="00F66162">
        <w:rPr>
          <w:noProof/>
        </w:rPr>
        <w:t xml:space="preserve"> i</w:t>
      </w:r>
      <w:r w:rsidR="00825614">
        <w:rPr>
          <w:noProof/>
        </w:rPr>
        <w:t> </w:t>
      </w:r>
      <w:r w:rsidR="00825614" w:rsidRPr="00F66162">
        <w:rPr>
          <w:noProof/>
        </w:rPr>
        <w:t>for</w:t>
      </w:r>
      <w:r w:rsidRPr="00F66162">
        <w:rPr>
          <w:noProof/>
        </w:rPr>
        <w:t>matu procedury konsultacji,</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1</w:t>
      </w:r>
      <w:r w:rsidR="00825614" w:rsidRPr="00F66162">
        <w:rPr>
          <w:noProof/>
        </w:rPr>
        <w:t xml:space="preserve"> i</w:t>
      </w:r>
      <w:r w:rsidR="00825614">
        <w:rPr>
          <w:noProof/>
        </w:rPr>
        <w:t> </w:t>
      </w:r>
      <w:r w:rsidR="00825614" w:rsidRPr="00F66162">
        <w:rPr>
          <w:noProof/>
        </w:rPr>
        <w:t>8</w:t>
      </w:r>
      <w:r w:rsidRPr="00F66162">
        <w:rPr>
          <w:noProof/>
        </w:rPr>
        <w:t xml:space="preserve"> niniejszego artykułu.”;</w:t>
      </w:r>
    </w:p>
    <w:p w14:paraId="79E60EF8" w14:textId="59A90003" w:rsidR="001232C6" w:rsidRPr="00F66162" w:rsidRDefault="0074784E" w:rsidP="0074784E">
      <w:pPr>
        <w:pStyle w:val="Point0"/>
        <w:rPr>
          <w:noProof/>
        </w:rPr>
      </w:pPr>
      <w:r w:rsidRPr="00F66162">
        <w:rPr>
          <w:noProof/>
        </w:rPr>
        <w:t>13.</w:t>
      </w:r>
      <w:r w:rsidRPr="00F66162">
        <w:rPr>
          <w:noProof/>
        </w:rPr>
        <w:tab/>
      </w:r>
      <w:r w:rsidRPr="00825614">
        <w:rPr>
          <w:noProof/>
        </w:rPr>
        <w:t>art.</w:t>
      </w:r>
      <w:r w:rsidR="00825614" w:rsidRPr="00825614">
        <w:rPr>
          <w:noProof/>
        </w:rPr>
        <w:t> </w:t>
      </w:r>
      <w:r w:rsidRPr="00825614">
        <w:rPr>
          <w:noProof/>
        </w:rPr>
        <w:t>1</w:t>
      </w:r>
      <w:r w:rsidRPr="00F66162">
        <w:rPr>
          <w:noProof/>
        </w:rPr>
        <w:t xml:space="preserve">9 </w:t>
      </w:r>
      <w:r w:rsidRPr="00825614">
        <w:rPr>
          <w:noProof/>
        </w:rPr>
        <w:t>ust.</w:t>
      </w:r>
      <w:r w:rsidR="00825614" w:rsidRPr="00825614">
        <w:rPr>
          <w:noProof/>
        </w:rPr>
        <w:t> </w:t>
      </w:r>
      <w:r w:rsidRPr="00825614">
        <w:rPr>
          <w:noProof/>
        </w:rPr>
        <w:t>3</w:t>
      </w:r>
      <w:r w:rsidRPr="00F66162">
        <w:rPr>
          <w:noProof/>
        </w:rPr>
        <w:t xml:space="preserve"> akapit drugi otrzymuje brzmienie:</w:t>
      </w:r>
    </w:p>
    <w:p w14:paraId="09D928B3" w14:textId="209EBB4B" w:rsidR="00081E85" w:rsidRPr="00F66162" w:rsidRDefault="00204D81" w:rsidP="00204D81">
      <w:pPr>
        <w:ind w:left="850"/>
        <w:rPr>
          <w:noProof/>
        </w:rPr>
      </w:pPr>
      <w:r w:rsidRPr="00F66162">
        <w:rPr>
          <w:noProof/>
        </w:rPr>
        <w:t>„Komisja ułatwia również wymianę informacji</w:t>
      </w:r>
      <w:r w:rsidR="00825614" w:rsidRPr="00F66162">
        <w:rPr>
          <w:noProof/>
        </w:rPr>
        <w:t xml:space="preserve"> z</w:t>
      </w:r>
      <w:r w:rsidR="00825614">
        <w:rPr>
          <w:noProof/>
        </w:rPr>
        <w:t> </w:t>
      </w:r>
      <w:r w:rsidR="00825614" w:rsidRPr="00F66162">
        <w:rPr>
          <w:noProof/>
        </w:rPr>
        <w:t>wła</w:t>
      </w:r>
      <w:r w:rsidRPr="00F66162">
        <w:rPr>
          <w:noProof/>
        </w:rPr>
        <w:t xml:space="preserve">ściwymi organami na temat oszustw, wniosków wyciągniętych na podstawie </w:t>
      </w:r>
      <w:r w:rsidRPr="00825614">
        <w:rPr>
          <w:noProof/>
        </w:rPr>
        <w:t>art.</w:t>
      </w:r>
      <w:r w:rsidR="00825614" w:rsidRPr="00825614">
        <w:rPr>
          <w:noProof/>
        </w:rPr>
        <w:t> </w:t>
      </w:r>
      <w:r w:rsidRPr="00825614">
        <w:rPr>
          <w:noProof/>
        </w:rPr>
        <w:t>2</w:t>
      </w:r>
      <w:r w:rsidRPr="00F66162">
        <w:rPr>
          <w:noProof/>
        </w:rPr>
        <w:t>5a oraz kar nałożonych zgodnie</w:t>
      </w:r>
      <w:r w:rsidR="00825614" w:rsidRPr="00F66162">
        <w:rPr>
          <w:noProof/>
        </w:rPr>
        <w:t xml:space="preserve"> z</w:t>
      </w:r>
      <w:r w:rsidR="00825614">
        <w:rPr>
          <w:noProof/>
        </w:rPr>
        <w:t> </w:t>
      </w:r>
      <w:r w:rsidR="00825614" w:rsidRPr="00F66162">
        <w:rPr>
          <w:noProof/>
        </w:rPr>
        <w:t>art</w:t>
      </w:r>
      <w:r w:rsidRPr="00F66162">
        <w:rPr>
          <w:noProof/>
        </w:rPr>
        <w:t xml:space="preserve">. 26.”; </w:t>
      </w:r>
    </w:p>
    <w:p w14:paraId="6AFAFE04" w14:textId="58CC999D" w:rsidR="00E97312" w:rsidRPr="00F66162" w:rsidRDefault="0074784E" w:rsidP="0074784E">
      <w:pPr>
        <w:pStyle w:val="Point0"/>
        <w:rPr>
          <w:noProof/>
        </w:rPr>
      </w:pPr>
      <w:r w:rsidRPr="00F66162">
        <w:rPr>
          <w:noProof/>
        </w:rPr>
        <w:t>14.</w:t>
      </w:r>
      <w:r w:rsidRPr="00F66162">
        <w:rPr>
          <w:noProof/>
        </w:rPr>
        <w:tab/>
        <w:t xml:space="preserve">w </w:t>
      </w:r>
      <w:r w:rsidRPr="00825614">
        <w:rPr>
          <w:noProof/>
        </w:rPr>
        <w:t>art.</w:t>
      </w:r>
      <w:r w:rsidR="00825614" w:rsidRPr="00825614">
        <w:rPr>
          <w:noProof/>
        </w:rPr>
        <w:t> </w:t>
      </w:r>
      <w:r w:rsidRPr="00825614">
        <w:rPr>
          <w:noProof/>
        </w:rPr>
        <w:t>2</w:t>
      </w:r>
      <w:r w:rsidRPr="00F66162">
        <w:rPr>
          <w:noProof/>
        </w:rPr>
        <w:t>0 wprowadza się następujące zmiany:</w:t>
      </w:r>
    </w:p>
    <w:p w14:paraId="39EFD8FD" w14:textId="493E8F8E" w:rsidR="00862AFB" w:rsidRPr="00F66162" w:rsidRDefault="0074784E" w:rsidP="0074784E">
      <w:pPr>
        <w:pStyle w:val="Point1"/>
        <w:rPr>
          <w:noProof/>
        </w:rPr>
      </w:pPr>
      <w:r w:rsidRPr="00F66162">
        <w:rPr>
          <w:noProof/>
        </w:rPr>
        <w:t>a)</w:t>
      </w:r>
      <w:r w:rsidRPr="00F66162">
        <w:rPr>
          <w:noProof/>
        </w:rPr>
        <w:tab/>
      </w:r>
      <w:r w:rsidRPr="00825614">
        <w:rPr>
          <w:noProof/>
        </w:rPr>
        <w:t>ust.</w:t>
      </w:r>
      <w:r w:rsidR="00825614" w:rsidRPr="00825614">
        <w:rPr>
          <w:noProof/>
        </w:rPr>
        <w:t> </w:t>
      </w:r>
      <w:r w:rsidRPr="00825614">
        <w:rPr>
          <w:noProof/>
        </w:rPr>
        <w:t>1</w:t>
      </w:r>
      <w:r w:rsidRPr="00F66162">
        <w:rPr>
          <w:noProof/>
        </w:rPr>
        <w:t xml:space="preserve"> otrzymuje brzmienie: </w:t>
      </w:r>
    </w:p>
    <w:p w14:paraId="41642D5D" w14:textId="21FD68FF" w:rsidR="00081E85" w:rsidRPr="00F66162" w:rsidRDefault="001A61E8" w:rsidP="001A61E8">
      <w:pPr>
        <w:ind w:left="850"/>
        <w:rPr>
          <w:noProof/>
        </w:rPr>
      </w:pPr>
      <w:r w:rsidRPr="00F66162">
        <w:rPr>
          <w:noProof/>
        </w:rPr>
        <w:t>„1. Od dnia 1 lutego 2027 r. państwo członkowskie sprzedaje certyfikaty CBAM na wspólnej centralnej platformie upoważnionym zgłaszającym CBAM mającym siedzibę</w:t>
      </w:r>
      <w:r w:rsidR="00825614" w:rsidRPr="00F66162">
        <w:rPr>
          <w:noProof/>
        </w:rPr>
        <w:t xml:space="preserve"> w</w:t>
      </w:r>
      <w:r w:rsidR="00825614">
        <w:rPr>
          <w:noProof/>
        </w:rPr>
        <w:t> </w:t>
      </w:r>
      <w:r w:rsidR="00825614" w:rsidRPr="00F66162">
        <w:rPr>
          <w:noProof/>
        </w:rPr>
        <w:t>tym</w:t>
      </w:r>
      <w:r w:rsidRPr="00F66162">
        <w:rPr>
          <w:noProof/>
        </w:rPr>
        <w:t xml:space="preserve"> państwie członkowskim.”;</w:t>
      </w:r>
    </w:p>
    <w:p w14:paraId="3B2D1F41" w14:textId="6D4226ED" w:rsidR="00F33B71" w:rsidRPr="00F66162" w:rsidRDefault="0074784E" w:rsidP="0074784E">
      <w:pPr>
        <w:pStyle w:val="Point1"/>
        <w:rPr>
          <w:noProof/>
        </w:rPr>
      </w:pPr>
      <w:r w:rsidRPr="00F66162">
        <w:rPr>
          <w:noProof/>
        </w:rPr>
        <w:t>b)</w:t>
      </w:r>
      <w:r w:rsidRPr="00F66162">
        <w:rPr>
          <w:noProof/>
        </w:rPr>
        <w:tab/>
      </w:r>
      <w:r w:rsidRPr="00825614">
        <w:rPr>
          <w:noProof/>
        </w:rPr>
        <w:t>ust.</w:t>
      </w:r>
      <w:r w:rsidR="00825614" w:rsidRPr="00825614">
        <w:rPr>
          <w:noProof/>
        </w:rPr>
        <w:t> </w:t>
      </w:r>
      <w:r w:rsidRPr="00825614">
        <w:rPr>
          <w:noProof/>
        </w:rPr>
        <w:t>3</w:t>
      </w:r>
      <w:r w:rsidRPr="00F66162">
        <w:rPr>
          <w:noProof/>
        </w:rPr>
        <w:t xml:space="preserve"> otrzymuje brzmienie: </w:t>
      </w:r>
    </w:p>
    <w:p w14:paraId="4D14CB9E" w14:textId="5EF858BF" w:rsidR="00671985" w:rsidRPr="00F66162" w:rsidRDefault="005C0F5F" w:rsidP="005C0F5F">
      <w:pPr>
        <w:ind w:left="850"/>
        <w:rPr>
          <w:noProof/>
        </w:rPr>
      </w:pPr>
      <w:r w:rsidRPr="00F66162">
        <w:rPr>
          <w:noProof/>
        </w:rPr>
        <w:t>„3. Informacje</w:t>
      </w:r>
      <w:r w:rsidR="00825614" w:rsidRPr="00F66162">
        <w:rPr>
          <w:noProof/>
        </w:rPr>
        <w:t xml:space="preserve"> o</w:t>
      </w:r>
      <w:r w:rsidR="00825614">
        <w:rPr>
          <w:noProof/>
        </w:rPr>
        <w:t> </w:t>
      </w:r>
      <w:r w:rsidR="00825614" w:rsidRPr="00F66162">
        <w:rPr>
          <w:noProof/>
        </w:rPr>
        <w:t>spr</w:t>
      </w:r>
      <w:r w:rsidRPr="00F66162">
        <w:rPr>
          <w:noProof/>
        </w:rPr>
        <w:t>zedaży</w:t>
      </w:r>
      <w:r w:rsidR="00825614" w:rsidRPr="00F66162">
        <w:rPr>
          <w:noProof/>
        </w:rPr>
        <w:t xml:space="preserve"> i</w:t>
      </w:r>
      <w:r w:rsidR="00825614">
        <w:rPr>
          <w:noProof/>
        </w:rPr>
        <w:t> </w:t>
      </w:r>
      <w:r w:rsidR="00825614" w:rsidRPr="00F66162">
        <w:rPr>
          <w:noProof/>
        </w:rPr>
        <w:t>odk</w:t>
      </w:r>
      <w:r w:rsidRPr="00F66162">
        <w:rPr>
          <w:noProof/>
        </w:rPr>
        <w:t>upie certyfikatów CBAM znajdujące się na wspólnej centralnej platformie są przenoszone do rejestru CBAM na koniec każdego dnia roboczego.”;</w:t>
      </w:r>
    </w:p>
    <w:p w14:paraId="31D43F6C" w14:textId="272BE07F" w:rsidR="00671985" w:rsidRPr="00F66162" w:rsidRDefault="0074784E" w:rsidP="0074784E">
      <w:pPr>
        <w:pStyle w:val="Point1"/>
        <w:rPr>
          <w:noProof/>
        </w:rPr>
      </w:pPr>
      <w:r w:rsidRPr="00F66162">
        <w:rPr>
          <w:noProof/>
        </w:rPr>
        <w:t>c)</w:t>
      </w:r>
      <w:r w:rsidRPr="00F66162">
        <w:rPr>
          <w:noProof/>
        </w:rPr>
        <w:tab/>
      </w:r>
      <w:r w:rsidRPr="00825614">
        <w:rPr>
          <w:noProof/>
        </w:rPr>
        <w:t>ust.</w:t>
      </w:r>
      <w:r w:rsidR="00825614" w:rsidRPr="00825614">
        <w:rPr>
          <w:noProof/>
        </w:rPr>
        <w:t> </w:t>
      </w:r>
      <w:r w:rsidRPr="00825614">
        <w:rPr>
          <w:noProof/>
        </w:rPr>
        <w:t>6</w:t>
      </w:r>
      <w:r w:rsidRPr="00F66162">
        <w:rPr>
          <w:noProof/>
        </w:rPr>
        <w:t xml:space="preserve"> otrzymuje brzmienie:</w:t>
      </w:r>
    </w:p>
    <w:p w14:paraId="3691CF9A" w14:textId="63393DF6" w:rsidR="00671985" w:rsidRPr="00F66162" w:rsidRDefault="00671985" w:rsidP="00671985">
      <w:pPr>
        <w:ind w:left="1080"/>
        <w:contextualSpacing/>
        <w:rPr>
          <w:noProof/>
        </w:rPr>
      </w:pPr>
      <w:r w:rsidRPr="00F66162">
        <w:rPr>
          <w:noProof/>
        </w:rPr>
        <w:t>„6. Komisja jest uprawniona do przyjmowania aktów delegowanych zgodnie</w:t>
      </w:r>
      <w:r w:rsidR="00825614" w:rsidRPr="00F66162">
        <w:rPr>
          <w:noProof/>
        </w:rPr>
        <w:t xml:space="preserve"> z</w:t>
      </w:r>
      <w:r w:rsidR="00825614">
        <w:rPr>
          <w:noProof/>
        </w:rPr>
        <w:t> </w:t>
      </w:r>
      <w:r w:rsidR="00825614" w:rsidRPr="00F66162">
        <w:rPr>
          <w:noProof/>
        </w:rPr>
        <w:t>art</w:t>
      </w:r>
      <w:r w:rsidRPr="00F66162">
        <w:rPr>
          <w:noProof/>
        </w:rPr>
        <w:t>. 28</w:t>
      </w:r>
      <w:r w:rsidR="00825614" w:rsidRPr="00F66162">
        <w:rPr>
          <w:noProof/>
        </w:rPr>
        <w:t xml:space="preserve"> w</w:t>
      </w:r>
      <w:r w:rsidR="00825614">
        <w:rPr>
          <w:noProof/>
        </w:rPr>
        <w:t> </w:t>
      </w:r>
      <w:r w:rsidR="00825614" w:rsidRPr="00F66162">
        <w:rPr>
          <w:noProof/>
        </w:rPr>
        <w:t>cel</w:t>
      </w:r>
      <w:r w:rsidRPr="00F66162">
        <w:rPr>
          <w:noProof/>
        </w:rPr>
        <w:t>u uzupełnienia niniejszego rozporządzenia przez doprecyzowanie terminów, aspektów administracyjnych</w:t>
      </w:r>
      <w:r w:rsidR="00825614" w:rsidRPr="00F66162">
        <w:rPr>
          <w:noProof/>
        </w:rPr>
        <w:t xml:space="preserve"> i</w:t>
      </w:r>
      <w:r w:rsidR="00825614">
        <w:rPr>
          <w:noProof/>
        </w:rPr>
        <w:t> </w:t>
      </w:r>
      <w:r w:rsidR="00825614" w:rsidRPr="00F66162">
        <w:rPr>
          <w:noProof/>
        </w:rPr>
        <w:t>inn</w:t>
      </w:r>
      <w:r w:rsidRPr="00F66162">
        <w:rPr>
          <w:noProof/>
        </w:rPr>
        <w:t>ych aspektów związanych</w:t>
      </w:r>
      <w:r w:rsidR="00825614" w:rsidRPr="00F66162">
        <w:rPr>
          <w:noProof/>
        </w:rPr>
        <w:t xml:space="preserve"> z</w:t>
      </w:r>
      <w:r w:rsidR="00825614">
        <w:rPr>
          <w:noProof/>
        </w:rPr>
        <w:t> </w:t>
      </w:r>
      <w:r w:rsidR="00825614" w:rsidRPr="00F66162">
        <w:rPr>
          <w:noProof/>
        </w:rPr>
        <w:t>zar</w:t>
      </w:r>
      <w:r w:rsidRPr="00F66162">
        <w:rPr>
          <w:noProof/>
        </w:rPr>
        <w:t>ządzaniem sprzedażą</w:t>
      </w:r>
      <w:r w:rsidR="00825614" w:rsidRPr="00F66162">
        <w:rPr>
          <w:noProof/>
        </w:rPr>
        <w:t xml:space="preserve"> i</w:t>
      </w:r>
      <w:r w:rsidR="00825614">
        <w:rPr>
          <w:noProof/>
        </w:rPr>
        <w:t> </w:t>
      </w:r>
      <w:r w:rsidR="00825614" w:rsidRPr="00F66162">
        <w:rPr>
          <w:noProof/>
        </w:rPr>
        <w:t>odk</w:t>
      </w:r>
      <w:r w:rsidRPr="00F66162">
        <w:rPr>
          <w:noProof/>
        </w:rPr>
        <w:t>upem certyfikatów CBAM, by zapewnić spójność</w:t>
      </w:r>
      <w:r w:rsidR="00825614" w:rsidRPr="00F66162">
        <w:rPr>
          <w:noProof/>
        </w:rPr>
        <w:t xml:space="preserve"> z</w:t>
      </w:r>
      <w:r w:rsidR="00825614">
        <w:rPr>
          <w:noProof/>
        </w:rPr>
        <w:t> </w:t>
      </w:r>
      <w:r w:rsidR="00825614" w:rsidRPr="00F66162">
        <w:rPr>
          <w:noProof/>
        </w:rPr>
        <w:t>pro</w:t>
      </w:r>
      <w:r w:rsidRPr="00F66162">
        <w:rPr>
          <w:noProof/>
        </w:rPr>
        <w:t>cedurami określonymi</w:t>
      </w:r>
      <w:r w:rsidR="00825614" w:rsidRPr="00F66162">
        <w:rPr>
          <w:noProof/>
        </w:rPr>
        <w:t xml:space="preserve"> w</w:t>
      </w:r>
      <w:r w:rsidR="00825614">
        <w:rPr>
          <w:noProof/>
        </w:rPr>
        <w:t> </w:t>
      </w:r>
      <w:r w:rsidR="00825614" w:rsidRPr="00F66162">
        <w:rPr>
          <w:noProof/>
        </w:rPr>
        <w:t>roz</w:t>
      </w:r>
      <w:r w:rsidRPr="00F66162">
        <w:rPr>
          <w:noProof/>
        </w:rPr>
        <w:t>porządzeniu delegowanym Komisji (UE) 2023/2830</w:t>
      </w:r>
      <w:r w:rsidRPr="00F66162">
        <w:rPr>
          <w:noProof/>
          <w:vertAlign w:val="superscript"/>
        </w:rPr>
        <w:t>*</w:t>
      </w:r>
      <w:r w:rsidRPr="00F66162">
        <w:rPr>
          <w:noProof/>
        </w:rPr>
        <w:t>.</w:t>
      </w:r>
    </w:p>
    <w:p w14:paraId="12D617B9" w14:textId="77777777" w:rsidR="00671985" w:rsidRPr="00F66162" w:rsidRDefault="00671985" w:rsidP="00671985">
      <w:pPr>
        <w:pBdr>
          <w:bottom w:val="single" w:sz="6" w:space="1" w:color="auto"/>
        </w:pBdr>
        <w:ind w:left="1080"/>
        <w:contextualSpacing/>
        <w:rPr>
          <w:noProof/>
          <w:vertAlign w:val="superscript"/>
        </w:rPr>
      </w:pPr>
    </w:p>
    <w:p w14:paraId="3A58C057" w14:textId="0CAEF9EC" w:rsidR="001232C6" w:rsidRPr="00F66162" w:rsidRDefault="00671985" w:rsidP="005C0F5F">
      <w:pPr>
        <w:ind w:left="850"/>
        <w:rPr>
          <w:noProof/>
          <w:szCs w:val="24"/>
          <w:vertAlign w:val="superscript"/>
        </w:rPr>
      </w:pPr>
      <w:r w:rsidRPr="00F66162">
        <w:rPr>
          <w:noProof/>
          <w:vertAlign w:val="superscript"/>
        </w:rPr>
        <w:t>* Rozporządzenie delegowane Komisji (UE) 2023/2830</w:t>
      </w:r>
      <w:r w:rsidR="00825614" w:rsidRPr="00F66162">
        <w:rPr>
          <w:noProof/>
          <w:vertAlign w:val="superscript"/>
        </w:rPr>
        <w:t xml:space="preserve"> z</w:t>
      </w:r>
      <w:r w:rsidR="00825614">
        <w:rPr>
          <w:noProof/>
          <w:vertAlign w:val="superscript"/>
        </w:rPr>
        <w:t> </w:t>
      </w:r>
      <w:r w:rsidR="00825614" w:rsidRPr="00F66162">
        <w:rPr>
          <w:noProof/>
          <w:vertAlign w:val="superscript"/>
        </w:rPr>
        <w:t>dni</w:t>
      </w:r>
      <w:r w:rsidRPr="00F66162">
        <w:rPr>
          <w:noProof/>
          <w:vertAlign w:val="superscript"/>
        </w:rPr>
        <w:t>a 17 października 2023 r. uzupełniające dyrektywę 2003/87/WE Parlamentu Europejskiego</w:t>
      </w:r>
      <w:r w:rsidR="00825614" w:rsidRPr="00F66162">
        <w:rPr>
          <w:noProof/>
          <w:vertAlign w:val="superscript"/>
        </w:rPr>
        <w:t xml:space="preserve"> i</w:t>
      </w:r>
      <w:r w:rsidR="00825614">
        <w:rPr>
          <w:noProof/>
          <w:vertAlign w:val="superscript"/>
        </w:rPr>
        <w:t> </w:t>
      </w:r>
      <w:r w:rsidR="00825614" w:rsidRPr="00F66162">
        <w:rPr>
          <w:noProof/>
          <w:vertAlign w:val="superscript"/>
        </w:rPr>
        <w:t>Rad</w:t>
      </w:r>
      <w:r w:rsidRPr="00F66162">
        <w:rPr>
          <w:noProof/>
          <w:vertAlign w:val="superscript"/>
        </w:rPr>
        <w:t xml:space="preserve">y przez ustanowienie przepisów dotyczących harmonogramu, kwestii administracyjnych oraz pozostałych aspektów sprzedaży na aukcji uprawnień do emisji gazów cieplarnianych (Dz.U. L, 2023/2830, 20.12.2023, ELI: </w:t>
      </w:r>
      <w:hyperlink r:id="rId21" w:history="1">
        <w:r w:rsidRPr="00F66162">
          <w:rPr>
            <w:rStyle w:val="Hipercze"/>
            <w:noProof/>
            <w:vertAlign w:val="superscript"/>
          </w:rPr>
          <w:t>http://data.europa.eu/eli/reg_del/2023/2830/oj)</w:t>
        </w:r>
      </w:hyperlink>
      <w:r w:rsidRPr="00F66162">
        <w:rPr>
          <w:noProof/>
          <w:vertAlign w:val="superscript"/>
        </w:rPr>
        <w:t>.</w:t>
      </w:r>
      <w:r w:rsidRPr="00F66162">
        <w:rPr>
          <w:noProof/>
        </w:rPr>
        <w:t>”;</w:t>
      </w:r>
      <w:r w:rsidRPr="00F66162">
        <w:rPr>
          <w:noProof/>
          <w:vertAlign w:val="superscript"/>
        </w:rPr>
        <w:t xml:space="preserve"> </w:t>
      </w:r>
    </w:p>
    <w:p w14:paraId="79D7A2EB" w14:textId="72BE7681" w:rsidR="00450766" w:rsidRPr="00F66162" w:rsidRDefault="0074784E" w:rsidP="0074784E">
      <w:pPr>
        <w:pStyle w:val="Point0"/>
        <w:rPr>
          <w:noProof/>
        </w:rPr>
      </w:pPr>
      <w:r w:rsidRPr="00F66162">
        <w:rPr>
          <w:noProof/>
        </w:rPr>
        <w:t>15.</w:t>
      </w:r>
      <w:r w:rsidRPr="00F66162">
        <w:rPr>
          <w:noProof/>
        </w:rPr>
        <w:tab/>
        <w:t xml:space="preserve">w </w:t>
      </w:r>
      <w:r w:rsidRPr="00825614">
        <w:rPr>
          <w:noProof/>
        </w:rPr>
        <w:t>art.</w:t>
      </w:r>
      <w:r w:rsidR="00825614" w:rsidRPr="00825614">
        <w:rPr>
          <w:noProof/>
        </w:rPr>
        <w:t> </w:t>
      </w:r>
      <w:r w:rsidRPr="00825614">
        <w:rPr>
          <w:noProof/>
        </w:rPr>
        <w:t>2</w:t>
      </w:r>
      <w:r w:rsidRPr="00F66162">
        <w:rPr>
          <w:noProof/>
        </w:rPr>
        <w:t xml:space="preserve">1 wprowadza się następujące zmiany: </w:t>
      </w:r>
    </w:p>
    <w:p w14:paraId="6091FEFD" w14:textId="77777777" w:rsidR="00BF2A88" w:rsidRPr="00F66162" w:rsidRDefault="0074784E" w:rsidP="0074784E">
      <w:pPr>
        <w:pStyle w:val="Point1"/>
        <w:rPr>
          <w:noProof/>
        </w:rPr>
      </w:pPr>
      <w:r w:rsidRPr="00F66162">
        <w:rPr>
          <w:noProof/>
        </w:rPr>
        <w:t>a)</w:t>
      </w:r>
      <w:r w:rsidRPr="00F66162">
        <w:rPr>
          <w:noProof/>
        </w:rPr>
        <w:tab/>
        <w:t>ust. 1 akapit pierwszy otrzymuje brzmienie:</w:t>
      </w:r>
    </w:p>
    <w:p w14:paraId="5BF02638" w14:textId="199D16CD" w:rsidR="00264B9D" w:rsidRPr="00F66162" w:rsidRDefault="00E3719E" w:rsidP="00CD359D">
      <w:pPr>
        <w:ind w:left="850"/>
        <w:rPr>
          <w:noProof/>
        </w:rPr>
      </w:pPr>
      <w:r w:rsidRPr="00F66162">
        <w:rPr>
          <w:noProof/>
        </w:rPr>
        <w:t>„Komisja oblicza cenę certyfikatów CBAM jako średnią cen rozliczenia aukcji uprawnień</w:t>
      </w:r>
      <w:r w:rsidR="00825614" w:rsidRPr="00F66162">
        <w:rPr>
          <w:noProof/>
        </w:rPr>
        <w:t xml:space="preserve"> w</w:t>
      </w:r>
      <w:r w:rsidR="00825614">
        <w:rPr>
          <w:noProof/>
        </w:rPr>
        <w:t> </w:t>
      </w:r>
      <w:r w:rsidR="00825614" w:rsidRPr="00F66162">
        <w:rPr>
          <w:noProof/>
        </w:rPr>
        <w:t>ram</w:t>
      </w:r>
      <w:r w:rsidRPr="00F66162">
        <w:rPr>
          <w:noProof/>
        </w:rPr>
        <w:t>ach EU ETS na platformie aukcyjnej zgodnie</w:t>
      </w:r>
      <w:r w:rsidR="00825614" w:rsidRPr="00F66162">
        <w:rPr>
          <w:noProof/>
        </w:rPr>
        <w:t xml:space="preserve"> z</w:t>
      </w:r>
      <w:r w:rsidR="00825614">
        <w:rPr>
          <w:noProof/>
        </w:rPr>
        <w:t> </w:t>
      </w:r>
      <w:r w:rsidR="00825614" w:rsidRPr="00F66162">
        <w:rPr>
          <w:noProof/>
        </w:rPr>
        <w:t>pro</w:t>
      </w:r>
      <w:r w:rsidRPr="00F66162">
        <w:rPr>
          <w:noProof/>
        </w:rPr>
        <w:t>cedurami określonymi</w:t>
      </w:r>
      <w:r w:rsidR="00825614" w:rsidRPr="00F66162">
        <w:rPr>
          <w:noProof/>
        </w:rPr>
        <w:t xml:space="preserve"> w</w:t>
      </w:r>
      <w:r w:rsidR="00825614">
        <w:rPr>
          <w:noProof/>
        </w:rPr>
        <w:t> </w:t>
      </w:r>
      <w:r w:rsidR="00825614" w:rsidRPr="00F66162">
        <w:rPr>
          <w:noProof/>
        </w:rPr>
        <w:t>roz</w:t>
      </w:r>
      <w:r w:rsidRPr="00F66162">
        <w:rPr>
          <w:noProof/>
        </w:rPr>
        <w:t>porządzeniu delegowanym (UE) 2023/2830</w:t>
      </w:r>
      <w:r w:rsidR="00825614" w:rsidRPr="00F66162">
        <w:rPr>
          <w:noProof/>
        </w:rPr>
        <w:t xml:space="preserve"> w</w:t>
      </w:r>
      <w:r w:rsidR="00825614">
        <w:rPr>
          <w:noProof/>
        </w:rPr>
        <w:t> </w:t>
      </w:r>
      <w:r w:rsidR="00825614" w:rsidRPr="00F66162">
        <w:rPr>
          <w:noProof/>
        </w:rPr>
        <w:t>odn</w:t>
      </w:r>
      <w:r w:rsidRPr="00F66162">
        <w:rPr>
          <w:noProof/>
        </w:rPr>
        <w:t>iesieniu do każdego tygodnia kalendarzowego.”;</w:t>
      </w:r>
    </w:p>
    <w:p w14:paraId="26F72B48" w14:textId="52DFB46D" w:rsidR="006F7A94" w:rsidRPr="00F66162" w:rsidRDefault="0074784E" w:rsidP="0074784E">
      <w:pPr>
        <w:pStyle w:val="Point1"/>
        <w:rPr>
          <w:noProof/>
        </w:rPr>
      </w:pPr>
      <w:r w:rsidRPr="00F66162">
        <w:rPr>
          <w:noProof/>
        </w:rPr>
        <w:lastRenderedPageBreak/>
        <w:t>b)</w:t>
      </w:r>
      <w:r w:rsidRPr="00F66162">
        <w:rPr>
          <w:noProof/>
        </w:rPr>
        <w:tab/>
        <w:t>dodaje się ust. 1a</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73442313" w14:textId="6D9D2EE0" w:rsidR="001232C6" w:rsidRPr="00F66162" w:rsidRDefault="00974AD3" w:rsidP="00974AD3">
      <w:pPr>
        <w:ind w:left="850"/>
        <w:rPr>
          <w:noProof/>
        </w:rPr>
      </w:pPr>
      <w:r w:rsidRPr="00F66162">
        <w:rPr>
          <w:noProof/>
        </w:rPr>
        <w:t xml:space="preserve">„1a. Na zasadzie odstępstwa od </w:t>
      </w:r>
      <w:r w:rsidRPr="00825614">
        <w:rPr>
          <w:noProof/>
        </w:rPr>
        <w:t>ust.</w:t>
      </w:r>
      <w:r w:rsidR="00825614" w:rsidRPr="00825614">
        <w:rPr>
          <w:noProof/>
        </w:rPr>
        <w:t> </w:t>
      </w:r>
      <w:r w:rsidRPr="00825614">
        <w:rPr>
          <w:noProof/>
        </w:rPr>
        <w:t>1</w:t>
      </w:r>
      <w:r w:rsidR="00825614" w:rsidRPr="00F66162">
        <w:rPr>
          <w:noProof/>
        </w:rPr>
        <w:t xml:space="preserve"> w</w:t>
      </w:r>
      <w:r w:rsidR="00825614">
        <w:rPr>
          <w:noProof/>
        </w:rPr>
        <w:t> </w:t>
      </w:r>
      <w:r w:rsidR="00825614" w:rsidRPr="00F66162">
        <w:rPr>
          <w:noProof/>
        </w:rPr>
        <w:t>odn</w:t>
      </w:r>
      <w:r w:rsidRPr="00F66162">
        <w:rPr>
          <w:noProof/>
        </w:rPr>
        <w:t xml:space="preserve">iesieniu </w:t>
      </w:r>
      <w:r w:rsidRPr="00825614">
        <w:rPr>
          <w:noProof/>
        </w:rPr>
        <w:t>do</w:t>
      </w:r>
      <w:r w:rsidR="00825614" w:rsidRPr="00825614">
        <w:rPr>
          <w:noProof/>
        </w:rPr>
        <w:t> </w:t>
      </w:r>
      <w:r w:rsidRPr="00825614">
        <w:rPr>
          <w:noProof/>
        </w:rPr>
        <w:t>2</w:t>
      </w:r>
      <w:r w:rsidRPr="00F66162">
        <w:rPr>
          <w:noProof/>
        </w:rPr>
        <w:t>0</w:t>
      </w:r>
      <w:r w:rsidRPr="00825614">
        <w:rPr>
          <w:noProof/>
        </w:rPr>
        <w:t>26</w:t>
      </w:r>
      <w:r w:rsidR="00825614" w:rsidRPr="00825614">
        <w:rPr>
          <w:noProof/>
        </w:rPr>
        <w:t> </w:t>
      </w:r>
      <w:r w:rsidRPr="00825614">
        <w:rPr>
          <w:noProof/>
        </w:rPr>
        <w:t>r.</w:t>
      </w:r>
      <w:r w:rsidRPr="00F66162">
        <w:rPr>
          <w:noProof/>
        </w:rPr>
        <w:t xml:space="preserve"> Komisja oblicza cenę certyfikatów CBAM odpowiadającą emisjom wbudowanym zadeklarowanym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6</w:t>
      </w:r>
      <w:r w:rsidRPr="00F66162">
        <w:rPr>
          <w:noProof/>
        </w:rPr>
        <w:t xml:space="preserve"> </w:t>
      </w:r>
      <w:r w:rsidRPr="00825614">
        <w:rPr>
          <w:noProof/>
        </w:rPr>
        <w:t>ust.</w:t>
      </w:r>
      <w:r w:rsidR="00825614" w:rsidRPr="00825614">
        <w:rPr>
          <w:noProof/>
        </w:rPr>
        <w:t> </w:t>
      </w:r>
      <w:r w:rsidRPr="00825614">
        <w:rPr>
          <w:noProof/>
        </w:rPr>
        <w:t>2</w:t>
      </w:r>
      <w:r w:rsidRPr="00F66162">
        <w:rPr>
          <w:noProof/>
        </w:rPr>
        <w:t xml:space="preserve"> </w:t>
      </w:r>
      <w:r w:rsidRPr="00825614">
        <w:rPr>
          <w:noProof/>
        </w:rPr>
        <w:t>lit.</w:t>
      </w:r>
      <w:r w:rsidR="00825614" w:rsidRPr="00825614">
        <w:rPr>
          <w:noProof/>
        </w:rPr>
        <w:t> </w:t>
      </w:r>
      <w:r w:rsidRPr="00825614">
        <w:rPr>
          <w:noProof/>
        </w:rPr>
        <w:t>b)</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27</w:t>
      </w:r>
      <w:r w:rsidR="00825614" w:rsidRPr="00825614">
        <w:rPr>
          <w:noProof/>
        </w:rPr>
        <w:t> </w:t>
      </w:r>
      <w:r w:rsidRPr="00825614">
        <w:rPr>
          <w:noProof/>
        </w:rPr>
        <w:t>r.</w:t>
      </w:r>
      <w:r w:rsidRPr="00F66162">
        <w:rPr>
          <w:noProof/>
        </w:rPr>
        <w:t xml:space="preserve"> jako średnią kwartalną cen zamknięcia uprawnień</w:t>
      </w:r>
      <w:r w:rsidR="00825614" w:rsidRPr="00F66162">
        <w:rPr>
          <w:noProof/>
        </w:rPr>
        <w:t xml:space="preserve"> w</w:t>
      </w:r>
      <w:r w:rsidR="00825614">
        <w:rPr>
          <w:noProof/>
        </w:rPr>
        <w:t> </w:t>
      </w:r>
      <w:r w:rsidR="00825614" w:rsidRPr="00F66162">
        <w:rPr>
          <w:noProof/>
        </w:rPr>
        <w:t>ram</w:t>
      </w:r>
      <w:r w:rsidRPr="00F66162">
        <w:rPr>
          <w:noProof/>
        </w:rPr>
        <w:t>ach EU ETS na platformie aukcyjnej, zgodnie</w:t>
      </w:r>
      <w:r w:rsidR="00825614" w:rsidRPr="00F66162">
        <w:rPr>
          <w:noProof/>
        </w:rPr>
        <w:t xml:space="preserve"> z</w:t>
      </w:r>
      <w:r w:rsidR="00825614">
        <w:rPr>
          <w:noProof/>
        </w:rPr>
        <w:t> </w:t>
      </w:r>
      <w:r w:rsidR="00825614" w:rsidRPr="00F66162">
        <w:rPr>
          <w:noProof/>
        </w:rPr>
        <w:t>pro</w:t>
      </w:r>
      <w:r w:rsidRPr="00F66162">
        <w:rPr>
          <w:noProof/>
        </w:rPr>
        <w:t>cedurami określonymi</w:t>
      </w:r>
      <w:r w:rsidR="00825614" w:rsidRPr="00F66162">
        <w:rPr>
          <w:noProof/>
        </w:rPr>
        <w:t xml:space="preserve"> w</w:t>
      </w:r>
      <w:r w:rsidR="00825614">
        <w:rPr>
          <w:noProof/>
        </w:rPr>
        <w:t> </w:t>
      </w:r>
      <w:r w:rsidR="00825614" w:rsidRPr="00F66162">
        <w:rPr>
          <w:noProof/>
        </w:rPr>
        <w:t>roz</w:t>
      </w:r>
      <w:r w:rsidRPr="00F66162">
        <w:rPr>
          <w:noProof/>
        </w:rPr>
        <w:t>porządzeniu delegowanym (UE) 2023/2830, dla kwartału przywozu towarów,</w:t>
      </w:r>
      <w:r w:rsidR="00825614" w:rsidRPr="00F66162">
        <w:rPr>
          <w:noProof/>
        </w:rPr>
        <w:t xml:space="preserve"> z</w:t>
      </w:r>
      <w:r w:rsidR="00825614">
        <w:rPr>
          <w:noProof/>
        </w:rPr>
        <w:t> </w:t>
      </w:r>
      <w:r w:rsidR="00825614" w:rsidRPr="00F66162">
        <w:rPr>
          <w:noProof/>
        </w:rPr>
        <w:t>któ</w:t>
      </w:r>
      <w:r w:rsidRPr="00F66162">
        <w:rPr>
          <w:noProof/>
        </w:rPr>
        <w:t xml:space="preserve">rymi związane są te emisje.]”; </w:t>
      </w:r>
    </w:p>
    <w:p w14:paraId="18027967" w14:textId="083F032E" w:rsidR="00F62CEB" w:rsidRPr="00F66162" w:rsidRDefault="0074784E" w:rsidP="0074784E">
      <w:pPr>
        <w:pStyle w:val="Point1"/>
        <w:rPr>
          <w:noProof/>
        </w:rPr>
      </w:pPr>
      <w:r w:rsidRPr="00F66162">
        <w:rPr>
          <w:noProof/>
        </w:rPr>
        <w:t>c)</w:t>
      </w:r>
      <w:r w:rsidRPr="00F66162">
        <w:rPr>
          <w:noProof/>
        </w:rPr>
        <w:tab/>
      </w:r>
      <w:r w:rsidRPr="00825614">
        <w:rPr>
          <w:noProof/>
        </w:rPr>
        <w:t>ust.</w:t>
      </w:r>
      <w:r w:rsidR="00825614" w:rsidRPr="00825614">
        <w:rPr>
          <w:noProof/>
        </w:rPr>
        <w:t> </w:t>
      </w:r>
      <w:r w:rsidRPr="00825614">
        <w:rPr>
          <w:noProof/>
        </w:rPr>
        <w:t>3</w:t>
      </w:r>
      <w:r w:rsidRPr="00F66162">
        <w:rPr>
          <w:noProof/>
        </w:rPr>
        <w:t xml:space="preserve"> otrzymuje brzmienie: </w:t>
      </w:r>
    </w:p>
    <w:p w14:paraId="31F834AB" w14:textId="29C46950" w:rsidR="001232C6" w:rsidRPr="00F66162" w:rsidRDefault="00C56B86" w:rsidP="00C56B86">
      <w:pPr>
        <w:ind w:left="850"/>
        <w:rPr>
          <w:noProof/>
        </w:rPr>
      </w:pPr>
      <w:r w:rsidRPr="00F66162">
        <w:rPr>
          <w:noProof/>
        </w:rPr>
        <w:t>„3. Komisja jest uprawniona do przyjmowania aktów wykonawczych dotyczących stosowania przewidzianych</w:t>
      </w:r>
      <w:r w:rsidR="00825614" w:rsidRPr="00F66162">
        <w:rPr>
          <w:noProof/>
        </w:rPr>
        <w:t xml:space="preserve"> w</w:t>
      </w:r>
      <w:r w:rsidR="00825614">
        <w:rPr>
          <w:noProof/>
        </w:rPr>
        <w:t> </w:t>
      </w:r>
      <w:r w:rsidR="00825614" w:rsidRPr="00F66162">
        <w:rPr>
          <w:noProof/>
        </w:rPr>
        <w:t>ust</w:t>
      </w:r>
      <w:r w:rsidRPr="00F66162">
        <w:rPr>
          <w:noProof/>
        </w:rPr>
        <w:t>. 1</w:t>
      </w:r>
      <w:r w:rsidR="00825614" w:rsidRPr="00F66162">
        <w:rPr>
          <w:noProof/>
        </w:rPr>
        <w:t xml:space="preserve"> i</w:t>
      </w:r>
      <w:r w:rsidR="00825614">
        <w:rPr>
          <w:noProof/>
        </w:rPr>
        <w:t> </w:t>
      </w:r>
      <w:r w:rsidR="00825614" w:rsidRPr="00F66162">
        <w:rPr>
          <w:noProof/>
        </w:rPr>
        <w:t>1</w:t>
      </w:r>
      <w:r w:rsidRPr="00F66162">
        <w:rPr>
          <w:noProof/>
        </w:rPr>
        <w:t>a metod obliczania ceny certyfikatów CBAM oraz praktycznych ustaleń dotyczących publikacji tej ceny. Te akty wykonawcze przyjmuje się zgodnie</w:t>
      </w:r>
      <w:r w:rsidR="00825614" w:rsidRPr="00F66162">
        <w:rPr>
          <w:noProof/>
        </w:rPr>
        <w:t xml:space="preserve"> z</w:t>
      </w:r>
      <w:r w:rsidR="00825614">
        <w:rPr>
          <w:noProof/>
        </w:rPr>
        <w:t> </w:t>
      </w:r>
      <w:r w:rsidR="00825614" w:rsidRPr="00F66162">
        <w:rPr>
          <w:noProof/>
        </w:rPr>
        <w:t>pro</w:t>
      </w:r>
      <w:r w:rsidRPr="00F66162">
        <w:rPr>
          <w:noProof/>
        </w:rPr>
        <w:t>cedurą sprawdzającą,</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F66162">
        <w:rPr>
          <w:noProof/>
        </w:rPr>
        <w:t>art</w:t>
      </w:r>
      <w:r w:rsidRPr="00F66162">
        <w:rPr>
          <w:noProof/>
        </w:rPr>
        <w:t xml:space="preserve">. 29 ust. 2.”; </w:t>
      </w:r>
    </w:p>
    <w:p w14:paraId="1A094C34" w14:textId="14110605" w:rsidR="001A7768" w:rsidRPr="00F66162" w:rsidRDefault="0074784E" w:rsidP="0074784E">
      <w:pPr>
        <w:pStyle w:val="Point0"/>
        <w:rPr>
          <w:noProof/>
        </w:rPr>
      </w:pPr>
      <w:r w:rsidRPr="00F66162">
        <w:rPr>
          <w:noProof/>
        </w:rPr>
        <w:t>16.</w:t>
      </w:r>
      <w:r w:rsidRPr="00F66162">
        <w:rPr>
          <w:noProof/>
        </w:rPr>
        <w:tab/>
        <w:t xml:space="preserve">w </w:t>
      </w:r>
      <w:r w:rsidRPr="00825614">
        <w:rPr>
          <w:noProof/>
        </w:rPr>
        <w:t>art.</w:t>
      </w:r>
      <w:r w:rsidR="00825614" w:rsidRPr="00825614">
        <w:rPr>
          <w:noProof/>
        </w:rPr>
        <w:t> </w:t>
      </w:r>
      <w:r w:rsidRPr="00825614">
        <w:rPr>
          <w:noProof/>
        </w:rPr>
        <w:t>2</w:t>
      </w:r>
      <w:r w:rsidRPr="00F66162">
        <w:rPr>
          <w:noProof/>
        </w:rPr>
        <w:t xml:space="preserve">2 wprowadza się następujące zmiany: </w:t>
      </w:r>
    </w:p>
    <w:p w14:paraId="71BD36B0" w14:textId="77777777" w:rsidR="00CD359D" w:rsidRPr="00F66162" w:rsidRDefault="0074784E" w:rsidP="0074784E">
      <w:pPr>
        <w:pStyle w:val="Point1"/>
        <w:rPr>
          <w:noProof/>
        </w:rPr>
      </w:pPr>
      <w:r w:rsidRPr="00F66162">
        <w:rPr>
          <w:noProof/>
        </w:rPr>
        <w:t>a)</w:t>
      </w:r>
      <w:r w:rsidRPr="00F66162">
        <w:rPr>
          <w:noProof/>
        </w:rPr>
        <w:tab/>
        <w:t>ust. 1 zdanie pierwsze otrzymuje brzmienie:</w:t>
      </w:r>
    </w:p>
    <w:p w14:paraId="02E7E8F0" w14:textId="3C273455" w:rsidR="00E835C0" w:rsidRPr="00F66162" w:rsidRDefault="19F5483F" w:rsidP="00CD359D">
      <w:pPr>
        <w:ind w:left="850"/>
        <w:rPr>
          <w:noProof/>
        </w:rPr>
      </w:pPr>
      <w:r w:rsidRPr="00F66162">
        <w:rPr>
          <w:noProof/>
        </w:rPr>
        <w:t>„Do dnia 31 sierpnia każdego roku, a po raz pierwszy</w:t>
      </w:r>
      <w:r w:rsidR="00825614" w:rsidRPr="00F66162">
        <w:rPr>
          <w:noProof/>
        </w:rPr>
        <w:t xml:space="preserve"> w</w:t>
      </w:r>
      <w:r w:rsidR="00825614">
        <w:rPr>
          <w:noProof/>
        </w:rPr>
        <w:t> </w:t>
      </w:r>
      <w:r w:rsidR="00825614" w:rsidRPr="00F66162">
        <w:rPr>
          <w:noProof/>
        </w:rPr>
        <w:t>rok</w:t>
      </w:r>
      <w:r w:rsidRPr="00F66162">
        <w:rPr>
          <w:noProof/>
        </w:rPr>
        <w:t xml:space="preserve">u 2027 za </w:t>
      </w:r>
      <w:r w:rsidRPr="00825614">
        <w:rPr>
          <w:noProof/>
        </w:rPr>
        <w:t>rok</w:t>
      </w:r>
      <w:r w:rsidR="00825614" w:rsidRPr="00825614">
        <w:rPr>
          <w:noProof/>
        </w:rPr>
        <w:t> </w:t>
      </w:r>
      <w:r w:rsidRPr="00825614">
        <w:rPr>
          <w:noProof/>
        </w:rPr>
        <w:t>2</w:t>
      </w:r>
      <w:r w:rsidRPr="00F66162">
        <w:rPr>
          <w:noProof/>
        </w:rPr>
        <w:t>026, upoważniony zgłaszający CBAM przekazuje do umorzenia za pośrednictwem rejestru CBAM certyfikaty CBAM</w:t>
      </w:r>
      <w:r w:rsidR="00825614" w:rsidRPr="00F66162">
        <w:rPr>
          <w:noProof/>
        </w:rPr>
        <w:t xml:space="preserve"> w</w:t>
      </w:r>
      <w:r w:rsidR="00825614">
        <w:rPr>
          <w:noProof/>
        </w:rPr>
        <w:t> </w:t>
      </w:r>
      <w:r w:rsidR="00825614" w:rsidRPr="00F66162">
        <w:rPr>
          <w:noProof/>
        </w:rPr>
        <w:t>lic</w:t>
      </w:r>
      <w:r w:rsidRPr="00F66162">
        <w:rPr>
          <w:noProof/>
        </w:rPr>
        <w:t>zbie odpowiadającej emisjom wbudowanym zadeklarowanym zgodnie</w:t>
      </w:r>
      <w:r w:rsidR="00825614" w:rsidRPr="00F66162">
        <w:rPr>
          <w:noProof/>
        </w:rPr>
        <w:t xml:space="preserve"> z</w:t>
      </w:r>
      <w:r w:rsidR="00825614">
        <w:rPr>
          <w:noProof/>
        </w:rPr>
        <w:t> </w:t>
      </w:r>
      <w:r w:rsidR="00825614" w:rsidRPr="00F66162">
        <w:rPr>
          <w:noProof/>
        </w:rPr>
        <w:t>art</w:t>
      </w:r>
      <w:r w:rsidRPr="00F66162">
        <w:rPr>
          <w:noProof/>
        </w:rPr>
        <w:t>. 6 ust. 2 lit. c)</w:t>
      </w:r>
      <w:r w:rsidR="00825614" w:rsidRPr="00F66162">
        <w:rPr>
          <w:noProof/>
        </w:rPr>
        <w:t xml:space="preserve"> i</w:t>
      </w:r>
      <w:r w:rsidR="00825614">
        <w:rPr>
          <w:noProof/>
        </w:rPr>
        <w:t> </w:t>
      </w:r>
      <w:r w:rsidR="00825614" w:rsidRPr="00F66162">
        <w:rPr>
          <w:noProof/>
        </w:rPr>
        <w:t>zwe</w:t>
      </w:r>
      <w:r w:rsidRPr="00F66162">
        <w:rPr>
          <w:noProof/>
        </w:rPr>
        <w:t>ryfikowanym zgodnie</w:t>
      </w:r>
      <w:r w:rsidR="00825614" w:rsidRPr="00F66162">
        <w:rPr>
          <w:noProof/>
        </w:rPr>
        <w:t xml:space="preserve"> z</w:t>
      </w:r>
      <w:r w:rsidR="00825614">
        <w:rPr>
          <w:noProof/>
        </w:rPr>
        <w:t> </w:t>
      </w:r>
      <w:r w:rsidR="00825614" w:rsidRPr="00F66162">
        <w:rPr>
          <w:noProof/>
        </w:rPr>
        <w:t>art</w:t>
      </w:r>
      <w:r w:rsidRPr="00F66162">
        <w:rPr>
          <w:noProof/>
        </w:rPr>
        <w:t>. 8 za rok kalendarzowy poprzedzający rok,</w:t>
      </w:r>
      <w:r w:rsidR="00825614" w:rsidRPr="00F66162">
        <w:rPr>
          <w:noProof/>
        </w:rPr>
        <w:t xml:space="preserve"> w</w:t>
      </w:r>
      <w:r w:rsidR="00825614">
        <w:rPr>
          <w:noProof/>
        </w:rPr>
        <w:t> </w:t>
      </w:r>
      <w:r w:rsidR="00825614" w:rsidRPr="00F66162">
        <w:rPr>
          <w:noProof/>
        </w:rPr>
        <w:t>któ</w:t>
      </w:r>
      <w:r w:rsidRPr="00F66162">
        <w:rPr>
          <w:noProof/>
        </w:rPr>
        <w:t>rym dokonuje się umorzenia.”;</w:t>
      </w:r>
    </w:p>
    <w:p w14:paraId="15E0015A" w14:textId="3CAA4EE5" w:rsidR="009F5574" w:rsidRPr="00F66162" w:rsidRDefault="0074784E" w:rsidP="0074784E">
      <w:pPr>
        <w:pStyle w:val="Point1"/>
        <w:rPr>
          <w:noProof/>
        </w:rPr>
      </w:pPr>
      <w:r w:rsidRPr="00F66162">
        <w:rPr>
          <w:noProof/>
        </w:rPr>
        <w:t>b)</w:t>
      </w:r>
      <w:r w:rsidRPr="00F66162">
        <w:rPr>
          <w:noProof/>
        </w:rPr>
        <w:tab/>
      </w:r>
      <w:r w:rsidRPr="00825614">
        <w:rPr>
          <w:noProof/>
        </w:rPr>
        <w:t>ust.</w:t>
      </w:r>
      <w:r w:rsidR="00825614" w:rsidRPr="00825614">
        <w:rPr>
          <w:noProof/>
        </w:rPr>
        <w:t> </w:t>
      </w:r>
      <w:r w:rsidRPr="00825614">
        <w:rPr>
          <w:noProof/>
        </w:rPr>
        <w:t>2</w:t>
      </w:r>
      <w:r w:rsidRPr="00F66162">
        <w:rPr>
          <w:noProof/>
        </w:rPr>
        <w:t xml:space="preserve"> otrzymuje brzmienie: </w:t>
      </w:r>
    </w:p>
    <w:p w14:paraId="4DA09C15" w14:textId="08FFDC5B" w:rsidR="001E44A6" w:rsidRPr="00F66162" w:rsidRDefault="001E44A6" w:rsidP="001E44A6">
      <w:pPr>
        <w:ind w:left="850"/>
        <w:rPr>
          <w:noProof/>
        </w:rPr>
      </w:pPr>
      <w:r w:rsidRPr="00F66162">
        <w:rPr>
          <w:noProof/>
        </w:rPr>
        <w:t>„2. Od pierwszego kwartału 20</w:t>
      </w:r>
      <w:r w:rsidRPr="00825614">
        <w:rPr>
          <w:noProof/>
        </w:rPr>
        <w:t>27</w:t>
      </w:r>
      <w:r w:rsidR="00825614" w:rsidRPr="00825614">
        <w:rPr>
          <w:noProof/>
        </w:rPr>
        <w:t> </w:t>
      </w:r>
      <w:r w:rsidRPr="00825614">
        <w:rPr>
          <w:noProof/>
        </w:rPr>
        <w:t>r.</w:t>
      </w:r>
      <w:r w:rsidRPr="00F66162">
        <w:rPr>
          <w:noProof/>
        </w:rPr>
        <w:t xml:space="preserve"> upoważniony zgłaszający CBAM zapewnia, aby liczba certyfikatów CBAM na jego rachunku</w:t>
      </w:r>
      <w:r w:rsidR="00825614" w:rsidRPr="00F66162">
        <w:rPr>
          <w:noProof/>
        </w:rPr>
        <w:t xml:space="preserve"> w</w:t>
      </w:r>
      <w:r w:rsidR="00825614">
        <w:rPr>
          <w:noProof/>
        </w:rPr>
        <w:t> </w:t>
      </w:r>
      <w:r w:rsidR="00825614" w:rsidRPr="00F66162">
        <w:rPr>
          <w:noProof/>
        </w:rPr>
        <w:t>rej</w:t>
      </w:r>
      <w:r w:rsidRPr="00F66162">
        <w:rPr>
          <w:noProof/>
        </w:rPr>
        <w:t>estrze CBAM na koniec każdego kwartału odpowiadała co najmniej 5</w:t>
      </w:r>
      <w:r w:rsidRPr="00825614">
        <w:rPr>
          <w:noProof/>
        </w:rPr>
        <w:t>0</w:t>
      </w:r>
      <w:r w:rsidR="00825614" w:rsidRPr="00825614">
        <w:rPr>
          <w:noProof/>
        </w:rPr>
        <w:t> </w:t>
      </w:r>
      <w:r w:rsidRPr="00825614">
        <w:rPr>
          <w:noProof/>
        </w:rPr>
        <w:t>%</w:t>
      </w:r>
      <w:r w:rsidRPr="00F66162">
        <w:rPr>
          <w:noProof/>
        </w:rPr>
        <w:t xml:space="preserve"> emisji wbudowanych związanych</w:t>
      </w:r>
      <w:r w:rsidR="00825614" w:rsidRPr="00F66162">
        <w:rPr>
          <w:noProof/>
        </w:rPr>
        <w:t xml:space="preserve"> z</w:t>
      </w:r>
      <w:r w:rsidR="00825614">
        <w:rPr>
          <w:noProof/>
        </w:rPr>
        <w:t> </w:t>
      </w:r>
      <w:r w:rsidR="00825614" w:rsidRPr="00F66162">
        <w:rPr>
          <w:noProof/>
        </w:rPr>
        <w:t>wsz</w:t>
      </w:r>
      <w:r w:rsidRPr="00F66162">
        <w:rPr>
          <w:noProof/>
        </w:rPr>
        <w:t>ystkimi towarami przywiezionymi przez niego od początku roku kalendarzowego,</w:t>
      </w:r>
      <w:r w:rsidR="00825614" w:rsidRPr="00F66162">
        <w:rPr>
          <w:noProof/>
        </w:rPr>
        <w:t xml:space="preserve"> z</w:t>
      </w:r>
      <w:r w:rsidR="00825614">
        <w:rPr>
          <w:noProof/>
        </w:rPr>
        <w:t> </w:t>
      </w:r>
      <w:r w:rsidR="00825614" w:rsidRPr="00F66162">
        <w:rPr>
          <w:noProof/>
        </w:rPr>
        <w:t>uwz</w:t>
      </w:r>
      <w:r w:rsidRPr="00F66162">
        <w:rPr>
          <w:noProof/>
        </w:rPr>
        <w:t>ględnieniem korekty</w:t>
      </w:r>
      <w:r w:rsidR="00825614" w:rsidRPr="00F66162">
        <w:rPr>
          <w:noProof/>
        </w:rPr>
        <w:t xml:space="preserve"> z</w:t>
      </w:r>
      <w:r w:rsidR="00825614">
        <w:rPr>
          <w:noProof/>
        </w:rPr>
        <w:t> </w:t>
      </w:r>
      <w:r w:rsidR="00825614" w:rsidRPr="00F66162">
        <w:rPr>
          <w:noProof/>
        </w:rPr>
        <w:t>tyt</w:t>
      </w:r>
      <w:r w:rsidRPr="00F66162">
        <w:rPr>
          <w:noProof/>
        </w:rPr>
        <w:t>ułu przydziału bezpłatnych uprawnień,</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3</w:t>
      </w:r>
      <w:r w:rsidRPr="00F66162">
        <w:rPr>
          <w:noProof/>
        </w:rPr>
        <w:t>1, określonej przez odniesienie do jednego</w:t>
      </w:r>
      <w:r w:rsidR="00825614" w:rsidRPr="00F66162">
        <w:rPr>
          <w:noProof/>
        </w:rPr>
        <w:t xml:space="preserve"> z</w:t>
      </w:r>
      <w:r w:rsidR="00825614">
        <w:rPr>
          <w:noProof/>
        </w:rPr>
        <w:t> </w:t>
      </w:r>
      <w:r w:rsidR="00825614" w:rsidRPr="00F66162">
        <w:rPr>
          <w:noProof/>
        </w:rPr>
        <w:t>pon</w:t>
      </w:r>
      <w:r w:rsidRPr="00F66162">
        <w:rPr>
          <w:noProof/>
        </w:rPr>
        <w:t xml:space="preserve">iższych: </w:t>
      </w:r>
    </w:p>
    <w:p w14:paraId="2590BFED" w14:textId="136CA77D" w:rsidR="001E44A6" w:rsidRPr="00F66162" w:rsidRDefault="001E44A6" w:rsidP="00CD359D">
      <w:pPr>
        <w:ind w:left="850"/>
        <w:rPr>
          <w:noProof/>
        </w:rPr>
      </w:pPr>
      <w:r w:rsidRPr="00F66162">
        <w:rPr>
          <w:noProof/>
        </w:rPr>
        <w:t>a) wartości domyślnych ustalonych zgodnie</w:t>
      </w:r>
      <w:r w:rsidR="00825614" w:rsidRPr="00F66162">
        <w:rPr>
          <w:noProof/>
        </w:rPr>
        <w:t xml:space="preserve"> z</w:t>
      </w:r>
      <w:r w:rsidR="00825614">
        <w:rPr>
          <w:noProof/>
        </w:rPr>
        <w:t> </w:t>
      </w:r>
      <w:r w:rsidR="00825614" w:rsidRPr="00F66162">
        <w:rPr>
          <w:noProof/>
        </w:rPr>
        <w:t>met</w:t>
      </w:r>
      <w:r w:rsidRPr="00F66162">
        <w:rPr>
          <w:noProof/>
        </w:rPr>
        <w:t>odami określonymi</w:t>
      </w:r>
      <w:r w:rsidR="00825614" w:rsidRPr="00F66162">
        <w:rPr>
          <w:noProof/>
        </w:rPr>
        <w:t xml:space="preserve"> w</w:t>
      </w:r>
      <w:r w:rsidR="00825614">
        <w:rPr>
          <w:noProof/>
        </w:rPr>
        <w:t> </w:t>
      </w:r>
      <w:r w:rsidR="00825614" w:rsidRPr="00F66162">
        <w:rPr>
          <w:noProof/>
        </w:rPr>
        <w:t>zał</w:t>
      </w:r>
      <w:r w:rsidRPr="00F66162">
        <w:rPr>
          <w:noProof/>
        </w:rPr>
        <w:t>ączniku IV bez narzutu,</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F66162">
        <w:rPr>
          <w:noProof/>
        </w:rPr>
        <w:t>sek</w:t>
      </w:r>
      <w:r w:rsidRPr="00F66162">
        <w:rPr>
          <w:noProof/>
        </w:rPr>
        <w:t>cji 4.1 tego załącznika, lub</w:t>
      </w:r>
    </w:p>
    <w:p w14:paraId="3D1FA8F6" w14:textId="5A0B4E2B" w:rsidR="001232C6" w:rsidRPr="00F66162" w:rsidRDefault="001E44A6" w:rsidP="00CD359D">
      <w:pPr>
        <w:ind w:left="850"/>
        <w:rPr>
          <w:noProof/>
        </w:rPr>
      </w:pPr>
      <w:r w:rsidRPr="00F66162">
        <w:rPr>
          <w:noProof/>
        </w:rPr>
        <w:t>b) liczby certyfikatów CBAM umorzonych zgodnie</w:t>
      </w:r>
      <w:r w:rsidR="00825614" w:rsidRPr="00F66162">
        <w:rPr>
          <w:noProof/>
        </w:rPr>
        <w:t xml:space="preserve"> z</w:t>
      </w:r>
      <w:r w:rsidR="00825614">
        <w:rPr>
          <w:noProof/>
        </w:rPr>
        <w:t> </w:t>
      </w:r>
      <w:r w:rsidR="00825614" w:rsidRPr="00825614">
        <w:rPr>
          <w:noProof/>
        </w:rPr>
        <w:t>ust</w:t>
      </w:r>
      <w:r w:rsidRPr="00825614">
        <w:rPr>
          <w:noProof/>
        </w:rPr>
        <w:t>.</w:t>
      </w:r>
      <w:r w:rsidR="00825614" w:rsidRPr="00825614">
        <w:rPr>
          <w:noProof/>
        </w:rPr>
        <w:t> </w:t>
      </w:r>
      <w:r w:rsidRPr="00825614">
        <w:rPr>
          <w:noProof/>
        </w:rPr>
        <w:t>1</w:t>
      </w:r>
      <w:r w:rsidRPr="00F66162">
        <w:rPr>
          <w:noProof/>
        </w:rPr>
        <w:t xml:space="preserve"> za rok kalendarzowy poprzedzający rok,</w:t>
      </w:r>
      <w:r w:rsidR="00825614" w:rsidRPr="00F66162">
        <w:rPr>
          <w:noProof/>
        </w:rPr>
        <w:t xml:space="preserve"> w</w:t>
      </w:r>
      <w:r w:rsidR="00825614">
        <w:rPr>
          <w:noProof/>
        </w:rPr>
        <w:t> </w:t>
      </w:r>
      <w:r w:rsidR="00825614" w:rsidRPr="00F66162">
        <w:rPr>
          <w:noProof/>
        </w:rPr>
        <w:t>któ</w:t>
      </w:r>
      <w:r w:rsidRPr="00F66162">
        <w:rPr>
          <w:noProof/>
        </w:rPr>
        <w:t>rym dokonuje się umorzenia, pod warunkiem że zgłoszenie celne dotyczące przywozu tych towarów przedstawia je</w:t>
      </w:r>
      <w:r w:rsidR="00825614" w:rsidRPr="00F66162">
        <w:rPr>
          <w:noProof/>
        </w:rPr>
        <w:t xml:space="preserve"> w</w:t>
      </w:r>
      <w:r w:rsidR="00825614">
        <w:rPr>
          <w:noProof/>
        </w:rPr>
        <w:t> </w:t>
      </w:r>
      <w:r w:rsidR="00825614" w:rsidRPr="00F66162">
        <w:rPr>
          <w:noProof/>
        </w:rPr>
        <w:t>tak</w:t>
      </w:r>
      <w:r w:rsidRPr="00F66162">
        <w:rPr>
          <w:noProof/>
        </w:rPr>
        <w:t>im samym podziale według kodu CN</w:t>
      </w:r>
      <w:r w:rsidR="00825614" w:rsidRPr="00F66162">
        <w:rPr>
          <w:noProof/>
        </w:rPr>
        <w:t xml:space="preserve"> i</w:t>
      </w:r>
      <w:r w:rsidR="00825614">
        <w:rPr>
          <w:noProof/>
        </w:rPr>
        <w:t> </w:t>
      </w:r>
      <w:r w:rsidR="00825614" w:rsidRPr="00F66162">
        <w:rPr>
          <w:noProof/>
        </w:rPr>
        <w:t>pań</w:t>
      </w:r>
      <w:r w:rsidRPr="00F66162">
        <w:rPr>
          <w:noProof/>
        </w:rPr>
        <w:t>stwa pochodzenia, jak deklaracja CBAM za poprzedni rok kalendarzowy.”;</w:t>
      </w:r>
    </w:p>
    <w:p w14:paraId="02A1B23F" w14:textId="47B51062" w:rsidR="00161676" w:rsidRPr="00F66162" w:rsidRDefault="0074784E" w:rsidP="0074784E">
      <w:pPr>
        <w:pStyle w:val="Point1"/>
        <w:rPr>
          <w:noProof/>
        </w:rPr>
      </w:pPr>
      <w:r w:rsidRPr="00F66162">
        <w:rPr>
          <w:noProof/>
        </w:rPr>
        <w:t>c)</w:t>
      </w:r>
      <w:r w:rsidRPr="00F66162">
        <w:rPr>
          <w:noProof/>
        </w:rPr>
        <w:tab/>
        <w:t>dodaje się ust. 2a</w:t>
      </w:r>
      <w:r w:rsidR="00825614" w:rsidRPr="00F66162">
        <w:rPr>
          <w:noProof/>
        </w:rPr>
        <w:t xml:space="preserve"> w</w:t>
      </w:r>
      <w:r w:rsidR="00825614">
        <w:rPr>
          <w:noProof/>
        </w:rPr>
        <w:t> </w:t>
      </w:r>
      <w:r w:rsidR="00825614" w:rsidRPr="00F66162">
        <w:rPr>
          <w:noProof/>
        </w:rPr>
        <w:t>brz</w:t>
      </w:r>
      <w:r w:rsidRPr="00F66162">
        <w:rPr>
          <w:noProof/>
        </w:rPr>
        <w:t>mieniu:</w:t>
      </w:r>
    </w:p>
    <w:p w14:paraId="103FDC4D" w14:textId="15D0D06F" w:rsidR="001232C6" w:rsidRPr="00F66162" w:rsidRDefault="006E3740" w:rsidP="006E3740">
      <w:pPr>
        <w:ind w:left="850"/>
        <w:rPr>
          <w:noProof/>
        </w:rPr>
      </w:pPr>
      <w:r w:rsidRPr="00F66162">
        <w:rPr>
          <w:noProof/>
        </w:rPr>
        <w:t>„2a. Upoważniony zgłaszający CBAM wypełnia obowiązek określony</w:t>
      </w:r>
      <w:r w:rsidR="00825614" w:rsidRPr="00F66162">
        <w:rPr>
          <w:noProof/>
        </w:rPr>
        <w:t xml:space="preserve"> w</w:t>
      </w:r>
      <w:r w:rsidR="00825614">
        <w:rPr>
          <w:noProof/>
        </w:rPr>
        <w:t> </w:t>
      </w:r>
      <w:r w:rsidR="00825614" w:rsidRPr="00825614">
        <w:rPr>
          <w:noProof/>
        </w:rPr>
        <w:t>ust</w:t>
      </w:r>
      <w:r w:rsidRPr="00825614">
        <w:rPr>
          <w:noProof/>
        </w:rPr>
        <w:t>.</w:t>
      </w:r>
      <w:r w:rsidR="00825614" w:rsidRPr="00825614">
        <w:rPr>
          <w:noProof/>
        </w:rPr>
        <w:t> </w:t>
      </w:r>
      <w:r w:rsidRPr="00825614">
        <w:rPr>
          <w:noProof/>
        </w:rPr>
        <w:t>2</w:t>
      </w:r>
      <w:r w:rsidRPr="00F66162">
        <w:rPr>
          <w:noProof/>
        </w:rPr>
        <w:t xml:space="preserve"> na koniec kwartału,</w:t>
      </w:r>
      <w:r w:rsidR="00825614" w:rsidRPr="00F66162">
        <w:rPr>
          <w:noProof/>
        </w:rPr>
        <w:t xml:space="preserve"> w</w:t>
      </w:r>
      <w:r w:rsidR="00825614">
        <w:rPr>
          <w:noProof/>
        </w:rPr>
        <w:t> </w:t>
      </w:r>
      <w:r w:rsidR="00825614" w:rsidRPr="00F66162">
        <w:rPr>
          <w:noProof/>
        </w:rPr>
        <w:t>któ</w:t>
      </w:r>
      <w:r w:rsidRPr="00F66162">
        <w:rPr>
          <w:noProof/>
        </w:rPr>
        <w:t>rym przekroczył próg określony</w:t>
      </w:r>
      <w:r w:rsidR="00825614" w:rsidRPr="00F66162">
        <w:rPr>
          <w:noProof/>
        </w:rPr>
        <w:t xml:space="preserve"> w</w:t>
      </w:r>
      <w:r w:rsidR="00825614">
        <w:rPr>
          <w:noProof/>
        </w:rPr>
        <w:t> </w:t>
      </w:r>
      <w:r w:rsidR="00825614" w:rsidRPr="00F66162">
        <w:rPr>
          <w:noProof/>
        </w:rPr>
        <w:t>zał</w:t>
      </w:r>
      <w:r w:rsidRPr="00F66162">
        <w:rPr>
          <w:noProof/>
        </w:rPr>
        <w:t>ączniku VII.”;</w:t>
      </w:r>
    </w:p>
    <w:p w14:paraId="7CF33F67" w14:textId="0F38D628" w:rsidR="00A07456" w:rsidRPr="00F66162" w:rsidRDefault="0074784E" w:rsidP="0074784E">
      <w:pPr>
        <w:pStyle w:val="Point0"/>
        <w:rPr>
          <w:noProof/>
        </w:rPr>
      </w:pPr>
      <w:r w:rsidRPr="00F66162">
        <w:rPr>
          <w:noProof/>
        </w:rPr>
        <w:t>17.</w:t>
      </w:r>
      <w:r w:rsidRPr="00F66162">
        <w:rPr>
          <w:noProof/>
        </w:rPr>
        <w:tab/>
        <w:t xml:space="preserve">w </w:t>
      </w:r>
      <w:r w:rsidRPr="00825614">
        <w:rPr>
          <w:noProof/>
        </w:rPr>
        <w:t>art.</w:t>
      </w:r>
      <w:r w:rsidR="00825614" w:rsidRPr="00825614">
        <w:rPr>
          <w:noProof/>
        </w:rPr>
        <w:t> </w:t>
      </w:r>
      <w:r w:rsidRPr="00825614">
        <w:rPr>
          <w:noProof/>
        </w:rPr>
        <w:t>2</w:t>
      </w:r>
      <w:r w:rsidRPr="00F66162">
        <w:rPr>
          <w:noProof/>
        </w:rPr>
        <w:t xml:space="preserve">3 wprowadza się następujące zmiany: </w:t>
      </w:r>
    </w:p>
    <w:p w14:paraId="1AD44390" w14:textId="77777777" w:rsidR="00CC2B5F" w:rsidRPr="00F66162" w:rsidRDefault="0074784E" w:rsidP="0074784E">
      <w:pPr>
        <w:pStyle w:val="Point1"/>
        <w:rPr>
          <w:noProof/>
        </w:rPr>
      </w:pPr>
      <w:r w:rsidRPr="00F66162">
        <w:rPr>
          <w:noProof/>
        </w:rPr>
        <w:t>a)</w:t>
      </w:r>
      <w:r w:rsidRPr="00F66162">
        <w:rPr>
          <w:noProof/>
        </w:rPr>
        <w:tab/>
        <w:t>ust. 1 akapit drugi zdanie drugie otrzymuje brzmienie:</w:t>
      </w:r>
    </w:p>
    <w:p w14:paraId="5C30A994" w14:textId="50C25BD1" w:rsidR="00F85F15" w:rsidRPr="00F66162" w:rsidRDefault="00E52472" w:rsidP="00CD359D">
      <w:pPr>
        <w:ind w:left="850"/>
        <w:rPr>
          <w:noProof/>
        </w:rPr>
      </w:pPr>
      <w:r w:rsidRPr="00F66162">
        <w:rPr>
          <w:noProof/>
        </w:rPr>
        <w:t>„Upoważniony zgłaszający CBAM składa wniosek</w:t>
      </w:r>
      <w:r w:rsidR="00825614" w:rsidRPr="00F66162">
        <w:rPr>
          <w:noProof/>
        </w:rPr>
        <w:t xml:space="preserve"> o</w:t>
      </w:r>
      <w:r w:rsidR="00825614">
        <w:rPr>
          <w:noProof/>
        </w:rPr>
        <w:t> </w:t>
      </w:r>
      <w:r w:rsidR="00825614" w:rsidRPr="00F66162">
        <w:rPr>
          <w:noProof/>
        </w:rPr>
        <w:t>odk</w:t>
      </w:r>
      <w:r w:rsidRPr="00F66162">
        <w:rPr>
          <w:noProof/>
        </w:rPr>
        <w:t>up do dnia 30 [listopada] każdego roku,</w:t>
      </w:r>
      <w:r w:rsidR="00825614" w:rsidRPr="00F66162">
        <w:rPr>
          <w:noProof/>
        </w:rPr>
        <w:t xml:space="preserve"> w</w:t>
      </w:r>
      <w:r w:rsidR="00825614">
        <w:rPr>
          <w:noProof/>
        </w:rPr>
        <w:t> </w:t>
      </w:r>
      <w:r w:rsidR="00825614" w:rsidRPr="00F66162">
        <w:rPr>
          <w:noProof/>
        </w:rPr>
        <w:t>któ</w:t>
      </w:r>
      <w:r w:rsidRPr="00F66162">
        <w:rPr>
          <w:noProof/>
        </w:rPr>
        <w:t>rym przekazał do umorzenia certyfikaty CBAM.”;</w:t>
      </w:r>
    </w:p>
    <w:p w14:paraId="51E66A6E" w14:textId="4B3DCA42" w:rsidR="00D756F2" w:rsidRPr="00F66162" w:rsidRDefault="0074784E" w:rsidP="0074784E">
      <w:pPr>
        <w:pStyle w:val="Point1"/>
        <w:rPr>
          <w:noProof/>
        </w:rPr>
      </w:pPr>
      <w:r w:rsidRPr="00F66162">
        <w:rPr>
          <w:noProof/>
        </w:rPr>
        <w:t>b)</w:t>
      </w:r>
      <w:r w:rsidRPr="00F66162">
        <w:rPr>
          <w:noProof/>
        </w:rPr>
        <w:tab/>
      </w:r>
      <w:r w:rsidRPr="00825614">
        <w:rPr>
          <w:noProof/>
        </w:rPr>
        <w:t>ust.</w:t>
      </w:r>
      <w:r w:rsidR="00825614" w:rsidRPr="00825614">
        <w:rPr>
          <w:noProof/>
        </w:rPr>
        <w:t> </w:t>
      </w:r>
      <w:r w:rsidRPr="00825614">
        <w:rPr>
          <w:noProof/>
        </w:rPr>
        <w:t>2</w:t>
      </w:r>
      <w:r w:rsidRPr="00F66162">
        <w:rPr>
          <w:noProof/>
        </w:rPr>
        <w:t xml:space="preserve"> otrzymuje brzmienie: </w:t>
      </w:r>
    </w:p>
    <w:p w14:paraId="0F8DEBBC" w14:textId="44CE2A5A" w:rsidR="001232C6" w:rsidRPr="00F66162" w:rsidRDefault="00076362" w:rsidP="00076362">
      <w:pPr>
        <w:ind w:left="850"/>
        <w:rPr>
          <w:noProof/>
        </w:rPr>
      </w:pPr>
      <w:r w:rsidRPr="00F66162">
        <w:rPr>
          <w:noProof/>
        </w:rPr>
        <w:lastRenderedPageBreak/>
        <w:t>„2. Liczbę certyfikatów CBAM zakupionych</w:t>
      </w:r>
      <w:r w:rsidR="00825614" w:rsidRPr="00F66162">
        <w:rPr>
          <w:noProof/>
        </w:rPr>
        <w:t xml:space="preserve"> w</w:t>
      </w:r>
      <w:r w:rsidR="00825614">
        <w:rPr>
          <w:noProof/>
        </w:rPr>
        <w:t> </w:t>
      </w:r>
      <w:r w:rsidR="00825614" w:rsidRPr="00F66162">
        <w:rPr>
          <w:noProof/>
        </w:rPr>
        <w:t>dan</w:t>
      </w:r>
      <w:r w:rsidRPr="00F66162">
        <w:rPr>
          <w:noProof/>
        </w:rPr>
        <w:t>ym roku kalendarzowym</w:t>
      </w:r>
      <w:r w:rsidR="00825614" w:rsidRPr="00F66162">
        <w:rPr>
          <w:noProof/>
        </w:rPr>
        <w:t xml:space="preserve"> i</w:t>
      </w:r>
      <w:r w:rsidR="00825614">
        <w:rPr>
          <w:noProof/>
        </w:rPr>
        <w:t> </w:t>
      </w:r>
      <w:r w:rsidR="00825614" w:rsidRPr="00F66162">
        <w:rPr>
          <w:noProof/>
        </w:rPr>
        <w:t>pod</w:t>
      </w:r>
      <w:r w:rsidRPr="00F66162">
        <w:rPr>
          <w:noProof/>
        </w:rPr>
        <w:t>legających odkupowi,</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825614">
        <w:rPr>
          <w:noProof/>
        </w:rPr>
        <w:t>ust</w:t>
      </w:r>
      <w:r w:rsidRPr="00825614">
        <w:rPr>
          <w:noProof/>
        </w:rPr>
        <w:t>.</w:t>
      </w:r>
      <w:r w:rsidR="00825614" w:rsidRPr="00825614">
        <w:rPr>
          <w:noProof/>
        </w:rPr>
        <w:t> </w:t>
      </w:r>
      <w:r w:rsidRPr="00825614">
        <w:rPr>
          <w:noProof/>
        </w:rPr>
        <w:t>1</w:t>
      </w:r>
      <w:r w:rsidRPr="00F66162">
        <w:rPr>
          <w:noProof/>
        </w:rPr>
        <w:t>, ogranicza się do całkowitej liczby certyfikatów CBAM potrzebnych do wypełnienia</w:t>
      </w:r>
      <w:r w:rsidR="00825614" w:rsidRPr="00F66162">
        <w:rPr>
          <w:noProof/>
        </w:rPr>
        <w:t xml:space="preserve"> w</w:t>
      </w:r>
      <w:r w:rsidR="00825614">
        <w:rPr>
          <w:noProof/>
        </w:rPr>
        <w:t> </w:t>
      </w:r>
      <w:r w:rsidR="00825614" w:rsidRPr="00F66162">
        <w:rPr>
          <w:noProof/>
        </w:rPr>
        <w:t>dan</w:t>
      </w:r>
      <w:r w:rsidRPr="00F66162">
        <w:rPr>
          <w:noProof/>
        </w:rPr>
        <w:t>ym roku kalendarzowym obowiązków określonych</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2 </w:t>
      </w:r>
      <w:r w:rsidRPr="00825614">
        <w:rPr>
          <w:noProof/>
        </w:rPr>
        <w:t>ust.</w:t>
      </w:r>
      <w:r w:rsidR="00825614" w:rsidRPr="00825614">
        <w:rPr>
          <w:noProof/>
        </w:rPr>
        <w:t> </w:t>
      </w:r>
      <w:r w:rsidRPr="00825614">
        <w:rPr>
          <w:noProof/>
        </w:rPr>
        <w:t>2</w:t>
      </w:r>
      <w:r w:rsidRPr="00F66162">
        <w:rPr>
          <w:noProof/>
        </w:rPr>
        <w:t xml:space="preserve">.”; </w:t>
      </w:r>
    </w:p>
    <w:p w14:paraId="529942BE" w14:textId="1E99C09D" w:rsidR="003A3AE3" w:rsidRPr="00F66162" w:rsidRDefault="0074784E" w:rsidP="0074784E">
      <w:pPr>
        <w:pStyle w:val="Point1"/>
        <w:rPr>
          <w:noProof/>
        </w:rPr>
      </w:pPr>
      <w:r w:rsidRPr="00F66162">
        <w:rPr>
          <w:noProof/>
        </w:rPr>
        <w:t>c)</w:t>
      </w:r>
      <w:r w:rsidRPr="00F66162">
        <w:rPr>
          <w:noProof/>
        </w:rPr>
        <w:tab/>
        <w:t>dodaje się ust. 2a</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5CA25CBF" w14:textId="42AB94D2" w:rsidR="001232C6" w:rsidRPr="00F66162" w:rsidRDefault="009B6168" w:rsidP="009B6168">
      <w:pPr>
        <w:ind w:left="850"/>
        <w:rPr>
          <w:noProof/>
        </w:rPr>
      </w:pPr>
      <w:r w:rsidRPr="00F66162">
        <w:rPr>
          <w:noProof/>
        </w:rPr>
        <w:t xml:space="preserve">„2a. Na zasadzie odstępstwa od </w:t>
      </w:r>
      <w:r w:rsidRPr="00825614">
        <w:rPr>
          <w:noProof/>
        </w:rPr>
        <w:t>ust.</w:t>
      </w:r>
      <w:r w:rsidR="00825614" w:rsidRPr="00825614">
        <w:rPr>
          <w:noProof/>
        </w:rPr>
        <w:t> </w:t>
      </w:r>
      <w:r w:rsidRPr="00825614">
        <w:rPr>
          <w:noProof/>
        </w:rPr>
        <w:t>2</w:t>
      </w:r>
      <w:r w:rsidRPr="00F66162">
        <w:rPr>
          <w:noProof/>
        </w:rPr>
        <w:t xml:space="preserve"> liczba certyfikatów CBAM odpowiadająca emisjom wbudowanym zadeklarowanym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6</w:t>
      </w:r>
      <w:r w:rsidRPr="00F66162">
        <w:rPr>
          <w:noProof/>
        </w:rPr>
        <w:t xml:space="preserve"> </w:t>
      </w:r>
      <w:r w:rsidRPr="00825614">
        <w:rPr>
          <w:noProof/>
        </w:rPr>
        <w:t>ust.</w:t>
      </w:r>
      <w:r w:rsidR="00825614" w:rsidRPr="00825614">
        <w:rPr>
          <w:noProof/>
        </w:rPr>
        <w:t> </w:t>
      </w:r>
      <w:r w:rsidRPr="00825614">
        <w:rPr>
          <w:noProof/>
        </w:rPr>
        <w:t>2</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27</w:t>
      </w:r>
      <w:r w:rsidR="00825614" w:rsidRPr="00825614">
        <w:rPr>
          <w:noProof/>
        </w:rPr>
        <w:t> </w:t>
      </w:r>
      <w:r w:rsidRPr="00825614">
        <w:rPr>
          <w:noProof/>
        </w:rPr>
        <w:t>r.</w:t>
      </w:r>
      <w:r w:rsidRPr="00F66162">
        <w:rPr>
          <w:noProof/>
        </w:rPr>
        <w:t xml:space="preserve"> za </w:t>
      </w:r>
      <w:r w:rsidRPr="00825614">
        <w:rPr>
          <w:noProof/>
        </w:rPr>
        <w:t>rok</w:t>
      </w:r>
      <w:r w:rsidR="00825614" w:rsidRPr="00825614">
        <w:rPr>
          <w:noProof/>
        </w:rPr>
        <w:t> </w:t>
      </w:r>
      <w:r w:rsidRPr="00825614">
        <w:rPr>
          <w:noProof/>
        </w:rPr>
        <w:t>2</w:t>
      </w:r>
      <w:r w:rsidRPr="00F66162">
        <w:rPr>
          <w:noProof/>
        </w:rPr>
        <w:t>026, których nie umorzono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2 </w:t>
      </w:r>
      <w:r w:rsidRPr="00825614">
        <w:rPr>
          <w:noProof/>
        </w:rPr>
        <w:t>ust.</w:t>
      </w:r>
      <w:r w:rsidR="00825614" w:rsidRPr="00825614">
        <w:rPr>
          <w:noProof/>
        </w:rPr>
        <w:t> </w:t>
      </w:r>
      <w:r w:rsidRPr="00825614">
        <w:rPr>
          <w:noProof/>
        </w:rPr>
        <w:t>1</w:t>
      </w:r>
      <w:r w:rsidRPr="00F66162">
        <w:rPr>
          <w:noProof/>
        </w:rPr>
        <w:t>, podlega odkupowi,</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825614">
        <w:rPr>
          <w:noProof/>
        </w:rPr>
        <w:t>ust</w:t>
      </w:r>
      <w:r w:rsidRPr="00825614">
        <w:rPr>
          <w:noProof/>
        </w:rPr>
        <w:t>.</w:t>
      </w:r>
      <w:r w:rsidR="00825614" w:rsidRPr="00825614">
        <w:rPr>
          <w:noProof/>
        </w:rPr>
        <w:t> </w:t>
      </w:r>
      <w:r w:rsidRPr="00825614">
        <w:rPr>
          <w:noProof/>
        </w:rPr>
        <w:t>1</w:t>
      </w:r>
      <w:r w:rsidRPr="00F66162">
        <w:rPr>
          <w:noProof/>
        </w:rPr>
        <w:t>, dopiero</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27</w:t>
      </w:r>
      <w:r w:rsidR="00825614" w:rsidRPr="00825614">
        <w:rPr>
          <w:noProof/>
        </w:rPr>
        <w:t> </w:t>
      </w:r>
      <w:r w:rsidRPr="00825614">
        <w:rPr>
          <w:noProof/>
        </w:rPr>
        <w:t>r.</w:t>
      </w:r>
      <w:r w:rsidRPr="00F66162">
        <w:rPr>
          <w:noProof/>
        </w:rPr>
        <w:t xml:space="preserve">”; </w:t>
      </w:r>
    </w:p>
    <w:p w14:paraId="5BCCF08A" w14:textId="14317C1E" w:rsidR="007B46D6" w:rsidRPr="00F66162" w:rsidRDefault="0074784E" w:rsidP="0074784E">
      <w:pPr>
        <w:pStyle w:val="Point0"/>
        <w:rPr>
          <w:noProof/>
        </w:rPr>
      </w:pPr>
      <w:r w:rsidRPr="00F66162">
        <w:rPr>
          <w:noProof/>
        </w:rPr>
        <w:t>18.</w:t>
      </w:r>
      <w:r w:rsidRPr="00F66162">
        <w:rPr>
          <w:noProof/>
        </w:rPr>
        <w:tab/>
        <w:t xml:space="preserve">w </w:t>
      </w:r>
      <w:r w:rsidRPr="00825614">
        <w:rPr>
          <w:noProof/>
        </w:rPr>
        <w:t>art.</w:t>
      </w:r>
      <w:r w:rsidR="00825614" w:rsidRPr="00825614">
        <w:rPr>
          <w:noProof/>
        </w:rPr>
        <w:t> </w:t>
      </w:r>
      <w:r w:rsidRPr="00825614">
        <w:rPr>
          <w:noProof/>
        </w:rPr>
        <w:t>2</w:t>
      </w:r>
      <w:r w:rsidRPr="00F66162">
        <w:rPr>
          <w:noProof/>
        </w:rPr>
        <w:t xml:space="preserve">4 wprowadza się następujące zmiany: </w:t>
      </w:r>
    </w:p>
    <w:p w14:paraId="6034C036" w14:textId="77777777" w:rsidR="00CE7A8F" w:rsidRPr="00F66162" w:rsidRDefault="0074784E" w:rsidP="0074784E">
      <w:pPr>
        <w:pStyle w:val="Point1"/>
        <w:rPr>
          <w:noProof/>
        </w:rPr>
      </w:pPr>
      <w:r w:rsidRPr="00F66162">
        <w:rPr>
          <w:noProof/>
        </w:rPr>
        <w:t>a)</w:t>
      </w:r>
      <w:r w:rsidRPr="00F66162">
        <w:rPr>
          <w:noProof/>
        </w:rPr>
        <w:tab/>
        <w:t>akapit pierwszy zdanie pierwsze otrzymuje brzmienie:</w:t>
      </w:r>
    </w:p>
    <w:p w14:paraId="62BECEE7" w14:textId="22FBC228" w:rsidR="008764C8" w:rsidRPr="00F66162" w:rsidRDefault="1210F6A1" w:rsidP="00CD359D">
      <w:pPr>
        <w:ind w:left="850"/>
        <w:rPr>
          <w:noProof/>
        </w:rPr>
      </w:pPr>
      <w:r w:rsidRPr="00F66162">
        <w:rPr>
          <w:noProof/>
        </w:rPr>
        <w:t>„W dniu 1 października każdego roku Komisja anuluje certyfikaty CBAM, które zakupiono</w:t>
      </w:r>
      <w:r w:rsidR="00825614" w:rsidRPr="00F66162">
        <w:rPr>
          <w:noProof/>
        </w:rPr>
        <w:t xml:space="preserve"> w</w:t>
      </w:r>
      <w:r w:rsidR="00825614">
        <w:rPr>
          <w:noProof/>
        </w:rPr>
        <w:t> </w:t>
      </w:r>
      <w:r w:rsidR="00825614" w:rsidRPr="00F66162">
        <w:rPr>
          <w:noProof/>
        </w:rPr>
        <w:t>rok</w:t>
      </w:r>
      <w:r w:rsidRPr="00F66162">
        <w:rPr>
          <w:noProof/>
        </w:rPr>
        <w:t>u przed poprzednim rokiem kalendarzowym</w:t>
      </w:r>
      <w:r w:rsidR="00825614" w:rsidRPr="00F66162">
        <w:rPr>
          <w:noProof/>
        </w:rPr>
        <w:t xml:space="preserve"> i</w:t>
      </w:r>
      <w:r w:rsidR="00825614">
        <w:rPr>
          <w:noProof/>
        </w:rPr>
        <w:t> </w:t>
      </w:r>
      <w:r w:rsidR="00825614" w:rsidRPr="00F66162">
        <w:rPr>
          <w:noProof/>
        </w:rPr>
        <w:t>któ</w:t>
      </w:r>
      <w:r w:rsidRPr="00F66162">
        <w:rPr>
          <w:noProof/>
        </w:rPr>
        <w:t>re pozostają</w:t>
      </w:r>
      <w:r w:rsidR="00825614" w:rsidRPr="00F66162">
        <w:rPr>
          <w:noProof/>
        </w:rPr>
        <w:t xml:space="preserve"> w</w:t>
      </w:r>
      <w:r w:rsidR="00825614">
        <w:rPr>
          <w:noProof/>
        </w:rPr>
        <w:t> </w:t>
      </w:r>
      <w:r w:rsidR="00825614" w:rsidRPr="00F66162">
        <w:rPr>
          <w:noProof/>
        </w:rPr>
        <w:t>rej</w:t>
      </w:r>
      <w:r w:rsidRPr="00F66162">
        <w:rPr>
          <w:noProof/>
        </w:rPr>
        <w:t>estrze CBAM na rachunku upoważnionego zgłaszającego CBAM. Te certyfikaty CBAM anuluje się bez rekompensaty.”;</w:t>
      </w:r>
    </w:p>
    <w:p w14:paraId="4D14545A" w14:textId="104F41E1" w:rsidR="001232C6" w:rsidRPr="00F66162" w:rsidRDefault="0074784E" w:rsidP="0074784E">
      <w:pPr>
        <w:pStyle w:val="Point1"/>
        <w:rPr>
          <w:noProof/>
        </w:rPr>
      </w:pPr>
      <w:r w:rsidRPr="00F66162">
        <w:rPr>
          <w:noProof/>
        </w:rPr>
        <w:t>b)</w:t>
      </w:r>
      <w:r w:rsidRPr="00F66162">
        <w:rPr>
          <w:noProof/>
        </w:rPr>
        <w:tab/>
        <w:t>dodaje się akapit</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1FF4D1C5" w14:textId="3FC49955" w:rsidR="001232C6" w:rsidRPr="00F66162" w:rsidRDefault="002C3F5C" w:rsidP="002C3F5C">
      <w:pPr>
        <w:ind w:left="850"/>
        <w:rPr>
          <w:noProof/>
        </w:rPr>
      </w:pPr>
      <w:r w:rsidRPr="00F66162">
        <w:rPr>
          <w:noProof/>
        </w:rPr>
        <w:t>„Na zasadzie odstępstwa od akapitu pierwszego</w:t>
      </w:r>
      <w:r w:rsidR="00825614" w:rsidRPr="00F66162">
        <w:rPr>
          <w:noProof/>
        </w:rPr>
        <w:t xml:space="preserve"> w</w:t>
      </w:r>
      <w:r w:rsidR="00825614">
        <w:rPr>
          <w:noProof/>
        </w:rPr>
        <w:t> </w:t>
      </w:r>
      <w:r w:rsidR="00825614" w:rsidRPr="00F66162">
        <w:rPr>
          <w:noProof/>
        </w:rPr>
        <w:t>dni</w:t>
      </w:r>
      <w:r w:rsidRPr="00F66162">
        <w:rPr>
          <w:noProof/>
        </w:rPr>
        <w:t>u 1 [grudnia] 20</w:t>
      </w:r>
      <w:r w:rsidRPr="00825614">
        <w:rPr>
          <w:noProof/>
        </w:rPr>
        <w:t>27</w:t>
      </w:r>
      <w:r w:rsidR="00825614" w:rsidRPr="00825614">
        <w:rPr>
          <w:noProof/>
        </w:rPr>
        <w:t> </w:t>
      </w:r>
      <w:r w:rsidRPr="00825614">
        <w:rPr>
          <w:noProof/>
        </w:rPr>
        <w:t>r.</w:t>
      </w:r>
      <w:r w:rsidRPr="00F66162">
        <w:rPr>
          <w:noProof/>
        </w:rPr>
        <w:t xml:space="preserve"> Komisja anuluje certyfikaty CBAM odpowiadające emisjom wbudowanym zadeklarowanym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6</w:t>
      </w:r>
      <w:r w:rsidRPr="00F66162">
        <w:rPr>
          <w:noProof/>
        </w:rPr>
        <w:t xml:space="preserve"> </w:t>
      </w:r>
      <w:r w:rsidRPr="00825614">
        <w:rPr>
          <w:noProof/>
        </w:rPr>
        <w:t>ust.</w:t>
      </w:r>
      <w:r w:rsidR="00825614" w:rsidRPr="00825614">
        <w:rPr>
          <w:noProof/>
        </w:rPr>
        <w:t> </w:t>
      </w:r>
      <w:r w:rsidRPr="00825614">
        <w:rPr>
          <w:noProof/>
        </w:rPr>
        <w:t>2</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27</w:t>
      </w:r>
      <w:r w:rsidR="00825614" w:rsidRPr="00825614">
        <w:rPr>
          <w:noProof/>
        </w:rPr>
        <w:t> </w:t>
      </w:r>
      <w:r w:rsidRPr="00825614">
        <w:rPr>
          <w:noProof/>
        </w:rPr>
        <w:t>r.</w:t>
      </w:r>
      <w:r w:rsidRPr="00F66162">
        <w:rPr>
          <w:noProof/>
        </w:rPr>
        <w:t xml:space="preserve"> </w:t>
      </w:r>
      <w:r w:rsidRPr="00825614">
        <w:rPr>
          <w:noProof/>
        </w:rPr>
        <w:t>za</w:t>
      </w:r>
      <w:r w:rsidR="00825614" w:rsidRPr="00825614">
        <w:rPr>
          <w:noProof/>
        </w:rPr>
        <w:t> </w:t>
      </w:r>
      <w:r w:rsidRPr="00825614">
        <w:rPr>
          <w:noProof/>
        </w:rPr>
        <w:t>2</w:t>
      </w:r>
      <w:r w:rsidRPr="00F66162">
        <w:rPr>
          <w:noProof/>
        </w:rPr>
        <w:t>0</w:t>
      </w:r>
      <w:r w:rsidRPr="00825614">
        <w:rPr>
          <w:noProof/>
        </w:rPr>
        <w:t>26</w:t>
      </w:r>
      <w:r w:rsidR="00825614" w:rsidRPr="00825614">
        <w:rPr>
          <w:noProof/>
        </w:rPr>
        <w:t> </w:t>
      </w:r>
      <w:r w:rsidRPr="00825614">
        <w:rPr>
          <w:noProof/>
        </w:rPr>
        <w:t>r.</w:t>
      </w:r>
      <w:r w:rsidRPr="00F66162">
        <w:rPr>
          <w:noProof/>
        </w:rPr>
        <w:t xml:space="preserve"> Te certyfikaty CBAM anuluje się bez rekompensaty.”; </w:t>
      </w:r>
    </w:p>
    <w:p w14:paraId="0E203A93" w14:textId="288B4E75" w:rsidR="0030678E" w:rsidRPr="00F66162" w:rsidRDefault="0074784E" w:rsidP="0074784E">
      <w:pPr>
        <w:pStyle w:val="Point0"/>
        <w:rPr>
          <w:noProof/>
        </w:rPr>
      </w:pPr>
      <w:r w:rsidRPr="00F66162">
        <w:rPr>
          <w:noProof/>
        </w:rPr>
        <w:t>19.</w:t>
      </w:r>
      <w:r w:rsidRPr="00F66162">
        <w:rPr>
          <w:noProof/>
        </w:rPr>
        <w:tab/>
        <w:t xml:space="preserve">w </w:t>
      </w:r>
      <w:r w:rsidRPr="00825614">
        <w:rPr>
          <w:noProof/>
        </w:rPr>
        <w:t>art.</w:t>
      </w:r>
      <w:r w:rsidR="00825614" w:rsidRPr="00825614">
        <w:rPr>
          <w:noProof/>
        </w:rPr>
        <w:t> </w:t>
      </w:r>
      <w:r w:rsidRPr="00825614">
        <w:rPr>
          <w:noProof/>
        </w:rPr>
        <w:t>2</w:t>
      </w:r>
      <w:r w:rsidRPr="00F66162">
        <w:rPr>
          <w:noProof/>
        </w:rPr>
        <w:t xml:space="preserve">5 wprowadza się następujące zmiany: </w:t>
      </w:r>
    </w:p>
    <w:p w14:paraId="0573E23D" w14:textId="77777777" w:rsidR="00D05D05" w:rsidRPr="00F66162" w:rsidRDefault="0074784E" w:rsidP="0074784E">
      <w:pPr>
        <w:pStyle w:val="Point1"/>
        <w:rPr>
          <w:noProof/>
        </w:rPr>
      </w:pPr>
      <w:r w:rsidRPr="00F66162">
        <w:rPr>
          <w:noProof/>
        </w:rPr>
        <w:t>a)</w:t>
      </w:r>
      <w:r w:rsidRPr="00F66162">
        <w:rPr>
          <w:noProof/>
        </w:rPr>
        <w:tab/>
        <w:t xml:space="preserve">ust. 2 zdanie drugie otrzymuje brzmienie: </w:t>
      </w:r>
    </w:p>
    <w:p w14:paraId="49BAE08D" w14:textId="796E9769" w:rsidR="001232C6" w:rsidRPr="00F66162" w:rsidRDefault="00704C6F" w:rsidP="00704C6F">
      <w:pPr>
        <w:ind w:left="850"/>
        <w:rPr>
          <w:noProof/>
        </w:rPr>
      </w:pPr>
      <w:r w:rsidRPr="00F66162">
        <w:rPr>
          <w:noProof/>
        </w:rPr>
        <w:t>„Informacje te obejmują numer EORI lub inne dane uwierzytelniające zadeklarowane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6</w:t>
      </w:r>
      <w:r w:rsidRPr="00F66162">
        <w:rPr>
          <w:noProof/>
        </w:rPr>
        <w:t xml:space="preserve"> </w:t>
      </w:r>
      <w:r w:rsidRPr="00825614">
        <w:rPr>
          <w:noProof/>
        </w:rPr>
        <w:t>ust.</w:t>
      </w:r>
      <w:r w:rsidR="00825614" w:rsidRPr="00825614">
        <w:rPr>
          <w:noProof/>
        </w:rPr>
        <w:t> </w:t>
      </w:r>
      <w:r w:rsidRPr="00825614">
        <w:rPr>
          <w:noProof/>
        </w:rPr>
        <w:t>2</w:t>
      </w:r>
      <w:r w:rsidRPr="00F66162">
        <w:rPr>
          <w:noProof/>
        </w:rPr>
        <w:t xml:space="preserve"> rozporządzenia delegowanego (UE) 2015/2446 oraz imię</w:t>
      </w:r>
      <w:r w:rsidR="00825614" w:rsidRPr="00F66162">
        <w:rPr>
          <w:noProof/>
        </w:rPr>
        <w:t xml:space="preserve"> i</w:t>
      </w:r>
      <w:r w:rsidR="00825614">
        <w:rPr>
          <w:noProof/>
        </w:rPr>
        <w:t> </w:t>
      </w:r>
      <w:r w:rsidR="00825614" w:rsidRPr="00F66162">
        <w:rPr>
          <w:noProof/>
        </w:rPr>
        <w:t>naz</w:t>
      </w:r>
      <w:r w:rsidRPr="00F66162">
        <w:rPr>
          <w:noProof/>
        </w:rPr>
        <w:t>wisko lub nazwę, adres</w:t>
      </w:r>
      <w:r w:rsidR="00825614" w:rsidRPr="00F66162">
        <w:rPr>
          <w:noProof/>
        </w:rPr>
        <w:t xml:space="preserve"> i</w:t>
      </w:r>
      <w:r w:rsidR="00825614">
        <w:rPr>
          <w:noProof/>
        </w:rPr>
        <w:t> </w:t>
      </w:r>
      <w:r w:rsidR="00825614" w:rsidRPr="00F66162">
        <w:rPr>
          <w:noProof/>
        </w:rPr>
        <w:t>dan</w:t>
      </w:r>
      <w:r w:rsidRPr="00F66162">
        <w:rPr>
          <w:noProof/>
        </w:rPr>
        <w:t>e kontaktowe importera lub upoważnionego zgłaszającego CBAM,</w:t>
      </w:r>
      <w:r w:rsidR="00825614" w:rsidRPr="00F66162">
        <w:rPr>
          <w:noProof/>
        </w:rPr>
        <w:t xml:space="preserve"> a</w:t>
      </w:r>
      <w:r w:rsidR="00825614">
        <w:rPr>
          <w:noProof/>
        </w:rPr>
        <w:t> </w:t>
      </w:r>
      <w:r w:rsidR="00825614" w:rsidRPr="00F66162">
        <w:rPr>
          <w:noProof/>
        </w:rPr>
        <w:t>tak</w:t>
      </w:r>
      <w:r w:rsidRPr="00F66162">
        <w:rPr>
          <w:noProof/>
        </w:rPr>
        <w:t>że numer rachunku CBAM upoważnionego zgłaszającego CBAM, ośmiocyfrowy kod CN towarów, ilość, państwo pochodzenia, datę zgłoszenia celnego</w:t>
      </w:r>
      <w:r w:rsidR="00825614" w:rsidRPr="00F66162">
        <w:rPr>
          <w:noProof/>
        </w:rPr>
        <w:t xml:space="preserve"> i</w:t>
      </w:r>
      <w:r w:rsidR="00825614">
        <w:rPr>
          <w:noProof/>
        </w:rPr>
        <w:t> </w:t>
      </w:r>
      <w:r w:rsidR="00825614" w:rsidRPr="00F66162">
        <w:rPr>
          <w:noProof/>
        </w:rPr>
        <w:t>pro</w:t>
      </w:r>
      <w:r w:rsidRPr="00F66162">
        <w:rPr>
          <w:noProof/>
        </w:rPr>
        <w:t>cedurę celną.”;</w:t>
      </w:r>
    </w:p>
    <w:p w14:paraId="21456960" w14:textId="0D631933" w:rsidR="001103C4" w:rsidRPr="00F66162" w:rsidRDefault="0074784E" w:rsidP="0074784E">
      <w:pPr>
        <w:pStyle w:val="Point1"/>
        <w:rPr>
          <w:noProof/>
        </w:rPr>
      </w:pPr>
      <w:r w:rsidRPr="00F66162">
        <w:rPr>
          <w:noProof/>
        </w:rPr>
        <w:t>b)</w:t>
      </w:r>
      <w:r w:rsidRPr="00F66162">
        <w:rPr>
          <w:noProof/>
        </w:rPr>
        <w:tab/>
      </w:r>
      <w:r w:rsidRPr="00825614">
        <w:rPr>
          <w:noProof/>
        </w:rPr>
        <w:t>ust.</w:t>
      </w:r>
      <w:r w:rsidR="00825614" w:rsidRPr="00825614">
        <w:rPr>
          <w:noProof/>
        </w:rPr>
        <w:t> </w:t>
      </w:r>
      <w:r w:rsidRPr="00825614">
        <w:rPr>
          <w:noProof/>
        </w:rPr>
        <w:t>3</w:t>
      </w:r>
      <w:r w:rsidRPr="00F66162">
        <w:rPr>
          <w:noProof/>
        </w:rPr>
        <w:t xml:space="preserve"> otrzymuje brzmienie: </w:t>
      </w:r>
    </w:p>
    <w:p w14:paraId="7EE84DC8" w14:textId="6F21086B" w:rsidR="001232C6" w:rsidRPr="00F66162" w:rsidRDefault="003547BD" w:rsidP="003547BD">
      <w:pPr>
        <w:ind w:left="850"/>
        <w:rPr>
          <w:noProof/>
        </w:rPr>
      </w:pPr>
      <w:r w:rsidRPr="00F66162">
        <w:rPr>
          <w:noProof/>
        </w:rPr>
        <w:t>„3. Komisja przekazuje informacje,</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F66162">
        <w:rPr>
          <w:noProof/>
        </w:rPr>
        <w:t>ust</w:t>
      </w:r>
      <w:r w:rsidRPr="00F66162">
        <w:rPr>
          <w:noProof/>
        </w:rPr>
        <w:t>. 2 niniejszego artykułu, właściwemu organowi państwa członkowskiego,</w:t>
      </w:r>
      <w:r w:rsidR="00825614" w:rsidRPr="00F66162">
        <w:rPr>
          <w:noProof/>
        </w:rPr>
        <w:t xml:space="preserve"> w</w:t>
      </w:r>
      <w:r w:rsidR="00825614">
        <w:rPr>
          <w:noProof/>
        </w:rPr>
        <w:t> </w:t>
      </w:r>
      <w:r w:rsidR="00825614" w:rsidRPr="00F66162">
        <w:rPr>
          <w:noProof/>
        </w:rPr>
        <w:t>któ</w:t>
      </w:r>
      <w:r w:rsidRPr="00F66162">
        <w:rPr>
          <w:noProof/>
        </w:rPr>
        <w:t>rym siedzibę ma upoważniony zgłaszający CBAM lub importer, i –</w:t>
      </w:r>
      <w:r w:rsidR="00825614" w:rsidRPr="00F66162">
        <w:rPr>
          <w:noProof/>
        </w:rPr>
        <w:t xml:space="preserve"> w</w:t>
      </w:r>
      <w:r w:rsidR="00825614">
        <w:rPr>
          <w:noProof/>
        </w:rPr>
        <w:t> </w:t>
      </w:r>
      <w:r w:rsidR="00825614" w:rsidRPr="00F66162">
        <w:rPr>
          <w:noProof/>
        </w:rPr>
        <w:t>prz</w:t>
      </w:r>
      <w:r w:rsidRPr="00F66162">
        <w:rPr>
          <w:noProof/>
        </w:rPr>
        <w:t>ypadku każdego zgłaszającego CBAM – sprawdza te informacje</w:t>
      </w:r>
      <w:r w:rsidR="00825614" w:rsidRPr="00F66162">
        <w:rPr>
          <w:noProof/>
        </w:rPr>
        <w:t xml:space="preserve"> z</w:t>
      </w:r>
      <w:r w:rsidR="00825614">
        <w:rPr>
          <w:noProof/>
        </w:rPr>
        <w:t> </w:t>
      </w:r>
      <w:r w:rsidR="00825614" w:rsidRPr="00F66162">
        <w:rPr>
          <w:noProof/>
        </w:rPr>
        <w:t>dan</w:t>
      </w:r>
      <w:r w:rsidRPr="00F66162">
        <w:rPr>
          <w:noProof/>
        </w:rPr>
        <w:t>ymi</w:t>
      </w:r>
      <w:r w:rsidR="00825614" w:rsidRPr="00F66162">
        <w:rPr>
          <w:noProof/>
        </w:rPr>
        <w:t xml:space="preserve"> w</w:t>
      </w:r>
      <w:r w:rsidR="00825614">
        <w:rPr>
          <w:noProof/>
        </w:rPr>
        <w:t> </w:t>
      </w:r>
      <w:r w:rsidR="00825614" w:rsidRPr="00F66162">
        <w:rPr>
          <w:noProof/>
        </w:rPr>
        <w:t>rej</w:t>
      </w:r>
      <w:r w:rsidRPr="00F66162">
        <w:rPr>
          <w:noProof/>
        </w:rPr>
        <w:t>estrze CBAM zgodnie</w:t>
      </w:r>
      <w:r w:rsidR="00825614" w:rsidRPr="00F66162">
        <w:rPr>
          <w:noProof/>
        </w:rPr>
        <w:t xml:space="preserve"> z</w:t>
      </w:r>
      <w:r w:rsidR="00825614">
        <w:rPr>
          <w:noProof/>
        </w:rPr>
        <w:t> </w:t>
      </w:r>
      <w:r w:rsidR="00825614" w:rsidRPr="00F66162">
        <w:rPr>
          <w:noProof/>
        </w:rPr>
        <w:t>art</w:t>
      </w:r>
      <w:r w:rsidRPr="00F66162">
        <w:rPr>
          <w:noProof/>
        </w:rPr>
        <w:t xml:space="preserve">. 14.”; </w:t>
      </w:r>
    </w:p>
    <w:p w14:paraId="30FCDD8E" w14:textId="4A6869AA" w:rsidR="001B050A" w:rsidRPr="00F66162" w:rsidRDefault="0074784E" w:rsidP="0074784E">
      <w:pPr>
        <w:pStyle w:val="Point1"/>
        <w:rPr>
          <w:noProof/>
        </w:rPr>
      </w:pPr>
      <w:r w:rsidRPr="00F66162">
        <w:rPr>
          <w:noProof/>
        </w:rPr>
        <w:t>c)</w:t>
      </w:r>
      <w:r w:rsidRPr="00F66162">
        <w:rPr>
          <w:noProof/>
        </w:rPr>
        <w:tab/>
      </w:r>
      <w:r w:rsidRPr="00825614">
        <w:rPr>
          <w:noProof/>
        </w:rPr>
        <w:t>ust.</w:t>
      </w:r>
      <w:r w:rsidR="00825614" w:rsidRPr="00825614">
        <w:rPr>
          <w:noProof/>
        </w:rPr>
        <w:t> </w:t>
      </w:r>
      <w:r w:rsidRPr="00825614">
        <w:rPr>
          <w:noProof/>
        </w:rPr>
        <w:t>4</w:t>
      </w:r>
      <w:r w:rsidRPr="00F66162">
        <w:rPr>
          <w:noProof/>
        </w:rPr>
        <w:t xml:space="preserve"> otrzymuje brzmienie: </w:t>
      </w:r>
    </w:p>
    <w:p w14:paraId="6FCC59A3" w14:textId="521ADB73" w:rsidR="001232C6" w:rsidRPr="00F66162" w:rsidRDefault="001111EE" w:rsidP="001111EE">
      <w:pPr>
        <w:ind w:left="850"/>
        <w:rPr>
          <w:noProof/>
        </w:rPr>
      </w:pPr>
      <w:r w:rsidRPr="00F66162">
        <w:rPr>
          <w:noProof/>
        </w:rPr>
        <w:t>„4. Organy celne mogą – zgodnie</w:t>
      </w:r>
      <w:r w:rsidR="00825614" w:rsidRPr="00F66162">
        <w:rPr>
          <w:noProof/>
        </w:rPr>
        <w:t xml:space="preserve"> z</w:t>
      </w:r>
      <w:r w:rsidR="00825614">
        <w:rPr>
          <w:noProof/>
        </w:rPr>
        <w:t> </w:t>
      </w:r>
      <w:r w:rsidR="00825614" w:rsidRPr="00F66162">
        <w:rPr>
          <w:noProof/>
        </w:rPr>
        <w:t>art</w:t>
      </w:r>
      <w:r w:rsidRPr="00F66162">
        <w:rPr>
          <w:noProof/>
        </w:rPr>
        <w:t>. 12 ust. 1 rozporządzenia (UE) nr 952/2013 – przekazać Komisji</w:t>
      </w:r>
      <w:r w:rsidR="00825614" w:rsidRPr="00F66162">
        <w:rPr>
          <w:noProof/>
        </w:rPr>
        <w:t xml:space="preserve"> i</w:t>
      </w:r>
      <w:r w:rsidR="00825614">
        <w:rPr>
          <w:noProof/>
        </w:rPr>
        <w:t> </w:t>
      </w:r>
      <w:r w:rsidR="00825614" w:rsidRPr="00F66162">
        <w:rPr>
          <w:noProof/>
        </w:rPr>
        <w:t>wła</w:t>
      </w:r>
      <w:r w:rsidRPr="00F66162">
        <w:rPr>
          <w:noProof/>
        </w:rPr>
        <w:t>ściwemu organowi państwa członkowskiego, który przyznał status upoważnionego zgłaszającego CBAM, lub właściwemu organowi państwa członkowskiego,</w:t>
      </w:r>
      <w:r w:rsidR="00825614" w:rsidRPr="00F66162">
        <w:rPr>
          <w:noProof/>
        </w:rPr>
        <w:t xml:space="preserve"> w</w:t>
      </w:r>
      <w:r w:rsidR="00825614">
        <w:rPr>
          <w:noProof/>
        </w:rPr>
        <w:t> </w:t>
      </w:r>
      <w:r w:rsidR="00825614" w:rsidRPr="00F66162">
        <w:rPr>
          <w:noProof/>
        </w:rPr>
        <w:t>któ</w:t>
      </w:r>
      <w:r w:rsidRPr="00F66162">
        <w:rPr>
          <w:noProof/>
        </w:rPr>
        <w:t>rym importer ma siedzibę, informacje poufne uzyskane przez organy celne podczas wykonywania przez nie swoich obowiązków lub dostarczone organom celnym na zasadzie poufności.”;</w:t>
      </w:r>
    </w:p>
    <w:p w14:paraId="0D97C63E" w14:textId="7EE20F4A" w:rsidR="00A11743" w:rsidRPr="00F66162" w:rsidRDefault="0074784E" w:rsidP="0074784E">
      <w:pPr>
        <w:pStyle w:val="Point0"/>
        <w:rPr>
          <w:noProof/>
        </w:rPr>
      </w:pPr>
      <w:r w:rsidRPr="00F66162">
        <w:rPr>
          <w:noProof/>
        </w:rPr>
        <w:t>20.</w:t>
      </w:r>
      <w:r w:rsidRPr="00F66162">
        <w:rPr>
          <w:noProof/>
        </w:rPr>
        <w:tab/>
        <w:t xml:space="preserve">dodaje się </w:t>
      </w:r>
      <w:r w:rsidRPr="00825614">
        <w:rPr>
          <w:noProof/>
        </w:rPr>
        <w:t>art.</w:t>
      </w:r>
      <w:r w:rsidR="00825614" w:rsidRPr="00825614">
        <w:rPr>
          <w:noProof/>
        </w:rPr>
        <w:t> </w:t>
      </w:r>
      <w:r w:rsidRPr="00825614">
        <w:rPr>
          <w:noProof/>
        </w:rPr>
        <w:t>2</w:t>
      </w:r>
      <w:r w:rsidRPr="00F66162">
        <w:rPr>
          <w:noProof/>
        </w:rPr>
        <w:t>5a</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129CEE1A" w14:textId="77777777" w:rsidR="00B1207F" w:rsidRPr="00F66162" w:rsidRDefault="00B1207F" w:rsidP="00CD359D">
      <w:pPr>
        <w:pStyle w:val="Titrearticle"/>
        <w:rPr>
          <w:noProof/>
        </w:rPr>
      </w:pPr>
      <w:r w:rsidRPr="00F66162">
        <w:rPr>
          <w:noProof/>
        </w:rPr>
        <w:lastRenderedPageBreak/>
        <w:t>„Artykuł 25a</w:t>
      </w:r>
    </w:p>
    <w:p w14:paraId="29670A0D" w14:textId="4ECEF3D8" w:rsidR="00B1207F" w:rsidRPr="00F66162" w:rsidRDefault="00B1207F" w:rsidP="00CD359D">
      <w:pPr>
        <w:pStyle w:val="Titrearticle"/>
        <w:rPr>
          <w:noProof/>
        </w:rPr>
      </w:pPr>
      <w:r w:rsidRPr="00F66162">
        <w:rPr>
          <w:b/>
          <w:noProof/>
        </w:rPr>
        <w:t>Monitorowanie</w:t>
      </w:r>
      <w:r w:rsidR="00825614" w:rsidRPr="00F66162">
        <w:rPr>
          <w:b/>
          <w:noProof/>
        </w:rPr>
        <w:t xml:space="preserve"> i</w:t>
      </w:r>
      <w:r w:rsidR="00825614">
        <w:rPr>
          <w:b/>
          <w:noProof/>
        </w:rPr>
        <w:t> </w:t>
      </w:r>
      <w:r w:rsidR="00825614" w:rsidRPr="00F66162">
        <w:rPr>
          <w:b/>
          <w:noProof/>
        </w:rPr>
        <w:t>egz</w:t>
      </w:r>
      <w:r w:rsidRPr="00F66162">
        <w:rPr>
          <w:b/>
          <w:noProof/>
        </w:rPr>
        <w:t>ekwowanie progu określonego</w:t>
      </w:r>
      <w:r w:rsidR="00825614" w:rsidRPr="00F66162">
        <w:rPr>
          <w:b/>
          <w:noProof/>
        </w:rPr>
        <w:t xml:space="preserve"> w</w:t>
      </w:r>
      <w:r w:rsidR="00825614">
        <w:rPr>
          <w:b/>
          <w:noProof/>
        </w:rPr>
        <w:t> </w:t>
      </w:r>
      <w:r w:rsidR="00825614" w:rsidRPr="00F66162">
        <w:rPr>
          <w:b/>
          <w:noProof/>
        </w:rPr>
        <w:t>zał</w:t>
      </w:r>
      <w:r w:rsidRPr="00F66162">
        <w:rPr>
          <w:b/>
          <w:noProof/>
        </w:rPr>
        <w:t xml:space="preserve">ączniku VII </w:t>
      </w:r>
      <w:r w:rsidRPr="00825614">
        <w:rPr>
          <w:b/>
          <w:noProof/>
        </w:rPr>
        <w:t>pkt</w:t>
      </w:r>
      <w:r w:rsidR="00825614" w:rsidRPr="00825614">
        <w:rPr>
          <w:b/>
          <w:noProof/>
        </w:rPr>
        <w:t> </w:t>
      </w:r>
      <w:r w:rsidRPr="00825614">
        <w:rPr>
          <w:b/>
          <w:noProof/>
        </w:rPr>
        <w:t>1</w:t>
      </w:r>
    </w:p>
    <w:p w14:paraId="70F96DCF" w14:textId="6360D711" w:rsidR="00B1207F" w:rsidRPr="00F66162" w:rsidRDefault="00B1207F" w:rsidP="00B1207F">
      <w:pPr>
        <w:ind w:left="850"/>
        <w:rPr>
          <w:noProof/>
        </w:rPr>
      </w:pPr>
      <w:r w:rsidRPr="00F66162">
        <w:rPr>
          <w:noProof/>
        </w:rPr>
        <w:t>1. Właściwe organy</w:t>
      </w:r>
      <w:r w:rsidR="00825614" w:rsidRPr="00F66162">
        <w:rPr>
          <w:noProof/>
        </w:rPr>
        <w:t xml:space="preserve"> i</w:t>
      </w:r>
      <w:r w:rsidR="00825614">
        <w:rPr>
          <w:noProof/>
        </w:rPr>
        <w:t> </w:t>
      </w:r>
      <w:r w:rsidR="00825614" w:rsidRPr="00F66162">
        <w:rPr>
          <w:noProof/>
        </w:rPr>
        <w:t>Kom</w:t>
      </w:r>
      <w:r w:rsidRPr="00F66162">
        <w:rPr>
          <w:noProof/>
        </w:rPr>
        <w:t>isja monitorują przywóz towarów wymienionych</w:t>
      </w:r>
      <w:r w:rsidR="00825614" w:rsidRPr="00F66162">
        <w:rPr>
          <w:noProof/>
        </w:rPr>
        <w:t xml:space="preserve"> w</w:t>
      </w:r>
      <w:r w:rsidR="00825614">
        <w:rPr>
          <w:noProof/>
        </w:rPr>
        <w:t> </w:t>
      </w:r>
      <w:r w:rsidR="00825614" w:rsidRPr="00F66162">
        <w:rPr>
          <w:noProof/>
        </w:rPr>
        <w:t>zał</w:t>
      </w:r>
      <w:r w:rsidRPr="00F66162">
        <w:rPr>
          <w:noProof/>
        </w:rPr>
        <w:t>ączniku I oraz odpowiedni próg określony</w:t>
      </w:r>
      <w:r w:rsidR="00825614" w:rsidRPr="00F66162">
        <w:rPr>
          <w:noProof/>
        </w:rPr>
        <w:t xml:space="preserve"> w</w:t>
      </w:r>
      <w:r w:rsidR="00825614">
        <w:rPr>
          <w:noProof/>
        </w:rPr>
        <w:t> </w:t>
      </w:r>
      <w:r w:rsidR="00825614" w:rsidRPr="00F66162">
        <w:rPr>
          <w:noProof/>
        </w:rPr>
        <w:t>zał</w:t>
      </w:r>
      <w:r w:rsidRPr="00F66162">
        <w:rPr>
          <w:noProof/>
        </w:rPr>
        <w:t xml:space="preserve">ączniku VII </w:t>
      </w:r>
      <w:r w:rsidRPr="00825614">
        <w:rPr>
          <w:noProof/>
        </w:rPr>
        <w:t>pkt</w:t>
      </w:r>
      <w:r w:rsidR="00825614" w:rsidRPr="00825614">
        <w:rPr>
          <w:noProof/>
        </w:rPr>
        <w:t> </w:t>
      </w:r>
      <w:r w:rsidRPr="00825614">
        <w:rPr>
          <w:noProof/>
        </w:rPr>
        <w:t>1</w:t>
      </w:r>
      <w:r w:rsidRPr="00F66162">
        <w:rPr>
          <w:noProof/>
        </w:rPr>
        <w:t>.</w:t>
      </w:r>
    </w:p>
    <w:p w14:paraId="2BF69D47" w14:textId="1AF6520B" w:rsidR="00B1207F" w:rsidRPr="00F66162" w:rsidRDefault="00B1207F" w:rsidP="00B1207F">
      <w:pPr>
        <w:ind w:left="850"/>
        <w:rPr>
          <w:noProof/>
        </w:rPr>
      </w:pPr>
      <w:r w:rsidRPr="00F66162">
        <w:rPr>
          <w:noProof/>
        </w:rPr>
        <w:t>Komisja okresowo</w:t>
      </w:r>
      <w:r w:rsidR="00825614" w:rsidRPr="00F66162">
        <w:rPr>
          <w:noProof/>
        </w:rPr>
        <w:t xml:space="preserve"> i</w:t>
      </w:r>
      <w:r w:rsidR="00825614">
        <w:rPr>
          <w:noProof/>
        </w:rPr>
        <w:t> </w:t>
      </w:r>
      <w:r w:rsidR="00825614" w:rsidRPr="00F66162">
        <w:rPr>
          <w:noProof/>
        </w:rPr>
        <w:t>aut</w:t>
      </w:r>
      <w:r w:rsidRPr="00F66162">
        <w:rPr>
          <w:noProof/>
        </w:rPr>
        <w:t>omatycznie wymienia</w:t>
      </w:r>
      <w:r w:rsidR="00825614" w:rsidRPr="00F66162">
        <w:rPr>
          <w:noProof/>
        </w:rPr>
        <w:t xml:space="preserve"> z</w:t>
      </w:r>
      <w:r w:rsidR="00825614">
        <w:rPr>
          <w:noProof/>
        </w:rPr>
        <w:t> </w:t>
      </w:r>
      <w:r w:rsidR="00825614" w:rsidRPr="00F66162">
        <w:rPr>
          <w:noProof/>
        </w:rPr>
        <w:t>wła</w:t>
      </w:r>
      <w:r w:rsidRPr="00F66162">
        <w:rPr>
          <w:noProof/>
        </w:rPr>
        <w:t>ściwymi organami informacje niezbędne do monitorowania importerów</w:t>
      </w:r>
      <w:r w:rsidR="00825614" w:rsidRPr="00F66162">
        <w:rPr>
          <w:noProof/>
        </w:rPr>
        <w:t xml:space="preserve"> w</w:t>
      </w:r>
      <w:r w:rsidR="00825614">
        <w:rPr>
          <w:noProof/>
        </w:rPr>
        <w:t> </w:t>
      </w:r>
      <w:r w:rsidR="00825614" w:rsidRPr="00F66162">
        <w:rPr>
          <w:noProof/>
        </w:rPr>
        <w:t>rej</w:t>
      </w:r>
      <w:r w:rsidRPr="00F66162">
        <w:rPr>
          <w:noProof/>
        </w:rPr>
        <w:t xml:space="preserve">estrze CBAM. </w:t>
      </w:r>
    </w:p>
    <w:p w14:paraId="2EFC8908" w14:textId="7A7EADF3" w:rsidR="00B1207F" w:rsidRPr="00F66162" w:rsidRDefault="00B1207F" w:rsidP="00B1207F">
      <w:pPr>
        <w:ind w:left="850"/>
        <w:rPr>
          <w:noProof/>
        </w:rPr>
      </w:pPr>
      <w:r w:rsidRPr="00F66162">
        <w:rPr>
          <w:noProof/>
        </w:rPr>
        <w:t>2. Jeżeli na podstawie wstępnej oceny Komisja uzna, że importer przekroczył próg, przekazuje informacje, na których oparła tę wstępną ocenę, właściwemu organowi państwa członkowskiego,</w:t>
      </w:r>
      <w:r w:rsidR="00825614" w:rsidRPr="00F66162">
        <w:rPr>
          <w:noProof/>
        </w:rPr>
        <w:t xml:space="preserve"> w</w:t>
      </w:r>
      <w:r w:rsidR="00825614">
        <w:rPr>
          <w:noProof/>
        </w:rPr>
        <w:t> </w:t>
      </w:r>
      <w:r w:rsidR="00825614" w:rsidRPr="00F66162">
        <w:rPr>
          <w:noProof/>
        </w:rPr>
        <w:t>któ</w:t>
      </w:r>
      <w:r w:rsidRPr="00F66162">
        <w:rPr>
          <w:noProof/>
        </w:rPr>
        <w:t>rym importer ma siedzibę.</w:t>
      </w:r>
    </w:p>
    <w:p w14:paraId="2921C263" w14:textId="74A15EE1" w:rsidR="00B1207F" w:rsidRPr="00F66162" w:rsidRDefault="009011C2" w:rsidP="00B1207F">
      <w:pPr>
        <w:ind w:left="850"/>
        <w:rPr>
          <w:noProof/>
        </w:rPr>
      </w:pPr>
      <w:r w:rsidRPr="00F66162">
        <w:rPr>
          <w:noProof/>
        </w:rPr>
        <w:t>Taki właściwy organ może zażądać od importera, organów celnych lub Komisji dowodów</w:t>
      </w:r>
      <w:r w:rsidR="00825614" w:rsidRPr="00F66162">
        <w:rPr>
          <w:noProof/>
        </w:rPr>
        <w:t xml:space="preserve"> w</w:t>
      </w:r>
      <w:r w:rsidR="00825614">
        <w:rPr>
          <w:noProof/>
        </w:rPr>
        <w:t> </w:t>
      </w:r>
      <w:r w:rsidR="00825614" w:rsidRPr="00F66162">
        <w:rPr>
          <w:noProof/>
        </w:rPr>
        <w:t>pos</w:t>
      </w:r>
      <w:r w:rsidRPr="00F66162">
        <w:rPr>
          <w:noProof/>
        </w:rPr>
        <w:t xml:space="preserve">taci dokumentów niezbędnych do oceny tego, czy importer przekroczył próg. </w:t>
      </w:r>
    </w:p>
    <w:p w14:paraId="0F2B1893" w14:textId="1A54B27C" w:rsidR="00B1207F" w:rsidRPr="00F66162" w:rsidRDefault="00B1207F" w:rsidP="00B1207F">
      <w:pPr>
        <w:ind w:left="850"/>
        <w:rPr>
          <w:noProof/>
        </w:rPr>
      </w:pPr>
      <w:r w:rsidRPr="00F66162">
        <w:rPr>
          <w:noProof/>
        </w:rPr>
        <w:t>3. Jeżeli właściwy organ stwierdzi, że importer przekroczył próg, informuje importera</w:t>
      </w:r>
      <w:r w:rsidR="00825614" w:rsidRPr="00F66162">
        <w:rPr>
          <w:noProof/>
        </w:rPr>
        <w:t xml:space="preserve"> o</w:t>
      </w:r>
      <w:r w:rsidR="00825614">
        <w:rPr>
          <w:noProof/>
        </w:rPr>
        <w:t> </w:t>
      </w:r>
      <w:r w:rsidR="00825614" w:rsidRPr="00F66162">
        <w:rPr>
          <w:noProof/>
        </w:rPr>
        <w:t>tej</w:t>
      </w:r>
      <w:r w:rsidRPr="00F66162">
        <w:rPr>
          <w:noProof/>
        </w:rPr>
        <w:t xml:space="preserve"> decyzji. Decyzja taka zawiera uzasadnienie,</w:t>
      </w:r>
      <w:r w:rsidR="00825614" w:rsidRPr="00F66162">
        <w:rPr>
          <w:noProof/>
        </w:rPr>
        <w:t xml:space="preserve"> a</w:t>
      </w:r>
      <w:r w:rsidR="00825614">
        <w:rPr>
          <w:noProof/>
        </w:rPr>
        <w:t> </w:t>
      </w:r>
      <w:r w:rsidR="00825614" w:rsidRPr="00F66162">
        <w:rPr>
          <w:noProof/>
        </w:rPr>
        <w:t>tak</w:t>
      </w:r>
      <w:r w:rsidRPr="00F66162">
        <w:rPr>
          <w:noProof/>
        </w:rPr>
        <w:t>że informacje</w:t>
      </w:r>
      <w:r w:rsidR="00825614" w:rsidRPr="00F66162">
        <w:rPr>
          <w:noProof/>
        </w:rPr>
        <w:t xml:space="preserve"> o</w:t>
      </w:r>
      <w:r w:rsidR="00825614">
        <w:rPr>
          <w:noProof/>
        </w:rPr>
        <w:t> </w:t>
      </w:r>
      <w:r w:rsidR="00825614" w:rsidRPr="00F66162">
        <w:rPr>
          <w:noProof/>
        </w:rPr>
        <w:t>pra</w:t>
      </w:r>
      <w:r w:rsidRPr="00F66162">
        <w:rPr>
          <w:noProof/>
        </w:rPr>
        <w:t>wie do wniesienia odwołania, karach zastosowanych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6 </w:t>
      </w:r>
      <w:r w:rsidRPr="00825614">
        <w:rPr>
          <w:noProof/>
        </w:rPr>
        <w:t>ust.</w:t>
      </w:r>
      <w:r w:rsidR="00825614" w:rsidRPr="00825614">
        <w:rPr>
          <w:noProof/>
        </w:rPr>
        <w:t> </w:t>
      </w:r>
      <w:r w:rsidRPr="00825614">
        <w:rPr>
          <w:noProof/>
        </w:rPr>
        <w:t>2</w:t>
      </w:r>
      <w:r w:rsidRPr="00F66162">
        <w:rPr>
          <w:noProof/>
        </w:rPr>
        <w:t xml:space="preserve"> oraz,</w:t>
      </w:r>
      <w:r w:rsidR="00825614" w:rsidRPr="00F66162">
        <w:rPr>
          <w:noProof/>
        </w:rPr>
        <w:t xml:space="preserve"> w</w:t>
      </w:r>
      <w:r w:rsidR="00825614">
        <w:rPr>
          <w:noProof/>
        </w:rPr>
        <w:t> </w:t>
      </w:r>
      <w:r w:rsidR="00825614" w:rsidRPr="00F66162">
        <w:rPr>
          <w:noProof/>
        </w:rPr>
        <w:t>raz</w:t>
      </w:r>
      <w:r w:rsidRPr="00F66162">
        <w:rPr>
          <w:noProof/>
        </w:rPr>
        <w:t>ie potrzeby, wniosku</w:t>
      </w:r>
      <w:r w:rsidR="00825614" w:rsidRPr="00F66162">
        <w:rPr>
          <w:noProof/>
        </w:rPr>
        <w:t xml:space="preserve"> o</w:t>
      </w:r>
      <w:r w:rsidR="00825614">
        <w:rPr>
          <w:noProof/>
        </w:rPr>
        <w:t> </w:t>
      </w:r>
      <w:r w:rsidR="00825614" w:rsidRPr="00F66162">
        <w:rPr>
          <w:noProof/>
        </w:rPr>
        <w:t>udz</w:t>
      </w:r>
      <w:r w:rsidRPr="00F66162">
        <w:rPr>
          <w:noProof/>
        </w:rPr>
        <w:t>ielenie upoważnienia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5</w:t>
      </w:r>
      <w:r w:rsidRPr="00F66162">
        <w:rPr>
          <w:noProof/>
        </w:rPr>
        <w:t>. Właściwy organ powiadamia również</w:t>
      </w:r>
      <w:r w:rsidR="00825614" w:rsidRPr="00F66162">
        <w:rPr>
          <w:noProof/>
        </w:rPr>
        <w:t xml:space="preserve"> o</w:t>
      </w:r>
      <w:r w:rsidR="00825614">
        <w:rPr>
          <w:noProof/>
        </w:rPr>
        <w:t> </w:t>
      </w:r>
      <w:r w:rsidR="00825614" w:rsidRPr="00F66162">
        <w:rPr>
          <w:noProof/>
        </w:rPr>
        <w:t>tej</w:t>
      </w:r>
      <w:r w:rsidRPr="00F66162">
        <w:rPr>
          <w:noProof/>
        </w:rPr>
        <w:t xml:space="preserve"> decyzji organy celne</w:t>
      </w:r>
      <w:r w:rsidR="00825614" w:rsidRPr="00F66162">
        <w:rPr>
          <w:noProof/>
        </w:rPr>
        <w:t xml:space="preserve"> i</w:t>
      </w:r>
      <w:r w:rsidR="00825614">
        <w:rPr>
          <w:noProof/>
        </w:rPr>
        <w:t> </w:t>
      </w:r>
      <w:r w:rsidR="00825614" w:rsidRPr="00F66162">
        <w:rPr>
          <w:noProof/>
        </w:rPr>
        <w:t>Kom</w:t>
      </w:r>
      <w:r w:rsidRPr="00F66162">
        <w:rPr>
          <w:noProof/>
        </w:rPr>
        <w:t xml:space="preserve">isję za pośrednictwem rejestru CBAM. </w:t>
      </w:r>
    </w:p>
    <w:p w14:paraId="035A7342" w14:textId="77777777" w:rsidR="00B1207F" w:rsidRPr="00F66162" w:rsidRDefault="00B1207F" w:rsidP="00B1207F">
      <w:pPr>
        <w:ind w:left="850"/>
        <w:rPr>
          <w:noProof/>
        </w:rPr>
      </w:pPr>
      <w:r w:rsidRPr="00F66162">
        <w:rPr>
          <w:noProof/>
        </w:rPr>
        <w:t>Wniesienie odwołania nie powoduje wstrzymania wykonania zaskarżonej decyzji.</w:t>
      </w:r>
    </w:p>
    <w:p w14:paraId="400452C4" w14:textId="0D35FEE9" w:rsidR="0022412C" w:rsidRPr="00F66162" w:rsidRDefault="00B1207F" w:rsidP="00B1207F">
      <w:pPr>
        <w:ind w:left="850"/>
        <w:rPr>
          <w:noProof/>
        </w:rPr>
      </w:pPr>
      <w:r w:rsidRPr="00F66162">
        <w:rPr>
          <w:noProof/>
        </w:rPr>
        <w:t>4. Do celów stwierdzenia, zgodnie</w:t>
      </w:r>
      <w:r w:rsidR="00825614" w:rsidRPr="00F66162">
        <w:rPr>
          <w:noProof/>
        </w:rPr>
        <w:t xml:space="preserve"> z</w:t>
      </w:r>
      <w:r w:rsidR="00825614">
        <w:rPr>
          <w:noProof/>
        </w:rPr>
        <w:t> </w:t>
      </w:r>
      <w:r w:rsidR="00825614" w:rsidRPr="00825614">
        <w:rPr>
          <w:noProof/>
        </w:rPr>
        <w:t>ust</w:t>
      </w:r>
      <w:r w:rsidRPr="00825614">
        <w:rPr>
          <w:noProof/>
        </w:rPr>
        <w:t>.</w:t>
      </w:r>
      <w:r w:rsidR="00825614" w:rsidRPr="00825614">
        <w:rPr>
          <w:noProof/>
        </w:rPr>
        <w:t> </w:t>
      </w:r>
      <w:r w:rsidRPr="00825614">
        <w:rPr>
          <w:noProof/>
        </w:rPr>
        <w:t>3</w:t>
      </w:r>
      <w:r w:rsidRPr="00F66162">
        <w:rPr>
          <w:noProof/>
        </w:rPr>
        <w:t>, czy importer przekroczył próg, właściwy organ pomija praktykę, uzgodnienie lub serię praktyk lub uzgodnień,</w:t>
      </w:r>
      <w:r w:rsidR="00825614" w:rsidRPr="00F66162">
        <w:rPr>
          <w:noProof/>
        </w:rPr>
        <w:t xml:space="preserve"> w</w:t>
      </w:r>
      <w:r w:rsidR="00825614">
        <w:rPr>
          <w:noProof/>
        </w:rPr>
        <w:t> </w:t>
      </w:r>
      <w:r w:rsidR="00825614" w:rsidRPr="00F66162">
        <w:rPr>
          <w:noProof/>
        </w:rPr>
        <w:t>prz</w:t>
      </w:r>
      <w:r w:rsidRPr="00F66162">
        <w:rPr>
          <w:noProof/>
        </w:rPr>
        <w:t>ypadku których głównym celem lub jednym</w:t>
      </w:r>
      <w:r w:rsidR="00825614" w:rsidRPr="00F66162">
        <w:rPr>
          <w:noProof/>
        </w:rPr>
        <w:t xml:space="preserve"> z</w:t>
      </w:r>
      <w:r w:rsidR="00825614">
        <w:rPr>
          <w:noProof/>
        </w:rPr>
        <w:t> </w:t>
      </w:r>
      <w:r w:rsidR="00825614" w:rsidRPr="00F66162">
        <w:rPr>
          <w:noProof/>
        </w:rPr>
        <w:t>głó</w:t>
      </w:r>
      <w:r w:rsidRPr="00F66162">
        <w:rPr>
          <w:noProof/>
        </w:rPr>
        <w:t>wnych celów ich wprowadzenia było nieprzekroczenie progu</w:t>
      </w:r>
      <w:r w:rsidR="00825614" w:rsidRPr="00F66162">
        <w:rPr>
          <w:noProof/>
        </w:rPr>
        <w:t xml:space="preserve"> i</w:t>
      </w:r>
      <w:r w:rsidR="00825614">
        <w:rPr>
          <w:noProof/>
        </w:rPr>
        <w:t> </w:t>
      </w:r>
      <w:r w:rsidR="00825614" w:rsidRPr="00F66162">
        <w:rPr>
          <w:noProof/>
        </w:rPr>
        <w:t>któ</w:t>
      </w:r>
      <w:r w:rsidRPr="00F66162">
        <w:rPr>
          <w:noProof/>
        </w:rPr>
        <w:t>re przez to, po uwzględnieniu wszystkich istotnych faktów</w:t>
      </w:r>
      <w:r w:rsidR="00825614" w:rsidRPr="00F66162">
        <w:rPr>
          <w:noProof/>
        </w:rPr>
        <w:t xml:space="preserve"> i</w:t>
      </w:r>
      <w:r w:rsidR="00825614">
        <w:rPr>
          <w:noProof/>
        </w:rPr>
        <w:t> </w:t>
      </w:r>
      <w:r w:rsidR="00825614" w:rsidRPr="00F66162">
        <w:rPr>
          <w:noProof/>
        </w:rPr>
        <w:t>oko</w:t>
      </w:r>
      <w:r w:rsidRPr="00F66162">
        <w:rPr>
          <w:noProof/>
        </w:rPr>
        <w:t xml:space="preserve">liczności, stanowią uzgodnienie nierzeczywiste. </w:t>
      </w:r>
    </w:p>
    <w:p w14:paraId="00E7EDFE" w14:textId="026FD6FA" w:rsidR="00B1207F" w:rsidRPr="00F66162" w:rsidRDefault="0022412C" w:rsidP="00B1207F">
      <w:pPr>
        <w:ind w:left="850"/>
        <w:rPr>
          <w:noProof/>
        </w:rPr>
      </w:pPr>
      <w:r w:rsidRPr="00F66162">
        <w:rPr>
          <w:noProof/>
        </w:rPr>
        <w:t>Praktykę, uzgodnienie lub serię praktyk lub uzgodnień uznaje się za nierzeczywiste, jeżeli nie zostały one wprowadzone</w:t>
      </w:r>
      <w:r w:rsidR="00825614" w:rsidRPr="00F66162">
        <w:rPr>
          <w:noProof/>
        </w:rPr>
        <w:t xml:space="preserve"> z</w:t>
      </w:r>
      <w:r w:rsidR="00825614">
        <w:rPr>
          <w:noProof/>
        </w:rPr>
        <w:t> </w:t>
      </w:r>
      <w:r w:rsidR="00825614" w:rsidRPr="00F66162">
        <w:rPr>
          <w:noProof/>
        </w:rPr>
        <w:t>uza</w:t>
      </w:r>
      <w:r w:rsidRPr="00F66162">
        <w:rPr>
          <w:noProof/>
        </w:rPr>
        <w:t>sadnionych powodów handlowych odzwierciedlających rzeczywistość gospodarczą. Wszyscy importerzy zaangażowani</w:t>
      </w:r>
      <w:r w:rsidR="00825614" w:rsidRPr="00F66162">
        <w:rPr>
          <w:noProof/>
        </w:rPr>
        <w:t xml:space="preserve"> w</w:t>
      </w:r>
      <w:r w:rsidR="00825614">
        <w:rPr>
          <w:noProof/>
        </w:rPr>
        <w:t> </w:t>
      </w:r>
      <w:r w:rsidR="00825614" w:rsidRPr="00F66162">
        <w:rPr>
          <w:noProof/>
        </w:rPr>
        <w:t>tak</w:t>
      </w:r>
      <w:r w:rsidRPr="00F66162">
        <w:rPr>
          <w:noProof/>
        </w:rPr>
        <w:t>ą praktykę lub takie uzgodnienie solidarnie ponoszą karę nałożoną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6 </w:t>
      </w:r>
      <w:r w:rsidRPr="00825614">
        <w:rPr>
          <w:noProof/>
        </w:rPr>
        <w:t>ust.</w:t>
      </w:r>
      <w:r w:rsidR="00825614" w:rsidRPr="00825614">
        <w:rPr>
          <w:noProof/>
        </w:rPr>
        <w:t> </w:t>
      </w:r>
      <w:r w:rsidRPr="00825614">
        <w:rPr>
          <w:noProof/>
        </w:rPr>
        <w:t>2</w:t>
      </w:r>
      <w:r w:rsidRPr="00F66162">
        <w:rPr>
          <w:noProof/>
        </w:rPr>
        <w:t>.</w:t>
      </w:r>
    </w:p>
    <w:p w14:paraId="5CA1D302" w14:textId="5ADA8D5B" w:rsidR="00B1207F" w:rsidRPr="00F66162" w:rsidRDefault="001A6327" w:rsidP="00B1207F">
      <w:pPr>
        <w:ind w:left="850"/>
        <w:rPr>
          <w:noProof/>
        </w:rPr>
      </w:pPr>
      <w:r w:rsidRPr="00F66162">
        <w:rPr>
          <w:noProof/>
        </w:rPr>
        <w:t>W takich przypadkach właściwy organ uznaje, że importer dopuścił się poważnego naruszenia niniejszego rozporządzenia</w:t>
      </w:r>
      <w:r w:rsidR="00825614" w:rsidRPr="00F66162">
        <w:rPr>
          <w:noProof/>
        </w:rPr>
        <w:t xml:space="preserve"> w</w:t>
      </w:r>
      <w:r w:rsidR="00825614">
        <w:rPr>
          <w:noProof/>
        </w:rPr>
        <w:t> </w:t>
      </w:r>
      <w:r w:rsidR="00825614" w:rsidRPr="00F66162">
        <w:rPr>
          <w:noProof/>
        </w:rPr>
        <w:t>roz</w:t>
      </w:r>
      <w:r w:rsidRPr="00F66162">
        <w:rPr>
          <w:noProof/>
        </w:rPr>
        <w:t xml:space="preserve">umieniu </w:t>
      </w:r>
      <w:r w:rsidRPr="00825614">
        <w:rPr>
          <w:noProof/>
        </w:rPr>
        <w:t>art.</w:t>
      </w:r>
      <w:r w:rsidR="00825614" w:rsidRPr="00825614">
        <w:rPr>
          <w:noProof/>
        </w:rPr>
        <w:t> </w:t>
      </w:r>
      <w:r w:rsidRPr="00825614">
        <w:rPr>
          <w:noProof/>
        </w:rPr>
        <w:t>1</w:t>
      </w:r>
      <w:r w:rsidRPr="00F66162">
        <w:rPr>
          <w:noProof/>
        </w:rPr>
        <w:t xml:space="preserve">7 </w:t>
      </w:r>
      <w:r w:rsidRPr="00825614">
        <w:rPr>
          <w:noProof/>
        </w:rPr>
        <w:t>ust.</w:t>
      </w:r>
      <w:r w:rsidR="00825614" w:rsidRPr="00825614">
        <w:rPr>
          <w:noProof/>
        </w:rPr>
        <w:t> </w:t>
      </w:r>
      <w:r w:rsidRPr="00825614">
        <w:rPr>
          <w:noProof/>
        </w:rPr>
        <w:t>2</w:t>
      </w:r>
      <w:r w:rsidRPr="00F66162">
        <w:rPr>
          <w:noProof/>
        </w:rPr>
        <w:t xml:space="preserve"> </w:t>
      </w:r>
      <w:r w:rsidRPr="00825614">
        <w:rPr>
          <w:noProof/>
        </w:rPr>
        <w:t>lit.</w:t>
      </w:r>
      <w:r w:rsidR="00825614" w:rsidRPr="00825614">
        <w:rPr>
          <w:noProof/>
        </w:rPr>
        <w:t> </w:t>
      </w:r>
      <w:r w:rsidRPr="00825614">
        <w:rPr>
          <w:noProof/>
        </w:rPr>
        <w:t>a)</w:t>
      </w:r>
      <w:r w:rsidRPr="00F66162">
        <w:rPr>
          <w:noProof/>
        </w:rPr>
        <w:t xml:space="preserve">. </w:t>
      </w:r>
    </w:p>
    <w:p w14:paraId="4728D43C" w14:textId="3BDD7B6D" w:rsidR="001232C6" w:rsidRPr="00F66162" w:rsidRDefault="00B1207F" w:rsidP="00B1207F">
      <w:pPr>
        <w:ind w:left="850"/>
        <w:rPr>
          <w:noProof/>
        </w:rPr>
      </w:pPr>
      <w:r w:rsidRPr="00F66162">
        <w:rPr>
          <w:noProof/>
        </w:rPr>
        <w:t>5. Komisja okresowo określa szczególne czynniki ryzyka</w:t>
      </w:r>
      <w:r w:rsidR="00825614" w:rsidRPr="00F66162">
        <w:rPr>
          <w:noProof/>
        </w:rPr>
        <w:t xml:space="preserve"> i</w:t>
      </w:r>
      <w:r w:rsidR="00825614">
        <w:rPr>
          <w:noProof/>
        </w:rPr>
        <w:t> </w:t>
      </w:r>
      <w:r w:rsidR="00825614" w:rsidRPr="00F66162">
        <w:rPr>
          <w:noProof/>
        </w:rPr>
        <w:t>kwe</w:t>
      </w:r>
      <w:r w:rsidRPr="00F66162">
        <w:rPr>
          <w:noProof/>
        </w:rPr>
        <w:t>stie wymagające szczególnej uwagi, na podstawie analizy ryzyka związanego</w:t>
      </w:r>
      <w:r w:rsidR="00825614" w:rsidRPr="00F66162">
        <w:rPr>
          <w:noProof/>
        </w:rPr>
        <w:t xml:space="preserve"> z</w:t>
      </w:r>
      <w:r w:rsidR="00825614">
        <w:rPr>
          <w:noProof/>
        </w:rPr>
        <w:t> </w:t>
      </w:r>
      <w:r w:rsidR="00825614" w:rsidRPr="00F66162">
        <w:rPr>
          <w:noProof/>
        </w:rPr>
        <w:t>pro</w:t>
      </w:r>
      <w:r w:rsidRPr="00F66162">
        <w:rPr>
          <w:noProof/>
        </w:rPr>
        <w:t>giem, biorąc pod uwagę informacje zawarte</w:t>
      </w:r>
      <w:r w:rsidR="00825614" w:rsidRPr="00F66162">
        <w:rPr>
          <w:noProof/>
        </w:rPr>
        <w:t xml:space="preserve"> w</w:t>
      </w:r>
      <w:r w:rsidR="00825614">
        <w:rPr>
          <w:noProof/>
        </w:rPr>
        <w:t> </w:t>
      </w:r>
      <w:r w:rsidR="00825614" w:rsidRPr="00F66162">
        <w:rPr>
          <w:noProof/>
        </w:rPr>
        <w:t>rej</w:t>
      </w:r>
      <w:r w:rsidRPr="00F66162">
        <w:rPr>
          <w:noProof/>
        </w:rPr>
        <w:t>estrze CBAM, dane przekazane przez organy celne zgodnie</w:t>
      </w:r>
      <w:r w:rsidR="00825614" w:rsidRPr="00F66162">
        <w:rPr>
          <w:noProof/>
        </w:rPr>
        <w:t xml:space="preserve"> z</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5 oraz inne odpowiednie źródła informacji,</w:t>
      </w:r>
      <w:r w:rsidR="00825614" w:rsidRPr="00F66162">
        <w:rPr>
          <w:noProof/>
        </w:rPr>
        <w:t xml:space="preserve"> w</w:t>
      </w:r>
      <w:r w:rsidR="00825614">
        <w:rPr>
          <w:noProof/>
        </w:rPr>
        <w:t> </w:t>
      </w:r>
      <w:r w:rsidR="00825614" w:rsidRPr="00F66162">
        <w:rPr>
          <w:noProof/>
        </w:rPr>
        <w:t>tym</w:t>
      </w:r>
      <w:r w:rsidRPr="00F66162">
        <w:rPr>
          <w:noProof/>
        </w:rPr>
        <w:t xml:space="preserve"> nieprawidłowości stwierdzone</w:t>
      </w:r>
      <w:r w:rsidR="00825614" w:rsidRPr="00F66162">
        <w:rPr>
          <w:noProof/>
        </w:rPr>
        <w:t xml:space="preserve"> w</w:t>
      </w:r>
      <w:r w:rsidR="00825614">
        <w:rPr>
          <w:noProof/>
        </w:rPr>
        <w:t> </w:t>
      </w:r>
      <w:r w:rsidR="00825614" w:rsidRPr="00F66162">
        <w:rPr>
          <w:noProof/>
        </w:rPr>
        <w:t>ram</w:t>
      </w:r>
      <w:r w:rsidRPr="00F66162">
        <w:rPr>
          <w:noProof/>
        </w:rPr>
        <w:t>ach kontroli przeprowadzonych zgodnie</w:t>
      </w:r>
      <w:r w:rsidR="00825614" w:rsidRPr="00F66162">
        <w:rPr>
          <w:noProof/>
        </w:rPr>
        <w:t xml:space="preserve"> z</w:t>
      </w:r>
      <w:r w:rsidR="00825614">
        <w:rPr>
          <w:noProof/>
        </w:rPr>
        <w:t> </w:t>
      </w:r>
      <w:r w:rsidR="00825614" w:rsidRPr="00F66162">
        <w:rPr>
          <w:noProof/>
        </w:rPr>
        <w:t>art</w:t>
      </w:r>
      <w:r w:rsidRPr="00F66162">
        <w:rPr>
          <w:noProof/>
        </w:rPr>
        <w:t xml:space="preserve">. 15 ust. 1.”; </w:t>
      </w:r>
    </w:p>
    <w:p w14:paraId="0462E54E" w14:textId="5BF2F064" w:rsidR="00215E2F" w:rsidRPr="00F66162" w:rsidRDefault="0074784E" w:rsidP="0074784E">
      <w:pPr>
        <w:pStyle w:val="Point0"/>
        <w:rPr>
          <w:noProof/>
        </w:rPr>
      </w:pPr>
      <w:r w:rsidRPr="00F66162">
        <w:rPr>
          <w:noProof/>
        </w:rPr>
        <w:t>21.</w:t>
      </w:r>
      <w:r w:rsidRPr="00F66162">
        <w:rPr>
          <w:noProof/>
        </w:rPr>
        <w:tab/>
        <w:t xml:space="preserve">w </w:t>
      </w:r>
      <w:r w:rsidRPr="00825614">
        <w:rPr>
          <w:noProof/>
        </w:rPr>
        <w:t>art.</w:t>
      </w:r>
      <w:r w:rsidR="00825614" w:rsidRPr="00825614">
        <w:rPr>
          <w:noProof/>
        </w:rPr>
        <w:t> </w:t>
      </w:r>
      <w:r w:rsidRPr="00825614">
        <w:rPr>
          <w:noProof/>
        </w:rPr>
        <w:t>2</w:t>
      </w:r>
      <w:r w:rsidRPr="00F66162">
        <w:rPr>
          <w:noProof/>
        </w:rPr>
        <w:t xml:space="preserve">6 wprowadza się następujące zmiany: </w:t>
      </w:r>
    </w:p>
    <w:p w14:paraId="61039D34" w14:textId="22BF0EAD" w:rsidR="00EA6E37" w:rsidRPr="00F66162" w:rsidRDefault="0074784E" w:rsidP="0074784E">
      <w:pPr>
        <w:pStyle w:val="Point1"/>
        <w:rPr>
          <w:noProof/>
        </w:rPr>
      </w:pPr>
      <w:r w:rsidRPr="00F66162">
        <w:rPr>
          <w:noProof/>
        </w:rPr>
        <w:t>a)</w:t>
      </w:r>
      <w:r w:rsidRPr="00F66162">
        <w:rPr>
          <w:noProof/>
        </w:rPr>
        <w:tab/>
        <w:t>dodaje się ust. 1a</w:t>
      </w:r>
      <w:r w:rsidR="00825614" w:rsidRPr="00F66162">
        <w:rPr>
          <w:noProof/>
        </w:rPr>
        <w:t xml:space="preserve"> w</w:t>
      </w:r>
      <w:r w:rsidR="00825614">
        <w:rPr>
          <w:noProof/>
        </w:rPr>
        <w:t> </w:t>
      </w:r>
      <w:r w:rsidR="00825614" w:rsidRPr="00F66162">
        <w:rPr>
          <w:noProof/>
        </w:rPr>
        <w:t>brz</w:t>
      </w:r>
      <w:r w:rsidRPr="00F66162">
        <w:rPr>
          <w:noProof/>
        </w:rPr>
        <w:t>mieniu:</w:t>
      </w:r>
    </w:p>
    <w:p w14:paraId="62B2B2C0" w14:textId="269BDC96" w:rsidR="00543CB2" w:rsidRPr="00F66162" w:rsidRDefault="00543CB2" w:rsidP="00543CB2">
      <w:pPr>
        <w:ind w:left="850"/>
        <w:rPr>
          <w:noProof/>
        </w:rPr>
      </w:pPr>
      <w:r w:rsidRPr="00F66162">
        <w:rPr>
          <w:noProof/>
        </w:rPr>
        <w:t>„1a. Właściwy organ może obniżyć kwotę kary obliczoną zgodnie</w:t>
      </w:r>
      <w:r w:rsidR="00825614" w:rsidRPr="00F66162">
        <w:rPr>
          <w:noProof/>
        </w:rPr>
        <w:t xml:space="preserve"> z</w:t>
      </w:r>
      <w:r w:rsidR="00825614">
        <w:rPr>
          <w:noProof/>
        </w:rPr>
        <w:t> </w:t>
      </w:r>
      <w:r w:rsidR="00825614" w:rsidRPr="00825614">
        <w:rPr>
          <w:noProof/>
        </w:rPr>
        <w:t>ust</w:t>
      </w:r>
      <w:r w:rsidRPr="00825614">
        <w:rPr>
          <w:noProof/>
        </w:rPr>
        <w:t>.</w:t>
      </w:r>
      <w:r w:rsidR="00825614" w:rsidRPr="00825614">
        <w:rPr>
          <w:noProof/>
        </w:rPr>
        <w:t> </w:t>
      </w:r>
      <w:r w:rsidRPr="00825614">
        <w:rPr>
          <w:noProof/>
        </w:rPr>
        <w:t>1</w:t>
      </w:r>
      <w:r w:rsidRPr="00F66162">
        <w:rPr>
          <w:noProof/>
        </w:rPr>
        <w:t>,</w:t>
      </w:r>
      <w:r w:rsidR="00825614" w:rsidRPr="00F66162">
        <w:rPr>
          <w:noProof/>
        </w:rPr>
        <w:t xml:space="preserve"> w</w:t>
      </w:r>
      <w:r w:rsidR="00825614">
        <w:rPr>
          <w:noProof/>
        </w:rPr>
        <w:t> </w:t>
      </w:r>
      <w:r w:rsidR="00825614" w:rsidRPr="00F66162">
        <w:rPr>
          <w:noProof/>
        </w:rPr>
        <w:t>opa</w:t>
      </w:r>
      <w:r w:rsidRPr="00F66162">
        <w:rPr>
          <w:noProof/>
        </w:rPr>
        <w:t>rciu o co najmniej jeden</w:t>
      </w:r>
      <w:r w:rsidR="00825614" w:rsidRPr="00F66162">
        <w:rPr>
          <w:noProof/>
        </w:rPr>
        <w:t xml:space="preserve"> z</w:t>
      </w:r>
      <w:r w:rsidR="00825614">
        <w:rPr>
          <w:noProof/>
        </w:rPr>
        <w:t> </w:t>
      </w:r>
      <w:r w:rsidR="00825614" w:rsidRPr="00F66162">
        <w:rPr>
          <w:noProof/>
        </w:rPr>
        <w:t>nas</w:t>
      </w:r>
      <w:r w:rsidRPr="00F66162">
        <w:rPr>
          <w:noProof/>
        </w:rPr>
        <w:t xml:space="preserve">tępujących czynników: </w:t>
      </w:r>
    </w:p>
    <w:p w14:paraId="7C8047F0" w14:textId="77777777" w:rsidR="00543CB2" w:rsidRPr="00F66162" w:rsidRDefault="00543CB2" w:rsidP="00CD359D">
      <w:pPr>
        <w:ind w:left="850"/>
        <w:rPr>
          <w:noProof/>
        </w:rPr>
      </w:pPr>
      <w:r w:rsidRPr="00F66162">
        <w:rPr>
          <w:noProof/>
        </w:rPr>
        <w:t>a)</w:t>
      </w:r>
      <w:r w:rsidRPr="00F66162">
        <w:rPr>
          <w:noProof/>
        </w:rPr>
        <w:tab/>
        <w:t>zakres niezgłoszonych informacji;</w:t>
      </w:r>
      <w:r w:rsidRPr="00F66162">
        <w:rPr>
          <w:noProof/>
        </w:rPr>
        <w:tab/>
      </w:r>
    </w:p>
    <w:p w14:paraId="6054BA5F" w14:textId="4E2DCEBF" w:rsidR="00543CB2" w:rsidRPr="00F66162" w:rsidRDefault="00543CB2" w:rsidP="00CD359D">
      <w:pPr>
        <w:ind w:left="850"/>
        <w:rPr>
          <w:noProof/>
        </w:rPr>
      </w:pPr>
      <w:r w:rsidRPr="00F66162">
        <w:rPr>
          <w:noProof/>
        </w:rPr>
        <w:t>b)</w:t>
      </w:r>
      <w:r w:rsidRPr="00F66162">
        <w:rPr>
          <w:noProof/>
        </w:rPr>
        <w:tab/>
        <w:t>poziom współpracy</w:t>
      </w:r>
      <w:r w:rsidR="00825614" w:rsidRPr="00F66162">
        <w:rPr>
          <w:noProof/>
        </w:rPr>
        <w:t xml:space="preserve"> i</w:t>
      </w:r>
      <w:r w:rsidR="00825614">
        <w:rPr>
          <w:noProof/>
        </w:rPr>
        <w:t> </w:t>
      </w:r>
      <w:r w:rsidR="00825614" w:rsidRPr="00F66162">
        <w:rPr>
          <w:noProof/>
        </w:rPr>
        <w:t>got</w:t>
      </w:r>
      <w:r w:rsidRPr="00F66162">
        <w:rPr>
          <w:noProof/>
        </w:rPr>
        <w:t>owość upoważnionego zgłaszającego CBAM do zastosowania się do wniosków</w:t>
      </w:r>
      <w:r w:rsidR="00825614" w:rsidRPr="00F66162">
        <w:rPr>
          <w:noProof/>
        </w:rPr>
        <w:t xml:space="preserve"> o</w:t>
      </w:r>
      <w:r w:rsidR="00825614">
        <w:rPr>
          <w:noProof/>
        </w:rPr>
        <w:t> </w:t>
      </w:r>
      <w:r w:rsidR="00825614" w:rsidRPr="00F66162">
        <w:rPr>
          <w:noProof/>
        </w:rPr>
        <w:t>udz</w:t>
      </w:r>
      <w:r w:rsidRPr="00F66162">
        <w:rPr>
          <w:noProof/>
        </w:rPr>
        <w:t xml:space="preserve">ielenie informacji; </w:t>
      </w:r>
    </w:p>
    <w:p w14:paraId="2D7EB5D7" w14:textId="77777777" w:rsidR="00543CB2" w:rsidRPr="00F66162" w:rsidRDefault="00543CB2" w:rsidP="00CD359D">
      <w:pPr>
        <w:ind w:left="850"/>
        <w:rPr>
          <w:noProof/>
        </w:rPr>
      </w:pPr>
      <w:r w:rsidRPr="00F66162">
        <w:rPr>
          <w:noProof/>
        </w:rPr>
        <w:lastRenderedPageBreak/>
        <w:t>c)</w:t>
      </w:r>
      <w:r w:rsidRPr="00F66162">
        <w:rPr>
          <w:noProof/>
        </w:rPr>
        <w:tab/>
        <w:t>nieumyślne działanie upoważnionego zgłaszającego CBAM;</w:t>
      </w:r>
    </w:p>
    <w:p w14:paraId="7112BF16" w14:textId="77777777" w:rsidR="001232C6" w:rsidRPr="00F66162" w:rsidRDefault="00543CB2" w:rsidP="00CD359D">
      <w:pPr>
        <w:ind w:left="850"/>
        <w:rPr>
          <w:noProof/>
        </w:rPr>
      </w:pPr>
      <w:r w:rsidRPr="00F66162">
        <w:rPr>
          <w:noProof/>
        </w:rPr>
        <w:t>d)</w:t>
      </w:r>
      <w:r w:rsidRPr="00F66162">
        <w:rPr>
          <w:noProof/>
        </w:rPr>
        <w:tab/>
        <w:t>dotychczasową historię zgodności upoważnionego zgłaszającego CBAM.”;</w:t>
      </w:r>
    </w:p>
    <w:p w14:paraId="7739A1DB" w14:textId="19F50C1D" w:rsidR="007C619C" w:rsidRPr="00F66162" w:rsidRDefault="0074784E" w:rsidP="0074784E">
      <w:pPr>
        <w:pStyle w:val="Point1"/>
        <w:rPr>
          <w:noProof/>
        </w:rPr>
      </w:pPr>
      <w:r w:rsidRPr="00F66162">
        <w:rPr>
          <w:noProof/>
        </w:rPr>
        <w:t>b)</w:t>
      </w:r>
      <w:r w:rsidRPr="00F66162">
        <w:rPr>
          <w:noProof/>
        </w:rPr>
        <w:tab/>
      </w:r>
      <w:r w:rsidRPr="00825614">
        <w:rPr>
          <w:noProof/>
        </w:rPr>
        <w:t>ust.</w:t>
      </w:r>
      <w:r w:rsidR="00825614" w:rsidRPr="00825614">
        <w:rPr>
          <w:noProof/>
        </w:rPr>
        <w:t> </w:t>
      </w:r>
      <w:r w:rsidRPr="00825614">
        <w:rPr>
          <w:noProof/>
        </w:rPr>
        <w:t>2</w:t>
      </w:r>
      <w:r w:rsidR="00825614" w:rsidRPr="00F66162">
        <w:rPr>
          <w:noProof/>
        </w:rPr>
        <w:t xml:space="preserve"> i</w:t>
      </w:r>
      <w:r w:rsidR="00825614">
        <w:rPr>
          <w:noProof/>
        </w:rPr>
        <w:t> </w:t>
      </w:r>
      <w:r w:rsidR="00825614" w:rsidRPr="00F66162">
        <w:rPr>
          <w:noProof/>
        </w:rPr>
        <w:t>3</w:t>
      </w:r>
      <w:r w:rsidRPr="00F66162">
        <w:rPr>
          <w:noProof/>
        </w:rPr>
        <w:t xml:space="preserve"> otrzymują brzmienie:</w:t>
      </w:r>
    </w:p>
    <w:p w14:paraId="790339ED" w14:textId="1F6E03EB" w:rsidR="001232C6" w:rsidRPr="00F66162" w:rsidRDefault="00600A90" w:rsidP="00600A90">
      <w:pPr>
        <w:ind w:left="850"/>
        <w:rPr>
          <w:noProof/>
        </w:rPr>
      </w:pPr>
      <w:r w:rsidRPr="00F66162">
        <w:rPr>
          <w:noProof/>
        </w:rPr>
        <w:t>„2. Jeżeli osoba inna niż upoważniony zgłaszający CBAM wprowadza towary na obszar celny Unii bez dopełnienia obowiązków wynikających</w:t>
      </w:r>
      <w:r w:rsidR="00825614" w:rsidRPr="00F66162">
        <w:rPr>
          <w:noProof/>
        </w:rPr>
        <w:t xml:space="preserve"> z</w:t>
      </w:r>
      <w:r w:rsidR="00825614">
        <w:rPr>
          <w:noProof/>
        </w:rPr>
        <w:t> </w:t>
      </w:r>
      <w:r w:rsidR="00825614" w:rsidRPr="00F66162">
        <w:rPr>
          <w:noProof/>
        </w:rPr>
        <w:t>nin</w:t>
      </w:r>
      <w:r w:rsidRPr="00F66162">
        <w:rPr>
          <w:noProof/>
        </w:rPr>
        <w:t>iejszego rozporządzenia, osoba ta podlega karze pieniężnej. Kara ta powinna być skuteczna, proporcjonalna</w:t>
      </w:r>
      <w:r w:rsidR="00825614" w:rsidRPr="00F66162">
        <w:rPr>
          <w:noProof/>
        </w:rPr>
        <w:t xml:space="preserve"> i</w:t>
      </w:r>
      <w:r w:rsidR="00825614">
        <w:rPr>
          <w:noProof/>
        </w:rPr>
        <w:t> </w:t>
      </w:r>
      <w:r w:rsidR="00825614" w:rsidRPr="00F66162">
        <w:rPr>
          <w:noProof/>
        </w:rPr>
        <w:t>ods</w:t>
      </w:r>
      <w:r w:rsidRPr="00F66162">
        <w:rPr>
          <w:noProof/>
        </w:rPr>
        <w:t>traszająca i –</w:t>
      </w:r>
      <w:r w:rsidR="00825614" w:rsidRPr="00F66162">
        <w:rPr>
          <w:noProof/>
        </w:rPr>
        <w:t xml:space="preserve"> w</w:t>
      </w:r>
      <w:r w:rsidR="00825614">
        <w:rPr>
          <w:noProof/>
        </w:rPr>
        <w:t> </w:t>
      </w:r>
      <w:r w:rsidR="00825614" w:rsidRPr="00F66162">
        <w:rPr>
          <w:noProof/>
        </w:rPr>
        <w:t>zal</w:t>
      </w:r>
      <w:r w:rsidRPr="00F66162">
        <w:rPr>
          <w:noProof/>
        </w:rPr>
        <w:t>eżności szczególnie od czasu trwania, wagi, zakresu, umyślnego charakteru</w:t>
      </w:r>
      <w:r w:rsidR="00825614" w:rsidRPr="00F66162">
        <w:rPr>
          <w:noProof/>
        </w:rPr>
        <w:t xml:space="preserve"> i</w:t>
      </w:r>
      <w:r w:rsidR="00825614">
        <w:rPr>
          <w:noProof/>
        </w:rPr>
        <w:t> </w:t>
      </w:r>
      <w:r w:rsidR="00825614" w:rsidRPr="00F66162">
        <w:rPr>
          <w:noProof/>
        </w:rPr>
        <w:t>pow</w:t>
      </w:r>
      <w:r w:rsidRPr="00F66162">
        <w:rPr>
          <w:noProof/>
        </w:rPr>
        <w:t>tórzenia takiego niedopełnienia obowiązków,</w:t>
      </w:r>
      <w:r w:rsidR="00825614" w:rsidRPr="00F66162">
        <w:rPr>
          <w:noProof/>
        </w:rPr>
        <w:t xml:space="preserve"> a</w:t>
      </w:r>
      <w:r w:rsidR="00825614">
        <w:rPr>
          <w:noProof/>
        </w:rPr>
        <w:t> </w:t>
      </w:r>
      <w:r w:rsidR="00825614" w:rsidRPr="00F66162">
        <w:rPr>
          <w:noProof/>
        </w:rPr>
        <w:t>tak</w:t>
      </w:r>
      <w:r w:rsidRPr="00F66162">
        <w:rPr>
          <w:noProof/>
        </w:rPr>
        <w:t>że stopnia współpracy takiej osoby</w:t>
      </w:r>
      <w:r w:rsidR="00825614" w:rsidRPr="00F66162">
        <w:rPr>
          <w:noProof/>
        </w:rPr>
        <w:t xml:space="preserve"> z</w:t>
      </w:r>
      <w:r w:rsidR="00825614">
        <w:rPr>
          <w:noProof/>
        </w:rPr>
        <w:t> </w:t>
      </w:r>
      <w:r w:rsidR="00825614" w:rsidRPr="00F66162">
        <w:rPr>
          <w:noProof/>
        </w:rPr>
        <w:t>wła</w:t>
      </w:r>
      <w:r w:rsidRPr="00F66162">
        <w:rPr>
          <w:noProof/>
        </w:rPr>
        <w:t>ściwym organem – wynosi od trzykrotności do pięciokrotności kary,</w:t>
      </w:r>
      <w:r w:rsidR="00825614" w:rsidRPr="00F66162">
        <w:rPr>
          <w:noProof/>
        </w:rPr>
        <w:t xml:space="preserve"> o</w:t>
      </w:r>
      <w:r w:rsidR="00825614">
        <w:rPr>
          <w:noProof/>
        </w:rPr>
        <w:t> </w:t>
      </w:r>
      <w:r w:rsidR="00825614" w:rsidRPr="00F66162">
        <w:rPr>
          <w:noProof/>
        </w:rPr>
        <w:t>któ</w:t>
      </w:r>
      <w:r w:rsidRPr="00F66162">
        <w:rPr>
          <w:noProof/>
        </w:rPr>
        <w:t>rej mowa</w:t>
      </w:r>
      <w:r w:rsidR="00825614" w:rsidRPr="00F66162">
        <w:rPr>
          <w:noProof/>
        </w:rPr>
        <w:t xml:space="preserve"> w</w:t>
      </w:r>
      <w:r w:rsidR="00825614">
        <w:rPr>
          <w:noProof/>
        </w:rPr>
        <w:t> </w:t>
      </w:r>
      <w:r w:rsidR="00825614" w:rsidRPr="00F66162">
        <w:rPr>
          <w:noProof/>
        </w:rPr>
        <w:t>ust</w:t>
      </w:r>
      <w:r w:rsidRPr="00F66162">
        <w:rPr>
          <w:noProof/>
        </w:rPr>
        <w:t>. 1, mającej zastosowanie</w:t>
      </w:r>
      <w:r w:rsidR="00825614" w:rsidRPr="00F66162">
        <w:rPr>
          <w:noProof/>
        </w:rPr>
        <w:t xml:space="preserve"> w</w:t>
      </w:r>
      <w:r w:rsidR="00825614">
        <w:rPr>
          <w:noProof/>
        </w:rPr>
        <w:t> </w:t>
      </w:r>
      <w:r w:rsidR="00825614" w:rsidRPr="00F66162">
        <w:rPr>
          <w:noProof/>
        </w:rPr>
        <w:t>rok</w:t>
      </w:r>
      <w:r w:rsidRPr="00F66162">
        <w:rPr>
          <w:noProof/>
        </w:rPr>
        <w:t>u wprowadzenia towarów,</w:t>
      </w:r>
      <w:r w:rsidR="00825614" w:rsidRPr="00F66162">
        <w:rPr>
          <w:noProof/>
        </w:rPr>
        <w:t xml:space="preserve"> w</w:t>
      </w:r>
      <w:r w:rsidR="00825614">
        <w:rPr>
          <w:noProof/>
        </w:rPr>
        <w:t> </w:t>
      </w:r>
      <w:r w:rsidR="00825614" w:rsidRPr="00F66162">
        <w:rPr>
          <w:noProof/>
        </w:rPr>
        <w:t>odn</w:t>
      </w:r>
      <w:r w:rsidRPr="00F66162">
        <w:rPr>
          <w:noProof/>
        </w:rPr>
        <w:t>iesieniu do każdego certyfikatu CBAM, którego taka osoba nie przekazała do umorzenia. Uiszczenie takiej kary zwalnia daną osobę</w:t>
      </w:r>
      <w:r w:rsidR="00825614" w:rsidRPr="00F66162">
        <w:rPr>
          <w:noProof/>
        </w:rPr>
        <w:t xml:space="preserve"> z</w:t>
      </w:r>
      <w:r w:rsidR="00825614">
        <w:rPr>
          <w:noProof/>
        </w:rPr>
        <w:t> </w:t>
      </w:r>
      <w:r w:rsidR="00825614" w:rsidRPr="00F66162">
        <w:rPr>
          <w:noProof/>
        </w:rPr>
        <w:t>obo</w:t>
      </w:r>
      <w:r w:rsidRPr="00F66162">
        <w:rPr>
          <w:noProof/>
        </w:rPr>
        <w:t>wiązku złożenia deklaracji CBAM lub umorzenia certyfikatów.</w:t>
      </w:r>
    </w:p>
    <w:p w14:paraId="0BD2448B" w14:textId="45074483" w:rsidR="001232C6" w:rsidRPr="00F66162" w:rsidRDefault="00FF2638" w:rsidP="00FF2638">
      <w:pPr>
        <w:ind w:left="850"/>
        <w:rPr>
          <w:noProof/>
        </w:rPr>
      </w:pPr>
      <w:r w:rsidRPr="00F66162">
        <w:rPr>
          <w:noProof/>
        </w:rPr>
        <w:t>3. Uiszczenie kary zgodnie</w:t>
      </w:r>
      <w:r w:rsidR="00825614" w:rsidRPr="00F66162">
        <w:rPr>
          <w:noProof/>
        </w:rPr>
        <w:t xml:space="preserve"> z</w:t>
      </w:r>
      <w:r w:rsidR="00825614">
        <w:rPr>
          <w:noProof/>
        </w:rPr>
        <w:t> </w:t>
      </w:r>
      <w:r w:rsidR="00825614" w:rsidRPr="00825614">
        <w:rPr>
          <w:noProof/>
        </w:rPr>
        <w:t>ust</w:t>
      </w:r>
      <w:r w:rsidRPr="00825614">
        <w:rPr>
          <w:noProof/>
        </w:rPr>
        <w:t>.</w:t>
      </w:r>
      <w:r w:rsidR="00825614" w:rsidRPr="00825614">
        <w:rPr>
          <w:noProof/>
        </w:rPr>
        <w:t> </w:t>
      </w:r>
      <w:r w:rsidRPr="00825614">
        <w:rPr>
          <w:noProof/>
        </w:rPr>
        <w:t>1</w:t>
      </w:r>
      <w:r w:rsidRPr="00F66162">
        <w:rPr>
          <w:noProof/>
        </w:rPr>
        <w:t xml:space="preserve"> nie zwalnia upoważnionego zgłaszającego CBAM</w:t>
      </w:r>
      <w:r w:rsidR="00825614" w:rsidRPr="00F66162">
        <w:rPr>
          <w:noProof/>
        </w:rPr>
        <w:t xml:space="preserve"> z</w:t>
      </w:r>
      <w:r w:rsidR="00825614">
        <w:rPr>
          <w:noProof/>
        </w:rPr>
        <w:t> </w:t>
      </w:r>
      <w:r w:rsidR="00825614" w:rsidRPr="00F66162">
        <w:rPr>
          <w:noProof/>
        </w:rPr>
        <w:t>obo</w:t>
      </w:r>
      <w:r w:rsidRPr="00F66162">
        <w:rPr>
          <w:noProof/>
        </w:rPr>
        <w:t>wiązku przekazania do umorzenia pozostałej liczby certyfikatów CBAM</w:t>
      </w:r>
      <w:r w:rsidR="00825614" w:rsidRPr="00F66162">
        <w:rPr>
          <w:noProof/>
        </w:rPr>
        <w:t xml:space="preserve"> w</w:t>
      </w:r>
      <w:r w:rsidR="00825614">
        <w:rPr>
          <w:noProof/>
        </w:rPr>
        <w:t> </w:t>
      </w:r>
      <w:r w:rsidR="00825614" w:rsidRPr="00F66162">
        <w:rPr>
          <w:noProof/>
        </w:rPr>
        <w:t>dan</w:t>
      </w:r>
      <w:r w:rsidRPr="00F66162">
        <w:rPr>
          <w:noProof/>
        </w:rPr>
        <w:t xml:space="preserve">ym roku.”; </w:t>
      </w:r>
    </w:p>
    <w:p w14:paraId="1C9C3D53" w14:textId="089F612D" w:rsidR="00CC0F29" w:rsidRPr="00F66162" w:rsidRDefault="0074784E" w:rsidP="0074784E">
      <w:pPr>
        <w:pStyle w:val="Point0"/>
        <w:rPr>
          <w:noProof/>
        </w:rPr>
      </w:pPr>
      <w:r w:rsidRPr="00F66162">
        <w:rPr>
          <w:noProof/>
        </w:rPr>
        <w:t>22.</w:t>
      </w:r>
      <w:r w:rsidRPr="00F66162">
        <w:rPr>
          <w:noProof/>
        </w:rPr>
        <w:tab/>
      </w:r>
      <w:r w:rsidRPr="00825614">
        <w:rPr>
          <w:noProof/>
        </w:rPr>
        <w:t>art.</w:t>
      </w:r>
      <w:r w:rsidR="00825614" w:rsidRPr="00825614">
        <w:rPr>
          <w:noProof/>
        </w:rPr>
        <w:t> </w:t>
      </w:r>
      <w:r w:rsidRPr="00825614">
        <w:rPr>
          <w:noProof/>
        </w:rPr>
        <w:t>2</w:t>
      </w:r>
      <w:r w:rsidRPr="00F66162">
        <w:rPr>
          <w:noProof/>
        </w:rPr>
        <w:t xml:space="preserve">7 </w:t>
      </w:r>
      <w:r w:rsidRPr="00825614">
        <w:rPr>
          <w:noProof/>
        </w:rPr>
        <w:t>ust.</w:t>
      </w:r>
      <w:r w:rsidR="00825614" w:rsidRPr="00825614">
        <w:rPr>
          <w:noProof/>
        </w:rPr>
        <w:t> </w:t>
      </w:r>
      <w:r w:rsidRPr="00825614">
        <w:rPr>
          <w:noProof/>
        </w:rPr>
        <w:t>2</w:t>
      </w:r>
      <w:r w:rsidRPr="00F66162">
        <w:rPr>
          <w:noProof/>
        </w:rPr>
        <w:t xml:space="preserve"> </w:t>
      </w:r>
      <w:r w:rsidRPr="00825614">
        <w:rPr>
          <w:noProof/>
        </w:rPr>
        <w:t>lit.</w:t>
      </w:r>
      <w:r w:rsidR="00825614" w:rsidRPr="00825614">
        <w:rPr>
          <w:noProof/>
        </w:rPr>
        <w:t> </w:t>
      </w:r>
      <w:r w:rsidRPr="00825614">
        <w:rPr>
          <w:noProof/>
        </w:rPr>
        <w:t>b)</w:t>
      </w:r>
      <w:r w:rsidRPr="00F66162">
        <w:rPr>
          <w:noProof/>
        </w:rPr>
        <w:t xml:space="preserve"> otrzymuje brzmienie: </w:t>
      </w:r>
    </w:p>
    <w:p w14:paraId="30E94ECD" w14:textId="463ADC51" w:rsidR="001232C6" w:rsidRPr="00F66162" w:rsidRDefault="00F47F7E" w:rsidP="00F47F7E">
      <w:pPr>
        <w:ind w:left="850"/>
        <w:rPr>
          <w:noProof/>
        </w:rPr>
      </w:pPr>
      <w:r w:rsidRPr="00F66162">
        <w:rPr>
          <w:noProof/>
        </w:rPr>
        <w:t>„b) sztuczny podział przywozu,</w:t>
      </w:r>
      <w:r w:rsidR="00825614" w:rsidRPr="00F66162">
        <w:rPr>
          <w:noProof/>
        </w:rPr>
        <w:t xml:space="preserve"> w</w:t>
      </w:r>
      <w:r w:rsidR="00825614">
        <w:rPr>
          <w:noProof/>
        </w:rPr>
        <w:t> </w:t>
      </w:r>
      <w:r w:rsidR="00825614" w:rsidRPr="00F66162">
        <w:rPr>
          <w:noProof/>
        </w:rPr>
        <w:t>tym w</w:t>
      </w:r>
      <w:r w:rsidR="00825614">
        <w:rPr>
          <w:noProof/>
        </w:rPr>
        <w:t> </w:t>
      </w:r>
      <w:r w:rsidR="00825614" w:rsidRPr="00F66162">
        <w:rPr>
          <w:noProof/>
        </w:rPr>
        <w:t>ram</w:t>
      </w:r>
      <w:r w:rsidRPr="00F66162">
        <w:rPr>
          <w:noProof/>
        </w:rPr>
        <w:t>ach nierzeczywistych uzgodnień, aby uniknąć przekroczenia progu,</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 </w:t>
      </w:r>
      <w:r w:rsidRPr="00825614">
        <w:rPr>
          <w:noProof/>
        </w:rPr>
        <w:t>ust.</w:t>
      </w:r>
      <w:r w:rsidR="00825614" w:rsidRPr="00825614">
        <w:rPr>
          <w:noProof/>
        </w:rPr>
        <w:t> </w:t>
      </w:r>
      <w:r w:rsidRPr="00825614">
        <w:rPr>
          <w:noProof/>
        </w:rPr>
        <w:t>3</w:t>
      </w:r>
      <w:r w:rsidRPr="00F66162">
        <w:rPr>
          <w:noProof/>
        </w:rPr>
        <w:t>a.”;</w:t>
      </w:r>
    </w:p>
    <w:p w14:paraId="0180EA6A" w14:textId="19157CDC" w:rsidR="001232C6" w:rsidRPr="00F66162" w:rsidRDefault="0074784E" w:rsidP="0074784E">
      <w:pPr>
        <w:pStyle w:val="Point0"/>
        <w:rPr>
          <w:noProof/>
        </w:rPr>
      </w:pPr>
      <w:r w:rsidRPr="00F66162">
        <w:rPr>
          <w:noProof/>
        </w:rPr>
        <w:t>23.</w:t>
      </w:r>
      <w:r w:rsidRPr="00F66162">
        <w:rPr>
          <w:noProof/>
        </w:rPr>
        <w:tab/>
        <w:t xml:space="preserve">w </w:t>
      </w:r>
      <w:r w:rsidRPr="00825614">
        <w:rPr>
          <w:noProof/>
        </w:rPr>
        <w:t>art.</w:t>
      </w:r>
      <w:r w:rsidR="00825614" w:rsidRPr="00825614">
        <w:rPr>
          <w:noProof/>
        </w:rPr>
        <w:t> </w:t>
      </w:r>
      <w:r w:rsidRPr="00825614">
        <w:rPr>
          <w:noProof/>
        </w:rPr>
        <w:t>2</w:t>
      </w:r>
      <w:r w:rsidRPr="00F66162">
        <w:rPr>
          <w:noProof/>
        </w:rPr>
        <w:t>8 wprowadza się następujące zmiany:</w:t>
      </w:r>
    </w:p>
    <w:p w14:paraId="49AD931D" w14:textId="34A6222B" w:rsidR="000231D1" w:rsidRPr="00F66162" w:rsidRDefault="0074784E" w:rsidP="0074784E">
      <w:pPr>
        <w:pStyle w:val="Point1"/>
        <w:rPr>
          <w:noProof/>
        </w:rPr>
      </w:pPr>
      <w:r w:rsidRPr="00F66162">
        <w:rPr>
          <w:noProof/>
        </w:rPr>
        <w:t>a)</w:t>
      </w:r>
      <w:r w:rsidRPr="00F66162">
        <w:rPr>
          <w:noProof/>
        </w:rPr>
        <w:tab/>
      </w:r>
      <w:r w:rsidRPr="00825614">
        <w:rPr>
          <w:noProof/>
        </w:rPr>
        <w:t>ust.</w:t>
      </w:r>
      <w:r w:rsidR="00825614" w:rsidRPr="00825614">
        <w:rPr>
          <w:noProof/>
        </w:rPr>
        <w:t> </w:t>
      </w:r>
      <w:r w:rsidRPr="00825614">
        <w:rPr>
          <w:noProof/>
        </w:rPr>
        <w:t>2</w:t>
      </w:r>
      <w:r w:rsidR="00825614" w:rsidRPr="00F66162">
        <w:rPr>
          <w:noProof/>
        </w:rPr>
        <w:t xml:space="preserve"> i</w:t>
      </w:r>
      <w:r w:rsidR="00825614">
        <w:rPr>
          <w:noProof/>
        </w:rPr>
        <w:t> </w:t>
      </w:r>
      <w:r w:rsidR="00825614" w:rsidRPr="00F66162">
        <w:rPr>
          <w:noProof/>
        </w:rPr>
        <w:t>3</w:t>
      </w:r>
      <w:r w:rsidRPr="00F66162">
        <w:rPr>
          <w:noProof/>
        </w:rPr>
        <w:t xml:space="preserve"> otrzymują brzmienie: </w:t>
      </w:r>
    </w:p>
    <w:p w14:paraId="22F198A1" w14:textId="0ADBF3E6" w:rsidR="001232C6" w:rsidRPr="00F66162" w:rsidRDefault="064940EE" w:rsidP="00AC64EE">
      <w:pPr>
        <w:ind w:left="850"/>
        <w:rPr>
          <w:noProof/>
        </w:rPr>
      </w:pPr>
      <w:r w:rsidRPr="00F66162">
        <w:rPr>
          <w:noProof/>
        </w:rPr>
        <w:t>„2. Uprawnienia do przyjmowania aktów delegowanych,</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 </w:t>
      </w:r>
      <w:r w:rsidRPr="00825614">
        <w:rPr>
          <w:noProof/>
        </w:rPr>
        <w:t>ust.</w:t>
      </w:r>
      <w:r w:rsidR="00825614" w:rsidRPr="00825614">
        <w:rPr>
          <w:noProof/>
        </w:rPr>
        <w:t> </w:t>
      </w:r>
      <w:r w:rsidRPr="00825614">
        <w:rPr>
          <w:noProof/>
        </w:rPr>
        <w:t>3</w:t>
      </w:r>
      <w:r w:rsidRPr="00F66162">
        <w:rPr>
          <w:noProof/>
        </w:rPr>
        <w:t>a, 10</w:t>
      </w:r>
      <w:r w:rsidR="00825614" w:rsidRPr="00F66162">
        <w:rPr>
          <w:noProof/>
        </w:rPr>
        <w:t xml:space="preserve"> i</w:t>
      </w:r>
      <w:r w:rsidR="00825614">
        <w:rPr>
          <w:noProof/>
        </w:rPr>
        <w:t> </w:t>
      </w:r>
      <w:r w:rsidR="00825614" w:rsidRPr="00F66162">
        <w:rPr>
          <w:noProof/>
        </w:rPr>
        <w:t>1</w:t>
      </w:r>
      <w:r w:rsidRPr="00F66162">
        <w:rPr>
          <w:noProof/>
        </w:rPr>
        <w:t xml:space="preserve">1, </w:t>
      </w:r>
      <w:r w:rsidRPr="00825614">
        <w:rPr>
          <w:noProof/>
        </w:rPr>
        <w:t>art.</w:t>
      </w:r>
      <w:r w:rsidR="00825614" w:rsidRPr="00825614">
        <w:rPr>
          <w:noProof/>
        </w:rPr>
        <w:t> </w:t>
      </w:r>
      <w:r w:rsidRPr="00825614">
        <w:rPr>
          <w:noProof/>
        </w:rPr>
        <w:t>1</w:t>
      </w:r>
      <w:r w:rsidRPr="00F66162">
        <w:rPr>
          <w:noProof/>
        </w:rPr>
        <w:t xml:space="preserve">8 </w:t>
      </w:r>
      <w:r w:rsidRPr="00825614">
        <w:rPr>
          <w:noProof/>
        </w:rPr>
        <w:t>ust.</w:t>
      </w:r>
      <w:r w:rsidR="00825614" w:rsidRPr="00825614">
        <w:rPr>
          <w:noProof/>
        </w:rPr>
        <w:t> </w:t>
      </w:r>
      <w:r w:rsidRPr="00825614">
        <w:rPr>
          <w:noProof/>
        </w:rPr>
        <w:t>3</w:t>
      </w:r>
      <w:r w:rsidRPr="00F66162">
        <w:rPr>
          <w:noProof/>
        </w:rPr>
        <w:t xml:space="preserve">, </w:t>
      </w:r>
      <w:r w:rsidRPr="00825614">
        <w:rPr>
          <w:noProof/>
        </w:rPr>
        <w:t>art.</w:t>
      </w:r>
      <w:r w:rsidR="00825614" w:rsidRPr="00825614">
        <w:rPr>
          <w:noProof/>
        </w:rPr>
        <w:t> </w:t>
      </w:r>
      <w:r w:rsidRPr="00825614">
        <w:rPr>
          <w:noProof/>
        </w:rPr>
        <w:t>2</w:t>
      </w:r>
      <w:r w:rsidRPr="00F66162">
        <w:rPr>
          <w:noProof/>
        </w:rPr>
        <w:t xml:space="preserve">0 </w:t>
      </w:r>
      <w:r w:rsidRPr="00825614">
        <w:rPr>
          <w:noProof/>
        </w:rPr>
        <w:t>ust.</w:t>
      </w:r>
      <w:r w:rsidR="00825614" w:rsidRPr="00825614">
        <w:rPr>
          <w:noProof/>
        </w:rPr>
        <w:t> </w:t>
      </w:r>
      <w:r w:rsidRPr="00825614">
        <w:rPr>
          <w:noProof/>
        </w:rPr>
        <w:t>6</w:t>
      </w:r>
      <w:r w:rsidR="00825614" w:rsidRPr="00F66162">
        <w:rPr>
          <w:noProof/>
        </w:rPr>
        <w:t xml:space="preserve"> i</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7 </w:t>
      </w:r>
      <w:r w:rsidRPr="00825614">
        <w:rPr>
          <w:noProof/>
        </w:rPr>
        <w:t>ust.</w:t>
      </w:r>
      <w:r w:rsidR="00825614" w:rsidRPr="00825614">
        <w:rPr>
          <w:noProof/>
        </w:rPr>
        <w:t> </w:t>
      </w:r>
      <w:r w:rsidRPr="00825614">
        <w:rPr>
          <w:noProof/>
        </w:rPr>
        <w:t>6</w:t>
      </w:r>
      <w:r w:rsidRPr="00F66162">
        <w:rPr>
          <w:noProof/>
        </w:rPr>
        <w:t>, powierza się Komisji na okres pięciu lat od dnia [publikacji]. Komisja sporządza sprawozdanie dotyczące przekazania uprawnień nie później niż dziewięć miesięcy przed końcem okresu pięciu lat. Przekazanie uprawnień zostaje automatycznie przedłużone na takie same okresy, chyba że Parlament Europejski lub Rada sprzeciwią się takiemu przedłużeniu nie później niż trzy miesiące przed końcem każdego okresu.</w:t>
      </w:r>
    </w:p>
    <w:p w14:paraId="2979164E" w14:textId="0753CBF7" w:rsidR="001232C6" w:rsidRPr="00F66162" w:rsidRDefault="00D344CC" w:rsidP="00D344CC">
      <w:pPr>
        <w:ind w:left="850"/>
        <w:rPr>
          <w:noProof/>
        </w:rPr>
      </w:pPr>
      <w:r w:rsidRPr="00F66162">
        <w:rPr>
          <w:noProof/>
        </w:rPr>
        <w:t>3. Przekazanie uprawnień,</w:t>
      </w:r>
      <w:r w:rsidR="00825614" w:rsidRPr="00F66162">
        <w:rPr>
          <w:noProof/>
        </w:rPr>
        <w:t xml:space="preserve"> o</w:t>
      </w:r>
      <w:r w:rsidR="00825614">
        <w:rPr>
          <w:noProof/>
        </w:rPr>
        <w:t> </w:t>
      </w:r>
      <w:r w:rsidR="00825614" w:rsidRPr="00F66162">
        <w:rPr>
          <w:noProof/>
        </w:rPr>
        <w:t>któ</w:t>
      </w:r>
      <w:r w:rsidRPr="00F66162">
        <w:rPr>
          <w:noProof/>
        </w:rPr>
        <w:t>rym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 </w:t>
      </w:r>
      <w:r w:rsidRPr="00825614">
        <w:rPr>
          <w:noProof/>
        </w:rPr>
        <w:t>ust.</w:t>
      </w:r>
      <w:r w:rsidR="00825614" w:rsidRPr="00825614">
        <w:rPr>
          <w:noProof/>
        </w:rPr>
        <w:t> </w:t>
      </w:r>
      <w:r w:rsidRPr="00825614">
        <w:rPr>
          <w:noProof/>
        </w:rPr>
        <w:t>3</w:t>
      </w:r>
      <w:r w:rsidRPr="00F66162">
        <w:rPr>
          <w:noProof/>
        </w:rPr>
        <w:t>a, 10</w:t>
      </w:r>
      <w:r w:rsidR="00825614" w:rsidRPr="00F66162">
        <w:rPr>
          <w:noProof/>
        </w:rPr>
        <w:t xml:space="preserve"> i</w:t>
      </w:r>
      <w:r w:rsidR="00825614">
        <w:rPr>
          <w:noProof/>
        </w:rPr>
        <w:t> </w:t>
      </w:r>
      <w:r w:rsidR="00825614" w:rsidRPr="00F66162">
        <w:rPr>
          <w:noProof/>
        </w:rPr>
        <w:t>1</w:t>
      </w:r>
      <w:r w:rsidRPr="00F66162">
        <w:rPr>
          <w:noProof/>
        </w:rPr>
        <w:t xml:space="preserve">1, </w:t>
      </w:r>
      <w:r w:rsidRPr="00825614">
        <w:rPr>
          <w:noProof/>
        </w:rPr>
        <w:t>art.</w:t>
      </w:r>
      <w:r w:rsidR="00825614" w:rsidRPr="00825614">
        <w:rPr>
          <w:noProof/>
        </w:rPr>
        <w:t> </w:t>
      </w:r>
      <w:r w:rsidRPr="00825614">
        <w:rPr>
          <w:noProof/>
        </w:rPr>
        <w:t>9</w:t>
      </w:r>
      <w:r w:rsidRPr="00F66162">
        <w:rPr>
          <w:noProof/>
        </w:rPr>
        <w:t xml:space="preserve"> </w:t>
      </w:r>
      <w:r w:rsidRPr="00825614">
        <w:rPr>
          <w:noProof/>
        </w:rPr>
        <w:t>ust.</w:t>
      </w:r>
      <w:r w:rsidR="00825614" w:rsidRPr="00825614">
        <w:rPr>
          <w:noProof/>
        </w:rPr>
        <w:t> </w:t>
      </w:r>
      <w:r w:rsidRPr="00825614">
        <w:rPr>
          <w:noProof/>
        </w:rPr>
        <w:t>5</w:t>
      </w:r>
      <w:r w:rsidRPr="00F66162">
        <w:rPr>
          <w:noProof/>
        </w:rPr>
        <w:t xml:space="preserve">, </w:t>
      </w:r>
      <w:r w:rsidRPr="00825614">
        <w:rPr>
          <w:noProof/>
        </w:rPr>
        <w:t>art.</w:t>
      </w:r>
      <w:r w:rsidR="00825614" w:rsidRPr="00825614">
        <w:rPr>
          <w:noProof/>
        </w:rPr>
        <w:t> </w:t>
      </w:r>
      <w:r w:rsidRPr="00825614">
        <w:rPr>
          <w:noProof/>
        </w:rPr>
        <w:t>1</w:t>
      </w:r>
      <w:r w:rsidRPr="00F66162">
        <w:rPr>
          <w:noProof/>
        </w:rPr>
        <w:t xml:space="preserve">8 </w:t>
      </w:r>
      <w:r w:rsidRPr="00825614">
        <w:rPr>
          <w:noProof/>
        </w:rPr>
        <w:t>ust.</w:t>
      </w:r>
      <w:r w:rsidR="00825614" w:rsidRPr="00825614">
        <w:rPr>
          <w:noProof/>
        </w:rPr>
        <w:t> </w:t>
      </w:r>
      <w:r w:rsidRPr="00825614">
        <w:rPr>
          <w:noProof/>
        </w:rPr>
        <w:t>3</w:t>
      </w:r>
      <w:r w:rsidRPr="00F66162">
        <w:rPr>
          <w:noProof/>
        </w:rPr>
        <w:t xml:space="preserve">, </w:t>
      </w:r>
      <w:r w:rsidRPr="00825614">
        <w:rPr>
          <w:noProof/>
        </w:rPr>
        <w:t>art.</w:t>
      </w:r>
      <w:r w:rsidR="00825614" w:rsidRPr="00825614">
        <w:rPr>
          <w:noProof/>
        </w:rPr>
        <w:t> </w:t>
      </w:r>
      <w:r w:rsidRPr="00825614">
        <w:rPr>
          <w:noProof/>
        </w:rPr>
        <w:t>2</w:t>
      </w:r>
      <w:r w:rsidRPr="00F66162">
        <w:rPr>
          <w:noProof/>
        </w:rPr>
        <w:t xml:space="preserve">0 </w:t>
      </w:r>
      <w:r w:rsidRPr="00825614">
        <w:rPr>
          <w:noProof/>
        </w:rPr>
        <w:t>ust.</w:t>
      </w:r>
      <w:r w:rsidR="00825614" w:rsidRPr="00825614">
        <w:rPr>
          <w:noProof/>
        </w:rPr>
        <w:t> </w:t>
      </w:r>
      <w:r w:rsidRPr="00825614">
        <w:rPr>
          <w:noProof/>
        </w:rPr>
        <w:t>6</w:t>
      </w:r>
      <w:r w:rsidR="00825614" w:rsidRPr="00F66162">
        <w:rPr>
          <w:noProof/>
        </w:rPr>
        <w:t xml:space="preserve"> i</w:t>
      </w:r>
      <w:r w:rsidR="00825614">
        <w:rPr>
          <w:noProof/>
        </w:rPr>
        <w:t> </w:t>
      </w:r>
      <w:r w:rsidR="00825614" w:rsidRPr="00825614">
        <w:rPr>
          <w:noProof/>
        </w:rPr>
        <w:t>art</w:t>
      </w:r>
      <w:r w:rsidRPr="00825614">
        <w:rPr>
          <w:noProof/>
        </w:rPr>
        <w:t>.</w:t>
      </w:r>
      <w:r w:rsidR="00825614" w:rsidRPr="00825614">
        <w:rPr>
          <w:noProof/>
        </w:rPr>
        <w:t> </w:t>
      </w:r>
      <w:r w:rsidRPr="00825614">
        <w:rPr>
          <w:noProof/>
        </w:rPr>
        <w:t>2</w:t>
      </w:r>
      <w:r w:rsidRPr="00F66162">
        <w:rPr>
          <w:noProof/>
        </w:rPr>
        <w:t xml:space="preserve">7 </w:t>
      </w:r>
      <w:r w:rsidRPr="00825614">
        <w:rPr>
          <w:noProof/>
        </w:rPr>
        <w:t>ust.</w:t>
      </w:r>
      <w:r w:rsidR="00825614" w:rsidRPr="00825614">
        <w:rPr>
          <w:noProof/>
        </w:rPr>
        <w:t> </w:t>
      </w:r>
      <w:r w:rsidRPr="00825614">
        <w:rPr>
          <w:noProof/>
        </w:rPr>
        <w:t>6</w:t>
      </w:r>
      <w:r w:rsidRPr="00F66162">
        <w:rPr>
          <w:noProof/>
        </w:rPr>
        <w:t>, może zostać</w:t>
      </w:r>
      <w:r w:rsidR="00825614" w:rsidRPr="00F66162">
        <w:rPr>
          <w:noProof/>
        </w:rPr>
        <w:t xml:space="preserve"> w</w:t>
      </w:r>
      <w:r w:rsidR="00825614">
        <w:rPr>
          <w:noProof/>
        </w:rPr>
        <w:t> </w:t>
      </w:r>
      <w:r w:rsidR="00825614" w:rsidRPr="00F66162">
        <w:rPr>
          <w:noProof/>
        </w:rPr>
        <w:t>dow</w:t>
      </w:r>
      <w:r w:rsidRPr="00F66162">
        <w:rPr>
          <w:noProof/>
        </w:rPr>
        <w:t xml:space="preserve">olnym momencie odwołane przez Parlament Europejski lub przez Radę.”; </w:t>
      </w:r>
    </w:p>
    <w:p w14:paraId="2559828F" w14:textId="65C4B421" w:rsidR="001232C6" w:rsidRPr="00F66162" w:rsidRDefault="0074784E" w:rsidP="0074784E">
      <w:pPr>
        <w:pStyle w:val="Point1"/>
        <w:rPr>
          <w:noProof/>
        </w:rPr>
      </w:pPr>
      <w:r w:rsidRPr="00F66162">
        <w:rPr>
          <w:noProof/>
        </w:rPr>
        <w:t>b)</w:t>
      </w:r>
      <w:r w:rsidRPr="00F66162">
        <w:rPr>
          <w:noProof/>
        </w:rPr>
        <w:tab/>
        <w:t xml:space="preserve"> </w:t>
      </w:r>
      <w:r w:rsidRPr="00825614">
        <w:rPr>
          <w:noProof/>
        </w:rPr>
        <w:t>ust.</w:t>
      </w:r>
      <w:r w:rsidR="00825614" w:rsidRPr="00825614">
        <w:rPr>
          <w:noProof/>
        </w:rPr>
        <w:t> </w:t>
      </w:r>
      <w:r w:rsidRPr="00825614">
        <w:rPr>
          <w:noProof/>
        </w:rPr>
        <w:t>7</w:t>
      </w:r>
      <w:r w:rsidRPr="00F66162">
        <w:rPr>
          <w:noProof/>
        </w:rPr>
        <w:t xml:space="preserve"> otrzymuje brzmienie:</w:t>
      </w:r>
    </w:p>
    <w:p w14:paraId="75F261B7" w14:textId="7AA69B6B" w:rsidR="001232C6" w:rsidRPr="00F66162" w:rsidRDefault="00917C1B" w:rsidP="00917C1B">
      <w:pPr>
        <w:ind w:left="850"/>
        <w:rPr>
          <w:noProof/>
        </w:rPr>
      </w:pPr>
      <w:r w:rsidRPr="00F66162">
        <w:rPr>
          <w:noProof/>
        </w:rPr>
        <w:t xml:space="preserve">„7. Akt delegowany przyjęty na podstawie art. 2 </w:t>
      </w:r>
      <w:r w:rsidRPr="00825614">
        <w:rPr>
          <w:noProof/>
        </w:rPr>
        <w:t>ust.</w:t>
      </w:r>
      <w:r w:rsidR="00825614" w:rsidRPr="00825614">
        <w:rPr>
          <w:noProof/>
        </w:rPr>
        <w:t> </w:t>
      </w:r>
      <w:r w:rsidRPr="00825614">
        <w:rPr>
          <w:noProof/>
        </w:rPr>
        <w:t>3</w:t>
      </w:r>
      <w:r w:rsidRPr="00F66162">
        <w:rPr>
          <w:noProof/>
        </w:rPr>
        <w:t>a, 10</w:t>
      </w:r>
      <w:r w:rsidR="00825614" w:rsidRPr="00F66162">
        <w:rPr>
          <w:noProof/>
        </w:rPr>
        <w:t xml:space="preserve"> i</w:t>
      </w:r>
      <w:r w:rsidR="00825614">
        <w:rPr>
          <w:noProof/>
        </w:rPr>
        <w:t> </w:t>
      </w:r>
      <w:r w:rsidR="00825614" w:rsidRPr="00F66162">
        <w:rPr>
          <w:noProof/>
        </w:rPr>
        <w:t>1</w:t>
      </w:r>
      <w:r w:rsidRPr="00F66162">
        <w:rPr>
          <w:noProof/>
        </w:rPr>
        <w:t xml:space="preserve">1, </w:t>
      </w:r>
      <w:r w:rsidRPr="00825614">
        <w:rPr>
          <w:noProof/>
        </w:rPr>
        <w:t>art.</w:t>
      </w:r>
      <w:r w:rsidR="00825614" w:rsidRPr="00825614">
        <w:rPr>
          <w:noProof/>
        </w:rPr>
        <w:t> </w:t>
      </w:r>
      <w:r w:rsidRPr="00825614">
        <w:rPr>
          <w:noProof/>
        </w:rPr>
        <w:t>9</w:t>
      </w:r>
      <w:r w:rsidRPr="00F66162">
        <w:rPr>
          <w:noProof/>
        </w:rPr>
        <w:t xml:space="preserve"> </w:t>
      </w:r>
      <w:r w:rsidRPr="00825614">
        <w:rPr>
          <w:noProof/>
        </w:rPr>
        <w:t>ust.</w:t>
      </w:r>
      <w:r w:rsidR="00825614" w:rsidRPr="00825614">
        <w:rPr>
          <w:noProof/>
        </w:rPr>
        <w:t> </w:t>
      </w:r>
      <w:r w:rsidRPr="00825614">
        <w:rPr>
          <w:noProof/>
        </w:rPr>
        <w:t>5</w:t>
      </w:r>
      <w:r w:rsidRPr="00F66162">
        <w:rPr>
          <w:noProof/>
        </w:rPr>
        <w:t xml:space="preserve">, </w:t>
      </w:r>
      <w:r w:rsidRPr="00825614">
        <w:rPr>
          <w:noProof/>
        </w:rPr>
        <w:t>art.</w:t>
      </w:r>
      <w:r w:rsidR="00825614" w:rsidRPr="00825614">
        <w:rPr>
          <w:noProof/>
        </w:rPr>
        <w:t> </w:t>
      </w:r>
      <w:r w:rsidRPr="00825614">
        <w:rPr>
          <w:noProof/>
        </w:rPr>
        <w:t>1</w:t>
      </w:r>
      <w:r w:rsidRPr="00F66162">
        <w:rPr>
          <w:noProof/>
        </w:rPr>
        <w:t xml:space="preserve">8 </w:t>
      </w:r>
      <w:r w:rsidRPr="00825614">
        <w:rPr>
          <w:noProof/>
        </w:rPr>
        <w:t>ust.</w:t>
      </w:r>
      <w:r w:rsidR="00825614" w:rsidRPr="00825614">
        <w:rPr>
          <w:noProof/>
        </w:rPr>
        <w:t> </w:t>
      </w:r>
      <w:r w:rsidRPr="00825614">
        <w:rPr>
          <w:noProof/>
        </w:rPr>
        <w:t>3</w:t>
      </w:r>
      <w:r w:rsidRPr="00F66162">
        <w:rPr>
          <w:noProof/>
        </w:rPr>
        <w:t xml:space="preserve">, </w:t>
      </w:r>
      <w:r w:rsidRPr="00825614">
        <w:rPr>
          <w:noProof/>
        </w:rPr>
        <w:t>art.</w:t>
      </w:r>
      <w:r w:rsidR="00825614" w:rsidRPr="00825614">
        <w:rPr>
          <w:noProof/>
        </w:rPr>
        <w:t> </w:t>
      </w:r>
      <w:r w:rsidRPr="00825614">
        <w:rPr>
          <w:noProof/>
        </w:rPr>
        <w:t>2</w:t>
      </w:r>
      <w:r w:rsidRPr="00F66162">
        <w:rPr>
          <w:noProof/>
        </w:rPr>
        <w:t xml:space="preserve">0 </w:t>
      </w:r>
      <w:r w:rsidRPr="00825614">
        <w:rPr>
          <w:noProof/>
        </w:rPr>
        <w:t>ust.</w:t>
      </w:r>
      <w:r w:rsidR="00825614" w:rsidRPr="00825614">
        <w:rPr>
          <w:noProof/>
        </w:rPr>
        <w:t> </w:t>
      </w:r>
      <w:r w:rsidRPr="00825614">
        <w:rPr>
          <w:noProof/>
        </w:rPr>
        <w:t>6</w:t>
      </w:r>
      <w:r w:rsidRPr="00F66162">
        <w:rPr>
          <w:noProof/>
        </w:rPr>
        <w:t xml:space="preserve"> lub </w:t>
      </w:r>
      <w:r w:rsidRPr="00825614">
        <w:rPr>
          <w:noProof/>
        </w:rPr>
        <w:t>art.</w:t>
      </w:r>
      <w:r w:rsidR="00825614" w:rsidRPr="00825614">
        <w:rPr>
          <w:noProof/>
        </w:rPr>
        <w:t> </w:t>
      </w:r>
      <w:r w:rsidRPr="00825614">
        <w:rPr>
          <w:noProof/>
        </w:rPr>
        <w:t>2</w:t>
      </w:r>
      <w:r w:rsidRPr="00F66162">
        <w:rPr>
          <w:noProof/>
        </w:rPr>
        <w:t xml:space="preserve">7 </w:t>
      </w:r>
      <w:r w:rsidRPr="00825614">
        <w:rPr>
          <w:noProof/>
        </w:rPr>
        <w:t>ust.</w:t>
      </w:r>
      <w:r w:rsidR="00825614" w:rsidRPr="00825614">
        <w:rPr>
          <w:noProof/>
        </w:rPr>
        <w:t> </w:t>
      </w:r>
      <w:r w:rsidRPr="00825614">
        <w:rPr>
          <w:noProof/>
        </w:rPr>
        <w:t>6</w:t>
      </w:r>
      <w:r w:rsidRPr="00F66162">
        <w:rPr>
          <w:noProof/>
        </w:rPr>
        <w:t xml:space="preserve"> wchodzi</w:t>
      </w:r>
      <w:r w:rsidR="00825614" w:rsidRPr="00F66162">
        <w:rPr>
          <w:noProof/>
        </w:rPr>
        <w:t xml:space="preserve"> w</w:t>
      </w:r>
      <w:r w:rsidR="00825614">
        <w:rPr>
          <w:noProof/>
        </w:rPr>
        <w:t> </w:t>
      </w:r>
      <w:r w:rsidR="00825614" w:rsidRPr="00F66162">
        <w:rPr>
          <w:noProof/>
        </w:rPr>
        <w:t>życ</w:t>
      </w:r>
      <w:r w:rsidRPr="00F66162">
        <w:rPr>
          <w:noProof/>
        </w:rPr>
        <w:t>ie tylko wówczas, gdy ani Parlament Europejski, ani Rada nie wyraziły sprzeciwu</w:t>
      </w:r>
      <w:r w:rsidR="00825614" w:rsidRPr="00F66162">
        <w:rPr>
          <w:noProof/>
        </w:rPr>
        <w:t xml:space="preserve"> w</w:t>
      </w:r>
      <w:r w:rsidR="00825614">
        <w:rPr>
          <w:noProof/>
        </w:rPr>
        <w:t> </w:t>
      </w:r>
      <w:r w:rsidR="00825614" w:rsidRPr="00F66162">
        <w:rPr>
          <w:noProof/>
        </w:rPr>
        <w:t>ter</w:t>
      </w:r>
      <w:r w:rsidRPr="00F66162">
        <w:rPr>
          <w:noProof/>
        </w:rPr>
        <w:t>minie dwóch miesięcy od przekazania tego aktu Parlamentowi Europejskiemu</w:t>
      </w:r>
      <w:r w:rsidR="00825614" w:rsidRPr="00F66162">
        <w:rPr>
          <w:noProof/>
        </w:rPr>
        <w:t xml:space="preserve"> i</w:t>
      </w:r>
      <w:r w:rsidR="00825614">
        <w:rPr>
          <w:noProof/>
        </w:rPr>
        <w:t> </w:t>
      </w:r>
      <w:r w:rsidR="00825614" w:rsidRPr="00F66162">
        <w:rPr>
          <w:noProof/>
        </w:rPr>
        <w:t>Rad</w:t>
      </w:r>
      <w:r w:rsidRPr="00F66162">
        <w:rPr>
          <w:noProof/>
        </w:rPr>
        <w:t>zie lub gdy, przed upływem tego terminu, zarówno Parlament Europejski, jak</w:t>
      </w:r>
      <w:r w:rsidR="00825614" w:rsidRPr="00F66162">
        <w:rPr>
          <w:noProof/>
        </w:rPr>
        <w:t xml:space="preserve"> i</w:t>
      </w:r>
      <w:r w:rsidR="00825614">
        <w:rPr>
          <w:noProof/>
        </w:rPr>
        <w:t> </w:t>
      </w:r>
      <w:r w:rsidR="00825614" w:rsidRPr="00F66162">
        <w:rPr>
          <w:noProof/>
        </w:rPr>
        <w:t>Rad</w:t>
      </w:r>
      <w:r w:rsidRPr="00F66162">
        <w:rPr>
          <w:noProof/>
        </w:rPr>
        <w:t>a poinformowały Komisję, że nie wniosą sprzeciwu. Termin ten przedłuża się</w:t>
      </w:r>
      <w:r w:rsidR="00825614" w:rsidRPr="00F66162">
        <w:rPr>
          <w:noProof/>
        </w:rPr>
        <w:t xml:space="preserve"> o</w:t>
      </w:r>
      <w:r w:rsidR="00825614">
        <w:rPr>
          <w:noProof/>
        </w:rPr>
        <w:t> </w:t>
      </w:r>
      <w:r w:rsidR="00825614" w:rsidRPr="00F66162">
        <w:rPr>
          <w:noProof/>
        </w:rPr>
        <w:t>dwa</w:t>
      </w:r>
      <w:r w:rsidRPr="00F66162">
        <w:rPr>
          <w:noProof/>
        </w:rPr>
        <w:t xml:space="preserve"> miesiące</w:t>
      </w:r>
      <w:r w:rsidR="00825614" w:rsidRPr="00F66162">
        <w:rPr>
          <w:noProof/>
        </w:rPr>
        <w:t xml:space="preserve"> z</w:t>
      </w:r>
      <w:r w:rsidR="00825614">
        <w:rPr>
          <w:noProof/>
        </w:rPr>
        <w:t> </w:t>
      </w:r>
      <w:r w:rsidR="00825614" w:rsidRPr="00F66162">
        <w:rPr>
          <w:noProof/>
        </w:rPr>
        <w:t>ini</w:t>
      </w:r>
      <w:r w:rsidRPr="00F66162">
        <w:rPr>
          <w:noProof/>
        </w:rPr>
        <w:t xml:space="preserve">cjatywy Parlamentu Europejskiego lub Rady.”; </w:t>
      </w:r>
    </w:p>
    <w:p w14:paraId="6E9BAB67" w14:textId="05457EE5" w:rsidR="003E3397" w:rsidRPr="00F66162" w:rsidRDefault="0074784E" w:rsidP="0074784E">
      <w:pPr>
        <w:pStyle w:val="Point0"/>
        <w:rPr>
          <w:noProof/>
        </w:rPr>
      </w:pPr>
      <w:r w:rsidRPr="00F66162">
        <w:rPr>
          <w:noProof/>
        </w:rPr>
        <w:t>24.</w:t>
      </w:r>
      <w:r w:rsidRPr="00F66162">
        <w:rPr>
          <w:noProof/>
        </w:rPr>
        <w:tab/>
        <w:t xml:space="preserve">w art. 30 ust. 6 </w:t>
      </w:r>
      <w:r w:rsidRPr="00825614">
        <w:rPr>
          <w:noProof/>
        </w:rPr>
        <w:t>lit.</w:t>
      </w:r>
      <w:r w:rsidR="00825614" w:rsidRPr="00825614">
        <w:rPr>
          <w:noProof/>
        </w:rPr>
        <w:t> </w:t>
      </w:r>
      <w:r w:rsidRPr="00825614">
        <w:rPr>
          <w:noProof/>
        </w:rPr>
        <w:t>b)</w:t>
      </w:r>
      <w:r w:rsidRPr="00F66162">
        <w:rPr>
          <w:noProof/>
        </w:rPr>
        <w:t xml:space="preserve"> dodaje się podpunkt</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650B8D6B" w14:textId="6B26E6A3" w:rsidR="00C35AF6" w:rsidRPr="00F66162" w:rsidRDefault="00556329" w:rsidP="00CD359D">
      <w:pPr>
        <w:ind w:left="850"/>
        <w:rPr>
          <w:noProof/>
        </w:rPr>
      </w:pPr>
      <w:r w:rsidRPr="00F66162">
        <w:rPr>
          <w:noProof/>
        </w:rPr>
        <w:t>„(v) stosowania progu określonego</w:t>
      </w:r>
      <w:r w:rsidR="00825614" w:rsidRPr="00F66162">
        <w:rPr>
          <w:noProof/>
        </w:rPr>
        <w:t xml:space="preserve"> w</w:t>
      </w:r>
      <w:r w:rsidR="00825614">
        <w:rPr>
          <w:noProof/>
        </w:rPr>
        <w:t> </w:t>
      </w:r>
      <w:r w:rsidR="00825614" w:rsidRPr="00F66162">
        <w:rPr>
          <w:noProof/>
        </w:rPr>
        <w:t>zał</w:t>
      </w:r>
      <w:r w:rsidRPr="00F66162">
        <w:rPr>
          <w:noProof/>
        </w:rPr>
        <w:t xml:space="preserve">ączniku VII </w:t>
      </w:r>
      <w:r w:rsidRPr="00825614">
        <w:rPr>
          <w:noProof/>
        </w:rPr>
        <w:t>pkt</w:t>
      </w:r>
      <w:r w:rsidR="00825614" w:rsidRPr="00825614">
        <w:rPr>
          <w:noProof/>
        </w:rPr>
        <w:t> </w:t>
      </w:r>
      <w:r w:rsidRPr="00825614">
        <w:rPr>
          <w:noProof/>
        </w:rPr>
        <w:t>1</w:t>
      </w:r>
      <w:r w:rsidRPr="00F66162">
        <w:rPr>
          <w:noProof/>
        </w:rPr>
        <w:t xml:space="preserve">.”; </w:t>
      </w:r>
    </w:p>
    <w:p w14:paraId="073D3D95" w14:textId="2AA1FE5A" w:rsidR="00795386" w:rsidRPr="00F66162" w:rsidRDefault="0074784E" w:rsidP="0074784E">
      <w:pPr>
        <w:pStyle w:val="Point0"/>
        <w:rPr>
          <w:noProof/>
        </w:rPr>
      </w:pPr>
      <w:r w:rsidRPr="00F66162">
        <w:rPr>
          <w:noProof/>
        </w:rPr>
        <w:t>25.</w:t>
      </w:r>
      <w:r w:rsidRPr="00F66162">
        <w:rPr>
          <w:noProof/>
        </w:rPr>
        <w:tab/>
        <w:t xml:space="preserve">w </w:t>
      </w:r>
      <w:r w:rsidRPr="00825614">
        <w:rPr>
          <w:noProof/>
        </w:rPr>
        <w:t>art.</w:t>
      </w:r>
      <w:r w:rsidR="00825614" w:rsidRPr="00825614">
        <w:rPr>
          <w:noProof/>
        </w:rPr>
        <w:t> </w:t>
      </w:r>
      <w:r w:rsidRPr="00825614">
        <w:rPr>
          <w:noProof/>
        </w:rPr>
        <w:t>3</w:t>
      </w:r>
      <w:r w:rsidRPr="00F66162">
        <w:rPr>
          <w:noProof/>
        </w:rPr>
        <w:t xml:space="preserve">6 </w:t>
      </w:r>
      <w:r w:rsidRPr="00825614">
        <w:rPr>
          <w:noProof/>
        </w:rPr>
        <w:t>ust.</w:t>
      </w:r>
      <w:r w:rsidR="00825614" w:rsidRPr="00825614">
        <w:rPr>
          <w:noProof/>
        </w:rPr>
        <w:t> </w:t>
      </w:r>
      <w:r w:rsidRPr="00825614">
        <w:rPr>
          <w:noProof/>
        </w:rPr>
        <w:t>2</w:t>
      </w:r>
      <w:r w:rsidRPr="00F66162">
        <w:rPr>
          <w:noProof/>
        </w:rPr>
        <w:t xml:space="preserve"> wprowadza się następujące zmiany: </w:t>
      </w:r>
    </w:p>
    <w:p w14:paraId="53702C55" w14:textId="6D3347B6" w:rsidR="00E96575" w:rsidRPr="00F66162" w:rsidRDefault="0074784E" w:rsidP="0074784E">
      <w:pPr>
        <w:pStyle w:val="Point1"/>
        <w:rPr>
          <w:noProof/>
        </w:rPr>
      </w:pPr>
      <w:r w:rsidRPr="00F66162">
        <w:rPr>
          <w:noProof/>
        </w:rPr>
        <w:t>a)</w:t>
      </w:r>
      <w:r w:rsidRPr="00F66162">
        <w:rPr>
          <w:noProof/>
        </w:rPr>
        <w:tab/>
      </w:r>
      <w:r w:rsidRPr="00825614">
        <w:rPr>
          <w:noProof/>
        </w:rPr>
        <w:t>lit.</w:t>
      </w:r>
      <w:r w:rsidR="00825614" w:rsidRPr="00825614">
        <w:rPr>
          <w:noProof/>
        </w:rPr>
        <w:t> </w:t>
      </w:r>
      <w:r w:rsidRPr="00825614">
        <w:rPr>
          <w:noProof/>
        </w:rPr>
        <w:t>b)</w:t>
      </w:r>
      <w:r w:rsidRPr="00F66162">
        <w:rPr>
          <w:noProof/>
        </w:rPr>
        <w:t xml:space="preserve"> otrzymuje brzmienie:</w:t>
      </w:r>
    </w:p>
    <w:p w14:paraId="1161A35B" w14:textId="7A13F353" w:rsidR="005709A6" w:rsidRPr="00F66162" w:rsidRDefault="00E96575" w:rsidP="00CD359D">
      <w:pPr>
        <w:ind w:left="850"/>
        <w:rPr>
          <w:noProof/>
        </w:rPr>
      </w:pPr>
      <w:r w:rsidRPr="00F66162">
        <w:rPr>
          <w:noProof/>
        </w:rPr>
        <w:lastRenderedPageBreak/>
        <w:t xml:space="preserve"> „art. 2 ust. 2 oraz art. 4, 6–9, 15</w:t>
      </w:r>
      <w:r w:rsidR="00825614" w:rsidRPr="00F66162">
        <w:rPr>
          <w:noProof/>
        </w:rPr>
        <w:t xml:space="preserve"> i</w:t>
      </w:r>
      <w:r w:rsidR="00825614">
        <w:rPr>
          <w:noProof/>
        </w:rPr>
        <w:t> </w:t>
      </w:r>
      <w:r w:rsidR="00825614" w:rsidRPr="00F66162">
        <w:rPr>
          <w:noProof/>
        </w:rPr>
        <w:t>1</w:t>
      </w:r>
      <w:r w:rsidRPr="00F66162">
        <w:rPr>
          <w:noProof/>
        </w:rPr>
        <w:t xml:space="preserve">9, art. 21, </w:t>
      </w:r>
      <w:r w:rsidRPr="00825614">
        <w:rPr>
          <w:noProof/>
        </w:rPr>
        <w:t>art.</w:t>
      </w:r>
      <w:r w:rsidR="00825614" w:rsidRPr="00825614">
        <w:rPr>
          <w:noProof/>
        </w:rPr>
        <w:t> </w:t>
      </w:r>
      <w:r w:rsidRPr="00825614">
        <w:rPr>
          <w:noProof/>
        </w:rPr>
        <w:t>2</w:t>
      </w:r>
      <w:r w:rsidRPr="00F66162">
        <w:rPr>
          <w:noProof/>
        </w:rPr>
        <w:t xml:space="preserve">2 </w:t>
      </w:r>
      <w:r w:rsidRPr="00825614">
        <w:rPr>
          <w:noProof/>
        </w:rPr>
        <w:t>ust.</w:t>
      </w:r>
      <w:r w:rsidR="00825614" w:rsidRPr="00825614">
        <w:rPr>
          <w:noProof/>
        </w:rPr>
        <w:t> </w:t>
      </w:r>
      <w:r w:rsidRPr="00825614">
        <w:rPr>
          <w:noProof/>
        </w:rPr>
        <w:t>1</w:t>
      </w:r>
      <w:r w:rsidRPr="00F66162">
        <w:rPr>
          <w:noProof/>
        </w:rPr>
        <w:t xml:space="preserve">, </w:t>
      </w:r>
      <w:r w:rsidRPr="00825614">
        <w:rPr>
          <w:noProof/>
        </w:rPr>
        <w:t>art.</w:t>
      </w:r>
      <w:r w:rsidR="00825614" w:rsidRPr="00825614">
        <w:rPr>
          <w:noProof/>
        </w:rPr>
        <w:t> </w:t>
      </w:r>
      <w:r w:rsidRPr="00825614">
        <w:rPr>
          <w:noProof/>
        </w:rPr>
        <w:t>2</w:t>
      </w:r>
      <w:r w:rsidRPr="00F66162">
        <w:rPr>
          <w:noProof/>
        </w:rPr>
        <w:t xml:space="preserve">2 </w:t>
      </w:r>
      <w:r w:rsidRPr="00825614">
        <w:rPr>
          <w:noProof/>
        </w:rPr>
        <w:t>ust.</w:t>
      </w:r>
      <w:r w:rsidR="00825614" w:rsidRPr="00825614">
        <w:rPr>
          <w:noProof/>
        </w:rPr>
        <w:t> </w:t>
      </w:r>
      <w:r w:rsidRPr="00825614">
        <w:rPr>
          <w:noProof/>
        </w:rPr>
        <w:t>3</w:t>
      </w:r>
      <w:r w:rsidRPr="00F66162">
        <w:rPr>
          <w:noProof/>
        </w:rPr>
        <w:t xml:space="preserve">, </w:t>
      </w:r>
      <w:r w:rsidRPr="00825614">
        <w:rPr>
          <w:noProof/>
        </w:rPr>
        <w:t>art.</w:t>
      </w:r>
      <w:r w:rsidR="00825614" w:rsidRPr="00825614">
        <w:rPr>
          <w:noProof/>
        </w:rPr>
        <w:t> </w:t>
      </w:r>
      <w:r w:rsidRPr="00825614">
        <w:rPr>
          <w:noProof/>
        </w:rPr>
        <w:t>2</w:t>
      </w:r>
      <w:r w:rsidRPr="00F66162">
        <w:rPr>
          <w:noProof/>
        </w:rPr>
        <w:t>7</w:t>
      </w:r>
      <w:r w:rsidR="00825614" w:rsidRPr="00F66162">
        <w:rPr>
          <w:noProof/>
        </w:rPr>
        <w:t xml:space="preserve"> i</w:t>
      </w:r>
      <w:r w:rsidR="00825614">
        <w:rPr>
          <w:noProof/>
        </w:rPr>
        <w:t> </w:t>
      </w:r>
      <w:r w:rsidR="00825614" w:rsidRPr="00F66162">
        <w:rPr>
          <w:noProof/>
        </w:rPr>
        <w:t>3</w:t>
      </w:r>
      <w:r w:rsidRPr="00F66162">
        <w:rPr>
          <w:noProof/>
        </w:rPr>
        <w:t>1 stosuje się od dnia 1 stycznia 2026 r.”;</w:t>
      </w:r>
    </w:p>
    <w:p w14:paraId="69C491CE" w14:textId="6AA2B41A" w:rsidR="00E96575" w:rsidRPr="00F66162" w:rsidRDefault="0074784E" w:rsidP="0074784E">
      <w:pPr>
        <w:pStyle w:val="Point1"/>
        <w:rPr>
          <w:noProof/>
        </w:rPr>
      </w:pPr>
      <w:r w:rsidRPr="00F66162">
        <w:rPr>
          <w:noProof/>
        </w:rPr>
        <w:t>b)</w:t>
      </w:r>
      <w:r w:rsidRPr="00F66162">
        <w:rPr>
          <w:noProof/>
        </w:rPr>
        <w:tab/>
        <w:t>dodaje się litery</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351A6B12" w14:textId="35B2B047" w:rsidR="000976DB" w:rsidRPr="00F66162" w:rsidRDefault="00CD359D" w:rsidP="00CD359D">
      <w:pPr>
        <w:ind w:left="850"/>
        <w:rPr>
          <w:noProof/>
        </w:rPr>
      </w:pPr>
      <w:r w:rsidRPr="00F66162">
        <w:rPr>
          <w:noProof/>
        </w:rPr>
        <w:t xml:space="preserve">c) </w:t>
      </w:r>
      <w:r w:rsidRPr="00825614">
        <w:rPr>
          <w:noProof/>
        </w:rPr>
        <w:t>art.</w:t>
      </w:r>
      <w:r w:rsidR="00825614" w:rsidRPr="00825614">
        <w:rPr>
          <w:noProof/>
        </w:rPr>
        <w:t> </w:t>
      </w:r>
      <w:r w:rsidRPr="00825614">
        <w:rPr>
          <w:noProof/>
        </w:rPr>
        <w:t>2</w:t>
      </w:r>
      <w:r w:rsidRPr="00F66162">
        <w:rPr>
          <w:noProof/>
        </w:rPr>
        <w:t xml:space="preserve">2 </w:t>
      </w:r>
      <w:r w:rsidRPr="00825614">
        <w:rPr>
          <w:noProof/>
        </w:rPr>
        <w:t>ust.</w:t>
      </w:r>
      <w:r w:rsidR="00825614" w:rsidRPr="00825614">
        <w:rPr>
          <w:noProof/>
        </w:rPr>
        <w:t> </w:t>
      </w:r>
      <w:r w:rsidRPr="00825614">
        <w:rPr>
          <w:noProof/>
        </w:rPr>
        <w:t>2</w:t>
      </w:r>
      <w:r w:rsidRPr="00F66162">
        <w:rPr>
          <w:noProof/>
        </w:rPr>
        <w:t xml:space="preserve"> stosuje się od dnia 1 stycznia 20</w:t>
      </w:r>
      <w:r w:rsidRPr="00825614">
        <w:rPr>
          <w:noProof/>
        </w:rPr>
        <w:t>27</w:t>
      </w:r>
      <w:r w:rsidR="00825614" w:rsidRPr="00825614">
        <w:rPr>
          <w:noProof/>
        </w:rPr>
        <w:t> </w:t>
      </w:r>
      <w:r w:rsidRPr="00825614">
        <w:rPr>
          <w:noProof/>
        </w:rPr>
        <w:t>r.</w:t>
      </w:r>
    </w:p>
    <w:p w14:paraId="518A6635" w14:textId="6740E06F" w:rsidR="007F2872" w:rsidRPr="00F66162" w:rsidRDefault="00CD359D" w:rsidP="00CD359D">
      <w:pPr>
        <w:ind w:left="850"/>
        <w:rPr>
          <w:noProof/>
        </w:rPr>
      </w:pPr>
      <w:r w:rsidRPr="00F66162">
        <w:rPr>
          <w:noProof/>
        </w:rPr>
        <w:t xml:space="preserve">d) </w:t>
      </w:r>
      <w:r w:rsidRPr="00825614">
        <w:rPr>
          <w:noProof/>
        </w:rPr>
        <w:t>art.</w:t>
      </w:r>
      <w:r w:rsidR="00825614" w:rsidRPr="00825614">
        <w:rPr>
          <w:noProof/>
        </w:rPr>
        <w:t> </w:t>
      </w:r>
      <w:r w:rsidRPr="00825614">
        <w:rPr>
          <w:noProof/>
        </w:rPr>
        <w:t>2</w:t>
      </w:r>
      <w:r w:rsidRPr="00F66162">
        <w:rPr>
          <w:noProof/>
        </w:rPr>
        <w:t xml:space="preserve">0 </w:t>
      </w:r>
      <w:r w:rsidRPr="00825614">
        <w:rPr>
          <w:noProof/>
        </w:rPr>
        <w:t>ust.</w:t>
      </w:r>
      <w:r w:rsidR="00825614" w:rsidRPr="00825614">
        <w:rPr>
          <w:noProof/>
        </w:rPr>
        <w:t> </w:t>
      </w:r>
      <w:r w:rsidRPr="00825614">
        <w:rPr>
          <w:noProof/>
        </w:rPr>
        <w:t>1</w:t>
      </w:r>
      <w:r w:rsidRPr="00F66162">
        <w:rPr>
          <w:noProof/>
        </w:rPr>
        <w:t>, 3, 4</w:t>
      </w:r>
      <w:r w:rsidR="00825614" w:rsidRPr="00F66162">
        <w:rPr>
          <w:noProof/>
        </w:rPr>
        <w:t xml:space="preserve"> i</w:t>
      </w:r>
      <w:r w:rsidR="00825614">
        <w:rPr>
          <w:noProof/>
        </w:rPr>
        <w:t> </w:t>
      </w:r>
      <w:r w:rsidR="00825614" w:rsidRPr="00F66162">
        <w:rPr>
          <w:noProof/>
        </w:rPr>
        <w:t>5</w:t>
      </w:r>
      <w:r w:rsidRPr="00F66162">
        <w:rPr>
          <w:noProof/>
        </w:rPr>
        <w:t xml:space="preserve"> stosuje się od dnia 1 lutego 20</w:t>
      </w:r>
      <w:r w:rsidRPr="00825614">
        <w:rPr>
          <w:noProof/>
        </w:rPr>
        <w:t>27</w:t>
      </w:r>
      <w:r w:rsidR="00825614" w:rsidRPr="00825614">
        <w:rPr>
          <w:noProof/>
        </w:rPr>
        <w:t> </w:t>
      </w:r>
      <w:r w:rsidRPr="00825614">
        <w:rPr>
          <w:noProof/>
        </w:rPr>
        <w:t>r.</w:t>
      </w:r>
      <w:r w:rsidRPr="00F66162">
        <w:rPr>
          <w:noProof/>
        </w:rPr>
        <w:t>”;</w:t>
      </w:r>
    </w:p>
    <w:p w14:paraId="457FE2D5" w14:textId="77777777" w:rsidR="00C42145" w:rsidRPr="00F66162" w:rsidRDefault="0074784E" w:rsidP="0074784E">
      <w:pPr>
        <w:pStyle w:val="Point0"/>
        <w:rPr>
          <w:noProof/>
        </w:rPr>
      </w:pPr>
      <w:r w:rsidRPr="00F66162">
        <w:rPr>
          <w:noProof/>
        </w:rPr>
        <w:t>26.</w:t>
      </w:r>
      <w:r w:rsidRPr="00F66162">
        <w:rPr>
          <w:noProof/>
        </w:rPr>
        <w:tab/>
        <w:t>w załączniku I kod CN „2507 00 80 – Pozostałe gliny kaolinowe” zastępuje się kodem „2507 00 80 – Pozostałe gliny kaolinowe [z wyjątkiem niekalcynowanych glin kaolinowych]”;</w:t>
      </w:r>
    </w:p>
    <w:p w14:paraId="562DEE94" w14:textId="73D08801" w:rsidR="00BF4593" w:rsidRPr="00F66162" w:rsidRDefault="0074784E" w:rsidP="0074784E">
      <w:pPr>
        <w:pStyle w:val="Point0"/>
        <w:rPr>
          <w:noProof/>
        </w:rPr>
      </w:pPr>
      <w:r w:rsidRPr="00F66162">
        <w:rPr>
          <w:noProof/>
        </w:rPr>
        <w:t>27.</w:t>
      </w:r>
      <w:r w:rsidRPr="00F66162">
        <w:rPr>
          <w:noProof/>
        </w:rPr>
        <w:tab/>
        <w:t>W załączniku II dodaje się tabelę</w:t>
      </w:r>
      <w:r w:rsidR="00825614" w:rsidRPr="00F66162">
        <w:rPr>
          <w:noProof/>
        </w:rPr>
        <w:t xml:space="preserve"> w</w:t>
      </w:r>
      <w:r w:rsidR="00825614">
        <w:rPr>
          <w:noProof/>
        </w:rPr>
        <w:t> </w:t>
      </w:r>
      <w:r w:rsidR="00825614" w:rsidRPr="00F66162">
        <w:rPr>
          <w:noProof/>
        </w:rPr>
        <w:t>brz</w:t>
      </w:r>
      <w:r w:rsidRPr="00F66162">
        <w:rPr>
          <w:noProof/>
        </w:rPr>
        <w:t xml:space="preserve">mieniu: </w:t>
      </w:r>
    </w:p>
    <w:p w14:paraId="3B267E81" w14:textId="77777777" w:rsidR="007D56F6" w:rsidRPr="00F66162" w:rsidRDefault="007D56F6" w:rsidP="007D56F6">
      <w:pPr>
        <w:ind w:left="850"/>
        <w:rPr>
          <w:noProof/>
        </w:rPr>
      </w:pPr>
      <w:r w:rsidRPr="00F66162">
        <w:rPr>
          <w:noProof/>
        </w:rPr>
        <w:t xml:space="preserve"> „[Energia elektryczna</w:t>
      </w:r>
    </w:p>
    <w:tbl>
      <w:tblPr>
        <w:tblStyle w:val="Tabela-Siatka"/>
        <w:tblW w:w="0" w:type="auto"/>
        <w:tblInd w:w="1218" w:type="dxa"/>
        <w:tblLook w:val="04A0" w:firstRow="1" w:lastRow="0" w:firstColumn="1" w:lastColumn="0" w:noHBand="0" w:noVBand="1"/>
      </w:tblPr>
      <w:tblGrid>
        <w:gridCol w:w="3321"/>
        <w:gridCol w:w="3321"/>
      </w:tblGrid>
      <w:tr w:rsidR="007D56F6" w:rsidRPr="00F66162" w14:paraId="02638A11" w14:textId="77777777" w:rsidTr="00682576">
        <w:trPr>
          <w:trHeight w:val="257"/>
        </w:trPr>
        <w:tc>
          <w:tcPr>
            <w:tcW w:w="3321" w:type="dxa"/>
          </w:tcPr>
          <w:p w14:paraId="4ECFF36E" w14:textId="77777777" w:rsidR="007D56F6" w:rsidRPr="00F66162" w:rsidRDefault="007D56F6" w:rsidP="007D56F6">
            <w:pPr>
              <w:ind w:left="850"/>
              <w:rPr>
                <w:rFonts w:eastAsiaTheme="minorHAnsi"/>
                <w:noProof/>
                <w:szCs w:val="22"/>
              </w:rPr>
            </w:pPr>
            <w:r w:rsidRPr="00F66162">
              <w:rPr>
                <w:noProof/>
              </w:rPr>
              <w:t>Kod CN</w:t>
            </w:r>
          </w:p>
        </w:tc>
        <w:tc>
          <w:tcPr>
            <w:tcW w:w="3321" w:type="dxa"/>
          </w:tcPr>
          <w:p w14:paraId="1ABA9143" w14:textId="77777777" w:rsidR="007D56F6" w:rsidRPr="00F66162" w:rsidRDefault="007D56F6" w:rsidP="007D56F6">
            <w:pPr>
              <w:ind w:left="850"/>
              <w:rPr>
                <w:rFonts w:eastAsiaTheme="minorHAnsi"/>
                <w:noProof/>
                <w:szCs w:val="22"/>
              </w:rPr>
            </w:pPr>
            <w:r w:rsidRPr="00F66162">
              <w:rPr>
                <w:noProof/>
              </w:rPr>
              <w:t>Gaz cieplarniany</w:t>
            </w:r>
          </w:p>
        </w:tc>
      </w:tr>
      <w:tr w:rsidR="007D56F6" w:rsidRPr="00F66162" w14:paraId="4323553D" w14:textId="77777777" w:rsidTr="00682576">
        <w:trPr>
          <w:trHeight w:val="246"/>
        </w:trPr>
        <w:tc>
          <w:tcPr>
            <w:tcW w:w="3321" w:type="dxa"/>
          </w:tcPr>
          <w:p w14:paraId="3FB44FAB" w14:textId="77777777" w:rsidR="007D56F6" w:rsidRPr="00F66162" w:rsidRDefault="007D56F6" w:rsidP="007D56F6">
            <w:pPr>
              <w:ind w:left="850"/>
              <w:rPr>
                <w:rFonts w:eastAsiaTheme="minorHAnsi"/>
                <w:noProof/>
                <w:szCs w:val="22"/>
              </w:rPr>
            </w:pPr>
            <w:r w:rsidRPr="00F66162">
              <w:rPr>
                <w:noProof/>
              </w:rPr>
              <w:t>2716 00 00 – Energia elektryczna</w:t>
            </w:r>
          </w:p>
        </w:tc>
        <w:tc>
          <w:tcPr>
            <w:tcW w:w="3321" w:type="dxa"/>
          </w:tcPr>
          <w:p w14:paraId="03613462" w14:textId="77777777" w:rsidR="007D56F6" w:rsidRPr="00F66162" w:rsidRDefault="007D56F6" w:rsidP="007D56F6">
            <w:pPr>
              <w:ind w:left="850"/>
              <w:rPr>
                <w:rFonts w:eastAsiaTheme="minorHAnsi"/>
                <w:noProof/>
                <w:szCs w:val="22"/>
              </w:rPr>
            </w:pPr>
            <w:r w:rsidRPr="00F66162">
              <w:rPr>
                <w:noProof/>
              </w:rPr>
              <w:t>Dwutlenek węgla</w:t>
            </w:r>
          </w:p>
        </w:tc>
      </w:tr>
    </w:tbl>
    <w:p w14:paraId="3D89E37F" w14:textId="77777777" w:rsidR="007D56F6" w:rsidRPr="00F66162" w:rsidRDefault="007D56F6" w:rsidP="007D56F6">
      <w:pPr>
        <w:ind w:left="850"/>
        <w:rPr>
          <w:noProof/>
        </w:rPr>
      </w:pPr>
      <w:r w:rsidRPr="00F66162">
        <w:rPr>
          <w:noProof/>
        </w:rPr>
        <w:tab/>
        <w:t>]”;</w:t>
      </w:r>
    </w:p>
    <w:p w14:paraId="6DE94CE9" w14:textId="24DC2D21" w:rsidR="008645F9" w:rsidRPr="00F66162" w:rsidRDefault="0074784E" w:rsidP="0074784E">
      <w:pPr>
        <w:pStyle w:val="Point0"/>
        <w:rPr>
          <w:noProof/>
        </w:rPr>
      </w:pPr>
      <w:r w:rsidRPr="00F66162">
        <w:rPr>
          <w:noProof/>
        </w:rPr>
        <w:t>28.</w:t>
      </w:r>
      <w:r w:rsidRPr="00F66162">
        <w:rPr>
          <w:noProof/>
        </w:rPr>
        <w:tab/>
        <w:t>w załączniku IV wprowadza się zmiany zgodnie</w:t>
      </w:r>
      <w:r w:rsidR="00825614" w:rsidRPr="00F66162">
        <w:rPr>
          <w:noProof/>
        </w:rPr>
        <w:t xml:space="preserve"> z</w:t>
      </w:r>
      <w:r w:rsidR="00825614">
        <w:rPr>
          <w:noProof/>
        </w:rPr>
        <w:t> </w:t>
      </w:r>
      <w:r w:rsidR="00825614" w:rsidRPr="00F66162">
        <w:rPr>
          <w:noProof/>
        </w:rPr>
        <w:t>zał</w:t>
      </w:r>
      <w:r w:rsidRPr="00F66162">
        <w:rPr>
          <w:noProof/>
        </w:rPr>
        <w:t xml:space="preserve">ącznikiem I do niniejszego rozporządzenia; </w:t>
      </w:r>
    </w:p>
    <w:p w14:paraId="2A387551" w14:textId="549BF48A" w:rsidR="00946998" w:rsidRPr="00F66162" w:rsidRDefault="005A7561" w:rsidP="00ED3746">
      <w:pPr>
        <w:ind w:left="850"/>
        <w:rPr>
          <w:noProof/>
        </w:rPr>
      </w:pPr>
      <w:r w:rsidRPr="00F66162">
        <w:rPr>
          <w:noProof/>
        </w:rPr>
        <w:t xml:space="preserve">w części 2 </w:t>
      </w:r>
      <w:r w:rsidRPr="00825614">
        <w:rPr>
          <w:noProof/>
        </w:rPr>
        <w:t>lit.</w:t>
      </w:r>
      <w:r w:rsidR="00825614" w:rsidRPr="00825614">
        <w:rPr>
          <w:noProof/>
        </w:rPr>
        <w:t> </w:t>
      </w:r>
      <w:r w:rsidRPr="00825614">
        <w:rPr>
          <w:noProof/>
        </w:rPr>
        <w:t>k)</w:t>
      </w:r>
      <w:r w:rsidRPr="00F66162">
        <w:rPr>
          <w:noProof/>
        </w:rPr>
        <w:t xml:space="preserve"> załącznika VI punkt (iii) otrzymuje brzmienie: „(iii) wskazanie instalacji,</w:t>
      </w:r>
      <w:r w:rsidR="00825614" w:rsidRPr="00F66162">
        <w:rPr>
          <w:noProof/>
        </w:rPr>
        <w:t xml:space="preserve"> w</w:t>
      </w:r>
      <w:r w:rsidR="00825614">
        <w:rPr>
          <w:noProof/>
        </w:rPr>
        <w:t> </w:t>
      </w:r>
      <w:r w:rsidR="00825614" w:rsidRPr="00F66162">
        <w:rPr>
          <w:noProof/>
        </w:rPr>
        <w:t>któ</w:t>
      </w:r>
      <w:r w:rsidRPr="00F66162">
        <w:rPr>
          <w:noProof/>
        </w:rPr>
        <w:t>rych wyprodukowano materiał wsadowy (prekursora), oraz poziom rzeczywistych emisji pochodzących</w:t>
      </w:r>
      <w:r w:rsidR="00825614" w:rsidRPr="00F66162">
        <w:rPr>
          <w:noProof/>
        </w:rPr>
        <w:t xml:space="preserve"> z</w:t>
      </w:r>
      <w:r w:rsidR="00825614">
        <w:rPr>
          <w:noProof/>
        </w:rPr>
        <w:t> </w:t>
      </w:r>
      <w:r w:rsidR="00825614" w:rsidRPr="00F66162">
        <w:rPr>
          <w:noProof/>
        </w:rPr>
        <w:t>pro</w:t>
      </w:r>
      <w:r w:rsidRPr="00F66162">
        <w:rPr>
          <w:noProof/>
        </w:rPr>
        <w:t>dukcji tego materiału;”;</w:t>
      </w:r>
    </w:p>
    <w:p w14:paraId="52F962D7" w14:textId="68549122" w:rsidR="008645F9" w:rsidRPr="00F66162" w:rsidRDefault="0074784E" w:rsidP="0074784E">
      <w:pPr>
        <w:pStyle w:val="Point0"/>
        <w:rPr>
          <w:noProof/>
        </w:rPr>
      </w:pPr>
      <w:r w:rsidRPr="00F66162">
        <w:rPr>
          <w:noProof/>
        </w:rPr>
        <w:t>29.</w:t>
      </w:r>
      <w:r w:rsidRPr="00F66162">
        <w:rPr>
          <w:noProof/>
        </w:rPr>
        <w:tab/>
        <w:t>dodaje się załącznik VII</w:t>
      </w:r>
      <w:r w:rsidR="00825614" w:rsidRPr="00F66162">
        <w:rPr>
          <w:noProof/>
        </w:rPr>
        <w:t xml:space="preserve"> w</w:t>
      </w:r>
      <w:r w:rsidR="00825614">
        <w:rPr>
          <w:noProof/>
        </w:rPr>
        <w:t> </w:t>
      </w:r>
      <w:r w:rsidR="00825614" w:rsidRPr="00F66162">
        <w:rPr>
          <w:noProof/>
        </w:rPr>
        <w:t>brz</w:t>
      </w:r>
      <w:r w:rsidRPr="00F66162">
        <w:rPr>
          <w:noProof/>
        </w:rPr>
        <w:t>mieniu określonym</w:t>
      </w:r>
      <w:r w:rsidR="00825614" w:rsidRPr="00F66162">
        <w:rPr>
          <w:noProof/>
        </w:rPr>
        <w:t xml:space="preserve"> w</w:t>
      </w:r>
      <w:r w:rsidR="00825614">
        <w:rPr>
          <w:noProof/>
        </w:rPr>
        <w:t> </w:t>
      </w:r>
      <w:r w:rsidR="00825614" w:rsidRPr="00F66162">
        <w:rPr>
          <w:noProof/>
        </w:rPr>
        <w:t>zał</w:t>
      </w:r>
      <w:r w:rsidRPr="00F66162">
        <w:rPr>
          <w:noProof/>
        </w:rPr>
        <w:t xml:space="preserve">ączniku II do niniejszego rozporządzenia. </w:t>
      </w:r>
    </w:p>
    <w:p w14:paraId="4451B7B5" w14:textId="77777777" w:rsidR="00741D62" w:rsidRPr="00F66162" w:rsidRDefault="00741D62" w:rsidP="00741D62">
      <w:pPr>
        <w:pStyle w:val="Titrearticle"/>
        <w:rPr>
          <w:noProof/>
        </w:rPr>
      </w:pPr>
      <w:r w:rsidRPr="00F66162">
        <w:rPr>
          <w:noProof/>
        </w:rPr>
        <w:t>Artykuł 2</w:t>
      </w:r>
    </w:p>
    <w:p w14:paraId="0E018049" w14:textId="342FC5A0" w:rsidR="00741D62" w:rsidRPr="00F66162" w:rsidRDefault="00741D62" w:rsidP="00741D62">
      <w:pPr>
        <w:pStyle w:val="Titrearticle"/>
        <w:rPr>
          <w:b/>
          <w:bCs/>
          <w:i w:val="0"/>
          <w:iCs/>
          <w:noProof/>
        </w:rPr>
      </w:pPr>
      <w:r w:rsidRPr="00F66162">
        <w:rPr>
          <w:b/>
          <w:i w:val="0"/>
          <w:noProof/>
        </w:rPr>
        <w:t>Wejście</w:t>
      </w:r>
      <w:r w:rsidR="00825614" w:rsidRPr="00F66162">
        <w:rPr>
          <w:b/>
          <w:i w:val="0"/>
          <w:noProof/>
        </w:rPr>
        <w:t xml:space="preserve"> w</w:t>
      </w:r>
      <w:r w:rsidR="00825614">
        <w:rPr>
          <w:b/>
          <w:i w:val="0"/>
          <w:noProof/>
        </w:rPr>
        <w:t> </w:t>
      </w:r>
      <w:r w:rsidR="00825614" w:rsidRPr="00F66162">
        <w:rPr>
          <w:b/>
          <w:i w:val="0"/>
          <w:noProof/>
        </w:rPr>
        <w:t>życ</w:t>
      </w:r>
      <w:r w:rsidRPr="00F66162">
        <w:rPr>
          <w:b/>
          <w:i w:val="0"/>
          <w:noProof/>
        </w:rPr>
        <w:t>ie</w:t>
      </w:r>
    </w:p>
    <w:p w14:paraId="6AA328B7" w14:textId="275410B8" w:rsidR="00741D62" w:rsidRPr="00F66162" w:rsidRDefault="00741D62" w:rsidP="00741D62">
      <w:pPr>
        <w:rPr>
          <w:noProof/>
        </w:rPr>
      </w:pPr>
      <w:r w:rsidRPr="00F66162">
        <w:rPr>
          <w:noProof/>
        </w:rPr>
        <w:t>Niniejsze rozporządzenie wchodzi</w:t>
      </w:r>
      <w:r w:rsidR="00825614" w:rsidRPr="00F66162">
        <w:rPr>
          <w:noProof/>
        </w:rPr>
        <w:t xml:space="preserve"> w</w:t>
      </w:r>
      <w:r w:rsidR="00825614">
        <w:rPr>
          <w:noProof/>
        </w:rPr>
        <w:t> </w:t>
      </w:r>
      <w:r w:rsidR="00825614" w:rsidRPr="00F66162">
        <w:rPr>
          <w:noProof/>
        </w:rPr>
        <w:t>życ</w:t>
      </w:r>
      <w:r w:rsidRPr="00F66162">
        <w:rPr>
          <w:noProof/>
        </w:rPr>
        <w:t>ie trzeciego dnia po jego opublikowaniu</w:t>
      </w:r>
      <w:r w:rsidR="00825614" w:rsidRPr="00F66162">
        <w:rPr>
          <w:noProof/>
        </w:rPr>
        <w:t xml:space="preserve"> w</w:t>
      </w:r>
      <w:r w:rsidR="00825614">
        <w:rPr>
          <w:noProof/>
        </w:rPr>
        <w:t> </w:t>
      </w:r>
      <w:r w:rsidR="00825614" w:rsidRPr="00F66162">
        <w:rPr>
          <w:i/>
          <w:iCs/>
          <w:noProof/>
        </w:rPr>
        <w:t>Dzi</w:t>
      </w:r>
      <w:r w:rsidRPr="00F66162">
        <w:rPr>
          <w:i/>
          <w:iCs/>
          <w:noProof/>
        </w:rPr>
        <w:t>enniku Urzędowym Unii Europejskiej.</w:t>
      </w:r>
      <w:r w:rsidRPr="00F66162">
        <w:rPr>
          <w:noProof/>
        </w:rPr>
        <w:t xml:space="preserve"> </w:t>
      </w:r>
    </w:p>
    <w:p w14:paraId="105DD72A" w14:textId="14DDFA59" w:rsidR="00741D62" w:rsidRPr="00F66162" w:rsidRDefault="00741D62" w:rsidP="007B2A2F">
      <w:pPr>
        <w:keepNext/>
        <w:keepLines/>
        <w:rPr>
          <w:noProof/>
        </w:rPr>
      </w:pPr>
      <w:r w:rsidRPr="00F66162">
        <w:rPr>
          <w:noProof/>
        </w:rPr>
        <w:t>Niniejsze rozporządzenie wiąże</w:t>
      </w:r>
      <w:r w:rsidR="00825614" w:rsidRPr="00F66162">
        <w:rPr>
          <w:noProof/>
        </w:rPr>
        <w:t xml:space="preserve"> w</w:t>
      </w:r>
      <w:r w:rsidR="00825614">
        <w:rPr>
          <w:noProof/>
        </w:rPr>
        <w:t> </w:t>
      </w:r>
      <w:r w:rsidR="00825614" w:rsidRPr="00F66162">
        <w:rPr>
          <w:noProof/>
        </w:rPr>
        <w:t>cał</w:t>
      </w:r>
      <w:r w:rsidRPr="00F66162">
        <w:rPr>
          <w:noProof/>
        </w:rPr>
        <w:t>ości</w:t>
      </w:r>
      <w:r w:rsidR="00825614" w:rsidRPr="00F66162">
        <w:rPr>
          <w:noProof/>
        </w:rPr>
        <w:t xml:space="preserve"> i</w:t>
      </w:r>
      <w:r w:rsidR="00825614">
        <w:rPr>
          <w:noProof/>
        </w:rPr>
        <w:t> </w:t>
      </w:r>
      <w:r w:rsidR="00825614" w:rsidRPr="00F66162">
        <w:rPr>
          <w:noProof/>
        </w:rPr>
        <w:t>jes</w:t>
      </w:r>
      <w:r w:rsidRPr="00F66162">
        <w:rPr>
          <w:noProof/>
        </w:rPr>
        <w:t xml:space="preserve">t bezpośrednio stosowane we wszystkich państwach członkowskich. </w:t>
      </w:r>
    </w:p>
    <w:p w14:paraId="7B142232" w14:textId="6D62FADC" w:rsidR="00FA5543" w:rsidRPr="00F66162" w:rsidRDefault="00825614" w:rsidP="007B2A2F">
      <w:pPr>
        <w:pStyle w:val="Fait"/>
        <w:rPr>
          <w:noProof/>
        </w:rPr>
      </w:pPr>
      <w:r>
        <w:rPr>
          <w:noProof/>
        </w:rPr>
        <w:t>Sporządzono w Brukseli dnia  r.</w:t>
      </w:r>
    </w:p>
    <w:p w14:paraId="4E70E45B" w14:textId="77777777" w:rsidR="00FA5543" w:rsidRPr="00F66162" w:rsidRDefault="00FA5543" w:rsidP="007B2A2F">
      <w:pPr>
        <w:pStyle w:val="Institutionquisigne"/>
        <w:rPr>
          <w:noProof/>
        </w:rPr>
      </w:pPr>
      <w:r w:rsidRPr="00F66162">
        <w:rPr>
          <w:noProof/>
        </w:rPr>
        <w:t>W imieniu Parlamentu Europejskiego</w:t>
      </w:r>
      <w:r w:rsidRPr="00F66162">
        <w:rPr>
          <w:noProof/>
        </w:rPr>
        <w:tab/>
        <w:t>W imieniu Rady</w:t>
      </w:r>
    </w:p>
    <w:p w14:paraId="5BF54B34" w14:textId="77777777" w:rsidR="00487EF7" w:rsidRPr="00F66162" w:rsidRDefault="00FA5543" w:rsidP="007B2A2F">
      <w:pPr>
        <w:pStyle w:val="Personnequisigne"/>
        <w:keepNext/>
        <w:rPr>
          <w:noProof/>
        </w:rPr>
      </w:pPr>
      <w:r w:rsidRPr="00F66162">
        <w:rPr>
          <w:noProof/>
        </w:rPr>
        <w:t>Przewodnicząca</w:t>
      </w:r>
      <w:r w:rsidRPr="00F66162">
        <w:rPr>
          <w:noProof/>
        </w:rPr>
        <w:tab/>
        <w:t>Przewodniczący</w:t>
      </w:r>
    </w:p>
    <w:p w14:paraId="6C52E30E" w14:textId="77777777" w:rsidR="00643433" w:rsidRPr="00F66162" w:rsidRDefault="00643433" w:rsidP="007B2A2F">
      <w:pPr>
        <w:keepNext/>
        <w:spacing w:before="0" w:after="200" w:line="276" w:lineRule="auto"/>
        <w:jc w:val="left"/>
        <w:rPr>
          <w:i/>
          <w:noProof/>
        </w:rPr>
      </w:pPr>
      <w:r w:rsidRPr="00F66162">
        <w:rPr>
          <w:noProof/>
        </w:rPr>
        <w:br w:type="page"/>
      </w:r>
    </w:p>
    <w:p w14:paraId="42DD6FC5" w14:textId="77777777" w:rsidR="004D30D3" w:rsidRPr="00F66162" w:rsidRDefault="004D30D3" w:rsidP="00F605F1">
      <w:pPr>
        <w:pStyle w:val="Institutionquisigne"/>
        <w:rPr>
          <w:noProof/>
        </w:rPr>
      </w:pPr>
    </w:p>
    <w:p w14:paraId="4415B0C2" w14:textId="77777777" w:rsidR="00FA5543" w:rsidRPr="00F66162" w:rsidRDefault="00FA5543" w:rsidP="00390489">
      <w:pPr>
        <w:pStyle w:val="Fichefinanciretitre"/>
        <w:keepNext/>
        <w:rPr>
          <w:noProof/>
        </w:rPr>
      </w:pPr>
      <w:r w:rsidRPr="00F66162">
        <w:rPr>
          <w:noProof/>
        </w:rPr>
        <w:t>OCENA SKUTKÓW FINANSOWYCH I CYFROWYCH REGULACJI</w:t>
      </w:r>
    </w:p>
    <w:p w14:paraId="0F2AD44D" w14:textId="77777777" w:rsidR="00FA5543" w:rsidRPr="00F66162" w:rsidRDefault="00FA5543" w:rsidP="00390489">
      <w:pPr>
        <w:pStyle w:val="Spistreci1"/>
        <w:rPr>
          <w:rFonts w:asciiTheme="minorHAnsi" w:eastAsiaTheme="minorEastAsia" w:hAnsiTheme="minorHAnsi" w:cstheme="minorBidi"/>
          <w:noProof/>
          <w:kern w:val="2"/>
          <w:sz w:val="22"/>
          <w14:ligatures w14:val="standardContextual"/>
        </w:rPr>
      </w:pPr>
      <w:r w:rsidRPr="00F66162">
        <w:rPr>
          <w:noProof/>
        </w:rPr>
        <w:t>1.</w:t>
      </w:r>
      <w:r w:rsidRPr="00F66162">
        <w:rPr>
          <w:noProof/>
        </w:rPr>
        <w:tab/>
        <w:t>STRUKTURA WNIOSKU/INICJATYWY</w:t>
      </w:r>
      <w:r w:rsidRPr="00F66162">
        <w:rPr>
          <w:noProof/>
        </w:rPr>
        <w:tab/>
      </w:r>
      <w:r w:rsidRPr="00F66162">
        <w:rPr>
          <w:noProof/>
          <w:webHidden/>
        </w:rPr>
        <w:t>3</w:t>
      </w:r>
    </w:p>
    <w:p w14:paraId="791F4EEF"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1.1.</w:t>
      </w:r>
      <w:r w:rsidRPr="00F66162">
        <w:rPr>
          <w:noProof/>
        </w:rPr>
        <w:tab/>
        <w:t>Tytuł wniosku/inicjatywy</w:t>
      </w:r>
      <w:r w:rsidRPr="00F66162">
        <w:rPr>
          <w:noProof/>
        </w:rPr>
        <w:tab/>
      </w:r>
      <w:r w:rsidRPr="00F66162">
        <w:rPr>
          <w:noProof/>
          <w:webHidden/>
        </w:rPr>
        <w:t>3</w:t>
      </w:r>
    </w:p>
    <w:p w14:paraId="4124132C"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1.2.</w:t>
      </w:r>
      <w:r w:rsidRPr="00F66162">
        <w:rPr>
          <w:noProof/>
        </w:rPr>
        <w:tab/>
        <w:t>Obszary polityki, których dotyczy wniosek/inicjatywa</w:t>
      </w:r>
      <w:r w:rsidRPr="00F66162">
        <w:rPr>
          <w:noProof/>
        </w:rPr>
        <w:tab/>
      </w:r>
      <w:r w:rsidRPr="00F66162">
        <w:rPr>
          <w:noProof/>
          <w:webHidden/>
        </w:rPr>
        <w:t>3</w:t>
      </w:r>
    </w:p>
    <w:p w14:paraId="20004BA3"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1.3.</w:t>
      </w:r>
      <w:r w:rsidRPr="00F66162">
        <w:rPr>
          <w:noProof/>
        </w:rPr>
        <w:tab/>
        <w:t>Cel(e)</w:t>
      </w:r>
      <w:r w:rsidRPr="00F66162">
        <w:rPr>
          <w:noProof/>
        </w:rPr>
        <w:tab/>
      </w:r>
      <w:r w:rsidRPr="00F66162">
        <w:rPr>
          <w:noProof/>
          <w:webHidden/>
        </w:rPr>
        <w:t>3</w:t>
      </w:r>
    </w:p>
    <w:p w14:paraId="46627F16" w14:textId="77777777"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1.3.1.</w:t>
      </w:r>
      <w:r w:rsidRPr="00F66162">
        <w:rPr>
          <w:noProof/>
        </w:rPr>
        <w:tab/>
        <w:t>Cel(e) ogólny(-e)</w:t>
      </w:r>
      <w:r w:rsidRPr="00F66162">
        <w:rPr>
          <w:noProof/>
        </w:rPr>
        <w:tab/>
      </w:r>
      <w:r w:rsidRPr="00F66162">
        <w:rPr>
          <w:noProof/>
          <w:webHidden/>
        </w:rPr>
        <w:t>3</w:t>
      </w:r>
    </w:p>
    <w:p w14:paraId="4BB244C9" w14:textId="77777777"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1.3.2.</w:t>
      </w:r>
      <w:r w:rsidRPr="00F66162">
        <w:rPr>
          <w:noProof/>
        </w:rPr>
        <w:tab/>
        <w:t>Cel(e) szczegółowy(-e)</w:t>
      </w:r>
      <w:r w:rsidRPr="00F66162">
        <w:rPr>
          <w:noProof/>
        </w:rPr>
        <w:tab/>
      </w:r>
      <w:r w:rsidRPr="00F66162">
        <w:rPr>
          <w:noProof/>
          <w:webHidden/>
        </w:rPr>
        <w:t>3</w:t>
      </w:r>
    </w:p>
    <w:p w14:paraId="1105AC0A" w14:textId="7B72B42E"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1.3.3.</w:t>
      </w:r>
      <w:r w:rsidRPr="00F66162">
        <w:rPr>
          <w:noProof/>
        </w:rPr>
        <w:tab/>
        <w:t>Oczekiwane wyniki</w:t>
      </w:r>
      <w:r w:rsidR="00825614" w:rsidRPr="00F66162">
        <w:rPr>
          <w:noProof/>
        </w:rPr>
        <w:t xml:space="preserve"> i</w:t>
      </w:r>
      <w:r w:rsidR="00825614">
        <w:rPr>
          <w:noProof/>
        </w:rPr>
        <w:t> </w:t>
      </w:r>
      <w:r w:rsidR="00825614" w:rsidRPr="00F66162">
        <w:rPr>
          <w:noProof/>
        </w:rPr>
        <w:t>wpł</w:t>
      </w:r>
      <w:r w:rsidRPr="00F66162">
        <w:rPr>
          <w:noProof/>
        </w:rPr>
        <w:t>yw</w:t>
      </w:r>
      <w:r w:rsidRPr="00F66162">
        <w:rPr>
          <w:noProof/>
        </w:rPr>
        <w:tab/>
      </w:r>
      <w:r w:rsidRPr="00F66162">
        <w:rPr>
          <w:noProof/>
          <w:webHidden/>
        </w:rPr>
        <w:t>3</w:t>
      </w:r>
    </w:p>
    <w:p w14:paraId="21A5A705" w14:textId="77777777"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1.3.4.</w:t>
      </w:r>
      <w:r w:rsidRPr="00F66162">
        <w:rPr>
          <w:noProof/>
        </w:rPr>
        <w:tab/>
        <w:t>Wskaźniki dotyczące realizacji celów</w:t>
      </w:r>
      <w:r w:rsidRPr="00F66162">
        <w:rPr>
          <w:noProof/>
        </w:rPr>
        <w:tab/>
      </w:r>
      <w:r w:rsidRPr="00F66162">
        <w:rPr>
          <w:noProof/>
          <w:webHidden/>
        </w:rPr>
        <w:t>3</w:t>
      </w:r>
    </w:p>
    <w:p w14:paraId="6B0524CF"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1.4.</w:t>
      </w:r>
      <w:r w:rsidRPr="00F66162">
        <w:rPr>
          <w:noProof/>
        </w:rPr>
        <w:tab/>
        <w:t>Wniosek/inicjatywa dotyczy:</w:t>
      </w:r>
      <w:r w:rsidRPr="00F66162">
        <w:rPr>
          <w:noProof/>
        </w:rPr>
        <w:tab/>
      </w:r>
      <w:r w:rsidRPr="00F66162">
        <w:rPr>
          <w:noProof/>
          <w:webHidden/>
        </w:rPr>
        <w:t>4</w:t>
      </w:r>
    </w:p>
    <w:p w14:paraId="3F6209AB"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1.5.</w:t>
      </w:r>
      <w:r w:rsidRPr="00F66162">
        <w:rPr>
          <w:noProof/>
        </w:rPr>
        <w:tab/>
        <w:t>Uzasadnienie wniosku/inicjatywy</w:t>
      </w:r>
      <w:r w:rsidRPr="00F66162">
        <w:rPr>
          <w:noProof/>
        </w:rPr>
        <w:tab/>
      </w:r>
      <w:r w:rsidRPr="00F66162">
        <w:rPr>
          <w:noProof/>
          <w:webHidden/>
        </w:rPr>
        <w:t>4</w:t>
      </w:r>
    </w:p>
    <w:p w14:paraId="2F19B153" w14:textId="4F58A6FE"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1.5.1.</w:t>
      </w:r>
      <w:r w:rsidRPr="00F66162">
        <w:rPr>
          <w:noProof/>
        </w:rPr>
        <w:tab/>
        <w:t>Potrzeby, które należy zaspokoić</w:t>
      </w:r>
      <w:r w:rsidR="00825614" w:rsidRPr="00F66162">
        <w:rPr>
          <w:noProof/>
        </w:rPr>
        <w:t xml:space="preserve"> w</w:t>
      </w:r>
      <w:r w:rsidR="00825614">
        <w:rPr>
          <w:noProof/>
        </w:rPr>
        <w:t> </w:t>
      </w:r>
      <w:r w:rsidR="00825614" w:rsidRPr="00F66162">
        <w:rPr>
          <w:noProof/>
        </w:rPr>
        <w:t>per</w:t>
      </w:r>
      <w:r w:rsidRPr="00F66162">
        <w:rPr>
          <w:noProof/>
        </w:rPr>
        <w:t>spektywie krótko- lub długoterminowej,</w:t>
      </w:r>
      <w:r w:rsidR="00825614" w:rsidRPr="00F66162">
        <w:rPr>
          <w:noProof/>
        </w:rPr>
        <w:t xml:space="preserve"> w</w:t>
      </w:r>
      <w:r w:rsidR="00825614">
        <w:rPr>
          <w:noProof/>
        </w:rPr>
        <w:t> </w:t>
      </w:r>
      <w:r w:rsidR="00825614" w:rsidRPr="00F66162">
        <w:rPr>
          <w:noProof/>
        </w:rPr>
        <w:t>tym</w:t>
      </w:r>
      <w:r w:rsidRPr="00F66162">
        <w:rPr>
          <w:noProof/>
        </w:rPr>
        <w:t xml:space="preserve"> szczegółowy terminarz przebiegu realizacji inicjatywy</w:t>
      </w:r>
      <w:r w:rsidRPr="00F66162">
        <w:rPr>
          <w:noProof/>
        </w:rPr>
        <w:tab/>
      </w:r>
      <w:r w:rsidRPr="00F66162">
        <w:rPr>
          <w:noProof/>
          <w:webHidden/>
        </w:rPr>
        <w:t>4</w:t>
      </w:r>
    </w:p>
    <w:p w14:paraId="07B48C95" w14:textId="1D43E550"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1.5.2.</w:t>
      </w:r>
      <w:r w:rsidRPr="00F66162">
        <w:rPr>
          <w:noProof/>
        </w:rPr>
        <w:tab/>
        <w:t>Wartość dodana</w:t>
      </w:r>
      <w:r w:rsidR="00825614" w:rsidRPr="00F66162">
        <w:rPr>
          <w:noProof/>
        </w:rPr>
        <w:t xml:space="preserve"> z</w:t>
      </w:r>
      <w:r w:rsidR="00825614">
        <w:rPr>
          <w:noProof/>
        </w:rPr>
        <w:t> </w:t>
      </w:r>
      <w:r w:rsidR="00825614" w:rsidRPr="00F66162">
        <w:rPr>
          <w:noProof/>
        </w:rPr>
        <w:t>tyt</w:t>
      </w:r>
      <w:r w:rsidRPr="00F66162">
        <w:rPr>
          <w:noProof/>
        </w:rPr>
        <w:t>ułu zaangażowania Unii Europejskiej (może wynikać</w:t>
      </w:r>
      <w:r w:rsidR="00825614" w:rsidRPr="00F66162">
        <w:rPr>
          <w:noProof/>
        </w:rPr>
        <w:t xml:space="preserve"> z</w:t>
      </w:r>
      <w:r w:rsidR="00825614">
        <w:rPr>
          <w:noProof/>
        </w:rPr>
        <w:t> </w:t>
      </w:r>
      <w:r w:rsidR="00825614" w:rsidRPr="00F66162">
        <w:rPr>
          <w:noProof/>
        </w:rPr>
        <w:t>róż</w:t>
      </w:r>
      <w:r w:rsidRPr="00F66162">
        <w:rPr>
          <w:noProof/>
        </w:rPr>
        <w:t>nych czynników, na przykład korzyści koordynacyjnych, pewności prawa, większej efektywności lub komplementarności). Na potrzeby tej sekcji „wartość dodaną</w:t>
      </w:r>
      <w:r w:rsidR="00825614" w:rsidRPr="00F66162">
        <w:rPr>
          <w:noProof/>
        </w:rPr>
        <w:t xml:space="preserve"> z</w:t>
      </w:r>
      <w:r w:rsidR="00825614">
        <w:rPr>
          <w:noProof/>
        </w:rPr>
        <w:t> </w:t>
      </w:r>
      <w:r w:rsidR="00825614" w:rsidRPr="00F66162">
        <w:rPr>
          <w:noProof/>
        </w:rPr>
        <w:t>tyt</w:t>
      </w:r>
      <w:r w:rsidRPr="00F66162">
        <w:rPr>
          <w:noProof/>
        </w:rPr>
        <w:t>ułu zaangażowania Unii Europejskiej” należy rozumieć jako wartość wynikającą</w:t>
      </w:r>
      <w:r w:rsidR="00825614" w:rsidRPr="00F66162">
        <w:rPr>
          <w:noProof/>
        </w:rPr>
        <w:t xml:space="preserve"> z</w:t>
      </w:r>
      <w:r w:rsidR="00825614">
        <w:rPr>
          <w:noProof/>
        </w:rPr>
        <w:t> </w:t>
      </w:r>
      <w:r w:rsidR="00825614" w:rsidRPr="00F66162">
        <w:rPr>
          <w:noProof/>
        </w:rPr>
        <w:t>uni</w:t>
      </w:r>
      <w:r w:rsidRPr="00F66162">
        <w:rPr>
          <w:noProof/>
        </w:rPr>
        <w:t>jnej interwencji, wykraczającą poza wartość, która zostałaby wytworzona przez same państwa członkowskie.</w:t>
      </w:r>
      <w:r w:rsidRPr="00F66162">
        <w:rPr>
          <w:noProof/>
        </w:rPr>
        <w:tab/>
      </w:r>
      <w:r w:rsidRPr="00F66162">
        <w:rPr>
          <w:noProof/>
          <w:webHidden/>
        </w:rPr>
        <w:t>4</w:t>
      </w:r>
    </w:p>
    <w:p w14:paraId="3481D1EC" w14:textId="4056CFFE"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1.5.3.</w:t>
      </w:r>
      <w:r w:rsidRPr="00F66162">
        <w:rPr>
          <w:noProof/>
        </w:rPr>
        <w:tab/>
        <w:t>Główne wnioski wyciągnięte</w:t>
      </w:r>
      <w:r w:rsidR="00825614" w:rsidRPr="00F66162">
        <w:rPr>
          <w:noProof/>
        </w:rPr>
        <w:t xml:space="preserve"> z</w:t>
      </w:r>
      <w:r w:rsidR="00825614">
        <w:rPr>
          <w:noProof/>
        </w:rPr>
        <w:t> </w:t>
      </w:r>
      <w:r w:rsidR="00825614" w:rsidRPr="00F66162">
        <w:rPr>
          <w:noProof/>
        </w:rPr>
        <w:t>pod</w:t>
      </w:r>
      <w:r w:rsidRPr="00F66162">
        <w:rPr>
          <w:noProof/>
        </w:rPr>
        <w:t>obnych działań</w:t>
      </w:r>
      <w:r w:rsidRPr="00F66162">
        <w:rPr>
          <w:noProof/>
        </w:rPr>
        <w:tab/>
      </w:r>
      <w:r w:rsidRPr="00F66162">
        <w:rPr>
          <w:noProof/>
          <w:webHidden/>
        </w:rPr>
        <w:t>4</w:t>
      </w:r>
    </w:p>
    <w:p w14:paraId="735F2180" w14:textId="446D7810"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1.5.4.</w:t>
      </w:r>
      <w:r w:rsidRPr="00F66162">
        <w:rPr>
          <w:noProof/>
        </w:rPr>
        <w:tab/>
        <w:t>Spójność</w:t>
      </w:r>
      <w:r w:rsidR="00825614" w:rsidRPr="00F66162">
        <w:rPr>
          <w:noProof/>
        </w:rPr>
        <w:t xml:space="preserve"> z</w:t>
      </w:r>
      <w:r w:rsidR="00825614">
        <w:rPr>
          <w:noProof/>
        </w:rPr>
        <w:t> </w:t>
      </w:r>
      <w:r w:rsidR="00825614" w:rsidRPr="00F66162">
        <w:rPr>
          <w:noProof/>
        </w:rPr>
        <w:t>wie</w:t>
      </w:r>
      <w:r w:rsidRPr="00F66162">
        <w:rPr>
          <w:noProof/>
        </w:rPr>
        <w:t>loletnimi ramami finansowymi oraz możliwa synergia</w:t>
      </w:r>
      <w:r w:rsidR="00825614" w:rsidRPr="00F66162">
        <w:rPr>
          <w:noProof/>
        </w:rPr>
        <w:t xml:space="preserve"> z</w:t>
      </w:r>
      <w:r w:rsidR="00825614">
        <w:rPr>
          <w:noProof/>
        </w:rPr>
        <w:t> </w:t>
      </w:r>
      <w:r w:rsidR="00825614" w:rsidRPr="00F66162">
        <w:rPr>
          <w:noProof/>
        </w:rPr>
        <w:t>inn</w:t>
      </w:r>
      <w:r w:rsidRPr="00F66162">
        <w:rPr>
          <w:noProof/>
        </w:rPr>
        <w:t>ymi właściwymi instrumentami</w:t>
      </w:r>
      <w:r w:rsidRPr="00F66162">
        <w:rPr>
          <w:noProof/>
        </w:rPr>
        <w:tab/>
      </w:r>
      <w:r w:rsidRPr="00F66162">
        <w:rPr>
          <w:noProof/>
          <w:webHidden/>
        </w:rPr>
        <w:t>5</w:t>
      </w:r>
    </w:p>
    <w:p w14:paraId="23951261" w14:textId="5173A702"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1.5.5.</w:t>
      </w:r>
      <w:r w:rsidRPr="00F66162">
        <w:rPr>
          <w:noProof/>
        </w:rPr>
        <w:tab/>
        <w:t>Ocena różnych dostępnych możliwości finansowania,</w:t>
      </w:r>
      <w:r w:rsidR="00825614" w:rsidRPr="00F66162">
        <w:rPr>
          <w:noProof/>
        </w:rPr>
        <w:t xml:space="preserve"> w</w:t>
      </w:r>
      <w:r w:rsidR="00825614">
        <w:rPr>
          <w:noProof/>
        </w:rPr>
        <w:t> </w:t>
      </w:r>
      <w:r w:rsidR="00825614" w:rsidRPr="00F66162">
        <w:rPr>
          <w:noProof/>
        </w:rPr>
        <w:t>tym</w:t>
      </w:r>
      <w:r w:rsidRPr="00F66162">
        <w:rPr>
          <w:noProof/>
        </w:rPr>
        <w:t xml:space="preserve"> możliwości przegrupowania środków</w:t>
      </w:r>
      <w:r w:rsidRPr="00F66162">
        <w:rPr>
          <w:noProof/>
        </w:rPr>
        <w:tab/>
      </w:r>
      <w:r w:rsidRPr="00F66162">
        <w:rPr>
          <w:noProof/>
          <w:webHidden/>
        </w:rPr>
        <w:t>5</w:t>
      </w:r>
    </w:p>
    <w:p w14:paraId="28EED5DA" w14:textId="482056D4"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1.6.</w:t>
      </w:r>
      <w:r w:rsidRPr="00F66162">
        <w:rPr>
          <w:noProof/>
        </w:rPr>
        <w:tab/>
        <w:t>Czas trwania wniosku/inicjatywy</w:t>
      </w:r>
      <w:r w:rsidR="00825614" w:rsidRPr="00F66162">
        <w:rPr>
          <w:noProof/>
        </w:rPr>
        <w:t xml:space="preserve"> i</w:t>
      </w:r>
      <w:r w:rsidR="00825614">
        <w:rPr>
          <w:noProof/>
        </w:rPr>
        <w:t> </w:t>
      </w:r>
      <w:r w:rsidR="00825614" w:rsidRPr="00F66162">
        <w:rPr>
          <w:noProof/>
        </w:rPr>
        <w:t>jeg</w:t>
      </w:r>
      <w:r w:rsidRPr="00F66162">
        <w:rPr>
          <w:noProof/>
        </w:rPr>
        <w:t>o/jej wpływu finansowego</w:t>
      </w:r>
      <w:r w:rsidRPr="00F66162">
        <w:rPr>
          <w:noProof/>
        </w:rPr>
        <w:tab/>
      </w:r>
      <w:r w:rsidRPr="00F66162">
        <w:rPr>
          <w:noProof/>
          <w:webHidden/>
        </w:rPr>
        <w:t>6</w:t>
      </w:r>
    </w:p>
    <w:p w14:paraId="6D8ED207"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1.7.</w:t>
      </w:r>
      <w:r w:rsidRPr="00F66162">
        <w:rPr>
          <w:noProof/>
        </w:rPr>
        <w:tab/>
        <w:t>Planowane metody wykonania budżetu</w:t>
      </w:r>
      <w:r w:rsidRPr="00F66162">
        <w:rPr>
          <w:noProof/>
        </w:rPr>
        <w:tab/>
      </w:r>
      <w:r w:rsidRPr="00F66162">
        <w:rPr>
          <w:noProof/>
          <w:webHidden/>
        </w:rPr>
        <w:t>6</w:t>
      </w:r>
    </w:p>
    <w:p w14:paraId="1B1C3B79" w14:textId="77777777" w:rsidR="00FA5543" w:rsidRPr="00F66162" w:rsidRDefault="00FA5543" w:rsidP="00390489">
      <w:pPr>
        <w:pStyle w:val="Spistreci1"/>
        <w:rPr>
          <w:rFonts w:asciiTheme="minorHAnsi" w:eastAsiaTheme="minorEastAsia" w:hAnsiTheme="minorHAnsi" w:cstheme="minorBidi"/>
          <w:noProof/>
          <w:kern w:val="2"/>
          <w:sz w:val="22"/>
          <w14:ligatures w14:val="standardContextual"/>
        </w:rPr>
      </w:pPr>
      <w:r w:rsidRPr="00F66162">
        <w:rPr>
          <w:noProof/>
        </w:rPr>
        <w:t>2.</w:t>
      </w:r>
      <w:r w:rsidRPr="00F66162">
        <w:rPr>
          <w:noProof/>
        </w:rPr>
        <w:tab/>
        <w:t>ŚRODKI ZARZĄDZANIA</w:t>
      </w:r>
      <w:r w:rsidRPr="00F66162">
        <w:rPr>
          <w:noProof/>
        </w:rPr>
        <w:tab/>
      </w:r>
      <w:r w:rsidRPr="00F66162">
        <w:rPr>
          <w:noProof/>
          <w:webHidden/>
        </w:rPr>
        <w:t>8</w:t>
      </w:r>
    </w:p>
    <w:p w14:paraId="25225E36" w14:textId="39F9111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2.1.</w:t>
      </w:r>
      <w:r w:rsidRPr="00F66162">
        <w:rPr>
          <w:noProof/>
        </w:rPr>
        <w:tab/>
        <w:t>Zasady nadzoru</w:t>
      </w:r>
      <w:r w:rsidR="00825614" w:rsidRPr="00F66162">
        <w:rPr>
          <w:noProof/>
        </w:rPr>
        <w:t xml:space="preserve"> i</w:t>
      </w:r>
      <w:r w:rsidR="00825614">
        <w:rPr>
          <w:noProof/>
        </w:rPr>
        <w:t> </w:t>
      </w:r>
      <w:r w:rsidR="00825614" w:rsidRPr="00F66162">
        <w:rPr>
          <w:noProof/>
        </w:rPr>
        <w:t>spr</w:t>
      </w:r>
      <w:r w:rsidRPr="00F66162">
        <w:rPr>
          <w:noProof/>
        </w:rPr>
        <w:t>awozdawczości</w:t>
      </w:r>
      <w:r w:rsidRPr="00F66162">
        <w:rPr>
          <w:noProof/>
        </w:rPr>
        <w:tab/>
      </w:r>
      <w:r w:rsidRPr="00F66162">
        <w:rPr>
          <w:noProof/>
          <w:webHidden/>
        </w:rPr>
        <w:t>8</w:t>
      </w:r>
    </w:p>
    <w:p w14:paraId="3284FB82" w14:textId="31D49BCD"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2.2.</w:t>
      </w:r>
      <w:r w:rsidRPr="00F66162">
        <w:rPr>
          <w:noProof/>
        </w:rPr>
        <w:tab/>
        <w:t>System zarządzania</w:t>
      </w:r>
      <w:r w:rsidR="00825614" w:rsidRPr="00F66162">
        <w:rPr>
          <w:noProof/>
        </w:rPr>
        <w:t xml:space="preserve"> i</w:t>
      </w:r>
      <w:r w:rsidR="00825614">
        <w:rPr>
          <w:noProof/>
        </w:rPr>
        <w:t> </w:t>
      </w:r>
      <w:r w:rsidR="00825614" w:rsidRPr="00F66162">
        <w:rPr>
          <w:noProof/>
        </w:rPr>
        <w:t>kon</w:t>
      </w:r>
      <w:r w:rsidRPr="00F66162">
        <w:rPr>
          <w:noProof/>
        </w:rPr>
        <w:t>troli</w:t>
      </w:r>
      <w:r w:rsidRPr="00F66162">
        <w:rPr>
          <w:noProof/>
        </w:rPr>
        <w:tab/>
      </w:r>
      <w:r w:rsidRPr="00F66162">
        <w:rPr>
          <w:noProof/>
          <w:webHidden/>
        </w:rPr>
        <w:t>8</w:t>
      </w:r>
    </w:p>
    <w:p w14:paraId="32B1856A" w14:textId="4AA2A449"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2.2.1.</w:t>
      </w:r>
      <w:r w:rsidRPr="00F66162">
        <w:rPr>
          <w:noProof/>
        </w:rPr>
        <w:tab/>
        <w:t>Uzasadnienie dla proponowanych metod wykonania budżetu, mechanizmów finansowania wykonania, sposobów dokonywania płatności</w:t>
      </w:r>
      <w:r w:rsidR="00825614" w:rsidRPr="00F66162">
        <w:rPr>
          <w:noProof/>
        </w:rPr>
        <w:t xml:space="preserve"> i</w:t>
      </w:r>
      <w:r w:rsidR="00825614">
        <w:rPr>
          <w:noProof/>
        </w:rPr>
        <w:t> </w:t>
      </w:r>
      <w:r w:rsidR="00825614" w:rsidRPr="00F66162">
        <w:rPr>
          <w:noProof/>
        </w:rPr>
        <w:t>str</w:t>
      </w:r>
      <w:r w:rsidRPr="00F66162">
        <w:rPr>
          <w:noProof/>
        </w:rPr>
        <w:t>ategii kontroli</w:t>
      </w:r>
      <w:r w:rsidRPr="00F66162">
        <w:rPr>
          <w:noProof/>
        </w:rPr>
        <w:tab/>
      </w:r>
      <w:r w:rsidRPr="00F66162">
        <w:rPr>
          <w:noProof/>
          <w:webHidden/>
        </w:rPr>
        <w:t>8</w:t>
      </w:r>
    </w:p>
    <w:p w14:paraId="5F580F85" w14:textId="0B7737C0"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2.2.2.</w:t>
      </w:r>
      <w:r w:rsidRPr="00F66162">
        <w:rPr>
          <w:noProof/>
        </w:rPr>
        <w:tab/>
        <w:t>Informacje dotyczące zidentyfikowanego ryzyka</w:t>
      </w:r>
      <w:r w:rsidR="00825614" w:rsidRPr="00F66162">
        <w:rPr>
          <w:noProof/>
        </w:rPr>
        <w:t xml:space="preserve"> i</w:t>
      </w:r>
      <w:r w:rsidR="00825614">
        <w:rPr>
          <w:noProof/>
        </w:rPr>
        <w:t> </w:t>
      </w:r>
      <w:r w:rsidR="00825614" w:rsidRPr="00F66162">
        <w:rPr>
          <w:noProof/>
        </w:rPr>
        <w:t>sys</w:t>
      </w:r>
      <w:r w:rsidRPr="00F66162">
        <w:rPr>
          <w:noProof/>
        </w:rPr>
        <w:t>temów kontroli wewnętrznej ustanowionych</w:t>
      </w:r>
      <w:r w:rsidR="00825614" w:rsidRPr="00F66162">
        <w:rPr>
          <w:noProof/>
        </w:rPr>
        <w:t xml:space="preserve"> w</w:t>
      </w:r>
      <w:r w:rsidR="00825614">
        <w:rPr>
          <w:noProof/>
        </w:rPr>
        <w:t> </w:t>
      </w:r>
      <w:r w:rsidR="00825614" w:rsidRPr="00F66162">
        <w:rPr>
          <w:noProof/>
        </w:rPr>
        <w:t>cel</w:t>
      </w:r>
      <w:r w:rsidRPr="00F66162">
        <w:rPr>
          <w:noProof/>
        </w:rPr>
        <w:t>u jego ograniczenia</w:t>
      </w:r>
      <w:r w:rsidRPr="00F66162">
        <w:rPr>
          <w:noProof/>
        </w:rPr>
        <w:tab/>
      </w:r>
      <w:r w:rsidRPr="00F66162">
        <w:rPr>
          <w:noProof/>
          <w:webHidden/>
        </w:rPr>
        <w:t>8</w:t>
      </w:r>
    </w:p>
    <w:p w14:paraId="50583D41" w14:textId="2A99BF13"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2.2.3.</w:t>
      </w:r>
      <w:r w:rsidRPr="00F66162">
        <w:rPr>
          <w:noProof/>
        </w:rPr>
        <w:tab/>
        <w:t>Oszacowanie</w:t>
      </w:r>
      <w:r w:rsidR="00825614" w:rsidRPr="00F66162">
        <w:rPr>
          <w:noProof/>
        </w:rPr>
        <w:t xml:space="preserve"> i</w:t>
      </w:r>
      <w:r w:rsidR="00825614">
        <w:rPr>
          <w:noProof/>
        </w:rPr>
        <w:t> </w:t>
      </w:r>
      <w:r w:rsidR="00825614" w:rsidRPr="00F66162">
        <w:rPr>
          <w:noProof/>
        </w:rPr>
        <w:t>uza</w:t>
      </w:r>
      <w:r w:rsidRPr="00F66162">
        <w:rPr>
          <w:noProof/>
        </w:rPr>
        <w:t>sadnienie efektywności kosztowej kontroli (relacja kosztów kontroli do wartości zarządzanych funduszy powiązanych) oraz ocena prawdopodobnego ryzyka błędu (przy płatności</w:t>
      </w:r>
      <w:r w:rsidR="00825614" w:rsidRPr="00F66162">
        <w:rPr>
          <w:noProof/>
        </w:rPr>
        <w:t xml:space="preserve"> i</w:t>
      </w:r>
      <w:r w:rsidR="00825614">
        <w:rPr>
          <w:noProof/>
        </w:rPr>
        <w:t> </w:t>
      </w:r>
      <w:r w:rsidR="00825614" w:rsidRPr="00F66162">
        <w:rPr>
          <w:noProof/>
        </w:rPr>
        <w:t>prz</w:t>
      </w:r>
      <w:r w:rsidRPr="00F66162">
        <w:rPr>
          <w:noProof/>
        </w:rPr>
        <w:t>y zamykaniu)</w:t>
      </w:r>
      <w:r w:rsidRPr="00F66162">
        <w:rPr>
          <w:noProof/>
        </w:rPr>
        <w:tab/>
      </w:r>
      <w:r w:rsidRPr="00F66162">
        <w:rPr>
          <w:noProof/>
          <w:webHidden/>
        </w:rPr>
        <w:t>8</w:t>
      </w:r>
    </w:p>
    <w:p w14:paraId="6432BB95" w14:textId="088C1854"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2.3.</w:t>
      </w:r>
      <w:r w:rsidRPr="00F66162">
        <w:rPr>
          <w:noProof/>
        </w:rPr>
        <w:tab/>
        <w:t>Środki zapobiegania nadużyciom finansowym</w:t>
      </w:r>
      <w:r w:rsidR="00825614" w:rsidRPr="00F66162">
        <w:rPr>
          <w:noProof/>
        </w:rPr>
        <w:t xml:space="preserve"> i</w:t>
      </w:r>
      <w:r w:rsidR="00825614">
        <w:rPr>
          <w:noProof/>
        </w:rPr>
        <w:t> </w:t>
      </w:r>
      <w:r w:rsidR="00825614" w:rsidRPr="00F66162">
        <w:rPr>
          <w:noProof/>
        </w:rPr>
        <w:t>nie</w:t>
      </w:r>
      <w:r w:rsidRPr="00F66162">
        <w:rPr>
          <w:noProof/>
        </w:rPr>
        <w:t>prawidłowościom</w:t>
      </w:r>
      <w:r w:rsidRPr="00F66162">
        <w:rPr>
          <w:noProof/>
        </w:rPr>
        <w:tab/>
      </w:r>
      <w:r w:rsidRPr="00F66162">
        <w:rPr>
          <w:noProof/>
          <w:webHidden/>
        </w:rPr>
        <w:t>9</w:t>
      </w:r>
    </w:p>
    <w:p w14:paraId="09531C39" w14:textId="77777777" w:rsidR="00FA5543" w:rsidRPr="00F66162" w:rsidRDefault="00FA5543" w:rsidP="00390489">
      <w:pPr>
        <w:pStyle w:val="Spistreci1"/>
        <w:rPr>
          <w:rFonts w:asciiTheme="minorHAnsi" w:eastAsiaTheme="minorEastAsia" w:hAnsiTheme="minorHAnsi" w:cstheme="minorBidi"/>
          <w:noProof/>
          <w:kern w:val="2"/>
          <w:sz w:val="22"/>
          <w14:ligatures w14:val="standardContextual"/>
        </w:rPr>
      </w:pPr>
      <w:r w:rsidRPr="00F66162">
        <w:rPr>
          <w:noProof/>
        </w:rPr>
        <w:t>3.</w:t>
      </w:r>
      <w:r w:rsidRPr="00F66162">
        <w:rPr>
          <w:noProof/>
        </w:rPr>
        <w:tab/>
        <w:t>SZACUNKOWY WPŁYW FINANSOWY WNIOSKU/INICJATYWY</w:t>
      </w:r>
      <w:r w:rsidRPr="00F66162">
        <w:rPr>
          <w:noProof/>
        </w:rPr>
        <w:tab/>
      </w:r>
      <w:r w:rsidRPr="00F66162">
        <w:rPr>
          <w:noProof/>
          <w:webHidden/>
        </w:rPr>
        <w:t>10</w:t>
      </w:r>
    </w:p>
    <w:p w14:paraId="546E690F" w14:textId="4CDF648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lastRenderedPageBreak/>
        <w:t>3.1.</w:t>
      </w:r>
      <w:r w:rsidRPr="00F66162">
        <w:rPr>
          <w:noProof/>
        </w:rPr>
        <w:tab/>
        <w:t>Działy wieloletnich ram finansowych</w:t>
      </w:r>
      <w:r w:rsidR="00825614" w:rsidRPr="00F66162">
        <w:rPr>
          <w:noProof/>
        </w:rPr>
        <w:t xml:space="preserve"> i</w:t>
      </w:r>
      <w:r w:rsidR="00825614">
        <w:rPr>
          <w:noProof/>
        </w:rPr>
        <w:t> </w:t>
      </w:r>
      <w:r w:rsidR="00825614" w:rsidRPr="00F66162">
        <w:rPr>
          <w:noProof/>
        </w:rPr>
        <w:t>lin</w:t>
      </w:r>
      <w:r w:rsidRPr="00F66162">
        <w:rPr>
          <w:noProof/>
        </w:rPr>
        <w:t>ie budżetowe po stronie wydatków, na które wniosek/inicjatywa ma wpływ</w:t>
      </w:r>
      <w:r w:rsidRPr="00F66162">
        <w:rPr>
          <w:noProof/>
        </w:rPr>
        <w:tab/>
      </w:r>
      <w:r w:rsidRPr="00F66162">
        <w:rPr>
          <w:noProof/>
          <w:webHidden/>
        </w:rPr>
        <w:t>10</w:t>
      </w:r>
    </w:p>
    <w:p w14:paraId="2AC140B0"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3.2.</w:t>
      </w:r>
      <w:r w:rsidRPr="00F66162">
        <w:rPr>
          <w:noProof/>
        </w:rPr>
        <w:tab/>
        <w:t>Szacunkowy wpływ finansowy wniosku na środki</w:t>
      </w:r>
      <w:r w:rsidRPr="00F66162">
        <w:rPr>
          <w:noProof/>
        </w:rPr>
        <w:tab/>
      </w:r>
      <w:r w:rsidRPr="00F66162">
        <w:rPr>
          <w:noProof/>
          <w:webHidden/>
        </w:rPr>
        <w:t>12</w:t>
      </w:r>
    </w:p>
    <w:p w14:paraId="52DB6A6A" w14:textId="77777777"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3.2.1.</w:t>
      </w:r>
      <w:r w:rsidRPr="00F66162">
        <w:rPr>
          <w:noProof/>
        </w:rPr>
        <w:tab/>
        <w:t>Podsumowanie szacunkowego wpływu na środki operacyjne</w:t>
      </w:r>
      <w:r w:rsidRPr="00F66162">
        <w:rPr>
          <w:noProof/>
        </w:rPr>
        <w:tab/>
      </w:r>
      <w:r w:rsidRPr="00F66162">
        <w:rPr>
          <w:noProof/>
          <w:webHidden/>
        </w:rPr>
        <w:t>12</w:t>
      </w:r>
    </w:p>
    <w:p w14:paraId="468E537A" w14:textId="5BAF1FDD"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3.2.1.1.</w:t>
      </w:r>
      <w:r w:rsidRPr="00F66162">
        <w:rPr>
          <w:noProof/>
        </w:rPr>
        <w:tab/>
        <w:t>Środki</w:t>
      </w:r>
      <w:r w:rsidR="00825614" w:rsidRPr="00F66162">
        <w:rPr>
          <w:noProof/>
        </w:rPr>
        <w:t xml:space="preserve"> z</w:t>
      </w:r>
      <w:r w:rsidR="00825614">
        <w:rPr>
          <w:noProof/>
        </w:rPr>
        <w:t> </w:t>
      </w:r>
      <w:r w:rsidR="00825614" w:rsidRPr="00F66162">
        <w:rPr>
          <w:noProof/>
        </w:rPr>
        <w:t>uch</w:t>
      </w:r>
      <w:r w:rsidRPr="00F66162">
        <w:rPr>
          <w:noProof/>
        </w:rPr>
        <w:t>walonego budżetu</w:t>
      </w:r>
      <w:r w:rsidRPr="00F66162">
        <w:rPr>
          <w:noProof/>
        </w:rPr>
        <w:tab/>
      </w:r>
      <w:r w:rsidRPr="00F66162">
        <w:rPr>
          <w:noProof/>
          <w:webHidden/>
        </w:rPr>
        <w:t>12</w:t>
      </w:r>
    </w:p>
    <w:p w14:paraId="5D254988" w14:textId="0AB122B1"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3.2.1.2.</w:t>
      </w:r>
      <w:r w:rsidRPr="00F66162">
        <w:rPr>
          <w:noProof/>
        </w:rPr>
        <w:tab/>
        <w:t>Środki</w:t>
      </w:r>
      <w:r w:rsidR="00825614" w:rsidRPr="00F66162">
        <w:rPr>
          <w:noProof/>
        </w:rPr>
        <w:t xml:space="preserve"> z</w:t>
      </w:r>
      <w:r w:rsidR="00825614">
        <w:rPr>
          <w:noProof/>
        </w:rPr>
        <w:t> </w:t>
      </w:r>
      <w:r w:rsidR="00825614" w:rsidRPr="00F66162">
        <w:rPr>
          <w:noProof/>
        </w:rPr>
        <w:t>zew</w:t>
      </w:r>
      <w:r w:rsidRPr="00F66162">
        <w:rPr>
          <w:noProof/>
        </w:rPr>
        <w:t>nętrznych dochodów przeznaczonych na określony cel</w:t>
      </w:r>
      <w:r w:rsidRPr="00F66162">
        <w:rPr>
          <w:noProof/>
        </w:rPr>
        <w:tab/>
      </w:r>
      <w:r w:rsidRPr="00F66162">
        <w:rPr>
          <w:noProof/>
          <w:webHidden/>
        </w:rPr>
        <w:t>17</w:t>
      </w:r>
    </w:p>
    <w:p w14:paraId="7A82DAEB" w14:textId="77777777"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3.2.2.</w:t>
      </w:r>
      <w:r w:rsidRPr="00F66162">
        <w:rPr>
          <w:noProof/>
        </w:rPr>
        <w:tab/>
        <w:t>Szacowany produkt finansowany ze środków operacyjnych</w:t>
      </w:r>
      <w:r w:rsidRPr="00F66162">
        <w:rPr>
          <w:noProof/>
        </w:rPr>
        <w:tab/>
      </w:r>
      <w:r w:rsidRPr="00F66162">
        <w:rPr>
          <w:noProof/>
          <w:webHidden/>
        </w:rPr>
        <w:t>22</w:t>
      </w:r>
    </w:p>
    <w:p w14:paraId="09155486" w14:textId="77777777"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3.2.3.</w:t>
      </w:r>
      <w:r w:rsidRPr="00F66162">
        <w:rPr>
          <w:noProof/>
        </w:rPr>
        <w:tab/>
        <w:t>Podsumowanie szacunkowego wpływu na środki administracyjne</w:t>
      </w:r>
      <w:r w:rsidRPr="00F66162">
        <w:rPr>
          <w:noProof/>
        </w:rPr>
        <w:tab/>
      </w:r>
      <w:r w:rsidRPr="00F66162">
        <w:rPr>
          <w:noProof/>
          <w:webHidden/>
        </w:rPr>
        <w:t>24</w:t>
      </w:r>
    </w:p>
    <w:p w14:paraId="12584291" w14:textId="322B331F"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3.2.3.1. Środki</w:t>
      </w:r>
      <w:r w:rsidR="00825614" w:rsidRPr="00F66162">
        <w:rPr>
          <w:noProof/>
        </w:rPr>
        <w:t xml:space="preserve"> z</w:t>
      </w:r>
      <w:r w:rsidR="00825614">
        <w:rPr>
          <w:noProof/>
        </w:rPr>
        <w:t> </w:t>
      </w:r>
      <w:r w:rsidR="00825614" w:rsidRPr="00F66162">
        <w:rPr>
          <w:noProof/>
        </w:rPr>
        <w:t>uch</w:t>
      </w:r>
      <w:r w:rsidRPr="00F66162">
        <w:rPr>
          <w:noProof/>
        </w:rPr>
        <w:t>walonego budżetu</w:t>
      </w:r>
      <w:r w:rsidRPr="00F66162">
        <w:rPr>
          <w:noProof/>
        </w:rPr>
        <w:tab/>
      </w:r>
      <w:r w:rsidRPr="00F66162">
        <w:rPr>
          <w:noProof/>
          <w:webHidden/>
        </w:rPr>
        <w:t>24</w:t>
      </w:r>
    </w:p>
    <w:p w14:paraId="5EFE7CC1" w14:textId="36599698"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3.2.3.2.</w:t>
      </w:r>
      <w:r w:rsidRPr="00F66162">
        <w:rPr>
          <w:noProof/>
        </w:rPr>
        <w:tab/>
        <w:t>Środki</w:t>
      </w:r>
      <w:r w:rsidR="00825614" w:rsidRPr="00F66162">
        <w:rPr>
          <w:noProof/>
        </w:rPr>
        <w:t xml:space="preserve"> z</w:t>
      </w:r>
      <w:r w:rsidR="00825614">
        <w:rPr>
          <w:noProof/>
        </w:rPr>
        <w:t> </w:t>
      </w:r>
      <w:r w:rsidR="00825614" w:rsidRPr="00F66162">
        <w:rPr>
          <w:noProof/>
        </w:rPr>
        <w:t>zew</w:t>
      </w:r>
      <w:r w:rsidRPr="00F66162">
        <w:rPr>
          <w:noProof/>
        </w:rPr>
        <w:t>nętrznych dochodów przeznaczonych na określony cel</w:t>
      </w:r>
      <w:r w:rsidRPr="00F66162">
        <w:rPr>
          <w:noProof/>
        </w:rPr>
        <w:tab/>
      </w:r>
      <w:r w:rsidRPr="00F66162">
        <w:rPr>
          <w:noProof/>
          <w:webHidden/>
        </w:rPr>
        <w:t>24</w:t>
      </w:r>
    </w:p>
    <w:p w14:paraId="6404EE46" w14:textId="77777777"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3.2.3.3.</w:t>
      </w:r>
      <w:r w:rsidRPr="00F66162">
        <w:rPr>
          <w:noProof/>
        </w:rPr>
        <w:tab/>
        <w:t>Ogółem środki</w:t>
      </w:r>
      <w:r w:rsidRPr="00F66162">
        <w:rPr>
          <w:noProof/>
        </w:rPr>
        <w:tab/>
      </w:r>
      <w:r w:rsidRPr="00F66162">
        <w:rPr>
          <w:noProof/>
          <w:webHidden/>
        </w:rPr>
        <w:t>24</w:t>
      </w:r>
    </w:p>
    <w:p w14:paraId="2C35DE6E" w14:textId="77777777"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3.2.4.</w:t>
      </w:r>
      <w:r w:rsidRPr="00F66162">
        <w:rPr>
          <w:noProof/>
        </w:rPr>
        <w:tab/>
        <w:t>Szacowane zapotrzebowanie na zasoby ludzkie</w:t>
      </w:r>
      <w:r w:rsidRPr="00F66162">
        <w:rPr>
          <w:noProof/>
        </w:rPr>
        <w:tab/>
      </w:r>
      <w:r w:rsidRPr="00F66162">
        <w:rPr>
          <w:noProof/>
          <w:webHidden/>
        </w:rPr>
        <w:t>25</w:t>
      </w:r>
    </w:p>
    <w:p w14:paraId="29A2E420" w14:textId="1A20DE08"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3.2.4.1.</w:t>
      </w:r>
      <w:r w:rsidRPr="00F66162">
        <w:rPr>
          <w:noProof/>
        </w:rPr>
        <w:tab/>
        <w:t>Finansowane</w:t>
      </w:r>
      <w:r w:rsidR="00825614" w:rsidRPr="00F66162">
        <w:rPr>
          <w:noProof/>
        </w:rPr>
        <w:t xml:space="preserve"> z</w:t>
      </w:r>
      <w:r w:rsidR="00825614">
        <w:rPr>
          <w:noProof/>
        </w:rPr>
        <w:t> </w:t>
      </w:r>
      <w:r w:rsidR="00825614" w:rsidRPr="00F66162">
        <w:rPr>
          <w:noProof/>
        </w:rPr>
        <w:t>uch</w:t>
      </w:r>
      <w:r w:rsidRPr="00F66162">
        <w:rPr>
          <w:noProof/>
        </w:rPr>
        <w:t>walonego budżetu</w:t>
      </w:r>
      <w:r w:rsidRPr="00F66162">
        <w:rPr>
          <w:noProof/>
        </w:rPr>
        <w:tab/>
      </w:r>
      <w:r w:rsidRPr="00F66162">
        <w:rPr>
          <w:noProof/>
          <w:webHidden/>
        </w:rPr>
        <w:t>25</w:t>
      </w:r>
    </w:p>
    <w:p w14:paraId="69166202" w14:textId="0BE969E0"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3.2.4.2.</w:t>
      </w:r>
      <w:r w:rsidRPr="00F66162">
        <w:rPr>
          <w:noProof/>
        </w:rPr>
        <w:tab/>
        <w:t>Finansowane</w:t>
      </w:r>
      <w:r w:rsidR="00825614" w:rsidRPr="00F66162">
        <w:rPr>
          <w:noProof/>
        </w:rPr>
        <w:t xml:space="preserve"> z</w:t>
      </w:r>
      <w:r w:rsidR="00825614">
        <w:rPr>
          <w:noProof/>
        </w:rPr>
        <w:t> </w:t>
      </w:r>
      <w:r w:rsidR="00825614" w:rsidRPr="00F66162">
        <w:rPr>
          <w:noProof/>
        </w:rPr>
        <w:t>zew</w:t>
      </w:r>
      <w:r w:rsidRPr="00F66162">
        <w:rPr>
          <w:noProof/>
        </w:rPr>
        <w:t>nętrznych dochodów przeznaczonych na określony cel</w:t>
      </w:r>
      <w:r w:rsidRPr="00F66162">
        <w:rPr>
          <w:noProof/>
        </w:rPr>
        <w:tab/>
      </w:r>
      <w:r w:rsidRPr="00F66162">
        <w:rPr>
          <w:noProof/>
          <w:webHidden/>
        </w:rPr>
        <w:t>26</w:t>
      </w:r>
    </w:p>
    <w:p w14:paraId="1ABAE462" w14:textId="77777777"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3.2.4.3.</w:t>
      </w:r>
      <w:r w:rsidRPr="00F66162">
        <w:rPr>
          <w:noProof/>
        </w:rPr>
        <w:tab/>
        <w:t>Zapotrzebowanie na zasoby ludzkie ogółem</w:t>
      </w:r>
      <w:r w:rsidRPr="00F66162">
        <w:rPr>
          <w:noProof/>
        </w:rPr>
        <w:tab/>
      </w:r>
      <w:r w:rsidRPr="00F66162">
        <w:rPr>
          <w:noProof/>
          <w:webHidden/>
        </w:rPr>
        <w:t>26</w:t>
      </w:r>
    </w:p>
    <w:p w14:paraId="0ED84E88" w14:textId="5B55AEDA"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3.2.5.</w:t>
      </w:r>
      <w:r w:rsidRPr="00F66162">
        <w:rPr>
          <w:noProof/>
        </w:rPr>
        <w:tab/>
        <w:t>Przegląd szacowanego wpływu na inwestycje związane</w:t>
      </w:r>
      <w:r w:rsidR="00825614" w:rsidRPr="00F66162">
        <w:rPr>
          <w:noProof/>
        </w:rPr>
        <w:t xml:space="preserve"> z</w:t>
      </w:r>
      <w:r w:rsidR="00825614">
        <w:rPr>
          <w:noProof/>
        </w:rPr>
        <w:t> </w:t>
      </w:r>
      <w:r w:rsidR="00825614" w:rsidRPr="00F66162">
        <w:rPr>
          <w:noProof/>
        </w:rPr>
        <w:t>tec</w:t>
      </w:r>
      <w:r w:rsidRPr="00F66162">
        <w:rPr>
          <w:noProof/>
        </w:rPr>
        <w:t>hnologiami cyfrowymi</w:t>
      </w:r>
      <w:r w:rsidRPr="00F66162">
        <w:rPr>
          <w:noProof/>
        </w:rPr>
        <w:tab/>
      </w:r>
      <w:r w:rsidRPr="00F66162">
        <w:rPr>
          <w:noProof/>
          <w:webHidden/>
        </w:rPr>
        <w:t>28</w:t>
      </w:r>
    </w:p>
    <w:p w14:paraId="1B498376" w14:textId="4793B23E"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3.2.6.</w:t>
      </w:r>
      <w:r w:rsidRPr="00F66162">
        <w:rPr>
          <w:noProof/>
        </w:rPr>
        <w:tab/>
        <w:t>Zgodność</w:t>
      </w:r>
      <w:r w:rsidR="00825614" w:rsidRPr="00F66162">
        <w:rPr>
          <w:noProof/>
        </w:rPr>
        <w:t xml:space="preserve"> z</w:t>
      </w:r>
      <w:r w:rsidR="00825614">
        <w:rPr>
          <w:noProof/>
        </w:rPr>
        <w:t> </w:t>
      </w:r>
      <w:r w:rsidR="00825614" w:rsidRPr="00F66162">
        <w:rPr>
          <w:noProof/>
        </w:rPr>
        <w:t>obo</w:t>
      </w:r>
      <w:r w:rsidRPr="00F66162">
        <w:rPr>
          <w:noProof/>
        </w:rPr>
        <w:t>wiązującymi wieloletnimi ramami finansowymi</w:t>
      </w:r>
      <w:r w:rsidRPr="00F66162">
        <w:rPr>
          <w:noProof/>
        </w:rPr>
        <w:tab/>
      </w:r>
      <w:r w:rsidRPr="00F66162">
        <w:rPr>
          <w:noProof/>
          <w:webHidden/>
        </w:rPr>
        <w:t>28</w:t>
      </w:r>
    </w:p>
    <w:p w14:paraId="6E45075A" w14:textId="115AB581" w:rsidR="00FA5543" w:rsidRPr="00F66162" w:rsidRDefault="00FA5543" w:rsidP="00390489">
      <w:pPr>
        <w:pStyle w:val="Spistreci3"/>
        <w:rPr>
          <w:rFonts w:asciiTheme="minorHAnsi" w:eastAsiaTheme="minorEastAsia" w:hAnsiTheme="minorHAnsi" w:cstheme="minorBidi"/>
          <w:noProof/>
          <w:kern w:val="2"/>
          <w:sz w:val="22"/>
          <w14:ligatures w14:val="standardContextual"/>
        </w:rPr>
      </w:pPr>
      <w:r w:rsidRPr="00F66162">
        <w:rPr>
          <w:noProof/>
        </w:rPr>
        <w:t>3.2.7.</w:t>
      </w:r>
      <w:r w:rsidRPr="00F66162">
        <w:rPr>
          <w:noProof/>
        </w:rPr>
        <w:tab/>
        <w:t>Udział osób trzecich</w:t>
      </w:r>
      <w:r w:rsidR="00825614" w:rsidRPr="00F66162">
        <w:rPr>
          <w:noProof/>
        </w:rPr>
        <w:t xml:space="preserve"> w</w:t>
      </w:r>
      <w:r w:rsidR="00825614">
        <w:rPr>
          <w:noProof/>
        </w:rPr>
        <w:t> </w:t>
      </w:r>
      <w:r w:rsidR="00825614" w:rsidRPr="00F66162">
        <w:rPr>
          <w:noProof/>
        </w:rPr>
        <w:t>fin</w:t>
      </w:r>
      <w:r w:rsidRPr="00F66162">
        <w:rPr>
          <w:noProof/>
        </w:rPr>
        <w:t>ansowaniu</w:t>
      </w:r>
      <w:r w:rsidRPr="00F66162">
        <w:rPr>
          <w:noProof/>
        </w:rPr>
        <w:tab/>
      </w:r>
      <w:r w:rsidRPr="00F66162">
        <w:rPr>
          <w:noProof/>
          <w:webHidden/>
        </w:rPr>
        <w:t>28</w:t>
      </w:r>
    </w:p>
    <w:p w14:paraId="6937FE74"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3.3.</w:t>
      </w:r>
      <w:r w:rsidRPr="00F66162">
        <w:rPr>
          <w:noProof/>
        </w:rPr>
        <w:tab/>
        <w:t>Szacunkowy wpływ na dochody</w:t>
      </w:r>
      <w:r w:rsidRPr="00F66162">
        <w:rPr>
          <w:noProof/>
        </w:rPr>
        <w:tab/>
      </w:r>
      <w:r w:rsidRPr="00F66162">
        <w:rPr>
          <w:noProof/>
          <w:webHidden/>
        </w:rPr>
        <w:t>29</w:t>
      </w:r>
    </w:p>
    <w:p w14:paraId="2429A499" w14:textId="77777777" w:rsidR="00FA5543" w:rsidRPr="00F66162" w:rsidRDefault="00FA5543" w:rsidP="00390489">
      <w:pPr>
        <w:pStyle w:val="Spistreci1"/>
        <w:rPr>
          <w:rFonts w:asciiTheme="minorHAnsi" w:eastAsiaTheme="minorEastAsia" w:hAnsiTheme="minorHAnsi" w:cstheme="minorBidi"/>
          <w:noProof/>
          <w:kern w:val="2"/>
          <w:sz w:val="22"/>
          <w14:ligatures w14:val="standardContextual"/>
        </w:rPr>
      </w:pPr>
      <w:r w:rsidRPr="00F66162">
        <w:rPr>
          <w:noProof/>
        </w:rPr>
        <w:t>4.</w:t>
      </w:r>
      <w:r w:rsidRPr="00F66162">
        <w:rPr>
          <w:noProof/>
        </w:rPr>
        <w:tab/>
      </w:r>
      <w:r w:rsidRPr="00F66162">
        <w:rPr>
          <w:caps/>
          <w:noProof/>
        </w:rPr>
        <w:t>Wymiar cyfrowy</w:t>
      </w:r>
      <w:r w:rsidRPr="00F66162">
        <w:rPr>
          <w:noProof/>
        </w:rPr>
        <w:tab/>
      </w:r>
      <w:r w:rsidRPr="00F66162">
        <w:rPr>
          <w:noProof/>
          <w:webHidden/>
        </w:rPr>
        <w:t>29</w:t>
      </w:r>
    </w:p>
    <w:p w14:paraId="6C9C501B"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4.1.</w:t>
      </w:r>
      <w:r w:rsidRPr="00F66162">
        <w:rPr>
          <w:noProof/>
        </w:rPr>
        <w:tab/>
        <w:t>Wymogi cyfrowe</w:t>
      </w:r>
      <w:r w:rsidRPr="00F66162">
        <w:rPr>
          <w:noProof/>
        </w:rPr>
        <w:tab/>
      </w:r>
      <w:r w:rsidRPr="00F66162">
        <w:rPr>
          <w:noProof/>
          <w:webHidden/>
        </w:rPr>
        <w:t>30</w:t>
      </w:r>
    </w:p>
    <w:p w14:paraId="43BA036F"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4.2.</w:t>
      </w:r>
      <w:r w:rsidRPr="00F66162">
        <w:rPr>
          <w:noProof/>
        </w:rPr>
        <w:tab/>
        <w:t>Dane</w:t>
      </w:r>
      <w:r w:rsidRPr="00F66162">
        <w:rPr>
          <w:noProof/>
        </w:rPr>
        <w:tab/>
      </w:r>
      <w:r w:rsidRPr="00F66162">
        <w:rPr>
          <w:noProof/>
          <w:webHidden/>
        </w:rPr>
        <w:t>30</w:t>
      </w:r>
    </w:p>
    <w:p w14:paraId="52229B41"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4.3.</w:t>
      </w:r>
      <w:r w:rsidRPr="00F66162">
        <w:rPr>
          <w:noProof/>
        </w:rPr>
        <w:tab/>
        <w:t>Rozwiązania cyfrowe</w:t>
      </w:r>
      <w:r w:rsidRPr="00F66162">
        <w:rPr>
          <w:noProof/>
        </w:rPr>
        <w:tab/>
      </w:r>
      <w:r w:rsidRPr="00F66162">
        <w:rPr>
          <w:noProof/>
          <w:webHidden/>
        </w:rPr>
        <w:t>31</w:t>
      </w:r>
    </w:p>
    <w:p w14:paraId="14AAF5F7"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4.4.</w:t>
      </w:r>
      <w:r w:rsidRPr="00F66162">
        <w:rPr>
          <w:noProof/>
        </w:rPr>
        <w:tab/>
        <w:t>Ocena interoperacyjności</w:t>
      </w:r>
      <w:r w:rsidRPr="00F66162">
        <w:rPr>
          <w:noProof/>
        </w:rPr>
        <w:tab/>
      </w:r>
      <w:r w:rsidRPr="00F66162">
        <w:rPr>
          <w:noProof/>
          <w:webHidden/>
        </w:rPr>
        <w:t>31</w:t>
      </w:r>
    </w:p>
    <w:p w14:paraId="7DAAC70A" w14:textId="77777777" w:rsidR="00FA5543" w:rsidRPr="00F66162" w:rsidRDefault="00FA5543" w:rsidP="00390489">
      <w:pPr>
        <w:pStyle w:val="Spistreci2"/>
        <w:rPr>
          <w:rFonts w:asciiTheme="minorHAnsi" w:eastAsiaTheme="minorEastAsia" w:hAnsiTheme="minorHAnsi" w:cstheme="minorBidi"/>
          <w:noProof/>
          <w:kern w:val="2"/>
          <w:sz w:val="22"/>
          <w14:ligatures w14:val="standardContextual"/>
        </w:rPr>
      </w:pPr>
      <w:r w:rsidRPr="00F66162">
        <w:rPr>
          <w:noProof/>
        </w:rPr>
        <w:t>4.5.</w:t>
      </w:r>
      <w:r w:rsidRPr="00F66162">
        <w:rPr>
          <w:noProof/>
        </w:rPr>
        <w:tab/>
        <w:t>Środki wspierające cyfrowe wdrażanie</w:t>
      </w:r>
      <w:r w:rsidRPr="00F66162">
        <w:rPr>
          <w:noProof/>
        </w:rPr>
        <w:tab/>
      </w:r>
      <w:r w:rsidRPr="00F66162">
        <w:rPr>
          <w:noProof/>
          <w:webHidden/>
        </w:rPr>
        <w:t>32</w:t>
      </w:r>
    </w:p>
    <w:p w14:paraId="1BA2C152" w14:textId="77777777" w:rsidR="00FA5543" w:rsidRPr="00F66162" w:rsidRDefault="00FA5543" w:rsidP="00390489">
      <w:pPr>
        <w:pStyle w:val="Spistreci1"/>
        <w:ind w:left="0" w:firstLine="0"/>
        <w:rPr>
          <w:noProof/>
        </w:rPr>
        <w:sectPr w:rsidR="00FA5543" w:rsidRPr="00F66162" w:rsidSect="00AB396E">
          <w:pgSz w:w="11907" w:h="16840" w:code="9"/>
          <w:pgMar w:top="1134" w:right="1418" w:bottom="1134" w:left="1418" w:header="709" w:footer="709" w:gutter="0"/>
          <w:pgNumType w:start="1"/>
          <w:cols w:space="720"/>
          <w:docGrid w:linePitch="360"/>
        </w:sectPr>
      </w:pPr>
    </w:p>
    <w:p w14:paraId="4DDF35D7" w14:textId="77777777" w:rsidR="00FA5543" w:rsidRPr="00F66162" w:rsidRDefault="00FA5543" w:rsidP="00390489">
      <w:pPr>
        <w:pStyle w:val="ManualHeading1"/>
        <w:rPr>
          <w:noProof/>
        </w:rPr>
      </w:pPr>
      <w:r w:rsidRPr="00F66162">
        <w:rPr>
          <w:noProof/>
        </w:rPr>
        <w:lastRenderedPageBreak/>
        <w:t>1.</w:t>
      </w:r>
      <w:r w:rsidRPr="00F66162">
        <w:rPr>
          <w:noProof/>
        </w:rPr>
        <w:tab/>
        <w:t xml:space="preserve">STRUKTURA WNIOSKU/INICJATYWY </w:t>
      </w:r>
    </w:p>
    <w:p w14:paraId="072144C9" w14:textId="77777777" w:rsidR="00FA5543" w:rsidRPr="00F66162" w:rsidRDefault="6C3AF1E0" w:rsidP="00390489">
      <w:pPr>
        <w:pStyle w:val="ManualHeading2"/>
        <w:rPr>
          <w:noProof/>
        </w:rPr>
      </w:pPr>
      <w:r w:rsidRPr="00F66162">
        <w:rPr>
          <w:noProof/>
        </w:rPr>
        <w:t>1.1.</w:t>
      </w:r>
      <w:r w:rsidRPr="00F66162">
        <w:rPr>
          <w:noProof/>
        </w:rPr>
        <w:tab/>
        <w:t>Tytuł wniosku/inicjatywy</w:t>
      </w:r>
    </w:p>
    <w:p w14:paraId="22589808" w14:textId="30ED2122" w:rsidR="7851B31B" w:rsidRPr="00F66162" w:rsidRDefault="7851B31B" w:rsidP="139DF8FE">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F66162">
        <w:rPr>
          <w:noProof/>
        </w:rPr>
        <w:t>Mechanizm dostosowywania cen na granicach</w:t>
      </w:r>
      <w:r w:rsidR="00825614" w:rsidRPr="00F66162">
        <w:rPr>
          <w:noProof/>
        </w:rPr>
        <w:t xml:space="preserve"> z</w:t>
      </w:r>
      <w:r w:rsidR="00825614">
        <w:rPr>
          <w:noProof/>
        </w:rPr>
        <w:t> </w:t>
      </w:r>
      <w:r w:rsidR="00825614" w:rsidRPr="00F66162">
        <w:rPr>
          <w:noProof/>
        </w:rPr>
        <w:t>uwz</w:t>
      </w:r>
      <w:r w:rsidRPr="00F66162">
        <w:rPr>
          <w:noProof/>
        </w:rPr>
        <w:t>ględnieniem emisji CO</w:t>
      </w:r>
      <w:r w:rsidRPr="00F66162">
        <w:rPr>
          <w:noProof/>
          <w:vertAlign w:val="subscript"/>
        </w:rPr>
        <w:t>2</w:t>
      </w:r>
    </w:p>
    <w:p w14:paraId="3BCD298C" w14:textId="77777777" w:rsidR="00FA5543" w:rsidRPr="00F66162" w:rsidRDefault="00FA5543" w:rsidP="00390489">
      <w:pPr>
        <w:pStyle w:val="ManualHeading2"/>
        <w:rPr>
          <w:i/>
          <w:noProof/>
        </w:rPr>
      </w:pPr>
      <w:r w:rsidRPr="00F66162">
        <w:rPr>
          <w:noProof/>
        </w:rPr>
        <w:t>1.2.</w:t>
      </w:r>
      <w:r w:rsidRPr="00F66162">
        <w:rPr>
          <w:noProof/>
        </w:rPr>
        <w:tab/>
        <w:t>Obszary polityki, których dotyczy wniosek/inicjatywa</w:t>
      </w:r>
      <w:r w:rsidRPr="00F66162">
        <w:rPr>
          <w:i/>
          <w:noProof/>
        </w:rPr>
        <w:t xml:space="preserve"> </w:t>
      </w:r>
    </w:p>
    <w:p w14:paraId="48BFB401" w14:textId="77777777" w:rsidR="00FA5543" w:rsidRPr="00F66162" w:rsidRDefault="36DEC607" w:rsidP="139DF8FE">
      <w:pPr>
        <w:pStyle w:val="Text1"/>
        <w:pBdr>
          <w:top w:val="single" w:sz="4" w:space="1" w:color="auto"/>
          <w:left w:val="single" w:sz="4" w:space="4" w:color="auto"/>
          <w:bottom w:val="single" w:sz="4" w:space="1" w:color="auto"/>
          <w:right w:val="single" w:sz="4" w:space="4" w:color="auto"/>
        </w:pBdr>
        <w:rPr>
          <w:noProof/>
        </w:rPr>
      </w:pPr>
      <w:r w:rsidRPr="00F66162">
        <w:rPr>
          <w:noProof/>
        </w:rPr>
        <w:t>Polityka przeciwdziałania zmianie klimatu</w:t>
      </w:r>
    </w:p>
    <w:p w14:paraId="7D696386" w14:textId="77777777" w:rsidR="00FA5543" w:rsidRPr="00F66162" w:rsidRDefault="00FA5543" w:rsidP="00390489">
      <w:pPr>
        <w:pStyle w:val="ManualHeading2"/>
        <w:rPr>
          <w:noProof/>
        </w:rPr>
      </w:pPr>
      <w:r w:rsidRPr="00F66162">
        <w:rPr>
          <w:noProof/>
        </w:rPr>
        <w:t>1.3.</w:t>
      </w:r>
      <w:r w:rsidRPr="00F66162">
        <w:rPr>
          <w:noProof/>
        </w:rPr>
        <w:tab/>
        <w:t>Cel(e)</w:t>
      </w:r>
    </w:p>
    <w:p w14:paraId="4F1C11BA" w14:textId="77777777" w:rsidR="00FA5543" w:rsidRPr="00F66162" w:rsidRDefault="00FA5543" w:rsidP="00390489">
      <w:pPr>
        <w:pStyle w:val="ManualHeading3"/>
        <w:rPr>
          <w:noProof/>
        </w:rPr>
      </w:pPr>
      <w:r w:rsidRPr="00F66162">
        <w:rPr>
          <w:noProof/>
        </w:rPr>
        <w:t>1.3.1.</w:t>
      </w:r>
      <w:r w:rsidRPr="00F66162">
        <w:rPr>
          <w:noProof/>
        </w:rPr>
        <w:tab/>
        <w:t>Cel(e) ogólny(-e)</w:t>
      </w:r>
    </w:p>
    <w:p w14:paraId="02E0E4C4" w14:textId="1CDE32A2" w:rsidR="00097450" w:rsidRPr="00F66162" w:rsidRDefault="189FFEE2" w:rsidP="139DF8FE">
      <w:pPr>
        <w:pStyle w:val="Text1"/>
        <w:pBdr>
          <w:top w:val="single" w:sz="8" w:space="1" w:color="000000"/>
          <w:left w:val="single" w:sz="8" w:space="4" w:color="000000"/>
          <w:bottom w:val="single" w:sz="8" w:space="1" w:color="000000"/>
          <w:right w:val="single" w:sz="8" w:space="4" w:color="000000"/>
        </w:pBdr>
        <w:rPr>
          <w:noProof/>
        </w:rPr>
      </w:pPr>
      <w:r w:rsidRPr="00F66162">
        <w:rPr>
          <w:noProof/>
        </w:rPr>
        <w:t>W związku</w:t>
      </w:r>
      <w:r w:rsidR="00825614" w:rsidRPr="00F66162">
        <w:rPr>
          <w:noProof/>
        </w:rPr>
        <w:t xml:space="preserve"> z</w:t>
      </w:r>
      <w:r w:rsidR="00825614">
        <w:rPr>
          <w:noProof/>
        </w:rPr>
        <w:t> </w:t>
      </w:r>
      <w:r w:rsidR="00825614" w:rsidRPr="00F66162">
        <w:rPr>
          <w:noProof/>
        </w:rPr>
        <w:t>amb</w:t>
      </w:r>
      <w:r w:rsidRPr="00F66162">
        <w:rPr>
          <w:noProof/>
        </w:rPr>
        <w:t xml:space="preserve">itniejszymi celami klimatycznymi UE wprowadzenie CBAM ma służyć osiągnięciu nadrzędnego celu, jakim jest przeciwdziałanie zmianie klimatu poprzez redukcję emisji gazów cieplarnianych w UE i na całym świecie. </w:t>
      </w:r>
    </w:p>
    <w:p w14:paraId="08B4DEAA" w14:textId="77777777" w:rsidR="00097450" w:rsidRPr="00F66162" w:rsidRDefault="189FFEE2"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Wniosek zmieniający ma na celu uproszczenie obciążenia regulacyjnego importerów towarów objętych CBAM.</w:t>
      </w:r>
    </w:p>
    <w:p w14:paraId="1DCEE0BA" w14:textId="77777777" w:rsidR="00FA5543" w:rsidRPr="00F66162" w:rsidRDefault="00FA5543" w:rsidP="00390489">
      <w:pPr>
        <w:pStyle w:val="ManualHeading3"/>
        <w:rPr>
          <w:noProof/>
        </w:rPr>
      </w:pPr>
      <w:r w:rsidRPr="00F66162">
        <w:rPr>
          <w:noProof/>
        </w:rPr>
        <w:t>1.3.2.</w:t>
      </w:r>
      <w:r w:rsidRPr="00F66162">
        <w:rPr>
          <w:noProof/>
        </w:rPr>
        <w:tab/>
        <w:t>Cel(e) szczegółowy(-e)</w:t>
      </w:r>
    </w:p>
    <w:p w14:paraId="248FF630" w14:textId="68EC4365" w:rsidR="00F32BEF" w:rsidRPr="00F66162" w:rsidRDefault="2D13A3AF" w:rsidP="139DF8FE">
      <w:pPr>
        <w:pStyle w:val="Text1"/>
        <w:pBdr>
          <w:top w:val="single" w:sz="8" w:space="1" w:color="000000"/>
          <w:left w:val="single" w:sz="8" w:space="4" w:color="000000"/>
          <w:bottom w:val="single" w:sz="8" w:space="1" w:color="000000"/>
          <w:right w:val="single" w:sz="8" w:space="4" w:color="000000"/>
        </w:pBdr>
        <w:rPr>
          <w:rFonts w:eastAsia="Times New Roman"/>
          <w:noProof/>
          <w:color w:val="0000FF"/>
          <w:szCs w:val="24"/>
        </w:rPr>
      </w:pPr>
      <w:r w:rsidRPr="00F66162">
        <w:rPr>
          <w:noProof/>
        </w:rPr>
        <w:t>Nadrzędny cel, jakim jest przeciwdziałanie zmianie klimatu, znajduje odzwierciedlenie</w:t>
      </w:r>
      <w:r w:rsidR="00825614" w:rsidRPr="00F66162">
        <w:rPr>
          <w:noProof/>
        </w:rPr>
        <w:t xml:space="preserve"> w</w:t>
      </w:r>
      <w:r w:rsidR="00825614">
        <w:rPr>
          <w:noProof/>
        </w:rPr>
        <w:t> </w:t>
      </w:r>
      <w:r w:rsidR="00825614" w:rsidRPr="00F66162">
        <w:rPr>
          <w:noProof/>
        </w:rPr>
        <w:t>sze</w:t>
      </w:r>
      <w:r w:rsidRPr="00F66162">
        <w:rPr>
          <w:noProof/>
        </w:rPr>
        <w:t>regu następujących celów szczegółowych: i) wyeliminowanie ryzyka ucieczki emisji</w:t>
      </w:r>
      <w:r w:rsidR="00825614" w:rsidRPr="00F66162">
        <w:rPr>
          <w:noProof/>
        </w:rPr>
        <w:t xml:space="preserve"> w</w:t>
      </w:r>
      <w:r w:rsidR="00825614">
        <w:rPr>
          <w:noProof/>
        </w:rPr>
        <w:t> </w:t>
      </w:r>
      <w:r w:rsidR="00825614" w:rsidRPr="00F66162">
        <w:rPr>
          <w:noProof/>
        </w:rPr>
        <w:t>ram</w:t>
      </w:r>
      <w:r w:rsidRPr="00F66162">
        <w:rPr>
          <w:noProof/>
        </w:rPr>
        <w:t>ach realizacji ambitniejszego celu UE; ii) wniesienie wkładu</w:t>
      </w:r>
      <w:r w:rsidR="00825614" w:rsidRPr="00F66162">
        <w:rPr>
          <w:noProof/>
        </w:rPr>
        <w:t xml:space="preserve"> w</w:t>
      </w:r>
      <w:r w:rsidR="00825614">
        <w:rPr>
          <w:noProof/>
        </w:rPr>
        <w:t> </w:t>
      </w:r>
      <w:r w:rsidR="00825614" w:rsidRPr="00F66162">
        <w:rPr>
          <w:noProof/>
        </w:rPr>
        <w:t>zap</w:t>
      </w:r>
      <w:r w:rsidRPr="00F66162">
        <w:rPr>
          <w:noProof/>
        </w:rPr>
        <w:t>ewnienie stałych</w:t>
      </w:r>
      <w:r w:rsidR="00825614" w:rsidRPr="00F66162">
        <w:rPr>
          <w:noProof/>
        </w:rPr>
        <w:t xml:space="preserve"> i</w:t>
      </w:r>
      <w:r w:rsidR="00825614">
        <w:rPr>
          <w:noProof/>
        </w:rPr>
        <w:t> </w:t>
      </w:r>
      <w:r w:rsidR="00825614" w:rsidRPr="00F66162">
        <w:rPr>
          <w:noProof/>
        </w:rPr>
        <w:t>bez</w:t>
      </w:r>
      <w:r w:rsidRPr="00F66162">
        <w:rPr>
          <w:noProof/>
        </w:rPr>
        <w:t>piecznych ram polityki na potrzeby inwestycji</w:t>
      </w:r>
      <w:r w:rsidR="00825614" w:rsidRPr="00F66162">
        <w:rPr>
          <w:noProof/>
        </w:rPr>
        <w:t xml:space="preserve"> w</w:t>
      </w:r>
      <w:r w:rsidR="00825614">
        <w:rPr>
          <w:noProof/>
        </w:rPr>
        <w:t> </w:t>
      </w:r>
      <w:r w:rsidR="00825614" w:rsidRPr="00F66162">
        <w:rPr>
          <w:noProof/>
        </w:rPr>
        <w:t>tec</w:t>
      </w:r>
      <w:r w:rsidRPr="00F66162">
        <w:rPr>
          <w:noProof/>
        </w:rPr>
        <w:t>hnologie niskoemisyjne lub bezemisyjne; iii) zapewnienie, aby produkcja wewnątrzunijna</w:t>
      </w:r>
      <w:r w:rsidR="00825614" w:rsidRPr="00F66162">
        <w:rPr>
          <w:noProof/>
        </w:rPr>
        <w:t xml:space="preserve"> i</w:t>
      </w:r>
      <w:r w:rsidR="00825614">
        <w:rPr>
          <w:noProof/>
        </w:rPr>
        <w:t> </w:t>
      </w:r>
      <w:r w:rsidR="00825614" w:rsidRPr="00F66162">
        <w:rPr>
          <w:noProof/>
        </w:rPr>
        <w:t>prz</w:t>
      </w:r>
      <w:r w:rsidRPr="00F66162">
        <w:rPr>
          <w:noProof/>
        </w:rPr>
        <w:t>ywóz podlegały podobnemu poziomowi opłat za emisję gazów cieplarnianych; iv) zachęcenie producentów</w:t>
      </w:r>
      <w:r w:rsidR="00825614" w:rsidRPr="00F66162">
        <w:rPr>
          <w:noProof/>
        </w:rPr>
        <w:t xml:space="preserve"> w</w:t>
      </w:r>
      <w:r w:rsidR="00825614">
        <w:rPr>
          <w:noProof/>
        </w:rPr>
        <w:t> </w:t>
      </w:r>
      <w:r w:rsidR="00825614" w:rsidRPr="00F66162">
        <w:rPr>
          <w:noProof/>
        </w:rPr>
        <w:t>pań</w:t>
      </w:r>
      <w:r w:rsidRPr="00F66162">
        <w:rPr>
          <w:noProof/>
        </w:rPr>
        <w:t>stwach trzecich, którzy prowadzą wywóz do UE, do wprowadzenia technologii niskoemisyjnych; v) zapewnienie, aby środek był skuteczny tak, aby ryzyko jego obchodzenia było minimalne, co ma zapewnić integralność środowiskową; vi) zapewnienie proporcjonalnego obciążenia administracyjnego dla przedsiębiorstw</w:t>
      </w:r>
      <w:r w:rsidR="00825614" w:rsidRPr="00F66162">
        <w:rPr>
          <w:noProof/>
        </w:rPr>
        <w:t xml:space="preserve"> i</w:t>
      </w:r>
      <w:r w:rsidR="00825614">
        <w:rPr>
          <w:noProof/>
        </w:rPr>
        <w:t> </w:t>
      </w:r>
      <w:r w:rsidR="00825614" w:rsidRPr="00F66162">
        <w:rPr>
          <w:noProof/>
        </w:rPr>
        <w:t>org</w:t>
      </w:r>
      <w:r w:rsidRPr="00F66162">
        <w:rPr>
          <w:noProof/>
        </w:rPr>
        <w:t>anów publicznych</w:t>
      </w:r>
      <w:r w:rsidR="00825614" w:rsidRPr="00F66162">
        <w:rPr>
          <w:noProof/>
        </w:rPr>
        <w:t xml:space="preserve"> w</w:t>
      </w:r>
      <w:r w:rsidR="00825614">
        <w:rPr>
          <w:noProof/>
        </w:rPr>
        <w:t> </w:t>
      </w:r>
      <w:r w:rsidR="00825614" w:rsidRPr="00F66162">
        <w:rPr>
          <w:noProof/>
        </w:rPr>
        <w:t>zwi</w:t>
      </w:r>
      <w:r w:rsidRPr="00F66162">
        <w:rPr>
          <w:noProof/>
        </w:rPr>
        <w:t xml:space="preserve">ązku ze stosowaniem środka. </w:t>
      </w:r>
    </w:p>
    <w:p w14:paraId="41E443A0" w14:textId="77777777" w:rsidR="00F32BEF" w:rsidRPr="00F66162" w:rsidRDefault="2D13A3AF"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Wniosek zmieniający ma na celu: i) zmniejszenie obciążenia administracyjnego oraz ii) poprawę funkcjonowania CBAM.</w:t>
      </w:r>
    </w:p>
    <w:p w14:paraId="6D032B73" w14:textId="66287AE6" w:rsidR="00FA5543" w:rsidRPr="00F66162" w:rsidRDefault="00FA5543" w:rsidP="00390489">
      <w:pPr>
        <w:pStyle w:val="ManualHeading3"/>
        <w:rPr>
          <w:noProof/>
        </w:rPr>
      </w:pPr>
      <w:r w:rsidRPr="00F66162">
        <w:rPr>
          <w:noProof/>
        </w:rPr>
        <w:t>1.3.3.</w:t>
      </w:r>
      <w:r w:rsidRPr="00F66162">
        <w:rPr>
          <w:noProof/>
        </w:rPr>
        <w:tab/>
        <w:t>Oczekiwane wyniki</w:t>
      </w:r>
      <w:r w:rsidR="00825614" w:rsidRPr="00F66162">
        <w:rPr>
          <w:noProof/>
        </w:rPr>
        <w:t xml:space="preserve"> i</w:t>
      </w:r>
      <w:r w:rsidR="00825614">
        <w:rPr>
          <w:noProof/>
        </w:rPr>
        <w:t> </w:t>
      </w:r>
      <w:r w:rsidR="00825614" w:rsidRPr="00F66162">
        <w:rPr>
          <w:noProof/>
        </w:rPr>
        <w:t>wpł</w:t>
      </w:r>
      <w:r w:rsidRPr="00F66162">
        <w:rPr>
          <w:noProof/>
        </w:rPr>
        <w:t>yw</w:t>
      </w:r>
    </w:p>
    <w:p w14:paraId="2DA6C687" w14:textId="77777777" w:rsidR="00FA5543" w:rsidRPr="00F66162" w:rsidRDefault="00FA5543" w:rsidP="00390489">
      <w:pPr>
        <w:pStyle w:val="Text1"/>
        <w:rPr>
          <w:i/>
          <w:noProof/>
          <w:sz w:val="20"/>
        </w:rPr>
      </w:pPr>
      <w:r w:rsidRPr="00F66162">
        <w:rPr>
          <w:i/>
          <w:noProof/>
          <w:sz w:val="20"/>
        </w:rPr>
        <w:t>Należy wskazać, jakie efekty przyniesie wniosek/inicjatywa beneficjentom/grupie docelowej.</w:t>
      </w:r>
    </w:p>
    <w:p w14:paraId="721AE44F" w14:textId="6E54B1DE" w:rsidR="45C2281D" w:rsidRPr="00F66162" w:rsidRDefault="45C2281D"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Wprowadzenie CBAM ma przynieść redukcję emisji gazów cieplarnianych zarówno w UE-27, jak</w:t>
      </w:r>
      <w:r w:rsidR="00825614" w:rsidRPr="00F66162">
        <w:rPr>
          <w:noProof/>
        </w:rPr>
        <w:t xml:space="preserve"> i</w:t>
      </w:r>
      <w:r w:rsidR="00825614">
        <w:rPr>
          <w:noProof/>
        </w:rPr>
        <w:t> </w:t>
      </w:r>
      <w:r w:rsidR="00825614" w:rsidRPr="00F66162">
        <w:rPr>
          <w:noProof/>
        </w:rPr>
        <w:t>w</w:t>
      </w:r>
      <w:r w:rsidR="00825614">
        <w:rPr>
          <w:noProof/>
        </w:rPr>
        <w:t> </w:t>
      </w:r>
      <w:r w:rsidR="00825614" w:rsidRPr="00F66162">
        <w:rPr>
          <w:noProof/>
        </w:rPr>
        <w:t>inn</w:t>
      </w:r>
      <w:r w:rsidRPr="00F66162">
        <w:rPr>
          <w:noProof/>
        </w:rPr>
        <w:t>ych regionach na świecie</w:t>
      </w:r>
      <w:r w:rsidR="00825614" w:rsidRPr="00F66162">
        <w:rPr>
          <w:noProof/>
        </w:rPr>
        <w:t xml:space="preserve"> w</w:t>
      </w:r>
      <w:r w:rsidR="00825614">
        <w:rPr>
          <w:noProof/>
        </w:rPr>
        <w:t> </w:t>
      </w:r>
      <w:r w:rsidR="00825614" w:rsidRPr="00F66162">
        <w:rPr>
          <w:noProof/>
        </w:rPr>
        <w:t>sek</w:t>
      </w:r>
      <w:r w:rsidRPr="00F66162">
        <w:rPr>
          <w:noProof/>
        </w:rPr>
        <w:t>torach objętych CBAM. Oczekuje się również, że CBAM spowoduje ograniczenie ryzyka ucieczki emisji, co pozwoli na stopniowe zastąpienie nim przydziału bezpłatnych uprawnień</w:t>
      </w:r>
      <w:r w:rsidR="00825614" w:rsidRPr="00F66162">
        <w:rPr>
          <w:noProof/>
        </w:rPr>
        <w:t xml:space="preserve"> w</w:t>
      </w:r>
      <w:r w:rsidR="00825614">
        <w:rPr>
          <w:noProof/>
        </w:rPr>
        <w:t> </w:t>
      </w:r>
      <w:r w:rsidR="00825614" w:rsidRPr="00F66162">
        <w:rPr>
          <w:noProof/>
        </w:rPr>
        <w:t>ram</w:t>
      </w:r>
      <w:r w:rsidRPr="00F66162">
        <w:rPr>
          <w:noProof/>
        </w:rPr>
        <w:t xml:space="preserve">ach EU ETS. </w:t>
      </w:r>
    </w:p>
    <w:p w14:paraId="0CB59E8B" w14:textId="06F4AD18" w:rsidR="45C2281D" w:rsidRPr="00F66162" w:rsidRDefault="45C2281D"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Jeżeli chodzi</w:t>
      </w:r>
      <w:r w:rsidR="00825614" w:rsidRPr="00F66162">
        <w:rPr>
          <w:noProof/>
        </w:rPr>
        <w:t xml:space="preserve"> o</w:t>
      </w:r>
      <w:r w:rsidR="00825614">
        <w:rPr>
          <w:noProof/>
        </w:rPr>
        <w:t> </w:t>
      </w:r>
      <w:r w:rsidR="00825614" w:rsidRPr="00F66162">
        <w:rPr>
          <w:noProof/>
        </w:rPr>
        <w:t>sku</w:t>
      </w:r>
      <w:r w:rsidRPr="00F66162">
        <w:rPr>
          <w:noProof/>
        </w:rPr>
        <w:t>tki gospodarcze,</w:t>
      </w:r>
      <w:r w:rsidR="00825614" w:rsidRPr="00F66162">
        <w:rPr>
          <w:noProof/>
        </w:rPr>
        <w:t xml:space="preserve"> z</w:t>
      </w:r>
      <w:r w:rsidR="00825614">
        <w:rPr>
          <w:noProof/>
        </w:rPr>
        <w:t> </w:t>
      </w:r>
      <w:r w:rsidR="00825614" w:rsidRPr="00F66162">
        <w:rPr>
          <w:noProof/>
        </w:rPr>
        <w:t>mod</w:t>
      </w:r>
      <w:r w:rsidRPr="00F66162">
        <w:rPr>
          <w:noProof/>
        </w:rPr>
        <w:t>elowania przeprowadzonego przed przyjęciem rozporządzenia</w:t>
      </w:r>
      <w:r w:rsidR="00825614" w:rsidRPr="00F66162">
        <w:rPr>
          <w:noProof/>
        </w:rPr>
        <w:t xml:space="preserve"> w</w:t>
      </w:r>
      <w:r w:rsidR="00825614">
        <w:rPr>
          <w:noProof/>
        </w:rPr>
        <w:t> </w:t>
      </w:r>
      <w:r w:rsidR="00825614" w:rsidRPr="00F66162">
        <w:rPr>
          <w:noProof/>
        </w:rPr>
        <w:t>spr</w:t>
      </w:r>
      <w:r w:rsidRPr="00F66162">
        <w:rPr>
          <w:noProof/>
        </w:rPr>
        <w:t>awie CBAM wynika, że wprowadzenie CBAM</w:t>
      </w:r>
      <w:r w:rsidR="00825614" w:rsidRPr="00F66162">
        <w:rPr>
          <w:noProof/>
        </w:rPr>
        <w:t xml:space="preserve"> i</w:t>
      </w:r>
      <w:r w:rsidR="00825614">
        <w:rPr>
          <w:noProof/>
        </w:rPr>
        <w:t> </w:t>
      </w:r>
      <w:r w:rsidR="00825614" w:rsidRPr="00F66162">
        <w:rPr>
          <w:noProof/>
        </w:rPr>
        <w:t>inn</w:t>
      </w:r>
      <w:r w:rsidRPr="00F66162">
        <w:rPr>
          <w:noProof/>
        </w:rPr>
        <w:t>ych środków niezbędnych do osiągnięcia ambitniejszych celów klimatycznych UE może prowadzić do zmniejszenia PKB UE-27</w:t>
      </w:r>
      <w:r w:rsidR="00825614" w:rsidRPr="00F66162">
        <w:rPr>
          <w:noProof/>
        </w:rPr>
        <w:t xml:space="preserve"> w</w:t>
      </w:r>
      <w:r w:rsidR="00825614">
        <w:rPr>
          <w:noProof/>
        </w:rPr>
        <w:t> </w:t>
      </w:r>
      <w:r w:rsidR="00825614" w:rsidRPr="00F66162">
        <w:rPr>
          <w:noProof/>
        </w:rPr>
        <w:t>2</w:t>
      </w:r>
      <w:r w:rsidRPr="00F66162">
        <w:rPr>
          <w:noProof/>
        </w:rPr>
        <w:t>030 r.</w:t>
      </w:r>
      <w:r w:rsidR="00825614" w:rsidRPr="00F66162">
        <w:rPr>
          <w:noProof/>
        </w:rPr>
        <w:t xml:space="preserve"> o</w:t>
      </w:r>
      <w:r w:rsidR="00825614">
        <w:rPr>
          <w:noProof/>
        </w:rPr>
        <w:t> </w:t>
      </w:r>
      <w:r w:rsidR="00825614" w:rsidRPr="00F66162">
        <w:rPr>
          <w:noProof/>
        </w:rPr>
        <w:t>0</w:t>
      </w:r>
      <w:r w:rsidRPr="00F66162">
        <w:rPr>
          <w:noProof/>
        </w:rPr>
        <w:t>,22–0,23 %. Wpływ po stronie inwestycji jest niewielki. Jeżeli chodzi</w:t>
      </w:r>
      <w:r w:rsidR="00825614" w:rsidRPr="00F66162">
        <w:rPr>
          <w:noProof/>
        </w:rPr>
        <w:t xml:space="preserve"> o</w:t>
      </w:r>
      <w:r w:rsidR="00825614">
        <w:rPr>
          <w:noProof/>
        </w:rPr>
        <w:t> </w:t>
      </w:r>
      <w:r w:rsidR="00825614" w:rsidRPr="00F66162">
        <w:rPr>
          <w:noProof/>
        </w:rPr>
        <w:t>kon</w:t>
      </w:r>
      <w:r w:rsidRPr="00F66162">
        <w:rPr>
          <w:noProof/>
        </w:rPr>
        <w:t>sumpcję, wydaje się, że wpływ CBAM jest nieznacznie bardziej niekorzystny</w:t>
      </w:r>
      <w:r w:rsidR="00825614" w:rsidRPr="00F66162">
        <w:rPr>
          <w:noProof/>
        </w:rPr>
        <w:t xml:space="preserve"> w</w:t>
      </w:r>
      <w:r w:rsidR="00825614">
        <w:rPr>
          <w:noProof/>
        </w:rPr>
        <w:t> </w:t>
      </w:r>
      <w:r w:rsidR="00825614" w:rsidRPr="00F66162">
        <w:rPr>
          <w:noProof/>
        </w:rPr>
        <w:t>sto</w:t>
      </w:r>
      <w:r w:rsidRPr="00F66162">
        <w:rPr>
          <w:noProof/>
        </w:rPr>
        <w:t>sunku do scenariusza zakładającego bardziej ambitny cel klimatyczny bez wprowadzenia CBAM.</w:t>
      </w:r>
    </w:p>
    <w:p w14:paraId="2E8FE714" w14:textId="77777777" w:rsidR="45C2281D" w:rsidRPr="00F66162" w:rsidRDefault="45C2281D"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lastRenderedPageBreak/>
        <w:t xml:space="preserve">W związku ze skutecznym ograniczeniem ucieczki emisji gazów cieplarnianych wprowadzenie CBAM będzie skutkowało ograniczeniem przywozu w UE-27. Zasadniczo skutki społeczne CBAM są ograniczone. </w:t>
      </w:r>
    </w:p>
    <w:p w14:paraId="61A0C706" w14:textId="6CC46CFB" w:rsidR="45C2281D" w:rsidRPr="00F66162" w:rsidRDefault="45C2281D"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Oczekuje się wystąpienia skutków administracyjnych dla Komisji, organów krajowych</w:t>
      </w:r>
      <w:r w:rsidR="00825614" w:rsidRPr="00F66162">
        <w:rPr>
          <w:noProof/>
        </w:rPr>
        <w:t xml:space="preserve"> i</w:t>
      </w:r>
      <w:r w:rsidR="00825614">
        <w:rPr>
          <w:noProof/>
        </w:rPr>
        <w:t> </w:t>
      </w:r>
      <w:r w:rsidR="00825614" w:rsidRPr="00F66162">
        <w:rPr>
          <w:noProof/>
        </w:rPr>
        <w:t>prz</w:t>
      </w:r>
      <w:r w:rsidRPr="00F66162">
        <w:rPr>
          <w:noProof/>
        </w:rPr>
        <w:t>edsiębiorstw. Zasadniczo oczekuje się, że koszty przestrzegania przepisów ponoszone przez przedsiębiorstwa</w:t>
      </w:r>
      <w:r w:rsidR="00825614" w:rsidRPr="00F66162">
        <w:rPr>
          <w:noProof/>
        </w:rPr>
        <w:t xml:space="preserve"> i</w:t>
      </w:r>
      <w:r w:rsidR="00825614">
        <w:rPr>
          <w:noProof/>
        </w:rPr>
        <w:t> </w:t>
      </w:r>
      <w:r w:rsidR="00825614" w:rsidRPr="00F66162">
        <w:rPr>
          <w:noProof/>
        </w:rPr>
        <w:t>org</w:t>
      </w:r>
      <w:r w:rsidRPr="00F66162">
        <w:rPr>
          <w:noProof/>
        </w:rPr>
        <w:t>any będą wysokie, ale proporcjonalne</w:t>
      </w:r>
      <w:r w:rsidR="00825614" w:rsidRPr="00F66162">
        <w:rPr>
          <w:noProof/>
        </w:rPr>
        <w:t xml:space="preserve"> i</w:t>
      </w:r>
      <w:r w:rsidR="00825614">
        <w:rPr>
          <w:noProof/>
        </w:rPr>
        <w:t> </w:t>
      </w:r>
      <w:r w:rsidR="00825614" w:rsidRPr="00F66162">
        <w:rPr>
          <w:noProof/>
        </w:rPr>
        <w:t>moż</w:t>
      </w:r>
      <w:r w:rsidRPr="00F66162">
        <w:rPr>
          <w:noProof/>
        </w:rPr>
        <w:t>liwe do udźwignięcia</w:t>
      </w:r>
      <w:r w:rsidR="00825614" w:rsidRPr="00F66162">
        <w:rPr>
          <w:noProof/>
        </w:rPr>
        <w:t xml:space="preserve"> w</w:t>
      </w:r>
      <w:r w:rsidR="00825614">
        <w:rPr>
          <w:noProof/>
        </w:rPr>
        <w:t> </w:t>
      </w:r>
      <w:r w:rsidR="00825614" w:rsidRPr="00F66162">
        <w:rPr>
          <w:noProof/>
        </w:rPr>
        <w:t>świ</w:t>
      </w:r>
      <w:r w:rsidRPr="00F66162">
        <w:rPr>
          <w:noProof/>
        </w:rPr>
        <w:t>etle korzyści dla środowiska związanych ze środkiem. Chociaż celem CBAM nie jest generowanie dochodów, oczekuje się, że mechanizm ten przyniesie dodatkowe dochody, które według szacunków na 2030 r. wyniosą ponad [2,1 mld EUR do aktualizacji].</w:t>
      </w:r>
    </w:p>
    <w:p w14:paraId="70002C6F" w14:textId="77777777" w:rsidR="45C2281D" w:rsidRPr="00F66162" w:rsidRDefault="45C2281D"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Wniosek zmieniający ma przynieść:</w:t>
      </w:r>
    </w:p>
    <w:p w14:paraId="51B596CF" w14:textId="34781528" w:rsidR="45C2281D" w:rsidRPr="00F66162" w:rsidRDefault="45C2281D"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(i) zmniejszenie liczby podmiotów podlegających obowiązkom CBAM przy jednoczesnym zachowaniu integralności środowiskowej mechanizmu</w:t>
      </w:r>
      <w:r w:rsidR="00825614" w:rsidRPr="00F66162">
        <w:rPr>
          <w:noProof/>
        </w:rPr>
        <w:t xml:space="preserve"> i</w:t>
      </w:r>
      <w:r w:rsidR="00825614">
        <w:rPr>
          <w:noProof/>
        </w:rPr>
        <w:t> </w:t>
      </w:r>
      <w:r w:rsidR="00825614" w:rsidRPr="00F66162">
        <w:rPr>
          <w:noProof/>
        </w:rPr>
        <w:t>jeg</w:t>
      </w:r>
      <w:r w:rsidRPr="00F66162">
        <w:rPr>
          <w:noProof/>
        </w:rPr>
        <w:t>o zdolności do osiągnięcia celu klimatycznego;</w:t>
      </w:r>
    </w:p>
    <w:p w14:paraId="3E676009" w14:textId="753E2C6D" w:rsidR="2568B8BA" w:rsidRPr="00F66162" w:rsidRDefault="2568B8BA" w:rsidP="139DF8FE">
      <w:pPr>
        <w:pStyle w:val="Text1"/>
        <w:pBdr>
          <w:top w:val="single" w:sz="8" w:space="1" w:color="000000"/>
          <w:left w:val="single" w:sz="8" w:space="4" w:color="000000"/>
          <w:bottom w:val="single" w:sz="8" w:space="1" w:color="000000"/>
          <w:right w:val="single" w:sz="8" w:space="4" w:color="000000"/>
        </w:pBdr>
        <w:rPr>
          <w:rFonts w:eastAsia="Times New Roman"/>
          <w:noProof/>
          <w:color w:val="0000FF"/>
          <w:szCs w:val="24"/>
        </w:rPr>
      </w:pPr>
      <w:r w:rsidRPr="00F66162">
        <w:rPr>
          <w:noProof/>
        </w:rPr>
        <w:t>(ii) usprawnienie funkcjonowania mechanizmu poprzez uproszczenie</w:t>
      </w:r>
      <w:r w:rsidR="00825614" w:rsidRPr="00F66162">
        <w:rPr>
          <w:noProof/>
        </w:rPr>
        <w:t xml:space="preserve"> i</w:t>
      </w:r>
      <w:r w:rsidR="00825614">
        <w:rPr>
          <w:noProof/>
        </w:rPr>
        <w:t> </w:t>
      </w:r>
      <w:r w:rsidR="00825614" w:rsidRPr="00F66162">
        <w:rPr>
          <w:noProof/>
        </w:rPr>
        <w:t>usp</w:t>
      </w:r>
      <w:r w:rsidRPr="00F66162">
        <w:rPr>
          <w:noProof/>
        </w:rPr>
        <w:t>rawnienie procesów</w:t>
      </w:r>
      <w:r w:rsidR="00825614" w:rsidRPr="00F66162">
        <w:rPr>
          <w:noProof/>
        </w:rPr>
        <w:t xml:space="preserve"> i</w:t>
      </w:r>
      <w:r w:rsidR="00825614">
        <w:rPr>
          <w:noProof/>
        </w:rPr>
        <w:t> </w:t>
      </w:r>
      <w:r w:rsidR="00825614" w:rsidRPr="00F66162">
        <w:rPr>
          <w:noProof/>
        </w:rPr>
        <w:t>pro</w:t>
      </w:r>
      <w:r w:rsidRPr="00F66162">
        <w:rPr>
          <w:noProof/>
        </w:rPr>
        <w:t>cedur. Wniosek ułatwi importerom towarów do Unii wypełnianie obowiązków sprawozdawczych dotyczących CBAM poprzez uproszczenie niektórych wymogów sprawozdawczych CBAM, powiązanych ze złożonymi obliczeniami lub opartych na ryzykownych procesach gromadzenia danych, utrudniających skuteczne wprowadzanie CBAM</w:t>
      </w:r>
      <w:r w:rsidR="00825614" w:rsidRPr="00F66162">
        <w:rPr>
          <w:noProof/>
        </w:rPr>
        <w:t xml:space="preserve"> w</w:t>
      </w:r>
      <w:r w:rsidR="00825614">
        <w:rPr>
          <w:noProof/>
        </w:rPr>
        <w:t> </w:t>
      </w:r>
      <w:r w:rsidR="00825614" w:rsidRPr="00F66162">
        <w:rPr>
          <w:noProof/>
        </w:rPr>
        <w:t>życ</w:t>
      </w:r>
      <w:r w:rsidRPr="00F66162">
        <w:rPr>
          <w:noProof/>
        </w:rPr>
        <w:t xml:space="preserve">ie. </w:t>
      </w:r>
    </w:p>
    <w:p w14:paraId="1EDC1522" w14:textId="0196CB8F" w:rsidR="45C2281D" w:rsidRPr="00F66162" w:rsidRDefault="45C2281D" w:rsidP="139DF8FE">
      <w:pPr>
        <w:pStyle w:val="Text1"/>
        <w:pBdr>
          <w:top w:val="single" w:sz="8" w:space="1" w:color="000000"/>
          <w:left w:val="single" w:sz="8" w:space="4" w:color="000000"/>
          <w:bottom w:val="single" w:sz="8" w:space="1" w:color="000000"/>
          <w:right w:val="single" w:sz="8" w:space="4" w:color="000000"/>
        </w:pBdr>
        <w:rPr>
          <w:rFonts w:eastAsia="Times New Roman"/>
          <w:noProof/>
          <w:color w:val="0000FF"/>
          <w:szCs w:val="24"/>
        </w:rPr>
      </w:pPr>
      <w:r w:rsidRPr="00F66162">
        <w:rPr>
          <w:noProof/>
        </w:rPr>
        <w:t>Wniosek wzmocni także monitorowanie CBAM</w:t>
      </w:r>
      <w:r w:rsidR="00825614" w:rsidRPr="00F66162">
        <w:rPr>
          <w:noProof/>
        </w:rPr>
        <w:t xml:space="preserve"> i</w:t>
      </w:r>
      <w:r w:rsidR="00825614">
        <w:rPr>
          <w:noProof/>
        </w:rPr>
        <w:t> </w:t>
      </w:r>
      <w:r w:rsidR="00825614" w:rsidRPr="00F66162">
        <w:rPr>
          <w:noProof/>
        </w:rPr>
        <w:t>nad</w:t>
      </w:r>
      <w:r w:rsidRPr="00F66162">
        <w:rPr>
          <w:noProof/>
        </w:rPr>
        <w:t>zór nad nim. Zwiększy on również zdolność Komisji do przetwarzania danych</w:t>
      </w:r>
      <w:r w:rsidR="00825614" w:rsidRPr="00F66162">
        <w:rPr>
          <w:noProof/>
        </w:rPr>
        <w:t xml:space="preserve"> i</w:t>
      </w:r>
      <w:r w:rsidR="00825614">
        <w:rPr>
          <w:noProof/>
        </w:rPr>
        <w:t> </w:t>
      </w:r>
      <w:r w:rsidR="00825614" w:rsidRPr="00F66162">
        <w:rPr>
          <w:noProof/>
        </w:rPr>
        <w:t>wym</w:t>
      </w:r>
      <w:r w:rsidRPr="00F66162">
        <w:rPr>
          <w:noProof/>
        </w:rPr>
        <w:t>iany istotnych informacji</w:t>
      </w:r>
      <w:r w:rsidR="00825614" w:rsidRPr="00F66162">
        <w:rPr>
          <w:noProof/>
        </w:rPr>
        <w:t xml:space="preserve"> z</w:t>
      </w:r>
      <w:r w:rsidR="00825614">
        <w:rPr>
          <w:noProof/>
        </w:rPr>
        <w:t> </w:t>
      </w:r>
      <w:r w:rsidR="00825614" w:rsidRPr="00F66162">
        <w:rPr>
          <w:noProof/>
        </w:rPr>
        <w:t>org</w:t>
      </w:r>
      <w:r w:rsidRPr="00F66162">
        <w:rPr>
          <w:noProof/>
        </w:rPr>
        <w:t>anami krajowymi, aby zmaksymalizować użyteczność informacji otrzymywanych od zainteresowanych podmiotów. Oprócz tego wniosek umożliwi Komisji lepsze wykrywanie ryzyka,</w:t>
      </w:r>
      <w:r w:rsidR="00825614" w:rsidRPr="00F66162">
        <w:rPr>
          <w:noProof/>
        </w:rPr>
        <w:t xml:space="preserve"> a</w:t>
      </w:r>
      <w:r w:rsidR="00825614">
        <w:rPr>
          <w:noProof/>
        </w:rPr>
        <w:t> </w:t>
      </w:r>
      <w:r w:rsidR="00825614" w:rsidRPr="00F66162">
        <w:rPr>
          <w:noProof/>
        </w:rPr>
        <w:t>org</w:t>
      </w:r>
      <w:r w:rsidRPr="00F66162">
        <w:rPr>
          <w:noProof/>
        </w:rPr>
        <w:t>anom krajowym – lepsze przygotowanie się, aby</w:t>
      </w:r>
      <w:r w:rsidR="00825614" w:rsidRPr="00F66162">
        <w:rPr>
          <w:noProof/>
        </w:rPr>
        <w:t xml:space="preserve"> w</w:t>
      </w:r>
      <w:r w:rsidR="00825614">
        <w:rPr>
          <w:noProof/>
        </w:rPr>
        <w:t> </w:t>
      </w:r>
      <w:r w:rsidR="00825614" w:rsidRPr="00F66162">
        <w:rPr>
          <w:noProof/>
        </w:rPr>
        <w:t>raz</w:t>
      </w:r>
      <w:r w:rsidRPr="00F66162">
        <w:rPr>
          <w:noProof/>
        </w:rPr>
        <w:t>ie potrzeby podjąć odpowiednie działania.</w:t>
      </w:r>
    </w:p>
    <w:p w14:paraId="7C238759" w14:textId="77777777" w:rsidR="00FA5543" w:rsidRPr="00F66162" w:rsidRDefault="00FA5543" w:rsidP="00390489">
      <w:pPr>
        <w:pStyle w:val="ManualHeading3"/>
        <w:rPr>
          <w:noProof/>
        </w:rPr>
      </w:pPr>
      <w:r w:rsidRPr="00F66162">
        <w:rPr>
          <w:noProof/>
        </w:rPr>
        <w:t>1.3.4.</w:t>
      </w:r>
      <w:r w:rsidRPr="00F66162">
        <w:rPr>
          <w:noProof/>
        </w:rPr>
        <w:tab/>
        <w:t>Wskaźniki dotyczące realizacji celów</w:t>
      </w:r>
    </w:p>
    <w:p w14:paraId="7A0C64E7" w14:textId="11FA81A5" w:rsidR="00FA5543" w:rsidRPr="00F66162" w:rsidRDefault="00FA5543" w:rsidP="00390489">
      <w:pPr>
        <w:pStyle w:val="Text1"/>
        <w:rPr>
          <w:i/>
          <w:noProof/>
          <w:sz w:val="20"/>
        </w:rPr>
      </w:pPr>
      <w:r w:rsidRPr="00F66162">
        <w:rPr>
          <w:i/>
          <w:noProof/>
          <w:sz w:val="20"/>
        </w:rPr>
        <w:t>Należy wskazać wskaźniki stosowane do monitorowania postępów</w:t>
      </w:r>
      <w:r w:rsidR="00825614" w:rsidRPr="00F66162">
        <w:rPr>
          <w:i/>
          <w:noProof/>
          <w:sz w:val="20"/>
        </w:rPr>
        <w:t xml:space="preserve"> i</w:t>
      </w:r>
      <w:r w:rsidR="00825614">
        <w:rPr>
          <w:i/>
          <w:noProof/>
          <w:sz w:val="20"/>
        </w:rPr>
        <w:t> </w:t>
      </w:r>
      <w:r w:rsidR="00825614" w:rsidRPr="00F66162">
        <w:rPr>
          <w:i/>
          <w:noProof/>
          <w:sz w:val="20"/>
        </w:rPr>
        <w:t>osi</w:t>
      </w:r>
      <w:r w:rsidRPr="00F66162">
        <w:rPr>
          <w:i/>
          <w:noProof/>
          <w:sz w:val="20"/>
        </w:rPr>
        <w:t>ągnięć.</w:t>
      </w:r>
    </w:p>
    <w:p w14:paraId="4887F09F" w14:textId="6F924B2F" w:rsidR="005C73B0" w:rsidRPr="00F66162" w:rsidRDefault="3BAFE9AC" w:rsidP="139DF8FE">
      <w:pPr>
        <w:pStyle w:val="Text1"/>
        <w:pBdr>
          <w:top w:val="single" w:sz="4" w:space="1" w:color="auto"/>
          <w:left w:val="single" w:sz="4" w:space="4" w:color="auto"/>
          <w:bottom w:val="single" w:sz="4" w:space="1" w:color="auto"/>
          <w:right w:val="single" w:sz="4" w:space="4" w:color="auto"/>
        </w:pBdr>
        <w:rPr>
          <w:noProof/>
        </w:rPr>
      </w:pPr>
      <w:r w:rsidRPr="00F66162">
        <w:rPr>
          <w:noProof/>
        </w:rPr>
        <w:t>Importerzy małych ilości towarów objętych CBAM zwolnieni</w:t>
      </w:r>
      <w:r w:rsidR="00825614" w:rsidRPr="00F66162">
        <w:rPr>
          <w:noProof/>
        </w:rPr>
        <w:t xml:space="preserve"> z</w:t>
      </w:r>
      <w:r w:rsidR="00825614">
        <w:rPr>
          <w:noProof/>
        </w:rPr>
        <w:t> </w:t>
      </w:r>
      <w:r w:rsidR="00825614" w:rsidRPr="00F66162">
        <w:rPr>
          <w:noProof/>
        </w:rPr>
        <w:t>obo</w:t>
      </w:r>
      <w:r w:rsidRPr="00F66162">
        <w:rPr>
          <w:noProof/>
        </w:rPr>
        <w:t>wiązków CBAM.</w:t>
      </w:r>
    </w:p>
    <w:p w14:paraId="2226E399" w14:textId="7CD1CE42" w:rsidR="005C73B0" w:rsidRPr="00F66162" w:rsidRDefault="30BA9F27" w:rsidP="139DF8FE">
      <w:pPr>
        <w:pStyle w:val="Text1"/>
        <w:pBdr>
          <w:top w:val="single" w:sz="4" w:space="1" w:color="auto"/>
          <w:left w:val="single" w:sz="4" w:space="4" w:color="auto"/>
          <w:bottom w:val="single" w:sz="4" w:space="1" w:color="auto"/>
          <w:right w:val="single" w:sz="4" w:space="4" w:color="auto"/>
        </w:pBdr>
        <w:rPr>
          <w:noProof/>
        </w:rPr>
      </w:pPr>
      <w:r w:rsidRPr="00F66162">
        <w:rPr>
          <w:noProof/>
        </w:rPr>
        <w:t>Optymalizacja procesów</w:t>
      </w:r>
      <w:r w:rsidR="00825614" w:rsidRPr="00F66162">
        <w:rPr>
          <w:noProof/>
        </w:rPr>
        <w:t xml:space="preserve"> w</w:t>
      </w:r>
      <w:r w:rsidR="00825614">
        <w:rPr>
          <w:noProof/>
        </w:rPr>
        <w:t> </w:t>
      </w:r>
      <w:r w:rsidR="00825614" w:rsidRPr="00F66162">
        <w:rPr>
          <w:noProof/>
        </w:rPr>
        <w:t>cel</w:t>
      </w:r>
      <w:r w:rsidRPr="00F66162">
        <w:rPr>
          <w:noProof/>
        </w:rPr>
        <w:t>u zwiększenia skuteczności</w:t>
      </w:r>
      <w:r w:rsidR="00825614" w:rsidRPr="00F66162">
        <w:rPr>
          <w:noProof/>
        </w:rPr>
        <w:t xml:space="preserve"> i</w:t>
      </w:r>
      <w:r w:rsidR="00825614">
        <w:rPr>
          <w:noProof/>
        </w:rPr>
        <w:t> </w:t>
      </w:r>
      <w:r w:rsidR="00825614" w:rsidRPr="00F66162">
        <w:rPr>
          <w:noProof/>
        </w:rPr>
        <w:t>zmn</w:t>
      </w:r>
      <w:r w:rsidRPr="00F66162">
        <w:rPr>
          <w:noProof/>
        </w:rPr>
        <w:t>iejszenia obciążenia administracyjnego.</w:t>
      </w:r>
    </w:p>
    <w:p w14:paraId="48F62445" w14:textId="77777777" w:rsidR="00FA5543" w:rsidRPr="00F66162" w:rsidRDefault="6C3AF1E0" w:rsidP="00390489">
      <w:pPr>
        <w:pStyle w:val="ManualHeading2"/>
        <w:rPr>
          <w:noProof/>
        </w:rPr>
      </w:pPr>
      <w:r w:rsidRPr="00F66162">
        <w:rPr>
          <w:noProof/>
        </w:rPr>
        <w:t>1.4.</w:t>
      </w:r>
      <w:r w:rsidRPr="00F66162">
        <w:rPr>
          <w:noProof/>
        </w:rPr>
        <w:tab/>
        <w:t xml:space="preserve">Wniosek/inicjatywa dotyczy: </w:t>
      </w:r>
    </w:p>
    <w:p w14:paraId="25DA540B" w14:textId="77777777" w:rsidR="00FA5543" w:rsidRPr="00F66162" w:rsidRDefault="00FA5543" w:rsidP="00390489">
      <w:pPr>
        <w:pStyle w:val="Text1"/>
        <w:rPr>
          <w:noProof/>
          <w:sz w:val="22"/>
        </w:rPr>
      </w:pPr>
      <w:r w:rsidRPr="00F66162">
        <w:rPr>
          <w:rFonts w:ascii="Wingdings" w:hAnsi="Wingdings"/>
          <w:noProof/>
          <w:sz w:val="22"/>
        </w:rPr>
        <w:t></w:t>
      </w:r>
      <w:r w:rsidRPr="00F66162">
        <w:rPr>
          <w:i/>
          <w:noProof/>
          <w:sz w:val="22"/>
        </w:rPr>
        <w:t xml:space="preserve"> </w:t>
      </w:r>
      <w:r w:rsidRPr="00F66162">
        <w:rPr>
          <w:noProof/>
        </w:rPr>
        <w:t>nowego działania</w:t>
      </w:r>
      <w:r w:rsidRPr="00F66162">
        <w:rPr>
          <w:noProof/>
          <w:sz w:val="22"/>
        </w:rPr>
        <w:t xml:space="preserve"> </w:t>
      </w:r>
    </w:p>
    <w:p w14:paraId="43D6EFD4" w14:textId="77777777" w:rsidR="00FA5543" w:rsidRPr="00F66162" w:rsidRDefault="00FA5543" w:rsidP="00390489">
      <w:pPr>
        <w:pStyle w:val="Text1"/>
        <w:rPr>
          <w:noProof/>
          <w:sz w:val="22"/>
        </w:rPr>
      </w:pPr>
      <w:r w:rsidRPr="00F66162">
        <w:rPr>
          <w:rFonts w:ascii="Wingdings" w:hAnsi="Wingdings"/>
          <w:noProof/>
          <w:sz w:val="22"/>
        </w:rPr>
        <w:t></w:t>
      </w:r>
      <w:r w:rsidRPr="00F66162">
        <w:rPr>
          <w:i/>
          <w:noProof/>
          <w:sz w:val="22"/>
        </w:rPr>
        <w:t xml:space="preserve"> </w:t>
      </w:r>
      <w:r w:rsidRPr="00F66162">
        <w:rPr>
          <w:noProof/>
        </w:rPr>
        <w:t>nowego działania, będącego następstwem projektu pilotażowego/działania przygotowawczego</w:t>
      </w:r>
      <w:r w:rsidRPr="00F66162">
        <w:rPr>
          <w:rStyle w:val="Odwoanieprzypisudolnego"/>
          <w:noProof/>
        </w:rPr>
        <w:footnoteReference w:id="19"/>
      </w:r>
      <w:r w:rsidRPr="00F66162">
        <w:rPr>
          <w:noProof/>
          <w:sz w:val="22"/>
        </w:rPr>
        <w:t xml:space="preserve"> </w:t>
      </w:r>
    </w:p>
    <w:p w14:paraId="27BB7CF2" w14:textId="77777777" w:rsidR="00FA5543" w:rsidRPr="00F66162" w:rsidRDefault="01C129A8" w:rsidP="139DF8FE">
      <w:pPr>
        <w:pStyle w:val="Text1"/>
        <w:rPr>
          <w:noProof/>
          <w:sz w:val="22"/>
        </w:rPr>
      </w:pPr>
      <w:r w:rsidRPr="00F66162">
        <w:rPr>
          <w:rFonts w:ascii="Wingdings" w:hAnsi="Wingdings"/>
          <w:noProof/>
        </w:rPr>
        <w:t></w:t>
      </w:r>
      <w:r w:rsidRPr="00F66162">
        <w:rPr>
          <w:noProof/>
        </w:rPr>
        <w:t xml:space="preserve"> przedłużenia bieżącego działania</w:t>
      </w:r>
      <w:r w:rsidRPr="00F66162">
        <w:rPr>
          <w:noProof/>
          <w:sz w:val="22"/>
        </w:rPr>
        <w:t xml:space="preserve"> </w:t>
      </w:r>
    </w:p>
    <w:p w14:paraId="5EB51D17" w14:textId="77777777" w:rsidR="00FA5543" w:rsidRPr="00F66162" w:rsidRDefault="00FA5543" w:rsidP="00390489">
      <w:pPr>
        <w:pStyle w:val="Text1"/>
        <w:rPr>
          <w:noProof/>
        </w:rPr>
      </w:pPr>
      <w:r w:rsidRPr="00F66162">
        <w:rPr>
          <w:rFonts w:ascii="Wingdings" w:hAnsi="Wingdings"/>
          <w:noProof/>
          <w:sz w:val="22"/>
        </w:rPr>
        <w:t></w:t>
      </w:r>
      <w:r w:rsidRPr="00F66162">
        <w:rPr>
          <w:i/>
          <w:noProof/>
          <w:sz w:val="22"/>
        </w:rPr>
        <w:t xml:space="preserve"> </w:t>
      </w:r>
      <w:r w:rsidRPr="00F66162">
        <w:rPr>
          <w:noProof/>
        </w:rPr>
        <w:t>połączenia lub przekształcenia co najmniej jednego działania pod kątem innego/nowego działania</w:t>
      </w:r>
    </w:p>
    <w:p w14:paraId="6529D8A4" w14:textId="77777777" w:rsidR="00FA5543" w:rsidRPr="00F66162" w:rsidRDefault="00FA5543" w:rsidP="00390489">
      <w:pPr>
        <w:pStyle w:val="ManualHeading2"/>
        <w:rPr>
          <w:bCs/>
          <w:noProof/>
          <w:szCs w:val="24"/>
        </w:rPr>
      </w:pPr>
      <w:r w:rsidRPr="00F66162">
        <w:rPr>
          <w:noProof/>
        </w:rPr>
        <w:lastRenderedPageBreak/>
        <w:t>1.5.</w:t>
      </w:r>
      <w:r w:rsidRPr="00F66162">
        <w:rPr>
          <w:noProof/>
        </w:rPr>
        <w:tab/>
        <w:t xml:space="preserve">Uzasadnienie wniosku/inicjatywy </w:t>
      </w:r>
    </w:p>
    <w:p w14:paraId="1168EAE4" w14:textId="5BA192AC" w:rsidR="00FA5543" w:rsidRPr="00F66162" w:rsidRDefault="00FA5543" w:rsidP="00390489">
      <w:pPr>
        <w:pStyle w:val="ManualHeading3"/>
        <w:rPr>
          <w:noProof/>
        </w:rPr>
      </w:pPr>
      <w:r w:rsidRPr="00F66162">
        <w:rPr>
          <w:noProof/>
        </w:rPr>
        <w:t>1.5.1.</w:t>
      </w:r>
      <w:r w:rsidRPr="00F66162">
        <w:rPr>
          <w:noProof/>
        </w:rPr>
        <w:tab/>
        <w:t>Potrzeby, które należy zaspokoić</w:t>
      </w:r>
      <w:r w:rsidR="00825614" w:rsidRPr="00F66162">
        <w:rPr>
          <w:noProof/>
        </w:rPr>
        <w:t xml:space="preserve"> w</w:t>
      </w:r>
      <w:r w:rsidR="00825614">
        <w:rPr>
          <w:noProof/>
        </w:rPr>
        <w:t> </w:t>
      </w:r>
      <w:r w:rsidR="00825614" w:rsidRPr="00F66162">
        <w:rPr>
          <w:noProof/>
        </w:rPr>
        <w:t>per</w:t>
      </w:r>
      <w:r w:rsidRPr="00F66162">
        <w:rPr>
          <w:noProof/>
        </w:rPr>
        <w:t>spektywie krótko- lub długoterminowej,</w:t>
      </w:r>
      <w:r w:rsidR="00825614" w:rsidRPr="00F66162">
        <w:rPr>
          <w:noProof/>
        </w:rPr>
        <w:t xml:space="preserve"> w</w:t>
      </w:r>
      <w:r w:rsidR="00825614">
        <w:rPr>
          <w:noProof/>
        </w:rPr>
        <w:t> </w:t>
      </w:r>
      <w:r w:rsidR="00825614" w:rsidRPr="00F66162">
        <w:rPr>
          <w:noProof/>
        </w:rPr>
        <w:t>tym</w:t>
      </w:r>
      <w:r w:rsidRPr="00F66162">
        <w:rPr>
          <w:noProof/>
        </w:rPr>
        <w:t xml:space="preserve"> szczegółowy terminarz przebiegu realizacji inicjatywy</w:t>
      </w:r>
    </w:p>
    <w:p w14:paraId="0107E21B" w14:textId="0468B5E4"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CBAM wprowadzano od października 20</w:t>
      </w:r>
      <w:r w:rsidRPr="00825614">
        <w:rPr>
          <w:noProof/>
        </w:rPr>
        <w:t>23</w:t>
      </w:r>
      <w:r w:rsidR="00825614" w:rsidRPr="00825614">
        <w:rPr>
          <w:noProof/>
        </w:rPr>
        <w:t> </w:t>
      </w:r>
      <w:r w:rsidRPr="00825614">
        <w:rPr>
          <w:noProof/>
        </w:rPr>
        <w:t>r.</w:t>
      </w:r>
      <w:r w:rsidRPr="00F66162">
        <w:rPr>
          <w:noProof/>
        </w:rPr>
        <w:t xml:space="preserve"> Obecnie, do końca 20</w:t>
      </w:r>
      <w:r w:rsidRPr="00825614">
        <w:rPr>
          <w:noProof/>
        </w:rPr>
        <w:t>25</w:t>
      </w:r>
      <w:r w:rsidR="00825614" w:rsidRPr="00825614">
        <w:rPr>
          <w:noProof/>
        </w:rPr>
        <w:t> </w:t>
      </w:r>
      <w:r w:rsidRPr="00825614">
        <w:rPr>
          <w:noProof/>
        </w:rPr>
        <w:t>r.</w:t>
      </w:r>
      <w:r w:rsidRPr="00F66162">
        <w:rPr>
          <w:noProof/>
        </w:rPr>
        <w:t>, funkcjonuje uproszczony system CBAM</w:t>
      </w:r>
      <w:r w:rsidR="00825614" w:rsidRPr="00F66162">
        <w:rPr>
          <w:noProof/>
        </w:rPr>
        <w:t>. W</w:t>
      </w:r>
      <w:r w:rsidR="00825614">
        <w:rPr>
          <w:noProof/>
        </w:rPr>
        <w:t> </w:t>
      </w:r>
      <w:r w:rsidR="00825614" w:rsidRPr="00F66162">
        <w:rPr>
          <w:noProof/>
        </w:rPr>
        <w:t>szc</w:t>
      </w:r>
      <w:r w:rsidRPr="00F66162">
        <w:rPr>
          <w:noProof/>
        </w:rPr>
        <w:t>zególności obowiązuje obecnie okres przejściowy (próbne gromadzenie danych) mający na celu ułatwienie płynnego wprowadzenia CBAM</w:t>
      </w:r>
      <w:r w:rsidR="00825614" w:rsidRPr="00F66162">
        <w:rPr>
          <w:noProof/>
        </w:rPr>
        <w:t xml:space="preserve"> i</w:t>
      </w:r>
      <w:r w:rsidR="00825614">
        <w:rPr>
          <w:noProof/>
        </w:rPr>
        <w:t> </w:t>
      </w:r>
      <w:r w:rsidR="00825614" w:rsidRPr="00F66162">
        <w:rPr>
          <w:noProof/>
        </w:rPr>
        <w:t>umo</w:t>
      </w:r>
      <w:r w:rsidRPr="00F66162">
        <w:rPr>
          <w:noProof/>
        </w:rPr>
        <w:t>żliwienie przedsiębiorcom</w:t>
      </w:r>
      <w:r w:rsidR="00825614" w:rsidRPr="00F66162">
        <w:rPr>
          <w:noProof/>
        </w:rPr>
        <w:t xml:space="preserve"> i</w:t>
      </w:r>
      <w:r w:rsidR="00825614">
        <w:rPr>
          <w:noProof/>
        </w:rPr>
        <w:t> </w:t>
      </w:r>
      <w:r w:rsidR="00825614" w:rsidRPr="00F66162">
        <w:rPr>
          <w:noProof/>
        </w:rPr>
        <w:t>imp</w:t>
      </w:r>
      <w:r w:rsidRPr="00F66162">
        <w:rPr>
          <w:noProof/>
        </w:rPr>
        <w:t>orterom dostosowanie się do tego mechanizmu.</w:t>
      </w:r>
    </w:p>
    <w:p w14:paraId="2679DEE8" w14:textId="15FAAAF1"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Służby Komisji są odpowiedzialne za wdrażanie</w:t>
      </w:r>
      <w:r w:rsidR="00825614" w:rsidRPr="00F66162">
        <w:rPr>
          <w:noProof/>
        </w:rPr>
        <w:t xml:space="preserve"> i</w:t>
      </w:r>
      <w:r w:rsidR="00825614">
        <w:rPr>
          <w:noProof/>
        </w:rPr>
        <w:t> </w:t>
      </w:r>
      <w:r w:rsidR="00825614" w:rsidRPr="00F66162">
        <w:rPr>
          <w:noProof/>
        </w:rPr>
        <w:t>egz</w:t>
      </w:r>
      <w:r w:rsidRPr="00F66162">
        <w:rPr>
          <w:noProof/>
        </w:rPr>
        <w:t>ekwowanie CBAM</w:t>
      </w:r>
      <w:r w:rsidR="00825614" w:rsidRPr="00F66162">
        <w:rPr>
          <w:noProof/>
        </w:rPr>
        <w:t xml:space="preserve"> w</w:t>
      </w:r>
      <w:r w:rsidR="00825614">
        <w:rPr>
          <w:noProof/>
        </w:rPr>
        <w:t> </w:t>
      </w:r>
      <w:r w:rsidR="00825614" w:rsidRPr="00F66162">
        <w:rPr>
          <w:noProof/>
        </w:rPr>
        <w:t>okr</w:t>
      </w:r>
      <w:r w:rsidRPr="00F66162">
        <w:rPr>
          <w:noProof/>
        </w:rPr>
        <w:t>esie zarówno przejściowym (2023–2025), jak</w:t>
      </w:r>
      <w:r w:rsidR="00825614" w:rsidRPr="00F66162">
        <w:rPr>
          <w:noProof/>
        </w:rPr>
        <w:t xml:space="preserve"> i</w:t>
      </w:r>
      <w:r w:rsidR="00825614">
        <w:rPr>
          <w:noProof/>
        </w:rPr>
        <w:t> </w:t>
      </w:r>
      <w:r w:rsidR="00825614" w:rsidRPr="00F66162">
        <w:rPr>
          <w:noProof/>
        </w:rPr>
        <w:t>doc</w:t>
      </w:r>
      <w:r w:rsidRPr="00F66162">
        <w:rPr>
          <w:noProof/>
        </w:rPr>
        <w:t>elowym (</w:t>
      </w:r>
      <w:r w:rsidRPr="00825614">
        <w:rPr>
          <w:noProof/>
        </w:rPr>
        <w:t>od</w:t>
      </w:r>
      <w:r w:rsidR="00825614" w:rsidRPr="00825614">
        <w:rPr>
          <w:noProof/>
        </w:rPr>
        <w:t> </w:t>
      </w:r>
      <w:r w:rsidRPr="00825614">
        <w:rPr>
          <w:noProof/>
        </w:rPr>
        <w:t>2</w:t>
      </w:r>
      <w:r w:rsidRPr="00F66162">
        <w:rPr>
          <w:noProof/>
        </w:rPr>
        <w:t>0</w:t>
      </w:r>
      <w:r w:rsidRPr="00825614">
        <w:rPr>
          <w:noProof/>
        </w:rPr>
        <w:t>26</w:t>
      </w:r>
      <w:r w:rsidR="00825614" w:rsidRPr="00825614">
        <w:rPr>
          <w:noProof/>
        </w:rPr>
        <w:t> </w:t>
      </w:r>
      <w:r w:rsidRPr="00825614">
        <w:rPr>
          <w:noProof/>
        </w:rPr>
        <w:t>r.</w:t>
      </w:r>
      <w:r w:rsidRPr="00F66162">
        <w:rPr>
          <w:noProof/>
        </w:rPr>
        <w:t>).</w:t>
      </w:r>
    </w:p>
    <w:p w14:paraId="2C692D7F" w14:textId="17B9EEE7"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 okresie przejściowym oznacza to gromadzenie informacji – przekazywanych przez unijnych importerów towarów objętych CBAM –</w:t>
      </w:r>
      <w:r w:rsidR="00825614" w:rsidRPr="00F66162">
        <w:rPr>
          <w:noProof/>
        </w:rPr>
        <w:t xml:space="preserve"> o</w:t>
      </w:r>
      <w:r w:rsidR="00825614">
        <w:rPr>
          <w:noProof/>
        </w:rPr>
        <w:t> </w:t>
      </w:r>
      <w:r w:rsidR="00825614" w:rsidRPr="00F66162">
        <w:rPr>
          <w:noProof/>
        </w:rPr>
        <w:t>wbu</w:t>
      </w:r>
      <w:r w:rsidRPr="00F66162">
        <w:rPr>
          <w:noProof/>
        </w:rPr>
        <w:t>dowanych emisjach gazów cieplarnianych związanych</w:t>
      </w:r>
      <w:r w:rsidR="00825614" w:rsidRPr="00F66162">
        <w:rPr>
          <w:noProof/>
        </w:rPr>
        <w:t xml:space="preserve"> z</w:t>
      </w:r>
      <w:r w:rsidR="00825614">
        <w:rPr>
          <w:noProof/>
        </w:rPr>
        <w:t> </w:t>
      </w:r>
      <w:r w:rsidR="00825614" w:rsidRPr="00F66162">
        <w:rPr>
          <w:noProof/>
        </w:rPr>
        <w:t>tym</w:t>
      </w:r>
      <w:r w:rsidRPr="00F66162">
        <w:rPr>
          <w:noProof/>
        </w:rPr>
        <w:t>i towarami oraz analizę zebranych danych.</w:t>
      </w:r>
    </w:p>
    <w:p w14:paraId="5A031D7D" w14:textId="7733818C"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Mechanizm dostosowywania cen na granicach</w:t>
      </w:r>
      <w:r w:rsidR="00825614" w:rsidRPr="00F66162">
        <w:rPr>
          <w:noProof/>
        </w:rPr>
        <w:t xml:space="preserve"> z</w:t>
      </w:r>
      <w:r w:rsidR="00825614">
        <w:rPr>
          <w:noProof/>
        </w:rPr>
        <w:t> </w:t>
      </w:r>
      <w:r w:rsidR="00825614" w:rsidRPr="00F66162">
        <w:rPr>
          <w:noProof/>
        </w:rPr>
        <w:t>uwz</w:t>
      </w:r>
      <w:r w:rsidRPr="00F66162">
        <w:rPr>
          <w:noProof/>
        </w:rPr>
        <w:t>ględnieniem emisji CO</w:t>
      </w:r>
      <w:r w:rsidRPr="00F66162">
        <w:rPr>
          <w:noProof/>
          <w:vertAlign w:val="subscript"/>
        </w:rPr>
        <w:t>2</w:t>
      </w:r>
      <w:r w:rsidRPr="00F66162">
        <w:rPr>
          <w:noProof/>
        </w:rPr>
        <w:t xml:space="preserve"> (CBAM) wymaga stopniowego wdrażania różnych funkcji niezbędnych do jego skutecznego wprowadzenia</w:t>
      </w:r>
      <w:r w:rsidR="00825614" w:rsidRPr="00F66162">
        <w:rPr>
          <w:noProof/>
        </w:rPr>
        <w:t xml:space="preserve"> w</w:t>
      </w:r>
      <w:r w:rsidR="00825614">
        <w:rPr>
          <w:noProof/>
        </w:rPr>
        <w:t> </w:t>
      </w:r>
      <w:r w:rsidR="00825614" w:rsidRPr="00F66162">
        <w:rPr>
          <w:noProof/>
        </w:rPr>
        <w:t>życ</w:t>
      </w:r>
      <w:r w:rsidRPr="00F66162">
        <w:rPr>
          <w:noProof/>
        </w:rPr>
        <w:t>ie. Po pierwsze, należy przygotować szereg sprawozdań</w:t>
      </w:r>
      <w:r w:rsidR="00825614" w:rsidRPr="00F66162">
        <w:rPr>
          <w:noProof/>
        </w:rPr>
        <w:t xml:space="preserve"> i</w:t>
      </w:r>
      <w:r w:rsidR="00825614">
        <w:rPr>
          <w:noProof/>
        </w:rPr>
        <w:t> </w:t>
      </w:r>
      <w:r w:rsidR="00825614" w:rsidRPr="00F66162">
        <w:rPr>
          <w:noProof/>
        </w:rPr>
        <w:t>prz</w:t>
      </w:r>
      <w:r w:rsidRPr="00F66162">
        <w:rPr>
          <w:noProof/>
        </w:rPr>
        <w:t>eglądów, aby ułatwić późniejsze funkcjonowanie zobowiązania finansowego</w:t>
      </w:r>
      <w:r w:rsidR="00825614" w:rsidRPr="00F66162">
        <w:rPr>
          <w:noProof/>
        </w:rPr>
        <w:t>. W</w:t>
      </w:r>
      <w:r w:rsidR="00825614">
        <w:rPr>
          <w:noProof/>
        </w:rPr>
        <w:t> </w:t>
      </w:r>
      <w:r w:rsidR="00825614" w:rsidRPr="00F66162">
        <w:rPr>
          <w:noProof/>
        </w:rPr>
        <w:t>zwi</w:t>
      </w:r>
      <w:r w:rsidRPr="00F66162">
        <w:rPr>
          <w:noProof/>
        </w:rPr>
        <w:t>ązku</w:t>
      </w:r>
      <w:r w:rsidR="00825614" w:rsidRPr="00F66162">
        <w:rPr>
          <w:noProof/>
        </w:rPr>
        <w:t xml:space="preserve"> z</w:t>
      </w:r>
      <w:r w:rsidR="00825614">
        <w:rPr>
          <w:noProof/>
        </w:rPr>
        <w:t> </w:t>
      </w:r>
      <w:r w:rsidR="00825614" w:rsidRPr="00F66162">
        <w:rPr>
          <w:noProof/>
        </w:rPr>
        <w:t>tym w</w:t>
      </w:r>
      <w:r w:rsidR="00825614">
        <w:rPr>
          <w:noProof/>
        </w:rPr>
        <w:t> </w:t>
      </w:r>
      <w:r w:rsidR="00825614" w:rsidRPr="00F66162">
        <w:rPr>
          <w:noProof/>
        </w:rPr>
        <w:t>roz</w:t>
      </w:r>
      <w:r w:rsidRPr="00F66162">
        <w:rPr>
          <w:noProof/>
        </w:rPr>
        <w:t>porządzeniu</w:t>
      </w:r>
      <w:r w:rsidR="00825614" w:rsidRPr="00F66162">
        <w:rPr>
          <w:noProof/>
        </w:rPr>
        <w:t xml:space="preserve"> w</w:t>
      </w:r>
      <w:r w:rsidR="00825614">
        <w:rPr>
          <w:noProof/>
        </w:rPr>
        <w:t> </w:t>
      </w:r>
      <w:r w:rsidR="00825614" w:rsidRPr="00F66162">
        <w:rPr>
          <w:noProof/>
        </w:rPr>
        <w:t>spr</w:t>
      </w:r>
      <w:r w:rsidRPr="00F66162">
        <w:rPr>
          <w:noProof/>
        </w:rPr>
        <w:t>awie CBAM przewidziano wdrażanie tego mechanizmu</w:t>
      </w:r>
      <w:r w:rsidR="00825614" w:rsidRPr="00F66162">
        <w:rPr>
          <w:noProof/>
        </w:rPr>
        <w:t xml:space="preserve"> w</w:t>
      </w:r>
      <w:r w:rsidR="00825614">
        <w:rPr>
          <w:noProof/>
        </w:rPr>
        <w:t> </w:t>
      </w:r>
      <w:r w:rsidR="00825614" w:rsidRPr="00F66162">
        <w:rPr>
          <w:noProof/>
        </w:rPr>
        <w:t>dwó</w:t>
      </w:r>
      <w:r w:rsidRPr="00F66162">
        <w:rPr>
          <w:noProof/>
        </w:rPr>
        <w:t>ch następujących po sobie okresach: okresie przejściowym (od października 20</w:t>
      </w:r>
      <w:r w:rsidRPr="00825614">
        <w:rPr>
          <w:noProof/>
        </w:rPr>
        <w:t>23</w:t>
      </w:r>
      <w:r w:rsidR="00825614" w:rsidRPr="00825614">
        <w:rPr>
          <w:noProof/>
        </w:rPr>
        <w:t> </w:t>
      </w:r>
      <w:r w:rsidRPr="00825614">
        <w:rPr>
          <w:noProof/>
        </w:rPr>
        <w:t>r.</w:t>
      </w:r>
      <w:r w:rsidRPr="00F66162">
        <w:rPr>
          <w:noProof/>
        </w:rPr>
        <w:t xml:space="preserve"> do końca 20</w:t>
      </w:r>
      <w:r w:rsidRPr="00825614">
        <w:rPr>
          <w:noProof/>
        </w:rPr>
        <w:t>25</w:t>
      </w:r>
      <w:r w:rsidR="00825614" w:rsidRPr="00825614">
        <w:rPr>
          <w:noProof/>
        </w:rPr>
        <w:t> </w:t>
      </w:r>
      <w:r w:rsidRPr="00825614">
        <w:rPr>
          <w:noProof/>
        </w:rPr>
        <w:t>r.</w:t>
      </w:r>
      <w:r w:rsidRPr="00F66162">
        <w:rPr>
          <w:noProof/>
        </w:rPr>
        <w:t>) oraz okresie docelowym (</w:t>
      </w:r>
      <w:r w:rsidRPr="00825614">
        <w:rPr>
          <w:noProof/>
        </w:rPr>
        <w:t>od</w:t>
      </w:r>
      <w:r w:rsidR="00825614" w:rsidRPr="00825614">
        <w:rPr>
          <w:noProof/>
        </w:rPr>
        <w:t> </w:t>
      </w:r>
      <w:r w:rsidRPr="00825614">
        <w:rPr>
          <w:noProof/>
        </w:rPr>
        <w:t>2</w:t>
      </w:r>
      <w:r w:rsidRPr="00F66162">
        <w:rPr>
          <w:noProof/>
        </w:rPr>
        <w:t>0</w:t>
      </w:r>
      <w:r w:rsidRPr="00825614">
        <w:rPr>
          <w:noProof/>
        </w:rPr>
        <w:t>26</w:t>
      </w:r>
      <w:r w:rsidR="00825614" w:rsidRPr="00825614">
        <w:rPr>
          <w:noProof/>
        </w:rPr>
        <w:t> </w:t>
      </w:r>
      <w:r w:rsidRPr="00825614">
        <w:rPr>
          <w:noProof/>
        </w:rPr>
        <w:t>r.</w:t>
      </w:r>
      <w:r w:rsidRPr="00F66162">
        <w:rPr>
          <w:noProof/>
        </w:rPr>
        <w:t>).</w:t>
      </w:r>
    </w:p>
    <w:p w14:paraId="448F3D62" w14:textId="4E78864F"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 okresie przejściowym obowiązek importerów</w:t>
      </w:r>
      <w:r w:rsidR="00825614" w:rsidRPr="00F66162">
        <w:rPr>
          <w:noProof/>
        </w:rPr>
        <w:t xml:space="preserve"> i</w:t>
      </w:r>
      <w:r w:rsidR="00825614">
        <w:rPr>
          <w:noProof/>
        </w:rPr>
        <w:t> </w:t>
      </w:r>
      <w:r w:rsidR="00825614" w:rsidRPr="00F66162">
        <w:rPr>
          <w:noProof/>
        </w:rPr>
        <w:t>org</w:t>
      </w:r>
      <w:r w:rsidRPr="00F66162">
        <w:rPr>
          <w:noProof/>
        </w:rPr>
        <w:t>anów (celnych) UE ogranicza się do składania – obok zgłoszeń przywozowych – także kwartalnych sprawozdań CBAM.</w:t>
      </w:r>
    </w:p>
    <w:p w14:paraId="4632A939" w14:textId="6F7935BB"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 okresie tym wprowadzono przejściowy system zarządzania informacjami (okres przejściowy CBAM), aby ułatwić składanie</w:t>
      </w:r>
      <w:r w:rsidR="00825614" w:rsidRPr="00F66162">
        <w:rPr>
          <w:noProof/>
        </w:rPr>
        <w:t xml:space="preserve"> i</w:t>
      </w:r>
      <w:r w:rsidR="00825614">
        <w:rPr>
          <w:noProof/>
        </w:rPr>
        <w:t> </w:t>
      </w:r>
      <w:r w:rsidR="00825614" w:rsidRPr="00F66162">
        <w:rPr>
          <w:noProof/>
        </w:rPr>
        <w:t>gro</w:t>
      </w:r>
      <w:r w:rsidRPr="00F66162">
        <w:rPr>
          <w:noProof/>
        </w:rPr>
        <w:t>madzenie sprawozdań kwartalnych,</w:t>
      </w:r>
      <w:r w:rsidR="00825614" w:rsidRPr="00F66162">
        <w:rPr>
          <w:noProof/>
        </w:rPr>
        <w:t xml:space="preserve"> a</w:t>
      </w:r>
      <w:r w:rsidR="00825614">
        <w:rPr>
          <w:noProof/>
        </w:rPr>
        <w:t> </w:t>
      </w:r>
      <w:r w:rsidR="00825614" w:rsidRPr="00F66162">
        <w:rPr>
          <w:noProof/>
        </w:rPr>
        <w:t>tak</w:t>
      </w:r>
      <w:r w:rsidRPr="00F66162">
        <w:rPr>
          <w:noProof/>
        </w:rPr>
        <w:t>że przekazywanie danych</w:t>
      </w:r>
      <w:r w:rsidR="00825614" w:rsidRPr="00F66162">
        <w:rPr>
          <w:noProof/>
        </w:rPr>
        <w:t xml:space="preserve"> z</w:t>
      </w:r>
      <w:r w:rsidR="00825614">
        <w:rPr>
          <w:noProof/>
        </w:rPr>
        <w:t> </w:t>
      </w:r>
      <w:r w:rsidR="00825614" w:rsidRPr="00F66162">
        <w:rPr>
          <w:noProof/>
        </w:rPr>
        <w:t>każ</w:t>
      </w:r>
      <w:r w:rsidRPr="00F66162">
        <w:rPr>
          <w:noProof/>
        </w:rPr>
        <w:t>dego sprawozdania do zagregowanej bazy danych, aby umożliwić ich skuteczną analizę do celów sprawozdawczości zgodnej</w:t>
      </w:r>
      <w:r w:rsidR="00825614" w:rsidRPr="00F66162">
        <w:rPr>
          <w:noProof/>
        </w:rPr>
        <w:t xml:space="preserve"> z</w:t>
      </w:r>
      <w:r w:rsidR="00825614">
        <w:rPr>
          <w:noProof/>
        </w:rPr>
        <w:t> </w:t>
      </w:r>
      <w:r w:rsidR="00825614" w:rsidRPr="00F66162">
        <w:rPr>
          <w:noProof/>
        </w:rPr>
        <w:t>prz</w:t>
      </w:r>
      <w:r w:rsidRPr="00F66162">
        <w:rPr>
          <w:noProof/>
        </w:rPr>
        <w:t>episami rozporządzenia.</w:t>
      </w:r>
    </w:p>
    <w:p w14:paraId="2092DAA2" w14:textId="1095B330"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Ponadto</w:t>
      </w:r>
      <w:r w:rsidR="00825614" w:rsidRPr="00F66162">
        <w:rPr>
          <w:noProof/>
        </w:rPr>
        <w:t xml:space="preserve"> w</w:t>
      </w:r>
      <w:r w:rsidR="00825614">
        <w:rPr>
          <w:noProof/>
        </w:rPr>
        <w:t> </w:t>
      </w:r>
      <w:r w:rsidR="00825614" w:rsidRPr="00F66162">
        <w:rPr>
          <w:noProof/>
        </w:rPr>
        <w:t>okr</w:t>
      </w:r>
      <w:r w:rsidRPr="00F66162">
        <w:rPr>
          <w:noProof/>
        </w:rPr>
        <w:t>esie przejściowym organy celne powinny informować zgłaszających</w:t>
      </w:r>
      <w:r w:rsidR="00825614" w:rsidRPr="00F66162">
        <w:rPr>
          <w:noProof/>
        </w:rPr>
        <w:t xml:space="preserve"> o</w:t>
      </w:r>
      <w:r w:rsidR="00825614">
        <w:rPr>
          <w:noProof/>
        </w:rPr>
        <w:t> </w:t>
      </w:r>
      <w:r w:rsidR="00825614" w:rsidRPr="00F66162">
        <w:rPr>
          <w:noProof/>
        </w:rPr>
        <w:t>obo</w:t>
      </w:r>
      <w:r w:rsidRPr="00F66162">
        <w:rPr>
          <w:noProof/>
        </w:rPr>
        <w:t>wiązku przekazywania informacji, by pomóc</w:t>
      </w:r>
      <w:r w:rsidR="00825614" w:rsidRPr="00F66162">
        <w:rPr>
          <w:noProof/>
        </w:rPr>
        <w:t xml:space="preserve"> w</w:t>
      </w:r>
      <w:r w:rsidR="00825614">
        <w:rPr>
          <w:noProof/>
        </w:rPr>
        <w:t> </w:t>
      </w:r>
      <w:r w:rsidR="00825614" w:rsidRPr="00F66162">
        <w:rPr>
          <w:noProof/>
        </w:rPr>
        <w:t>ich</w:t>
      </w:r>
      <w:r w:rsidRPr="00F66162">
        <w:rPr>
          <w:noProof/>
        </w:rPr>
        <w:t xml:space="preserve"> gromadzeniu oraz</w:t>
      </w:r>
      <w:r w:rsidR="00825614" w:rsidRPr="00F66162">
        <w:rPr>
          <w:noProof/>
        </w:rPr>
        <w:t xml:space="preserve"> w</w:t>
      </w:r>
      <w:r w:rsidR="00825614">
        <w:rPr>
          <w:noProof/>
        </w:rPr>
        <w:t> </w:t>
      </w:r>
      <w:r w:rsidR="00825614" w:rsidRPr="00F66162">
        <w:rPr>
          <w:noProof/>
        </w:rPr>
        <w:t>upo</w:t>
      </w:r>
      <w:r w:rsidRPr="00F66162">
        <w:rPr>
          <w:noProof/>
        </w:rPr>
        <w:t>wszechnianiu wiedzy</w:t>
      </w:r>
      <w:r w:rsidR="00825614" w:rsidRPr="00F66162">
        <w:rPr>
          <w:noProof/>
        </w:rPr>
        <w:t xml:space="preserve"> o</w:t>
      </w:r>
      <w:r w:rsidR="00825614">
        <w:rPr>
          <w:noProof/>
        </w:rPr>
        <w:t> </w:t>
      </w:r>
      <w:r w:rsidR="00825614" w:rsidRPr="00F66162">
        <w:rPr>
          <w:noProof/>
        </w:rPr>
        <w:t>tym</w:t>
      </w:r>
      <w:r w:rsidRPr="00F66162">
        <w:rPr>
          <w:noProof/>
        </w:rPr>
        <w:t>, że –</w:t>
      </w:r>
      <w:r w:rsidR="00825614" w:rsidRPr="00F66162">
        <w:rPr>
          <w:noProof/>
        </w:rPr>
        <w:t xml:space="preserve"> w</w:t>
      </w:r>
      <w:r w:rsidR="00825614">
        <w:rPr>
          <w:noProof/>
        </w:rPr>
        <w:t> </w:t>
      </w:r>
      <w:r w:rsidR="00825614" w:rsidRPr="00F66162">
        <w:rPr>
          <w:noProof/>
        </w:rPr>
        <w:t>sto</w:t>
      </w:r>
      <w:r w:rsidRPr="00F66162">
        <w:rPr>
          <w:noProof/>
        </w:rPr>
        <w:t>sownych przypadkach – zgłaszający powinni wystąpić</w:t>
      </w:r>
      <w:r w:rsidR="00825614" w:rsidRPr="00F66162">
        <w:rPr>
          <w:noProof/>
        </w:rPr>
        <w:t xml:space="preserve"> o</w:t>
      </w:r>
      <w:r w:rsidR="00825614">
        <w:rPr>
          <w:noProof/>
        </w:rPr>
        <w:t> </w:t>
      </w:r>
      <w:r w:rsidR="00825614" w:rsidRPr="00F66162">
        <w:rPr>
          <w:noProof/>
        </w:rPr>
        <w:t>prz</w:t>
      </w:r>
      <w:r w:rsidRPr="00F66162">
        <w:rPr>
          <w:noProof/>
        </w:rPr>
        <w:t xml:space="preserve">yznanie im statusu upoważnionego zgłaszającego CBAM (przed pierwszym przywozem towarów objętych CBAM, następującym </w:t>
      </w:r>
      <w:r w:rsidRPr="00825614">
        <w:rPr>
          <w:noProof/>
        </w:rPr>
        <w:t>po</w:t>
      </w:r>
      <w:r w:rsidR="00825614" w:rsidRPr="00825614">
        <w:rPr>
          <w:noProof/>
        </w:rPr>
        <w:t> </w:t>
      </w:r>
      <w:r w:rsidRPr="00825614">
        <w:rPr>
          <w:noProof/>
        </w:rPr>
        <w:t>1</w:t>
      </w:r>
      <w:r w:rsidRPr="00F66162">
        <w:rPr>
          <w:noProof/>
        </w:rPr>
        <w:t xml:space="preserve"> stycznia 2026 r.).</w:t>
      </w:r>
    </w:p>
    <w:p w14:paraId="3CDA340C" w14:textId="233414A1"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Zgodnie</w:t>
      </w:r>
      <w:r w:rsidR="00825614" w:rsidRPr="00F66162">
        <w:rPr>
          <w:noProof/>
        </w:rPr>
        <w:t xml:space="preserve"> z</w:t>
      </w:r>
      <w:r w:rsidR="00825614">
        <w:rPr>
          <w:noProof/>
        </w:rPr>
        <w:t> </w:t>
      </w:r>
      <w:r w:rsidR="00825614" w:rsidRPr="00F66162">
        <w:rPr>
          <w:noProof/>
        </w:rPr>
        <w:t>pla</w:t>
      </w:r>
      <w:r w:rsidRPr="00F66162">
        <w:rPr>
          <w:noProof/>
        </w:rPr>
        <w:t xml:space="preserve">nem okres docelowy rozpocznie </w:t>
      </w:r>
      <w:r w:rsidRPr="00825614">
        <w:rPr>
          <w:noProof/>
        </w:rPr>
        <w:t>się</w:t>
      </w:r>
      <w:r w:rsidR="00825614" w:rsidRPr="00825614">
        <w:rPr>
          <w:noProof/>
        </w:rPr>
        <w:t> </w:t>
      </w:r>
      <w:r w:rsidRPr="00825614">
        <w:rPr>
          <w:noProof/>
        </w:rPr>
        <w:t>1</w:t>
      </w:r>
      <w:r w:rsidRPr="00F66162">
        <w:rPr>
          <w:noProof/>
        </w:rPr>
        <w:t xml:space="preserve"> stycznia 20</w:t>
      </w:r>
      <w:r w:rsidRPr="00825614">
        <w:rPr>
          <w:noProof/>
        </w:rPr>
        <w:t>26</w:t>
      </w:r>
      <w:r w:rsidR="00825614" w:rsidRPr="00825614">
        <w:rPr>
          <w:noProof/>
        </w:rPr>
        <w:t> </w:t>
      </w:r>
      <w:r w:rsidRPr="00825614">
        <w:rPr>
          <w:noProof/>
        </w:rPr>
        <w:t>r.</w:t>
      </w:r>
      <w:r w:rsidR="00825614" w:rsidRPr="00F66162">
        <w:rPr>
          <w:noProof/>
        </w:rPr>
        <w:t xml:space="preserve"> w</w:t>
      </w:r>
      <w:r w:rsidR="00825614">
        <w:rPr>
          <w:noProof/>
        </w:rPr>
        <w:t> </w:t>
      </w:r>
      <w:r w:rsidR="00825614" w:rsidRPr="00F66162">
        <w:rPr>
          <w:noProof/>
        </w:rPr>
        <w:t>odn</w:t>
      </w:r>
      <w:r w:rsidRPr="00F66162">
        <w:rPr>
          <w:noProof/>
        </w:rPr>
        <w:t>iesieniu do podstawowej deklaracji CBAM</w:t>
      </w:r>
      <w:r w:rsidR="00825614" w:rsidRPr="00F66162">
        <w:rPr>
          <w:noProof/>
        </w:rPr>
        <w:t xml:space="preserve"> i</w:t>
      </w:r>
      <w:r w:rsidR="00825614">
        <w:rPr>
          <w:noProof/>
        </w:rPr>
        <w:t> </w:t>
      </w:r>
      <w:r w:rsidR="00825614" w:rsidRPr="00F66162">
        <w:rPr>
          <w:noProof/>
        </w:rPr>
        <w:t>wym</w:t>
      </w:r>
      <w:r w:rsidRPr="00F66162">
        <w:rPr>
          <w:noProof/>
        </w:rPr>
        <w:t>ienionych tutaj usług zarządzania certyfikatami oraz rok wcześniej</w:t>
      </w:r>
      <w:r w:rsidR="00825614" w:rsidRPr="00F66162">
        <w:rPr>
          <w:noProof/>
        </w:rPr>
        <w:t xml:space="preserve"> w</w:t>
      </w:r>
      <w:r w:rsidR="00825614">
        <w:rPr>
          <w:noProof/>
        </w:rPr>
        <w:t> </w:t>
      </w:r>
      <w:r w:rsidR="00825614" w:rsidRPr="00F66162">
        <w:rPr>
          <w:noProof/>
        </w:rPr>
        <w:t>odn</w:t>
      </w:r>
      <w:r w:rsidRPr="00F66162">
        <w:rPr>
          <w:noProof/>
        </w:rPr>
        <w:t>iesieniu do rejestrowania upoważnionych zgłaszających</w:t>
      </w:r>
      <w:r w:rsidR="00825614" w:rsidRPr="00F66162">
        <w:rPr>
          <w:noProof/>
        </w:rPr>
        <w:t xml:space="preserve"> i</w:t>
      </w:r>
      <w:r w:rsidR="00825614">
        <w:rPr>
          <w:noProof/>
        </w:rPr>
        <w:t> </w:t>
      </w:r>
      <w:r w:rsidR="00825614" w:rsidRPr="00F66162">
        <w:rPr>
          <w:noProof/>
        </w:rPr>
        <w:t>prz</w:t>
      </w:r>
      <w:r w:rsidRPr="00F66162">
        <w:rPr>
          <w:noProof/>
        </w:rPr>
        <w:t>etwarzania upoważnień CBAM przez właściwe organy:</w:t>
      </w:r>
    </w:p>
    <w:p w14:paraId="1A0B76DF" w14:textId="26E1E39B"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 Importerzy będą mogli przywozić określone towary dopiero po uzyskaniu od właściwego organu upoważnienia (z wyjątkiem sytuacji,</w:t>
      </w:r>
      <w:r w:rsidR="00825614" w:rsidRPr="00F66162">
        <w:rPr>
          <w:noProof/>
        </w:rPr>
        <w:t xml:space="preserve"> w</w:t>
      </w:r>
      <w:r w:rsidR="00825614">
        <w:rPr>
          <w:noProof/>
        </w:rPr>
        <w:t> </w:t>
      </w:r>
      <w:r w:rsidR="00825614" w:rsidRPr="00F66162">
        <w:rPr>
          <w:noProof/>
        </w:rPr>
        <w:t>któ</w:t>
      </w:r>
      <w:r w:rsidRPr="00F66162">
        <w:rPr>
          <w:noProof/>
        </w:rPr>
        <w:t>rych obowiązuje odstępstwo zaproponowane</w:t>
      </w:r>
      <w:r w:rsidR="00825614" w:rsidRPr="00F66162">
        <w:rPr>
          <w:noProof/>
        </w:rPr>
        <w:t xml:space="preserve"> w</w:t>
      </w:r>
      <w:r w:rsidR="00825614">
        <w:rPr>
          <w:noProof/>
        </w:rPr>
        <w:t> </w:t>
      </w:r>
      <w:r w:rsidR="00825614" w:rsidRPr="00F66162">
        <w:rPr>
          <w:noProof/>
        </w:rPr>
        <w:t>roz</w:t>
      </w:r>
      <w:r w:rsidRPr="00F66162">
        <w:rPr>
          <w:noProof/>
        </w:rPr>
        <w:t>porządzeniu zmieniającym) lub po wyznaczeniu przedstawiciela będącego upoważnionym zgłaszającym CBAM. Organy celne nie powinny zezwalać na przywóz towarów objętych CBAM bez udziału</w:t>
      </w:r>
      <w:r w:rsidR="00825614" w:rsidRPr="00F66162">
        <w:rPr>
          <w:noProof/>
        </w:rPr>
        <w:t xml:space="preserve"> w</w:t>
      </w:r>
      <w:r w:rsidR="00825614">
        <w:rPr>
          <w:noProof/>
        </w:rPr>
        <w:t> </w:t>
      </w:r>
      <w:r w:rsidR="00825614" w:rsidRPr="00F66162">
        <w:rPr>
          <w:noProof/>
        </w:rPr>
        <w:t>tym</w:t>
      </w:r>
      <w:r w:rsidRPr="00F66162">
        <w:rPr>
          <w:noProof/>
        </w:rPr>
        <w:t xml:space="preserve"> procesie upoważnionego zgłaszającego CBAM. Organy celne mogą ponadto przeprowadzać kontrole towarów,</w:t>
      </w:r>
      <w:r w:rsidR="00825614" w:rsidRPr="00F66162">
        <w:rPr>
          <w:noProof/>
        </w:rPr>
        <w:t xml:space="preserve"> w</w:t>
      </w:r>
      <w:r w:rsidR="00825614">
        <w:rPr>
          <w:noProof/>
        </w:rPr>
        <w:t> </w:t>
      </w:r>
      <w:r w:rsidR="00825614" w:rsidRPr="00F66162">
        <w:rPr>
          <w:noProof/>
        </w:rPr>
        <w:t>tym</w:t>
      </w:r>
      <w:r w:rsidRPr="00F66162">
        <w:rPr>
          <w:noProof/>
        </w:rPr>
        <w:t xml:space="preserve"> weryfikować dane upoważnionego zgłaszającego CBAM, </w:t>
      </w:r>
      <w:r w:rsidRPr="00F66162">
        <w:rPr>
          <w:noProof/>
        </w:rPr>
        <w:lastRenderedPageBreak/>
        <w:t>ośmiocyfrowy kod CN, ilość</w:t>
      </w:r>
      <w:r w:rsidR="00825614" w:rsidRPr="00F66162">
        <w:rPr>
          <w:noProof/>
        </w:rPr>
        <w:t xml:space="preserve"> i</w:t>
      </w:r>
      <w:r w:rsidR="00825614">
        <w:rPr>
          <w:noProof/>
        </w:rPr>
        <w:t> </w:t>
      </w:r>
      <w:r w:rsidR="00825614" w:rsidRPr="00F66162">
        <w:rPr>
          <w:noProof/>
        </w:rPr>
        <w:t>pań</w:t>
      </w:r>
      <w:r w:rsidRPr="00F66162">
        <w:rPr>
          <w:noProof/>
        </w:rPr>
        <w:t>stwa pochodzenia przywożonych towarów, datę zgłoszenia</w:t>
      </w:r>
      <w:r w:rsidR="00825614" w:rsidRPr="00F66162">
        <w:rPr>
          <w:noProof/>
        </w:rPr>
        <w:t xml:space="preserve"> i</w:t>
      </w:r>
      <w:r w:rsidR="00825614">
        <w:rPr>
          <w:noProof/>
        </w:rPr>
        <w:t> </w:t>
      </w:r>
      <w:r w:rsidR="00825614" w:rsidRPr="00F66162">
        <w:rPr>
          <w:noProof/>
        </w:rPr>
        <w:t>pro</w:t>
      </w:r>
      <w:r w:rsidRPr="00F66162">
        <w:rPr>
          <w:noProof/>
        </w:rPr>
        <w:t>cedurę celną. Komisja powinna uwzględnić ryzyko związane z CBAM przy opracowywaniu wspólnych kryteriów</w:t>
      </w:r>
      <w:r w:rsidR="00825614" w:rsidRPr="00F66162">
        <w:rPr>
          <w:noProof/>
        </w:rPr>
        <w:t xml:space="preserve"> i</w:t>
      </w:r>
      <w:r w:rsidR="00825614">
        <w:rPr>
          <w:noProof/>
        </w:rPr>
        <w:t> </w:t>
      </w:r>
      <w:r w:rsidR="00825614" w:rsidRPr="00F66162">
        <w:rPr>
          <w:noProof/>
        </w:rPr>
        <w:t>nor</w:t>
      </w:r>
      <w:r w:rsidRPr="00F66162">
        <w:rPr>
          <w:noProof/>
        </w:rPr>
        <w:t>m ryzyka na podstawie art. 50 rozporządzenia (UE) nr 952/2013.</w:t>
      </w:r>
    </w:p>
    <w:p w14:paraId="44DBF991" w14:textId="1B3036AB"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 CBAM powinien opierać się na systemie deklaratywnym,</w:t>
      </w:r>
      <w:r w:rsidR="00825614" w:rsidRPr="00F66162">
        <w:rPr>
          <w:noProof/>
        </w:rPr>
        <w:t xml:space="preserve"> w</w:t>
      </w:r>
      <w:r w:rsidR="00825614">
        <w:rPr>
          <w:noProof/>
        </w:rPr>
        <w:t> </w:t>
      </w:r>
      <w:r w:rsidR="00825614" w:rsidRPr="00F66162">
        <w:rPr>
          <w:noProof/>
        </w:rPr>
        <w:t>któ</w:t>
      </w:r>
      <w:r w:rsidRPr="00F66162">
        <w:rPr>
          <w:noProof/>
        </w:rPr>
        <w:t>rym upoważniony zgłaszający CBAM, działający</w:t>
      </w:r>
      <w:r w:rsidR="00825614" w:rsidRPr="00F66162">
        <w:rPr>
          <w:noProof/>
        </w:rPr>
        <w:t xml:space="preserve"> w</w:t>
      </w:r>
      <w:r w:rsidR="00825614">
        <w:rPr>
          <w:noProof/>
        </w:rPr>
        <w:t> </w:t>
      </w:r>
      <w:r w:rsidR="00825614" w:rsidRPr="00F66162">
        <w:rPr>
          <w:noProof/>
        </w:rPr>
        <w:t>imi</w:t>
      </w:r>
      <w:r w:rsidRPr="00F66162">
        <w:rPr>
          <w:noProof/>
        </w:rPr>
        <w:t>eniu własnym lub reprezentujący co najmniej jednego importera, składa co roku deklarację dotyczącą emisji wbudowanych związanych</w:t>
      </w:r>
      <w:r w:rsidR="00825614" w:rsidRPr="00F66162">
        <w:rPr>
          <w:noProof/>
        </w:rPr>
        <w:t xml:space="preserve"> z</w:t>
      </w:r>
      <w:r w:rsidR="00825614">
        <w:rPr>
          <w:noProof/>
        </w:rPr>
        <w:t> </w:t>
      </w:r>
      <w:r w:rsidR="00825614" w:rsidRPr="00F66162">
        <w:rPr>
          <w:noProof/>
        </w:rPr>
        <w:t>tow</w:t>
      </w:r>
      <w:r w:rsidRPr="00F66162">
        <w:rPr>
          <w:noProof/>
        </w:rPr>
        <w:t>arami przywożonymi na obszar celny Unii</w:t>
      </w:r>
      <w:r w:rsidR="00825614" w:rsidRPr="00F66162">
        <w:rPr>
          <w:noProof/>
        </w:rPr>
        <w:t xml:space="preserve"> i</w:t>
      </w:r>
      <w:r w:rsidR="00825614">
        <w:rPr>
          <w:noProof/>
        </w:rPr>
        <w:t> </w:t>
      </w:r>
      <w:r w:rsidR="00825614" w:rsidRPr="00F66162">
        <w:rPr>
          <w:noProof/>
        </w:rPr>
        <w:t>prz</w:t>
      </w:r>
      <w:r w:rsidRPr="00F66162">
        <w:rPr>
          <w:noProof/>
        </w:rPr>
        <w:t>ekazuje do umorzenia określoną liczbę certyfikatów CBAM odpowiadającą tym zadeklarowanym emisjom.</w:t>
      </w:r>
    </w:p>
    <w:p w14:paraId="4601FE20" w14:textId="624F2A52"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 Upoważniony zgłaszający CBAM powinien mieć możliwość ubiegania się</w:t>
      </w:r>
      <w:r w:rsidR="00825614" w:rsidRPr="00F66162">
        <w:rPr>
          <w:noProof/>
        </w:rPr>
        <w:t xml:space="preserve"> o</w:t>
      </w:r>
      <w:r w:rsidR="00825614">
        <w:rPr>
          <w:noProof/>
        </w:rPr>
        <w:t> </w:t>
      </w:r>
      <w:r w:rsidR="00825614" w:rsidRPr="00F66162">
        <w:rPr>
          <w:noProof/>
        </w:rPr>
        <w:t>zmn</w:t>
      </w:r>
      <w:r w:rsidRPr="00F66162">
        <w:rPr>
          <w:noProof/>
        </w:rPr>
        <w:t>iejszenie liczby certyfikatów CBAM, które mają zostać przekazane do umorzenia, odpowiadające opłacie emisyjnej już faktycznie uiszczonej za te emisje</w:t>
      </w:r>
      <w:r w:rsidR="00825614" w:rsidRPr="00F66162">
        <w:rPr>
          <w:noProof/>
        </w:rPr>
        <w:t xml:space="preserve"> w</w:t>
      </w:r>
      <w:r w:rsidR="00825614">
        <w:rPr>
          <w:noProof/>
        </w:rPr>
        <w:t> </w:t>
      </w:r>
      <w:r w:rsidR="00825614" w:rsidRPr="00F66162">
        <w:rPr>
          <w:noProof/>
        </w:rPr>
        <w:t>inn</w:t>
      </w:r>
      <w:r w:rsidRPr="00F66162">
        <w:rPr>
          <w:noProof/>
        </w:rPr>
        <w:t>ych jurysdykcjach</w:t>
      </w:r>
      <w:r w:rsidR="00825614" w:rsidRPr="00F66162">
        <w:rPr>
          <w:noProof/>
        </w:rPr>
        <w:t>. W</w:t>
      </w:r>
      <w:r w:rsidR="00825614">
        <w:rPr>
          <w:noProof/>
        </w:rPr>
        <w:t> </w:t>
      </w:r>
      <w:r w:rsidR="00825614" w:rsidRPr="00F66162">
        <w:rPr>
          <w:noProof/>
        </w:rPr>
        <w:t>roz</w:t>
      </w:r>
      <w:r w:rsidRPr="00F66162">
        <w:rPr>
          <w:noProof/>
        </w:rPr>
        <w:t>porządzeniu zmieniającym zaproponowano wprowadzenie domyślnej opłaty emisyjnej, co umożliwiłoby zgłaszającym ubieganie się</w:t>
      </w:r>
      <w:r w:rsidR="00825614" w:rsidRPr="00F66162">
        <w:rPr>
          <w:noProof/>
        </w:rPr>
        <w:t xml:space="preserve"> o</w:t>
      </w:r>
      <w:r w:rsidR="00825614">
        <w:rPr>
          <w:noProof/>
        </w:rPr>
        <w:t> </w:t>
      </w:r>
      <w:r w:rsidR="00825614" w:rsidRPr="00F66162">
        <w:rPr>
          <w:noProof/>
        </w:rPr>
        <w:t>jej</w:t>
      </w:r>
      <w:r w:rsidRPr="00F66162">
        <w:rPr>
          <w:noProof/>
        </w:rPr>
        <w:t xml:space="preserve"> odliczenie,</w:t>
      </w:r>
      <w:r w:rsidR="00825614" w:rsidRPr="00F66162">
        <w:rPr>
          <w:noProof/>
        </w:rPr>
        <w:t xml:space="preserve"> w</w:t>
      </w:r>
      <w:r w:rsidR="00825614">
        <w:rPr>
          <w:noProof/>
        </w:rPr>
        <w:t> </w:t>
      </w:r>
      <w:r w:rsidR="00825614" w:rsidRPr="00F66162">
        <w:rPr>
          <w:noProof/>
        </w:rPr>
        <w:t>syt</w:t>
      </w:r>
      <w:r w:rsidRPr="00F66162">
        <w:rPr>
          <w:noProof/>
        </w:rPr>
        <w:t xml:space="preserve">uacji gdy nie można wykazać, że opłata emisyjna została faktycznie uiszczona. </w:t>
      </w:r>
    </w:p>
    <w:p w14:paraId="557EF248" w14:textId="7CCA68EF"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 W przypadku gdy</w:t>
      </w:r>
      <w:r w:rsidR="00825614" w:rsidRPr="00F66162">
        <w:rPr>
          <w:noProof/>
        </w:rPr>
        <w:t xml:space="preserve"> w</w:t>
      </w:r>
      <w:r w:rsidR="00825614">
        <w:rPr>
          <w:noProof/>
        </w:rPr>
        <w:t> </w:t>
      </w:r>
      <w:r w:rsidR="00825614" w:rsidRPr="00F66162">
        <w:rPr>
          <w:noProof/>
        </w:rPr>
        <w:t>dek</w:t>
      </w:r>
      <w:r w:rsidRPr="00F66162">
        <w:rPr>
          <w:noProof/>
        </w:rPr>
        <w:t>laracji podaje się emisje rzeczywiste, zadeklarowane emisje wbudowane powinna zweryfikować osoba akredytowana przez krajową jednostkę akredytującą państwa członkowskiego UE.</w:t>
      </w:r>
    </w:p>
    <w:p w14:paraId="02219A23" w14:textId="1E081B2C"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 System centralny CBAM powinien umożliwiać operatorom instalacji produkcyjnych</w:t>
      </w:r>
      <w:r w:rsidR="00825614" w:rsidRPr="00F66162">
        <w:rPr>
          <w:noProof/>
        </w:rPr>
        <w:t xml:space="preserve"> w</w:t>
      </w:r>
      <w:r w:rsidR="00825614">
        <w:rPr>
          <w:noProof/>
        </w:rPr>
        <w:t> </w:t>
      </w:r>
      <w:r w:rsidR="00825614" w:rsidRPr="00F66162">
        <w:rPr>
          <w:noProof/>
        </w:rPr>
        <w:t>pań</w:t>
      </w:r>
      <w:r w:rsidRPr="00F66162">
        <w:rPr>
          <w:noProof/>
        </w:rPr>
        <w:t>stwach trzecich rejestrowanie się</w:t>
      </w:r>
      <w:r w:rsidR="00825614" w:rsidRPr="00F66162">
        <w:rPr>
          <w:noProof/>
        </w:rPr>
        <w:t xml:space="preserve"> w</w:t>
      </w:r>
      <w:r w:rsidR="00825614">
        <w:rPr>
          <w:noProof/>
        </w:rPr>
        <w:t> </w:t>
      </w:r>
      <w:r w:rsidR="00825614" w:rsidRPr="00F66162">
        <w:rPr>
          <w:noProof/>
        </w:rPr>
        <w:t>rej</w:t>
      </w:r>
      <w:r w:rsidRPr="00F66162">
        <w:rPr>
          <w:noProof/>
        </w:rPr>
        <w:t>estrze CBAM</w:t>
      </w:r>
      <w:r w:rsidR="00825614" w:rsidRPr="00F66162">
        <w:rPr>
          <w:noProof/>
        </w:rPr>
        <w:t xml:space="preserve"> i</w:t>
      </w:r>
      <w:r w:rsidR="00825614">
        <w:rPr>
          <w:noProof/>
        </w:rPr>
        <w:t> </w:t>
      </w:r>
      <w:r w:rsidR="00825614" w:rsidRPr="00F66162">
        <w:rPr>
          <w:noProof/>
        </w:rPr>
        <w:t>udo</w:t>
      </w:r>
      <w:r w:rsidRPr="00F66162">
        <w:rPr>
          <w:noProof/>
        </w:rPr>
        <w:t>stępnianie upoważnionym zgłaszającym CBAM zweryfikowanych wbudowanych emisji gazów cieplarnianych pochodzących</w:t>
      </w:r>
      <w:r w:rsidR="00825614" w:rsidRPr="00F66162">
        <w:rPr>
          <w:noProof/>
        </w:rPr>
        <w:t xml:space="preserve"> z</w:t>
      </w:r>
      <w:r w:rsidR="00825614">
        <w:rPr>
          <w:noProof/>
        </w:rPr>
        <w:t> </w:t>
      </w:r>
      <w:r w:rsidR="00825614" w:rsidRPr="00F66162">
        <w:rPr>
          <w:noProof/>
        </w:rPr>
        <w:t>pro</w:t>
      </w:r>
      <w:r w:rsidRPr="00F66162">
        <w:rPr>
          <w:noProof/>
        </w:rPr>
        <w:t>dukcji towarów. Komisja powinna zarządzać rejestrem CBAM zawierającym informacje</w:t>
      </w:r>
      <w:r w:rsidR="00825614" w:rsidRPr="00F66162">
        <w:rPr>
          <w:noProof/>
        </w:rPr>
        <w:t xml:space="preserve"> o</w:t>
      </w:r>
      <w:r w:rsidR="00825614">
        <w:rPr>
          <w:noProof/>
        </w:rPr>
        <w:t> </w:t>
      </w:r>
      <w:r w:rsidR="00825614" w:rsidRPr="00F66162">
        <w:rPr>
          <w:noProof/>
        </w:rPr>
        <w:t>upo</w:t>
      </w:r>
      <w:r w:rsidRPr="00F66162">
        <w:rPr>
          <w:noProof/>
        </w:rPr>
        <w:t>ważnionych zgłaszających CBAM, operatorach</w:t>
      </w:r>
      <w:r w:rsidR="00825614" w:rsidRPr="00F66162">
        <w:rPr>
          <w:noProof/>
        </w:rPr>
        <w:t xml:space="preserve"> i</w:t>
      </w:r>
      <w:r w:rsidR="00825614">
        <w:rPr>
          <w:noProof/>
        </w:rPr>
        <w:t> </w:t>
      </w:r>
      <w:r w:rsidR="00825614" w:rsidRPr="00F66162">
        <w:rPr>
          <w:noProof/>
        </w:rPr>
        <w:t>ins</w:t>
      </w:r>
      <w:r w:rsidRPr="00F66162">
        <w:rPr>
          <w:noProof/>
        </w:rPr>
        <w:t>talacjach</w:t>
      </w:r>
      <w:r w:rsidR="00825614" w:rsidRPr="00F66162">
        <w:rPr>
          <w:noProof/>
        </w:rPr>
        <w:t xml:space="preserve"> w</w:t>
      </w:r>
      <w:r w:rsidR="00825614">
        <w:rPr>
          <w:noProof/>
        </w:rPr>
        <w:t> </w:t>
      </w:r>
      <w:r w:rsidR="00825614" w:rsidRPr="00F66162">
        <w:rPr>
          <w:noProof/>
        </w:rPr>
        <w:t>pań</w:t>
      </w:r>
      <w:r w:rsidRPr="00F66162">
        <w:rPr>
          <w:noProof/>
        </w:rPr>
        <w:t>stwach trzecich</w:t>
      </w:r>
      <w:r w:rsidR="00825614" w:rsidRPr="00F66162">
        <w:rPr>
          <w:noProof/>
        </w:rPr>
        <w:t>. W</w:t>
      </w:r>
      <w:r w:rsidR="00825614">
        <w:rPr>
          <w:noProof/>
        </w:rPr>
        <w:t> </w:t>
      </w:r>
      <w:r w:rsidR="00825614" w:rsidRPr="00F66162">
        <w:rPr>
          <w:noProof/>
        </w:rPr>
        <w:t>roz</w:t>
      </w:r>
      <w:r w:rsidRPr="00F66162">
        <w:rPr>
          <w:noProof/>
        </w:rPr>
        <w:t>porządzeniu zmieniającym zaproponowano umożliwienie akredytowanym weryfikatorom dostępu do rejestru</w:t>
      </w:r>
      <w:r w:rsidR="00825614" w:rsidRPr="00F66162">
        <w:rPr>
          <w:noProof/>
        </w:rPr>
        <w:t xml:space="preserve"> w</w:t>
      </w:r>
      <w:r w:rsidR="00825614">
        <w:rPr>
          <w:noProof/>
        </w:rPr>
        <w:t> </w:t>
      </w:r>
      <w:r w:rsidR="00825614" w:rsidRPr="00F66162">
        <w:rPr>
          <w:noProof/>
        </w:rPr>
        <w:t>cel</w:t>
      </w:r>
      <w:r w:rsidRPr="00F66162">
        <w:rPr>
          <w:noProof/>
        </w:rPr>
        <w:t>u poprawy wiarygodności danych dotyczących emisji, które to informacje operatorzy udostępniają zgłaszającym za pośrednictwem rejestru.</w:t>
      </w:r>
    </w:p>
    <w:p w14:paraId="5E22EC5B" w14:textId="77777777"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 By zmniejszyć ryzyko ucieczki emisji, Komisja powinna przeciwdziałać praktykom obchodzenia przepisów.</w:t>
      </w:r>
    </w:p>
    <w:p w14:paraId="7CD24F60" w14:textId="27699170"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 Do celów sprzedaży</w:t>
      </w:r>
      <w:r w:rsidR="00825614" w:rsidRPr="00F66162">
        <w:rPr>
          <w:noProof/>
        </w:rPr>
        <w:t xml:space="preserve"> i</w:t>
      </w:r>
      <w:r w:rsidR="00825614">
        <w:rPr>
          <w:noProof/>
        </w:rPr>
        <w:t> </w:t>
      </w:r>
      <w:r w:rsidR="00825614" w:rsidRPr="00F66162">
        <w:rPr>
          <w:noProof/>
        </w:rPr>
        <w:t>odk</w:t>
      </w:r>
      <w:r w:rsidRPr="00F66162">
        <w:rPr>
          <w:noProof/>
        </w:rPr>
        <w:t>upu certyfikatów CBAM należy ustanowić wspólną centralną platformę. Do celów nadzoru nad transakcjami na wspólnej centralnej platformie Komisja powinna ułatwiać wymiany informacji</w:t>
      </w:r>
      <w:r w:rsidR="00825614" w:rsidRPr="00F66162">
        <w:rPr>
          <w:noProof/>
        </w:rPr>
        <w:t xml:space="preserve"> i</w:t>
      </w:r>
      <w:r w:rsidR="00825614">
        <w:rPr>
          <w:noProof/>
        </w:rPr>
        <w:t> </w:t>
      </w:r>
      <w:r w:rsidR="00825614" w:rsidRPr="00F66162">
        <w:rPr>
          <w:noProof/>
        </w:rPr>
        <w:t>wsp</w:t>
      </w:r>
      <w:r w:rsidRPr="00F66162">
        <w:rPr>
          <w:noProof/>
        </w:rPr>
        <w:t>ółpracę między właściwymi organami oraz między tymi organami</w:t>
      </w:r>
      <w:r w:rsidR="00825614" w:rsidRPr="00F66162">
        <w:rPr>
          <w:noProof/>
        </w:rPr>
        <w:t xml:space="preserve"> a</w:t>
      </w:r>
      <w:r w:rsidR="00825614">
        <w:rPr>
          <w:noProof/>
        </w:rPr>
        <w:t> </w:t>
      </w:r>
      <w:r w:rsidR="00825614" w:rsidRPr="00F66162">
        <w:rPr>
          <w:noProof/>
        </w:rPr>
        <w:t>Kom</w:t>
      </w:r>
      <w:r w:rsidRPr="00F66162">
        <w:rPr>
          <w:noProof/>
        </w:rPr>
        <w:t>isją. Należy także zapewnić szybki przepływ informacji między wspólną platformą centralną</w:t>
      </w:r>
      <w:r w:rsidR="00825614" w:rsidRPr="00F66162">
        <w:rPr>
          <w:noProof/>
        </w:rPr>
        <w:t xml:space="preserve"> a</w:t>
      </w:r>
      <w:r w:rsidR="00825614">
        <w:rPr>
          <w:noProof/>
        </w:rPr>
        <w:t> </w:t>
      </w:r>
      <w:r w:rsidR="00825614" w:rsidRPr="00F66162">
        <w:rPr>
          <w:noProof/>
        </w:rPr>
        <w:t>rej</w:t>
      </w:r>
      <w:r w:rsidRPr="00F66162">
        <w:rPr>
          <w:noProof/>
        </w:rPr>
        <w:t>estrem CBAM.</w:t>
      </w:r>
    </w:p>
    <w:p w14:paraId="2B3C116F" w14:textId="11BE9403"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Komisja powinna prowadzić kontrole oparte na analizie ryzyka</w:t>
      </w:r>
      <w:r w:rsidR="00825614" w:rsidRPr="00F66162">
        <w:rPr>
          <w:noProof/>
        </w:rPr>
        <w:t xml:space="preserve"> i</w:t>
      </w:r>
      <w:r w:rsidR="00825614">
        <w:rPr>
          <w:noProof/>
        </w:rPr>
        <w:t> </w:t>
      </w:r>
      <w:r w:rsidR="00825614" w:rsidRPr="00F66162">
        <w:rPr>
          <w:noProof/>
        </w:rPr>
        <w:t>odp</w:t>
      </w:r>
      <w:r w:rsidRPr="00F66162">
        <w:rPr>
          <w:noProof/>
        </w:rPr>
        <w:t>owiednio poddawać przeglądowi treść deklaracji CBAM. Do celów egzekwowania przepisów państwa członkowskie mogą również przeprowadzać przeglądy poszczególnych deklaracji CBAM. Wnioski</w:t>
      </w:r>
      <w:r w:rsidR="00825614" w:rsidRPr="00F66162">
        <w:rPr>
          <w:noProof/>
        </w:rPr>
        <w:t xml:space="preserve"> z</w:t>
      </w:r>
      <w:r w:rsidR="00825614">
        <w:rPr>
          <w:noProof/>
        </w:rPr>
        <w:t> </w:t>
      </w:r>
      <w:r w:rsidR="00825614" w:rsidRPr="00F66162">
        <w:rPr>
          <w:noProof/>
        </w:rPr>
        <w:t>tak</w:t>
      </w:r>
      <w:r w:rsidRPr="00F66162">
        <w:rPr>
          <w:noProof/>
        </w:rPr>
        <w:t>ich przeglądów należy udostępniać Komisji</w:t>
      </w:r>
      <w:r w:rsidR="00825614" w:rsidRPr="00F66162">
        <w:rPr>
          <w:noProof/>
        </w:rPr>
        <w:t xml:space="preserve"> i</w:t>
      </w:r>
      <w:r w:rsidR="00825614">
        <w:rPr>
          <w:noProof/>
        </w:rPr>
        <w:t> </w:t>
      </w:r>
      <w:r w:rsidR="00825614" w:rsidRPr="00F66162">
        <w:rPr>
          <w:noProof/>
        </w:rPr>
        <w:t>inn</w:t>
      </w:r>
      <w:r w:rsidRPr="00F66162">
        <w:rPr>
          <w:noProof/>
        </w:rPr>
        <w:t>ym właściwym organom za pośrednictwem rejestru CBAM.</w:t>
      </w:r>
    </w:p>
    <w:p w14:paraId="3A759708" w14:textId="1FB5BE45"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 Państwa członkowskie powinny być odpowiedzialne za prawidłowe ustalanie</w:t>
      </w:r>
      <w:r w:rsidR="00825614" w:rsidRPr="00F66162">
        <w:rPr>
          <w:noProof/>
        </w:rPr>
        <w:t xml:space="preserve"> i</w:t>
      </w:r>
      <w:r w:rsidR="00825614">
        <w:rPr>
          <w:noProof/>
        </w:rPr>
        <w:t> </w:t>
      </w:r>
      <w:r w:rsidR="00825614" w:rsidRPr="00F66162">
        <w:rPr>
          <w:noProof/>
        </w:rPr>
        <w:t>pob</w:t>
      </w:r>
      <w:r w:rsidRPr="00F66162">
        <w:rPr>
          <w:noProof/>
        </w:rPr>
        <w:t>ór dochodów wynikających ze stosowania niniejszego rozporządzenia.</w:t>
      </w:r>
    </w:p>
    <w:p w14:paraId="4C2FE13A" w14:textId="1AB74EBF"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 związku</w:t>
      </w:r>
      <w:r w:rsidR="00825614" w:rsidRPr="00F66162">
        <w:rPr>
          <w:noProof/>
        </w:rPr>
        <w:t xml:space="preserve"> z</w:t>
      </w:r>
      <w:r w:rsidR="00825614">
        <w:rPr>
          <w:noProof/>
        </w:rPr>
        <w:t> </w:t>
      </w:r>
      <w:r w:rsidR="00825614" w:rsidRPr="00F66162">
        <w:rPr>
          <w:noProof/>
        </w:rPr>
        <w:t>tym w</w:t>
      </w:r>
      <w:r w:rsidR="00825614">
        <w:rPr>
          <w:noProof/>
        </w:rPr>
        <w:t> </w:t>
      </w:r>
      <w:r w:rsidR="00825614" w:rsidRPr="00F66162">
        <w:rPr>
          <w:noProof/>
        </w:rPr>
        <w:t>okr</w:t>
      </w:r>
      <w:r w:rsidRPr="00F66162">
        <w:rPr>
          <w:noProof/>
        </w:rPr>
        <w:t xml:space="preserve">esie docelowym liczba zadań Komisji drastycznie wzrośnie, co wymaga zwiększenia jej zasobów kadrowych. Zadania wykonywane przez zespół Komisji będą obejmować nadzór nad udzielaniem upoważnień zgłaszającym CBAM </w:t>
      </w:r>
      <w:r w:rsidRPr="00F66162">
        <w:rPr>
          <w:noProof/>
        </w:rPr>
        <w:lastRenderedPageBreak/>
        <w:t>przez właściwe organy państw członkowskich, zarządzanie centralną bazą danych</w:t>
      </w:r>
      <w:r w:rsidR="00825614" w:rsidRPr="00F66162">
        <w:rPr>
          <w:noProof/>
        </w:rPr>
        <w:t xml:space="preserve"> i</w:t>
      </w:r>
      <w:r w:rsidR="00825614">
        <w:rPr>
          <w:noProof/>
        </w:rPr>
        <w:t> </w:t>
      </w:r>
      <w:r w:rsidR="00825614" w:rsidRPr="00F66162">
        <w:rPr>
          <w:noProof/>
        </w:rPr>
        <w:t>cen</w:t>
      </w:r>
      <w:r w:rsidRPr="00F66162">
        <w:rPr>
          <w:noProof/>
        </w:rPr>
        <w:t>tralnym rejestrem, koordynację</w:t>
      </w:r>
      <w:r w:rsidR="00825614" w:rsidRPr="00F66162">
        <w:rPr>
          <w:noProof/>
        </w:rPr>
        <w:t xml:space="preserve"> i</w:t>
      </w:r>
      <w:r w:rsidR="00825614">
        <w:rPr>
          <w:noProof/>
        </w:rPr>
        <w:t> </w:t>
      </w:r>
      <w:r w:rsidR="00825614" w:rsidRPr="00F66162">
        <w:rPr>
          <w:noProof/>
        </w:rPr>
        <w:t>wym</w:t>
      </w:r>
      <w:r w:rsidRPr="00F66162">
        <w:rPr>
          <w:noProof/>
        </w:rPr>
        <w:t>ianę informacji</w:t>
      </w:r>
      <w:r w:rsidR="00825614" w:rsidRPr="00F66162">
        <w:rPr>
          <w:noProof/>
        </w:rPr>
        <w:t xml:space="preserve"> z</w:t>
      </w:r>
      <w:r w:rsidR="00825614">
        <w:rPr>
          <w:noProof/>
        </w:rPr>
        <w:t> </w:t>
      </w:r>
      <w:r w:rsidR="00825614" w:rsidRPr="00F66162">
        <w:rPr>
          <w:noProof/>
        </w:rPr>
        <w:t>wła</w:t>
      </w:r>
      <w:r w:rsidRPr="00F66162">
        <w:rPr>
          <w:noProof/>
        </w:rPr>
        <w:t>ściwymi organami państw członkowskich, przegląd deklaracji</w:t>
      </w:r>
      <w:r w:rsidR="00825614" w:rsidRPr="00F66162">
        <w:rPr>
          <w:noProof/>
        </w:rPr>
        <w:t xml:space="preserve"> i</w:t>
      </w:r>
      <w:r w:rsidR="00825614">
        <w:rPr>
          <w:noProof/>
        </w:rPr>
        <w:t> </w:t>
      </w:r>
      <w:r w:rsidR="00825614" w:rsidRPr="00F66162">
        <w:rPr>
          <w:noProof/>
        </w:rPr>
        <w:t>nad</w:t>
      </w:r>
      <w:r w:rsidRPr="00F66162">
        <w:rPr>
          <w:noProof/>
        </w:rPr>
        <w:t>zór nad platformą zewnętrzną,</w:t>
      </w:r>
      <w:r w:rsidR="00825614" w:rsidRPr="00F66162">
        <w:rPr>
          <w:noProof/>
        </w:rPr>
        <w:t xml:space="preserve"> a</w:t>
      </w:r>
      <w:r w:rsidR="00825614">
        <w:rPr>
          <w:noProof/>
        </w:rPr>
        <w:t> </w:t>
      </w:r>
      <w:r w:rsidR="00825614" w:rsidRPr="00F66162">
        <w:rPr>
          <w:noProof/>
        </w:rPr>
        <w:t>tak</w:t>
      </w:r>
      <w:r w:rsidRPr="00F66162">
        <w:rPr>
          <w:noProof/>
        </w:rPr>
        <w:t>że zadania wymagające kompetencji prawnych, takie jak reprezentacja</w:t>
      </w:r>
      <w:r w:rsidR="00825614" w:rsidRPr="00F66162">
        <w:rPr>
          <w:noProof/>
        </w:rPr>
        <w:t xml:space="preserve"> w</w:t>
      </w:r>
      <w:r w:rsidR="00825614">
        <w:rPr>
          <w:noProof/>
        </w:rPr>
        <w:t> </w:t>
      </w:r>
      <w:r w:rsidR="00825614" w:rsidRPr="00F66162">
        <w:rPr>
          <w:noProof/>
        </w:rPr>
        <w:t>spo</w:t>
      </w:r>
      <w:r w:rsidRPr="00F66162">
        <w:rPr>
          <w:noProof/>
        </w:rPr>
        <w:t>rach sądowych</w:t>
      </w:r>
      <w:r w:rsidR="00825614" w:rsidRPr="00F66162">
        <w:rPr>
          <w:noProof/>
        </w:rPr>
        <w:t xml:space="preserve"> i</w:t>
      </w:r>
      <w:r w:rsidR="00825614">
        <w:rPr>
          <w:noProof/>
        </w:rPr>
        <w:t> </w:t>
      </w:r>
      <w:r w:rsidR="00825614" w:rsidRPr="00F66162">
        <w:rPr>
          <w:noProof/>
        </w:rPr>
        <w:t>odz</w:t>
      </w:r>
      <w:r w:rsidRPr="00F66162">
        <w:rPr>
          <w:noProof/>
        </w:rPr>
        <w:t>yskiwanie należności oraz nadzór związany</w:t>
      </w:r>
      <w:r w:rsidR="00825614" w:rsidRPr="00F66162">
        <w:rPr>
          <w:noProof/>
        </w:rPr>
        <w:t xml:space="preserve"> z</w:t>
      </w:r>
      <w:r w:rsidR="00825614">
        <w:rPr>
          <w:noProof/>
        </w:rPr>
        <w:t> </w:t>
      </w:r>
      <w:r w:rsidR="00825614" w:rsidRPr="00F66162">
        <w:rPr>
          <w:noProof/>
        </w:rPr>
        <w:t>odp</w:t>
      </w:r>
      <w:r w:rsidRPr="00F66162">
        <w:rPr>
          <w:noProof/>
        </w:rPr>
        <w:t>owiedzialnością finansową. Strukturę zespołu szczegółowo określono poniżej.</w:t>
      </w:r>
    </w:p>
    <w:p w14:paraId="63E0474F" w14:textId="49CC2826"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 okresie docelowym Komisja będzie odpowiedzialna za większość zadań wynikających</w:t>
      </w:r>
      <w:r w:rsidR="00825614" w:rsidRPr="00F66162">
        <w:rPr>
          <w:noProof/>
        </w:rPr>
        <w:t xml:space="preserve"> z</w:t>
      </w:r>
      <w:r w:rsidR="00825614">
        <w:rPr>
          <w:noProof/>
        </w:rPr>
        <w:t> </w:t>
      </w:r>
      <w:r w:rsidR="00825614" w:rsidRPr="00F66162">
        <w:rPr>
          <w:noProof/>
        </w:rPr>
        <w:t>roz</w:t>
      </w:r>
      <w:r w:rsidRPr="00F66162">
        <w:rPr>
          <w:noProof/>
        </w:rPr>
        <w:t>porządzenia</w:t>
      </w:r>
      <w:r w:rsidR="00825614" w:rsidRPr="00F66162">
        <w:rPr>
          <w:noProof/>
        </w:rPr>
        <w:t xml:space="preserve"> w</w:t>
      </w:r>
      <w:r w:rsidR="00825614">
        <w:rPr>
          <w:noProof/>
        </w:rPr>
        <w:t> </w:t>
      </w:r>
      <w:r w:rsidR="00825614" w:rsidRPr="00F66162">
        <w:rPr>
          <w:noProof/>
        </w:rPr>
        <w:t>spr</w:t>
      </w:r>
      <w:r w:rsidRPr="00F66162">
        <w:rPr>
          <w:noProof/>
        </w:rPr>
        <w:t>awie CBAM.</w:t>
      </w:r>
    </w:p>
    <w:p w14:paraId="2E1C885A" w14:textId="77777777"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b/>
          <w:bCs/>
          <w:noProof/>
          <w:szCs w:val="24"/>
        </w:rPr>
      </w:pPr>
      <w:r w:rsidRPr="00F66162">
        <w:rPr>
          <w:b/>
          <w:noProof/>
        </w:rPr>
        <w:t>Budżet CBAM na technologie informacyjne</w:t>
      </w:r>
    </w:p>
    <w:p w14:paraId="17A7B8B1" w14:textId="3D792150"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b/>
          <w:bCs/>
          <w:noProof/>
          <w:szCs w:val="24"/>
        </w:rPr>
      </w:pPr>
      <w:r w:rsidRPr="00F66162">
        <w:rPr>
          <w:noProof/>
        </w:rPr>
        <w:t>Budżet CBAM na płatności</w:t>
      </w:r>
      <w:r w:rsidR="00825614" w:rsidRPr="00F66162">
        <w:rPr>
          <w:noProof/>
        </w:rPr>
        <w:t xml:space="preserve"> i</w:t>
      </w:r>
      <w:r w:rsidR="00825614">
        <w:rPr>
          <w:noProof/>
        </w:rPr>
        <w:t> </w:t>
      </w:r>
      <w:r w:rsidR="00825614" w:rsidRPr="00F66162">
        <w:rPr>
          <w:noProof/>
        </w:rPr>
        <w:t>zob</w:t>
      </w:r>
      <w:r w:rsidRPr="00F66162">
        <w:rPr>
          <w:noProof/>
        </w:rPr>
        <w:t>owiązania</w:t>
      </w:r>
      <w:r w:rsidR="00825614" w:rsidRPr="00F66162">
        <w:rPr>
          <w:noProof/>
        </w:rPr>
        <w:t xml:space="preserve"> w</w:t>
      </w:r>
      <w:r w:rsidR="00825614">
        <w:rPr>
          <w:noProof/>
        </w:rPr>
        <w:t> </w:t>
      </w:r>
      <w:r w:rsidR="00825614" w:rsidRPr="00F66162">
        <w:rPr>
          <w:noProof/>
        </w:rPr>
        <w:t>lat</w:t>
      </w:r>
      <w:r w:rsidRPr="00F66162">
        <w:rPr>
          <w:noProof/>
        </w:rPr>
        <w:t>ach 2023–2027 oszacowano na kwotę 101,74 mln EUR.Budżet CBAM na technologie informacyjne obejmuje finansowanie usług analitycznych, rozwojowych, wdrożeniowych</w:t>
      </w:r>
      <w:r w:rsidR="00825614" w:rsidRPr="00F66162">
        <w:rPr>
          <w:noProof/>
        </w:rPr>
        <w:t xml:space="preserve"> i</w:t>
      </w:r>
      <w:r w:rsidR="00825614">
        <w:rPr>
          <w:noProof/>
        </w:rPr>
        <w:t> </w:t>
      </w:r>
      <w:r w:rsidR="00825614" w:rsidRPr="00F66162">
        <w:rPr>
          <w:noProof/>
        </w:rPr>
        <w:t>ope</w:t>
      </w:r>
      <w:r w:rsidRPr="00F66162">
        <w:rPr>
          <w:noProof/>
        </w:rPr>
        <w:t>racyjnych oraz usług</w:t>
      </w:r>
      <w:r w:rsidR="00825614" w:rsidRPr="00F66162">
        <w:rPr>
          <w:noProof/>
        </w:rPr>
        <w:t xml:space="preserve"> w</w:t>
      </w:r>
      <w:r w:rsidR="00825614">
        <w:rPr>
          <w:noProof/>
        </w:rPr>
        <w:t> </w:t>
      </w:r>
      <w:r w:rsidR="00825614" w:rsidRPr="00F66162">
        <w:rPr>
          <w:noProof/>
        </w:rPr>
        <w:t>chm</w:t>
      </w:r>
      <w:r w:rsidRPr="00F66162">
        <w:rPr>
          <w:noProof/>
        </w:rPr>
        <w:t>urze lub licencji na sprzęt</w:t>
      </w:r>
      <w:r w:rsidR="00825614" w:rsidRPr="00F66162">
        <w:rPr>
          <w:noProof/>
        </w:rPr>
        <w:t xml:space="preserve"> i</w:t>
      </w:r>
      <w:r w:rsidR="00825614">
        <w:rPr>
          <w:noProof/>
        </w:rPr>
        <w:t> </w:t>
      </w:r>
      <w:r w:rsidR="00825614" w:rsidRPr="00F66162">
        <w:rPr>
          <w:noProof/>
        </w:rPr>
        <w:t>opr</w:t>
      </w:r>
      <w:r w:rsidRPr="00F66162">
        <w:rPr>
          <w:noProof/>
        </w:rPr>
        <w:t>ogramowanie na potrzeby przejściowego</w:t>
      </w:r>
      <w:r w:rsidR="00825614" w:rsidRPr="00F66162">
        <w:rPr>
          <w:noProof/>
        </w:rPr>
        <w:t xml:space="preserve"> i</w:t>
      </w:r>
      <w:r w:rsidR="00825614">
        <w:rPr>
          <w:noProof/>
        </w:rPr>
        <w:t> </w:t>
      </w:r>
      <w:r w:rsidR="00825614" w:rsidRPr="00F66162">
        <w:rPr>
          <w:noProof/>
        </w:rPr>
        <w:t>doc</w:t>
      </w:r>
      <w:r w:rsidRPr="00F66162">
        <w:rPr>
          <w:noProof/>
        </w:rPr>
        <w:t>elowego systemu CBAM, jak określono poniżej:</w:t>
      </w:r>
    </w:p>
    <w:p w14:paraId="18652988" w14:textId="35DBFB72"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b/>
          <w:bCs/>
          <w:noProof/>
          <w:szCs w:val="24"/>
        </w:rPr>
      </w:pPr>
      <w:r w:rsidRPr="00F66162">
        <w:rPr>
          <w:noProof/>
        </w:rPr>
        <w:t>– Koszt nakładów inwestycyjnych oszacowano na podstawie faktycznie zaangażowanych wydatków budżetowych</w:t>
      </w:r>
      <w:r w:rsidR="00825614" w:rsidRPr="00F66162">
        <w:rPr>
          <w:noProof/>
        </w:rPr>
        <w:t xml:space="preserve"> i</w:t>
      </w:r>
      <w:r w:rsidR="00825614">
        <w:rPr>
          <w:noProof/>
        </w:rPr>
        <w:t> </w:t>
      </w:r>
      <w:r w:rsidR="00825614" w:rsidRPr="00F66162">
        <w:rPr>
          <w:noProof/>
        </w:rPr>
        <w:t>bud</w:t>
      </w:r>
      <w:r w:rsidRPr="00F66162">
        <w:rPr>
          <w:noProof/>
        </w:rPr>
        <w:t>żetu, który Komisja zatwierdziła –</w:t>
      </w:r>
      <w:r w:rsidR="00825614" w:rsidRPr="00F66162">
        <w:rPr>
          <w:noProof/>
        </w:rPr>
        <w:t xml:space="preserve"> w</w:t>
      </w:r>
      <w:r w:rsidR="00825614">
        <w:rPr>
          <w:noProof/>
        </w:rPr>
        <w:t> </w:t>
      </w:r>
      <w:r w:rsidR="00825614" w:rsidRPr="00F66162">
        <w:rPr>
          <w:noProof/>
        </w:rPr>
        <w:t>ram</w:t>
      </w:r>
      <w:r w:rsidRPr="00F66162">
        <w:rPr>
          <w:noProof/>
        </w:rPr>
        <w:t>ach informatycznego ładu korporacyjnego –</w:t>
      </w:r>
      <w:r w:rsidR="00825614" w:rsidRPr="00F66162">
        <w:rPr>
          <w:noProof/>
        </w:rPr>
        <w:t xml:space="preserve"> w</w:t>
      </w:r>
      <w:r w:rsidR="00825614">
        <w:rPr>
          <w:noProof/>
        </w:rPr>
        <w:t> </w:t>
      </w:r>
      <w:r w:rsidR="00825614" w:rsidRPr="00F66162">
        <w:rPr>
          <w:noProof/>
        </w:rPr>
        <w:t>for</w:t>
      </w:r>
      <w:r w:rsidRPr="00F66162">
        <w:rPr>
          <w:noProof/>
        </w:rPr>
        <w:t>mie przyjętych dokumentów koncepcyjnych dotyczących następujących wcześniejszych projektów informatycznych DG TAXUD, ze względu na ich podobieństwa pod względem modelu architektury informatycznej: CDS, CRMS2, SURV3, REX, CSRD2, EBTI oraz transeuropejskie systemy zarządzania zgłoszeniami celnymi opracowane</w:t>
      </w:r>
      <w:r w:rsidR="00825614" w:rsidRPr="00F66162">
        <w:rPr>
          <w:noProof/>
        </w:rPr>
        <w:t xml:space="preserve"> i</w:t>
      </w:r>
      <w:r w:rsidR="00825614">
        <w:rPr>
          <w:noProof/>
        </w:rPr>
        <w:t> </w:t>
      </w:r>
      <w:r w:rsidR="00825614" w:rsidRPr="00F66162">
        <w:rPr>
          <w:noProof/>
        </w:rPr>
        <w:t>obs</w:t>
      </w:r>
      <w:r w:rsidRPr="00F66162">
        <w:rPr>
          <w:noProof/>
        </w:rPr>
        <w:t>ługiwane przez DG TAXUD.</w:t>
      </w:r>
    </w:p>
    <w:p w14:paraId="7BF707F7" w14:textId="42A64493"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b/>
          <w:bCs/>
          <w:noProof/>
          <w:szCs w:val="24"/>
        </w:rPr>
      </w:pPr>
      <w:r w:rsidRPr="00F66162">
        <w:rPr>
          <w:noProof/>
        </w:rPr>
        <w:t>– Koszty operacyjne oszacowano na podstawie bieżących rocznych kosztów infrastruktury</w:t>
      </w:r>
      <w:r w:rsidR="00825614" w:rsidRPr="00F66162">
        <w:rPr>
          <w:noProof/>
        </w:rPr>
        <w:t xml:space="preserve"> i</w:t>
      </w:r>
      <w:r w:rsidR="00825614">
        <w:rPr>
          <w:noProof/>
        </w:rPr>
        <w:t> </w:t>
      </w:r>
      <w:r w:rsidR="00825614" w:rsidRPr="00F66162">
        <w:rPr>
          <w:noProof/>
        </w:rPr>
        <w:t>kos</w:t>
      </w:r>
      <w:r w:rsidRPr="00F66162">
        <w:rPr>
          <w:noProof/>
        </w:rPr>
        <w:t>ztów operacyjnych DG TAXUD,</w:t>
      </w:r>
      <w:r w:rsidR="00825614" w:rsidRPr="00F66162">
        <w:rPr>
          <w:noProof/>
        </w:rPr>
        <w:t xml:space="preserve"> w</w:t>
      </w:r>
      <w:r w:rsidR="00825614">
        <w:rPr>
          <w:noProof/>
        </w:rPr>
        <w:t> </w:t>
      </w:r>
      <w:r w:rsidR="00825614" w:rsidRPr="00F66162">
        <w:rPr>
          <w:noProof/>
        </w:rPr>
        <w:t>tym</w:t>
      </w:r>
      <w:r w:rsidRPr="00F66162">
        <w:rPr>
          <w:noProof/>
        </w:rPr>
        <w:t xml:space="preserve"> kosztów infrastruktury informatycznej, wsparcia informatycznego</w:t>
      </w:r>
      <w:r w:rsidR="00825614" w:rsidRPr="00F66162">
        <w:rPr>
          <w:noProof/>
        </w:rPr>
        <w:t xml:space="preserve"> i</w:t>
      </w:r>
      <w:r w:rsidR="00825614">
        <w:rPr>
          <w:noProof/>
        </w:rPr>
        <w:t> </w:t>
      </w:r>
      <w:r w:rsidR="00825614" w:rsidRPr="00F66162">
        <w:rPr>
          <w:noProof/>
        </w:rPr>
        <w:t>obs</w:t>
      </w:r>
      <w:r w:rsidRPr="00F66162">
        <w:rPr>
          <w:noProof/>
        </w:rPr>
        <w:t>ługi systemów produkcyjnych powstałych</w:t>
      </w:r>
      <w:r w:rsidR="00825614" w:rsidRPr="00F66162">
        <w:rPr>
          <w:noProof/>
        </w:rPr>
        <w:t xml:space="preserve"> w</w:t>
      </w:r>
      <w:r w:rsidR="00825614">
        <w:rPr>
          <w:noProof/>
        </w:rPr>
        <w:t> </w:t>
      </w:r>
      <w:r w:rsidR="00825614" w:rsidRPr="00F66162">
        <w:rPr>
          <w:noProof/>
        </w:rPr>
        <w:t>ram</w:t>
      </w:r>
      <w:r w:rsidRPr="00F66162">
        <w:rPr>
          <w:noProof/>
        </w:rPr>
        <w:t>ach projektów,</w:t>
      </w:r>
      <w:r w:rsidR="00825614" w:rsidRPr="00F66162">
        <w:rPr>
          <w:noProof/>
        </w:rPr>
        <w:t xml:space="preserve"> o</w:t>
      </w:r>
      <w:r w:rsidR="00825614">
        <w:rPr>
          <w:noProof/>
        </w:rPr>
        <w:t> </w:t>
      </w:r>
      <w:r w:rsidR="00825614" w:rsidRPr="00F66162">
        <w:rPr>
          <w:noProof/>
        </w:rPr>
        <w:t>któ</w:t>
      </w:r>
      <w:r w:rsidRPr="00F66162">
        <w:rPr>
          <w:noProof/>
        </w:rPr>
        <w:t>rych mowa powyżej.</w:t>
      </w:r>
    </w:p>
    <w:p w14:paraId="4EF98C76" w14:textId="77777777"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b/>
          <w:bCs/>
          <w:noProof/>
          <w:szCs w:val="24"/>
        </w:rPr>
      </w:pPr>
      <w:r w:rsidRPr="00F66162">
        <w:rPr>
          <w:noProof/>
        </w:rPr>
        <w:t>– Ceny oparto na obowiązujących obecnie umowach ramowych.</w:t>
      </w:r>
    </w:p>
    <w:p w14:paraId="568E5CEA" w14:textId="45C8E766"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b/>
          <w:bCs/>
          <w:noProof/>
          <w:szCs w:val="24"/>
        </w:rPr>
      </w:pPr>
      <w:r w:rsidRPr="00F66162">
        <w:rPr>
          <w:noProof/>
        </w:rPr>
        <w:t>W linii budżetowej dotyczącej polityki informatycznej nie uwzględniono budżetu na wspólne zamówienie Komisji</w:t>
      </w:r>
      <w:r w:rsidR="00825614" w:rsidRPr="00F66162">
        <w:rPr>
          <w:noProof/>
        </w:rPr>
        <w:t xml:space="preserve"> i</w:t>
      </w:r>
      <w:r w:rsidR="00825614">
        <w:rPr>
          <w:noProof/>
        </w:rPr>
        <w:t> </w:t>
      </w:r>
      <w:r w:rsidR="00825614" w:rsidRPr="00F66162">
        <w:rPr>
          <w:noProof/>
        </w:rPr>
        <w:t>pań</w:t>
      </w:r>
      <w:r w:rsidRPr="00F66162">
        <w:rPr>
          <w:noProof/>
        </w:rPr>
        <w:t>stw członkowskich obejmujące platformę zakupu</w:t>
      </w:r>
      <w:r w:rsidR="00825614" w:rsidRPr="00F66162">
        <w:rPr>
          <w:noProof/>
        </w:rPr>
        <w:t xml:space="preserve"> i</w:t>
      </w:r>
      <w:r w:rsidR="00825614">
        <w:rPr>
          <w:noProof/>
        </w:rPr>
        <w:t> </w:t>
      </w:r>
      <w:r w:rsidR="00825614" w:rsidRPr="00F66162">
        <w:rPr>
          <w:noProof/>
        </w:rPr>
        <w:t>spr</w:t>
      </w:r>
      <w:r w:rsidRPr="00F66162">
        <w:rPr>
          <w:noProof/>
        </w:rPr>
        <w:t>zedaży certyfikatów na potrzeby zarządzania operacjami.</w:t>
      </w:r>
    </w:p>
    <w:p w14:paraId="2E8F52E1" w14:textId="6A6D91C1"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color w:val="0000FF"/>
          <w:szCs w:val="24"/>
        </w:rPr>
      </w:pPr>
      <w:r w:rsidRPr="00F66162">
        <w:rPr>
          <w:noProof/>
        </w:rPr>
        <w:t>W 20</w:t>
      </w:r>
      <w:r w:rsidRPr="00825614">
        <w:rPr>
          <w:noProof/>
        </w:rPr>
        <w:t>27</w:t>
      </w:r>
      <w:r w:rsidR="00825614" w:rsidRPr="00825614">
        <w:rPr>
          <w:noProof/>
        </w:rPr>
        <w:t> </w:t>
      </w:r>
      <w:r w:rsidRPr="00825614">
        <w:rPr>
          <w:noProof/>
        </w:rPr>
        <w:t>r.</w:t>
      </w:r>
      <w:r w:rsidRPr="00F66162">
        <w:rPr>
          <w:noProof/>
        </w:rPr>
        <w:t xml:space="preserve"> zespół CBAM ma się składać</w:t>
      </w:r>
      <w:r w:rsidR="00825614" w:rsidRPr="00F66162">
        <w:rPr>
          <w:noProof/>
        </w:rPr>
        <w:t xml:space="preserve"> z</w:t>
      </w:r>
      <w:r w:rsidR="00825614">
        <w:rPr>
          <w:noProof/>
        </w:rPr>
        <w:t> </w:t>
      </w:r>
      <w:r w:rsidR="00825614" w:rsidRPr="00F66162">
        <w:rPr>
          <w:noProof/>
        </w:rPr>
        <w:t>9</w:t>
      </w:r>
      <w:r w:rsidRPr="00F66162">
        <w:rPr>
          <w:noProof/>
        </w:rPr>
        <w:t xml:space="preserve">0 pracowników Komisji (w </w:t>
      </w:r>
      <w:r w:rsidRPr="00825614">
        <w:rPr>
          <w:noProof/>
        </w:rPr>
        <w:t>tym</w:t>
      </w:r>
      <w:r w:rsidR="00825614" w:rsidRPr="00825614">
        <w:rPr>
          <w:noProof/>
        </w:rPr>
        <w:t> </w:t>
      </w:r>
      <w:r w:rsidRPr="00825614">
        <w:rPr>
          <w:noProof/>
        </w:rPr>
        <w:t>1</w:t>
      </w:r>
      <w:r w:rsidRPr="00F66162">
        <w:rPr>
          <w:noProof/>
        </w:rPr>
        <w:t>5 pracowników IT).</w:t>
      </w:r>
    </w:p>
    <w:p w14:paraId="4B6B3B5C" w14:textId="2AD581B1" w:rsidR="6A501879" w:rsidRPr="00F66162" w:rsidRDefault="6A501879"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 rozporządzeniu zmieniającym zaproponowano racjonalizację wymogów administracyjnych,</w:t>
      </w:r>
      <w:r w:rsidR="00825614" w:rsidRPr="00F66162">
        <w:rPr>
          <w:noProof/>
        </w:rPr>
        <w:t xml:space="preserve"> w</w:t>
      </w:r>
      <w:r w:rsidR="00825614">
        <w:rPr>
          <w:noProof/>
        </w:rPr>
        <w:t> </w:t>
      </w:r>
      <w:r w:rsidR="00825614" w:rsidRPr="00F66162">
        <w:rPr>
          <w:noProof/>
        </w:rPr>
        <w:t>tym</w:t>
      </w:r>
      <w:r w:rsidRPr="00F66162">
        <w:rPr>
          <w:noProof/>
        </w:rPr>
        <w:t xml:space="preserve"> sprawozdawczości. Ponieważ wymogi te wprowadzono prawem Unii, także ich racjonalizację najlepiej przeprowadzić na szczeblu UE, aby zapewnić pewność prawa</w:t>
      </w:r>
      <w:r w:rsidR="00825614" w:rsidRPr="00F66162">
        <w:rPr>
          <w:noProof/>
        </w:rPr>
        <w:t xml:space="preserve"> i</w:t>
      </w:r>
      <w:r w:rsidR="00825614">
        <w:rPr>
          <w:noProof/>
        </w:rPr>
        <w:t> </w:t>
      </w:r>
      <w:r w:rsidR="00825614" w:rsidRPr="00F66162">
        <w:rPr>
          <w:noProof/>
        </w:rPr>
        <w:t>spó</w:t>
      </w:r>
      <w:r w:rsidRPr="00F66162">
        <w:rPr>
          <w:noProof/>
        </w:rPr>
        <w:t>jność sprawozdawczości. Zmiana ta odpowiada dodatkowym kosztom IT</w:t>
      </w:r>
      <w:r w:rsidR="00825614" w:rsidRPr="00F66162">
        <w:rPr>
          <w:noProof/>
        </w:rPr>
        <w:t xml:space="preserve"> w</w:t>
      </w:r>
      <w:r w:rsidR="00825614">
        <w:rPr>
          <w:noProof/>
        </w:rPr>
        <w:t> </w:t>
      </w:r>
      <w:r w:rsidR="00825614" w:rsidRPr="00F66162">
        <w:rPr>
          <w:noProof/>
        </w:rPr>
        <w:t>wys</w:t>
      </w:r>
      <w:r w:rsidRPr="00F66162">
        <w:rPr>
          <w:noProof/>
        </w:rPr>
        <w:t>okości 18,95 mln EUR</w:t>
      </w:r>
      <w:r w:rsidR="00825614" w:rsidRPr="00F66162">
        <w:rPr>
          <w:noProof/>
        </w:rPr>
        <w:t xml:space="preserve"> w</w:t>
      </w:r>
      <w:r w:rsidR="00825614">
        <w:rPr>
          <w:noProof/>
        </w:rPr>
        <w:t> </w:t>
      </w:r>
      <w:r w:rsidR="00825614" w:rsidRPr="00F66162">
        <w:rPr>
          <w:noProof/>
        </w:rPr>
        <w:t>okr</w:t>
      </w:r>
      <w:r w:rsidRPr="00F66162">
        <w:rPr>
          <w:noProof/>
        </w:rPr>
        <w:t>esie 2025–2027. Zapewni to równe warunki działania unijnych przedsiębiorstw</w:t>
      </w:r>
      <w:r w:rsidR="00825614" w:rsidRPr="00F66162">
        <w:rPr>
          <w:noProof/>
        </w:rPr>
        <w:t xml:space="preserve"> i</w:t>
      </w:r>
      <w:r w:rsidR="00825614">
        <w:rPr>
          <w:noProof/>
        </w:rPr>
        <w:t> </w:t>
      </w:r>
      <w:r w:rsidR="00825614" w:rsidRPr="00F66162">
        <w:rPr>
          <w:noProof/>
        </w:rPr>
        <w:t>org</w:t>
      </w:r>
      <w:r w:rsidRPr="00F66162">
        <w:rPr>
          <w:noProof/>
        </w:rPr>
        <w:t>anów, które skorzystają</w:t>
      </w:r>
      <w:r w:rsidR="00825614" w:rsidRPr="00F66162">
        <w:rPr>
          <w:noProof/>
        </w:rPr>
        <w:t xml:space="preserve"> z</w:t>
      </w:r>
      <w:r w:rsidR="00825614">
        <w:rPr>
          <w:noProof/>
        </w:rPr>
        <w:t> </w:t>
      </w:r>
      <w:r w:rsidR="00825614" w:rsidRPr="00F66162">
        <w:rPr>
          <w:noProof/>
        </w:rPr>
        <w:t>rac</w:t>
      </w:r>
      <w:r w:rsidRPr="00F66162">
        <w:rPr>
          <w:noProof/>
        </w:rPr>
        <w:t>jonalizacji wymogów sprawozdawczych wynikającej</w:t>
      </w:r>
      <w:r w:rsidR="00825614" w:rsidRPr="00F66162">
        <w:rPr>
          <w:noProof/>
        </w:rPr>
        <w:t xml:space="preserve"> z</w:t>
      </w:r>
      <w:r w:rsidR="00825614">
        <w:rPr>
          <w:noProof/>
        </w:rPr>
        <w:t> </w:t>
      </w:r>
      <w:r w:rsidR="00825614" w:rsidRPr="00F66162">
        <w:rPr>
          <w:noProof/>
        </w:rPr>
        <w:t>nin</w:t>
      </w:r>
      <w:r w:rsidRPr="00F66162">
        <w:rPr>
          <w:noProof/>
        </w:rPr>
        <w:t>iejszego wniosku.</w:t>
      </w:r>
    </w:p>
    <w:tbl>
      <w:tblPr>
        <w:tblStyle w:val="Tabela-Siatka"/>
        <w:tblW w:w="9322" w:type="dxa"/>
        <w:tblLayout w:type="fixed"/>
        <w:tblLook w:val="04A0" w:firstRow="1" w:lastRow="0" w:firstColumn="1" w:lastColumn="0" w:noHBand="0" w:noVBand="1"/>
      </w:tblPr>
      <w:tblGrid>
        <w:gridCol w:w="3227"/>
        <w:gridCol w:w="1276"/>
        <w:gridCol w:w="1275"/>
        <w:gridCol w:w="1276"/>
        <w:gridCol w:w="1134"/>
        <w:gridCol w:w="1134"/>
      </w:tblGrid>
      <w:tr w:rsidR="139DF8FE" w:rsidRPr="00F66162" w14:paraId="0F9EEE61" w14:textId="77777777" w:rsidTr="008067CE">
        <w:trPr>
          <w:trHeight w:val="300"/>
        </w:trPr>
        <w:tc>
          <w:tcPr>
            <w:tcW w:w="322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BD1060C" w14:textId="1535D887" w:rsidR="139DF8FE" w:rsidRPr="00F66162" w:rsidRDefault="139DF8FE" w:rsidP="139DF8FE">
            <w:pPr>
              <w:spacing w:before="0" w:after="0"/>
              <w:rPr>
                <w:noProof/>
              </w:rPr>
            </w:pPr>
            <w:r w:rsidRPr="00F66162">
              <w:rPr>
                <w:rFonts w:ascii="Arial" w:hAnsi="Arial"/>
                <w:b/>
                <w:noProof/>
                <w:sz w:val="20"/>
              </w:rPr>
              <w:t>Zadania dotyczące wdrażania CBAM powierzone Komisji Europejskiej</w:t>
            </w:r>
            <w:r w:rsidR="00825614" w:rsidRPr="00F66162">
              <w:rPr>
                <w:rFonts w:ascii="Arial" w:hAnsi="Arial"/>
                <w:b/>
                <w:noProof/>
                <w:sz w:val="20"/>
              </w:rPr>
              <w:t xml:space="preserve"> i</w:t>
            </w:r>
            <w:r w:rsidR="00825614">
              <w:rPr>
                <w:rFonts w:ascii="Arial" w:hAnsi="Arial"/>
                <w:b/>
                <w:noProof/>
                <w:sz w:val="20"/>
              </w:rPr>
              <w:t> </w:t>
            </w:r>
            <w:r w:rsidR="00825614" w:rsidRPr="00F66162">
              <w:rPr>
                <w:rFonts w:ascii="Arial" w:hAnsi="Arial"/>
                <w:b/>
                <w:noProof/>
                <w:sz w:val="20"/>
              </w:rPr>
              <w:t>dzi</w:t>
            </w:r>
            <w:r w:rsidRPr="00F66162">
              <w:rPr>
                <w:rFonts w:ascii="Arial" w:hAnsi="Arial"/>
                <w:b/>
                <w:noProof/>
                <w:sz w:val="20"/>
              </w:rPr>
              <w:t>elone</w:t>
            </w:r>
            <w:r w:rsidR="00825614" w:rsidRPr="00F66162">
              <w:rPr>
                <w:rFonts w:ascii="Arial" w:hAnsi="Arial"/>
                <w:b/>
                <w:noProof/>
                <w:sz w:val="20"/>
              </w:rPr>
              <w:t xml:space="preserve"> z</w:t>
            </w:r>
            <w:r w:rsidR="00825614">
              <w:rPr>
                <w:rFonts w:ascii="Arial" w:hAnsi="Arial"/>
                <w:b/>
                <w:noProof/>
                <w:sz w:val="20"/>
              </w:rPr>
              <w:t> </w:t>
            </w:r>
            <w:r w:rsidR="00825614" w:rsidRPr="00F66162">
              <w:rPr>
                <w:rFonts w:ascii="Arial" w:hAnsi="Arial"/>
                <w:b/>
                <w:noProof/>
                <w:sz w:val="20"/>
              </w:rPr>
              <w:t>pań</w:t>
            </w:r>
            <w:r w:rsidRPr="00F66162">
              <w:rPr>
                <w:rFonts w:ascii="Arial" w:hAnsi="Arial"/>
                <w:b/>
                <w:noProof/>
                <w:sz w:val="20"/>
              </w:rPr>
              <w:t>stwami członkowskimi</w:t>
            </w:r>
          </w:p>
        </w:tc>
        <w:tc>
          <w:tcPr>
            <w:tcW w:w="609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CE1DB17" w14:textId="77777777" w:rsidR="139DF8FE" w:rsidRPr="00F66162" w:rsidRDefault="139DF8FE" w:rsidP="139DF8FE">
            <w:pPr>
              <w:spacing w:before="0" w:after="0"/>
              <w:rPr>
                <w:noProof/>
              </w:rPr>
            </w:pPr>
            <w:r w:rsidRPr="00F66162">
              <w:rPr>
                <w:rFonts w:ascii="Arial" w:hAnsi="Arial"/>
                <w:b/>
                <w:noProof/>
                <w:sz w:val="20"/>
              </w:rPr>
              <w:t>Liczba pracowników potrzebnych do wykonania zadania</w:t>
            </w:r>
          </w:p>
        </w:tc>
      </w:tr>
      <w:tr w:rsidR="00F605F1" w:rsidRPr="00F66162" w14:paraId="524982D2" w14:textId="77777777" w:rsidTr="008067CE">
        <w:trPr>
          <w:trHeight w:val="300"/>
        </w:trPr>
        <w:tc>
          <w:tcPr>
            <w:tcW w:w="3227" w:type="dxa"/>
            <w:vMerge/>
            <w:vAlign w:val="center"/>
          </w:tcPr>
          <w:p w14:paraId="5F2BBDBA" w14:textId="77777777" w:rsidR="00A60788" w:rsidRPr="00F66162" w:rsidRDefault="00A60788">
            <w:pPr>
              <w:rPr>
                <w:noProof/>
              </w:rPr>
            </w:pPr>
          </w:p>
        </w:tc>
        <w:tc>
          <w:tcPr>
            <w:tcW w:w="1276" w:type="dxa"/>
            <w:tcBorders>
              <w:top w:val="single" w:sz="8" w:space="0" w:color="auto"/>
              <w:left w:val="nil"/>
              <w:bottom w:val="single" w:sz="8" w:space="0" w:color="auto"/>
              <w:right w:val="single" w:sz="8" w:space="0" w:color="auto"/>
            </w:tcBorders>
            <w:tcMar>
              <w:left w:w="108" w:type="dxa"/>
              <w:right w:w="108" w:type="dxa"/>
            </w:tcMar>
          </w:tcPr>
          <w:p w14:paraId="2C1A7525" w14:textId="77777777" w:rsidR="139DF8FE" w:rsidRPr="008067CE" w:rsidRDefault="139DF8FE" w:rsidP="139DF8FE">
            <w:pPr>
              <w:spacing w:before="0" w:after="0"/>
              <w:rPr>
                <w:noProof/>
                <w:sz w:val="18"/>
                <w:szCs w:val="18"/>
              </w:rPr>
            </w:pPr>
            <w:r w:rsidRPr="008067CE">
              <w:rPr>
                <w:rFonts w:ascii="Arial" w:hAnsi="Arial"/>
                <w:b/>
                <w:noProof/>
                <w:sz w:val="18"/>
                <w:szCs w:val="18"/>
              </w:rPr>
              <w:t>Okres przejściowy (2023)</w:t>
            </w:r>
          </w:p>
        </w:tc>
        <w:tc>
          <w:tcPr>
            <w:tcW w:w="1275" w:type="dxa"/>
            <w:tcBorders>
              <w:top w:val="nil"/>
              <w:left w:val="single" w:sz="8" w:space="0" w:color="auto"/>
              <w:bottom w:val="single" w:sz="8" w:space="0" w:color="auto"/>
              <w:right w:val="single" w:sz="8" w:space="0" w:color="auto"/>
            </w:tcBorders>
            <w:tcMar>
              <w:left w:w="108" w:type="dxa"/>
              <w:right w:w="108" w:type="dxa"/>
            </w:tcMar>
          </w:tcPr>
          <w:p w14:paraId="0E0CC77D" w14:textId="77777777" w:rsidR="139DF8FE" w:rsidRPr="008067CE" w:rsidRDefault="139DF8FE" w:rsidP="139DF8FE">
            <w:pPr>
              <w:spacing w:before="0" w:after="0"/>
              <w:rPr>
                <w:noProof/>
                <w:sz w:val="18"/>
                <w:szCs w:val="18"/>
              </w:rPr>
            </w:pPr>
            <w:r w:rsidRPr="008067CE">
              <w:rPr>
                <w:rFonts w:ascii="Arial" w:hAnsi="Arial"/>
                <w:b/>
                <w:noProof/>
                <w:sz w:val="18"/>
                <w:szCs w:val="18"/>
              </w:rPr>
              <w:t>Okres przejściowy (2024)</w:t>
            </w:r>
          </w:p>
        </w:tc>
        <w:tc>
          <w:tcPr>
            <w:tcW w:w="1276" w:type="dxa"/>
            <w:tcBorders>
              <w:top w:val="nil"/>
              <w:left w:val="single" w:sz="8" w:space="0" w:color="auto"/>
              <w:bottom w:val="single" w:sz="8" w:space="0" w:color="auto"/>
              <w:right w:val="single" w:sz="8" w:space="0" w:color="auto"/>
            </w:tcBorders>
            <w:tcMar>
              <w:left w:w="108" w:type="dxa"/>
              <w:right w:w="108" w:type="dxa"/>
            </w:tcMar>
          </w:tcPr>
          <w:p w14:paraId="1B4DBEFC" w14:textId="77777777" w:rsidR="139DF8FE" w:rsidRPr="008067CE" w:rsidRDefault="139DF8FE" w:rsidP="139DF8FE">
            <w:pPr>
              <w:spacing w:before="0" w:after="0"/>
              <w:rPr>
                <w:noProof/>
                <w:sz w:val="18"/>
                <w:szCs w:val="18"/>
              </w:rPr>
            </w:pPr>
            <w:r w:rsidRPr="008067CE">
              <w:rPr>
                <w:rFonts w:ascii="Arial" w:hAnsi="Arial"/>
                <w:b/>
                <w:noProof/>
                <w:sz w:val="18"/>
                <w:szCs w:val="18"/>
              </w:rPr>
              <w:t>Okres przejściowy (2025)</w:t>
            </w:r>
          </w:p>
        </w:tc>
        <w:tc>
          <w:tcPr>
            <w:tcW w:w="1134" w:type="dxa"/>
            <w:tcBorders>
              <w:top w:val="nil"/>
              <w:left w:val="single" w:sz="8" w:space="0" w:color="auto"/>
              <w:bottom w:val="single" w:sz="8" w:space="0" w:color="auto"/>
              <w:right w:val="single" w:sz="8" w:space="0" w:color="auto"/>
            </w:tcBorders>
            <w:tcMar>
              <w:left w:w="108" w:type="dxa"/>
              <w:right w:w="108" w:type="dxa"/>
            </w:tcMar>
          </w:tcPr>
          <w:p w14:paraId="10A48259" w14:textId="77777777" w:rsidR="139DF8FE" w:rsidRPr="008067CE" w:rsidRDefault="139DF8FE" w:rsidP="139DF8FE">
            <w:pPr>
              <w:spacing w:before="0" w:after="0"/>
              <w:rPr>
                <w:noProof/>
                <w:sz w:val="18"/>
                <w:szCs w:val="18"/>
              </w:rPr>
            </w:pPr>
            <w:r w:rsidRPr="008067CE">
              <w:rPr>
                <w:rFonts w:ascii="Arial" w:hAnsi="Arial"/>
                <w:b/>
                <w:noProof/>
                <w:sz w:val="18"/>
                <w:szCs w:val="18"/>
              </w:rPr>
              <w:t>Okres docelowy (2026)</w:t>
            </w:r>
          </w:p>
        </w:tc>
        <w:tc>
          <w:tcPr>
            <w:tcW w:w="1134" w:type="dxa"/>
            <w:tcBorders>
              <w:top w:val="nil"/>
              <w:left w:val="single" w:sz="8" w:space="0" w:color="auto"/>
              <w:bottom w:val="single" w:sz="8" w:space="0" w:color="auto"/>
              <w:right w:val="single" w:sz="8" w:space="0" w:color="auto"/>
            </w:tcBorders>
            <w:tcMar>
              <w:left w:w="108" w:type="dxa"/>
              <w:right w:w="108" w:type="dxa"/>
            </w:tcMar>
          </w:tcPr>
          <w:p w14:paraId="122937AC" w14:textId="77777777" w:rsidR="139DF8FE" w:rsidRPr="008067CE" w:rsidRDefault="139DF8FE" w:rsidP="139DF8FE">
            <w:pPr>
              <w:spacing w:before="0" w:after="0"/>
              <w:rPr>
                <w:noProof/>
                <w:sz w:val="18"/>
                <w:szCs w:val="18"/>
              </w:rPr>
            </w:pPr>
            <w:r w:rsidRPr="008067CE">
              <w:rPr>
                <w:rFonts w:ascii="Arial" w:hAnsi="Arial"/>
                <w:b/>
                <w:noProof/>
                <w:sz w:val="18"/>
                <w:szCs w:val="18"/>
              </w:rPr>
              <w:t>Okres docelowy (2027)</w:t>
            </w:r>
          </w:p>
        </w:tc>
      </w:tr>
      <w:tr w:rsidR="139DF8FE" w:rsidRPr="00F66162" w14:paraId="67AEF68F" w14:textId="77777777" w:rsidTr="008067CE">
        <w:trPr>
          <w:trHeight w:val="300"/>
        </w:trPr>
        <w:tc>
          <w:tcPr>
            <w:tcW w:w="3227" w:type="dxa"/>
            <w:tcBorders>
              <w:top w:val="nil"/>
              <w:left w:val="single" w:sz="8" w:space="0" w:color="auto"/>
              <w:bottom w:val="single" w:sz="8" w:space="0" w:color="auto"/>
              <w:right w:val="single" w:sz="8" w:space="0" w:color="auto"/>
            </w:tcBorders>
            <w:tcMar>
              <w:left w:w="108" w:type="dxa"/>
              <w:right w:w="108" w:type="dxa"/>
            </w:tcMar>
          </w:tcPr>
          <w:p w14:paraId="692C9B1D" w14:textId="77777777" w:rsidR="139DF8FE" w:rsidRPr="00F66162" w:rsidRDefault="139DF8FE" w:rsidP="139DF8FE">
            <w:pPr>
              <w:spacing w:before="0" w:after="0"/>
              <w:rPr>
                <w:noProof/>
              </w:rPr>
            </w:pPr>
            <w:r w:rsidRPr="00F66162">
              <w:rPr>
                <w:rFonts w:ascii="Aptos" w:hAnsi="Aptos"/>
                <w:noProof/>
              </w:rPr>
              <w:t>Udzielanie upoważnień zgłaszającym CBAM</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F4785CB"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5E4A9EB" w14:textId="77777777" w:rsidR="139DF8FE" w:rsidRPr="00F66162" w:rsidRDefault="139DF8FE" w:rsidP="139DF8FE">
            <w:pPr>
              <w:spacing w:before="0" w:after="0"/>
              <w:rPr>
                <w:noProof/>
              </w:rPr>
            </w:pPr>
            <w:r w:rsidRPr="00F66162">
              <w:rPr>
                <w:rFonts w:ascii="Aptos" w:hAnsi="Aptos"/>
                <w:noProof/>
              </w:rPr>
              <w:t>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05768DF" w14:textId="77777777" w:rsidR="139DF8FE" w:rsidRPr="00F66162" w:rsidRDefault="139DF8FE" w:rsidP="139DF8FE">
            <w:pPr>
              <w:spacing w:before="0" w:after="0"/>
              <w:rPr>
                <w:noProof/>
              </w:rPr>
            </w:pPr>
            <w:r w:rsidRPr="00F66162">
              <w:rPr>
                <w:rFonts w:ascii="Aptos" w:hAnsi="Aptos"/>
                <w:noProof/>
              </w:rPr>
              <w:t>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45F1E4F" w14:textId="77777777" w:rsidR="139DF8FE" w:rsidRPr="00F66162" w:rsidRDefault="139DF8FE" w:rsidP="139DF8FE">
            <w:pPr>
              <w:spacing w:before="0" w:after="0"/>
              <w:rPr>
                <w:noProof/>
              </w:rPr>
            </w:pPr>
            <w:r w:rsidRPr="00F66162">
              <w:rPr>
                <w:rFonts w:ascii="Aptos" w:hAnsi="Aptos"/>
                <w:noProof/>
              </w:rPr>
              <w:t>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01A9ABD" w14:textId="77777777" w:rsidR="139DF8FE" w:rsidRPr="00F66162" w:rsidRDefault="139DF8FE" w:rsidP="139DF8FE">
            <w:pPr>
              <w:spacing w:before="0" w:after="0"/>
              <w:rPr>
                <w:noProof/>
              </w:rPr>
            </w:pPr>
            <w:r w:rsidRPr="00F66162">
              <w:rPr>
                <w:rFonts w:ascii="Aptos" w:hAnsi="Aptos"/>
                <w:noProof/>
              </w:rPr>
              <w:t>2</w:t>
            </w:r>
          </w:p>
        </w:tc>
      </w:tr>
      <w:tr w:rsidR="139DF8FE" w:rsidRPr="00F66162" w14:paraId="3AA3D99F"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3E35CB1A" w14:textId="7DCE5571" w:rsidR="139DF8FE" w:rsidRPr="00F66162" w:rsidRDefault="139DF8FE" w:rsidP="139DF8FE">
            <w:pPr>
              <w:spacing w:before="0" w:after="0"/>
              <w:rPr>
                <w:noProof/>
              </w:rPr>
            </w:pPr>
            <w:r w:rsidRPr="00F66162">
              <w:rPr>
                <w:rFonts w:ascii="Aptos" w:hAnsi="Aptos"/>
                <w:noProof/>
              </w:rPr>
              <w:lastRenderedPageBreak/>
              <w:t>Zarządzanie informacjami</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ich</w:t>
            </w:r>
            <w:r w:rsidRPr="00F66162">
              <w:rPr>
                <w:rFonts w:ascii="Aptos" w:hAnsi="Aptos"/>
                <w:noProof/>
              </w:rPr>
              <w:t xml:space="preserve"> rejestrowanie</w:t>
            </w:r>
            <w:r w:rsidR="00825614" w:rsidRPr="00F66162">
              <w:rPr>
                <w:rFonts w:ascii="Aptos" w:hAnsi="Aptos"/>
                <w:noProof/>
              </w:rPr>
              <w:t xml:space="preserve"> w</w:t>
            </w:r>
            <w:r w:rsidR="00825614">
              <w:rPr>
                <w:rFonts w:ascii="Aptos" w:hAnsi="Aptos"/>
                <w:noProof/>
              </w:rPr>
              <w:t> </w:t>
            </w:r>
            <w:r w:rsidR="00825614" w:rsidRPr="00F66162">
              <w:rPr>
                <w:rFonts w:ascii="Aptos" w:hAnsi="Aptos"/>
                <w:noProof/>
              </w:rPr>
              <w:t>cen</w:t>
            </w:r>
            <w:r w:rsidRPr="00F66162">
              <w:rPr>
                <w:rFonts w:ascii="Aptos" w:hAnsi="Aptos"/>
                <w:noProof/>
              </w:rPr>
              <w:t>tralnej bazie informacji</w:t>
            </w:r>
            <w:r w:rsidR="00825614" w:rsidRPr="00F66162">
              <w:rPr>
                <w:rFonts w:ascii="Aptos" w:hAnsi="Aptos"/>
                <w:noProof/>
              </w:rPr>
              <w:t xml:space="preserve"> o</w:t>
            </w:r>
            <w:r w:rsidR="00825614">
              <w:rPr>
                <w:rFonts w:ascii="Aptos" w:hAnsi="Aptos"/>
                <w:noProof/>
              </w:rPr>
              <w:t> </w:t>
            </w:r>
            <w:r w:rsidR="00825614" w:rsidRPr="00F66162">
              <w:rPr>
                <w:rFonts w:ascii="Aptos" w:hAnsi="Aptos"/>
                <w:noProof/>
              </w:rPr>
              <w:t>ins</w:t>
            </w:r>
            <w:r w:rsidRPr="00F66162">
              <w:rPr>
                <w:rFonts w:ascii="Aptos" w:hAnsi="Aptos"/>
                <w:noProof/>
              </w:rPr>
              <w:t>talacjach</w:t>
            </w:r>
            <w:r w:rsidR="00825614" w:rsidRPr="00F66162">
              <w:rPr>
                <w:rFonts w:ascii="Aptos" w:hAnsi="Aptos"/>
                <w:noProof/>
              </w:rPr>
              <w:t xml:space="preserve"> w</w:t>
            </w:r>
            <w:r w:rsidR="00825614">
              <w:rPr>
                <w:rFonts w:ascii="Aptos" w:hAnsi="Aptos"/>
                <w:noProof/>
              </w:rPr>
              <w:t> </w:t>
            </w:r>
            <w:r w:rsidR="00825614" w:rsidRPr="00F66162">
              <w:rPr>
                <w:rFonts w:ascii="Aptos" w:hAnsi="Aptos"/>
                <w:noProof/>
              </w:rPr>
              <w:t>pań</w:t>
            </w:r>
            <w:r w:rsidRPr="00F66162">
              <w:rPr>
                <w:rFonts w:ascii="Aptos" w:hAnsi="Aptos"/>
                <w:noProof/>
              </w:rPr>
              <w:t>stwach trzecich</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0BD87A7"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209D806" w14:textId="77777777" w:rsidR="139DF8FE" w:rsidRPr="00F66162" w:rsidRDefault="139DF8FE" w:rsidP="139DF8FE">
            <w:pPr>
              <w:spacing w:before="0" w:after="0"/>
              <w:rPr>
                <w:noProof/>
              </w:rPr>
            </w:pPr>
            <w:r w:rsidRPr="00F66162">
              <w:rPr>
                <w:rFonts w:ascii="Aptos" w:hAnsi="Aptos"/>
                <w:noProof/>
              </w:rPr>
              <w:t>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EB14D85" w14:textId="77777777" w:rsidR="139DF8FE" w:rsidRPr="00F66162" w:rsidRDefault="139DF8FE" w:rsidP="139DF8FE">
            <w:pPr>
              <w:spacing w:before="0" w:after="0"/>
              <w:rPr>
                <w:noProof/>
              </w:rPr>
            </w:pPr>
            <w:r w:rsidRPr="00F66162">
              <w:rPr>
                <w:rFonts w:ascii="Aptos" w:hAnsi="Aptos"/>
                <w:noProof/>
              </w:rPr>
              <w:t>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2F7E485" w14:textId="77777777" w:rsidR="139DF8FE" w:rsidRPr="00F66162" w:rsidRDefault="139DF8FE" w:rsidP="139DF8FE">
            <w:pPr>
              <w:spacing w:before="0" w:after="0"/>
              <w:rPr>
                <w:noProof/>
              </w:rPr>
            </w:pPr>
            <w:r w:rsidRPr="00F66162">
              <w:rPr>
                <w:rFonts w:ascii="Aptos" w:hAnsi="Aptos"/>
                <w:noProof/>
              </w:rPr>
              <w:t>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B06B03D" w14:textId="77777777" w:rsidR="139DF8FE" w:rsidRPr="00F66162" w:rsidRDefault="139DF8FE" w:rsidP="139DF8FE">
            <w:pPr>
              <w:spacing w:before="0" w:after="0"/>
              <w:rPr>
                <w:noProof/>
              </w:rPr>
            </w:pPr>
            <w:r w:rsidRPr="00F66162">
              <w:rPr>
                <w:rFonts w:ascii="Aptos" w:hAnsi="Aptos"/>
                <w:noProof/>
              </w:rPr>
              <w:t>5</w:t>
            </w:r>
          </w:p>
        </w:tc>
      </w:tr>
      <w:tr w:rsidR="139DF8FE" w:rsidRPr="00F66162" w14:paraId="7F2CF851"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3AE06AD9" w14:textId="51A4753E" w:rsidR="139DF8FE" w:rsidRPr="00F66162" w:rsidRDefault="139DF8FE" w:rsidP="139DF8FE">
            <w:pPr>
              <w:spacing w:before="0" w:after="0"/>
              <w:rPr>
                <w:noProof/>
              </w:rPr>
            </w:pPr>
            <w:r w:rsidRPr="00F66162">
              <w:rPr>
                <w:rFonts w:ascii="Aptos" w:hAnsi="Aptos"/>
                <w:noProof/>
              </w:rPr>
              <w:t>Zarządzanie centralnym rejestrem,</w:t>
            </w:r>
            <w:r w:rsidR="00825614" w:rsidRPr="00F66162">
              <w:rPr>
                <w:rFonts w:ascii="Aptos" w:hAnsi="Aptos"/>
                <w:noProof/>
              </w:rPr>
              <w:t xml:space="preserve"> w</w:t>
            </w:r>
            <w:r w:rsidR="00825614">
              <w:rPr>
                <w:rFonts w:ascii="Aptos" w:hAnsi="Aptos"/>
                <w:noProof/>
              </w:rPr>
              <w:t> </w:t>
            </w:r>
            <w:r w:rsidR="00825614" w:rsidRPr="00F66162">
              <w:rPr>
                <w:rFonts w:ascii="Aptos" w:hAnsi="Aptos"/>
                <w:noProof/>
              </w:rPr>
              <w:t>tym</w:t>
            </w:r>
            <w:r w:rsidRPr="00F66162">
              <w:rPr>
                <w:rFonts w:ascii="Aptos" w:hAnsi="Aptos"/>
                <w:noProof/>
              </w:rPr>
              <w:t xml:space="preserve"> rachunkowość (umarzanie certyfikatów,</w:t>
            </w:r>
            <w:r w:rsidR="00825614" w:rsidRPr="00F66162">
              <w:rPr>
                <w:rFonts w:ascii="Aptos" w:hAnsi="Aptos"/>
                <w:noProof/>
              </w:rPr>
              <w:t xml:space="preserve"> w</w:t>
            </w:r>
            <w:r w:rsidR="00825614">
              <w:rPr>
                <w:rFonts w:ascii="Aptos" w:hAnsi="Aptos"/>
                <w:noProof/>
              </w:rPr>
              <w:t> </w:t>
            </w:r>
            <w:r w:rsidR="00825614" w:rsidRPr="00F66162">
              <w:rPr>
                <w:rFonts w:ascii="Aptos" w:hAnsi="Aptos"/>
                <w:noProof/>
              </w:rPr>
              <w:t>tym</w:t>
            </w:r>
            <w:r w:rsidRPr="00F66162">
              <w:rPr>
                <w:rFonts w:ascii="Aptos" w:hAnsi="Aptos"/>
                <w:noProof/>
              </w:rPr>
              <w:t xml:space="preserve"> zasada 80 %, anulowanie)</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E6FE89D"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63BAA73" w14:textId="77777777" w:rsidR="139DF8FE" w:rsidRPr="00F66162" w:rsidRDefault="139DF8FE" w:rsidP="139DF8FE">
            <w:pPr>
              <w:spacing w:before="0" w:after="0"/>
              <w:rPr>
                <w:noProof/>
              </w:rPr>
            </w:pPr>
            <w:r w:rsidRPr="00F66162">
              <w:rPr>
                <w:rFonts w:ascii="Aptos" w:hAnsi="Aptos"/>
                <w:noProof/>
              </w:rPr>
              <w:t>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A06C855" w14:textId="77777777" w:rsidR="139DF8FE" w:rsidRPr="00F66162" w:rsidRDefault="139DF8FE" w:rsidP="139DF8FE">
            <w:pPr>
              <w:spacing w:before="0" w:after="0"/>
              <w:rPr>
                <w:noProof/>
              </w:rPr>
            </w:pPr>
            <w:r w:rsidRPr="00F66162">
              <w:rPr>
                <w:rFonts w:ascii="Aptos" w:hAnsi="Aptos"/>
                <w:noProof/>
              </w:rPr>
              <w:t>0,5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1403473" w14:textId="77777777" w:rsidR="139DF8FE" w:rsidRPr="00F66162" w:rsidRDefault="139DF8FE" w:rsidP="139DF8FE">
            <w:pPr>
              <w:spacing w:before="0" w:after="0"/>
              <w:rPr>
                <w:noProof/>
              </w:rPr>
            </w:pPr>
            <w:r w:rsidRPr="00F66162">
              <w:rPr>
                <w:rFonts w:ascii="Aptos" w:hAnsi="Aptos"/>
                <w:noProof/>
              </w:rPr>
              <w:t>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7291C3B" w14:textId="77777777" w:rsidR="139DF8FE" w:rsidRPr="00F66162" w:rsidRDefault="139DF8FE" w:rsidP="139DF8FE">
            <w:pPr>
              <w:spacing w:before="0" w:after="0"/>
              <w:rPr>
                <w:noProof/>
              </w:rPr>
            </w:pPr>
            <w:r w:rsidRPr="00F66162">
              <w:rPr>
                <w:rFonts w:ascii="Aptos" w:hAnsi="Aptos"/>
                <w:noProof/>
              </w:rPr>
              <w:t>5</w:t>
            </w:r>
          </w:p>
        </w:tc>
      </w:tr>
      <w:tr w:rsidR="139DF8FE" w:rsidRPr="00F66162" w14:paraId="2208E1AA"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7B3F4969" w14:textId="71DA2F91" w:rsidR="139DF8FE" w:rsidRPr="00F66162" w:rsidRDefault="139DF8FE" w:rsidP="139DF8FE">
            <w:pPr>
              <w:spacing w:before="0" w:after="0"/>
              <w:rPr>
                <w:noProof/>
              </w:rPr>
            </w:pPr>
            <w:r w:rsidRPr="00F66162">
              <w:rPr>
                <w:rFonts w:ascii="Aptos" w:hAnsi="Aptos"/>
                <w:noProof/>
              </w:rPr>
              <w:t>Koordynacja</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wym</w:t>
            </w:r>
            <w:r w:rsidRPr="00F66162">
              <w:rPr>
                <w:rFonts w:ascii="Aptos" w:hAnsi="Aptos"/>
                <w:noProof/>
              </w:rPr>
              <w:t>iana informacji między właściwymi organami</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org</w:t>
            </w:r>
            <w:r w:rsidRPr="00F66162">
              <w:rPr>
                <w:rFonts w:ascii="Aptos" w:hAnsi="Aptos"/>
                <w:noProof/>
              </w:rPr>
              <w:t>anami celnymi</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5F04970"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E3E371D" w14:textId="77777777" w:rsidR="139DF8FE" w:rsidRPr="00F66162" w:rsidRDefault="139DF8FE" w:rsidP="139DF8FE">
            <w:pPr>
              <w:spacing w:before="0" w:after="0"/>
              <w:rPr>
                <w:noProof/>
              </w:rPr>
            </w:pPr>
            <w:r w:rsidRPr="00F66162">
              <w:rPr>
                <w:rFonts w:ascii="Aptos" w:hAnsi="Aptos"/>
                <w:noProof/>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3D51CD1" w14:textId="77777777" w:rsidR="139DF8FE" w:rsidRPr="00F66162" w:rsidRDefault="139DF8FE" w:rsidP="139DF8FE">
            <w:pPr>
              <w:spacing w:before="0" w:after="0"/>
              <w:rPr>
                <w:noProof/>
              </w:rPr>
            </w:pPr>
            <w:r w:rsidRPr="00F66162">
              <w:rPr>
                <w:rFonts w:ascii="Aptos" w:hAnsi="Aptos"/>
                <w:noProof/>
              </w:rPr>
              <w:t>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1BF4A21" w14:textId="77777777" w:rsidR="139DF8FE" w:rsidRPr="00F66162" w:rsidRDefault="139DF8FE" w:rsidP="139DF8FE">
            <w:pPr>
              <w:spacing w:before="0" w:after="0"/>
              <w:rPr>
                <w:noProof/>
              </w:rPr>
            </w:pPr>
            <w:r w:rsidRPr="00F66162">
              <w:rPr>
                <w:rFonts w:ascii="Aptos" w:hAnsi="Aptos"/>
                <w:noProof/>
              </w:rPr>
              <w:t>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28BA369" w14:textId="77777777" w:rsidR="139DF8FE" w:rsidRPr="00F66162" w:rsidRDefault="139DF8FE" w:rsidP="139DF8FE">
            <w:pPr>
              <w:spacing w:before="0" w:after="0"/>
              <w:rPr>
                <w:noProof/>
              </w:rPr>
            </w:pPr>
            <w:r w:rsidRPr="00F66162">
              <w:rPr>
                <w:rFonts w:ascii="Aptos" w:hAnsi="Aptos"/>
                <w:noProof/>
              </w:rPr>
              <w:t>1</w:t>
            </w:r>
          </w:p>
        </w:tc>
      </w:tr>
      <w:tr w:rsidR="139DF8FE" w:rsidRPr="00F66162" w14:paraId="56EC7EEF"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49C60D86" w14:textId="0F5A32E2" w:rsidR="139DF8FE" w:rsidRPr="00F66162" w:rsidRDefault="139DF8FE" w:rsidP="139DF8FE">
            <w:pPr>
              <w:spacing w:before="0" w:after="0"/>
              <w:rPr>
                <w:noProof/>
              </w:rPr>
            </w:pPr>
            <w:r w:rsidRPr="00F66162">
              <w:rPr>
                <w:rFonts w:ascii="Aptos" w:hAnsi="Aptos"/>
                <w:noProof/>
              </w:rPr>
              <w:t>Weryfikacja</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kon</w:t>
            </w:r>
            <w:r w:rsidRPr="00F66162">
              <w:rPr>
                <w:rFonts w:ascii="Aptos" w:hAnsi="Aptos"/>
                <w:noProof/>
              </w:rPr>
              <w:t xml:space="preserve">trola nieprawidłowości </w:t>
            </w:r>
          </w:p>
          <w:p w14:paraId="4E01B48E" w14:textId="77777777" w:rsidR="139DF8FE" w:rsidRPr="00F66162" w:rsidRDefault="139DF8FE" w:rsidP="139DF8FE">
            <w:pPr>
              <w:spacing w:before="0" w:after="0"/>
              <w:rPr>
                <w:noProof/>
              </w:rPr>
            </w:pPr>
            <w:r w:rsidRPr="00F66162">
              <w:rPr>
                <w:rFonts w:ascii="Aptos" w:hAnsi="Aptos"/>
                <w:noProof/>
              </w:rPr>
              <w:t xml:space="preserve"> </w:t>
            </w:r>
          </w:p>
          <w:p w14:paraId="3278947D" w14:textId="6EA80668" w:rsidR="139DF8FE" w:rsidRPr="00F66162" w:rsidRDefault="139DF8FE" w:rsidP="139DF8FE">
            <w:pPr>
              <w:spacing w:before="0" w:after="0"/>
              <w:rPr>
                <w:noProof/>
              </w:rPr>
            </w:pPr>
            <w:r w:rsidRPr="00F66162">
              <w:rPr>
                <w:rFonts w:ascii="Aptos" w:hAnsi="Aptos"/>
                <w:noProof/>
              </w:rPr>
              <w:t>Kontrole oparte na analizie ryzyka, prowadzenie niezależnego rejestru transakcji</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inf</w:t>
            </w:r>
            <w:r w:rsidRPr="00F66162">
              <w:rPr>
                <w:rFonts w:ascii="Aptos" w:hAnsi="Aptos"/>
                <w:noProof/>
              </w:rPr>
              <w:t>ormowanie państw członkowskich</w:t>
            </w:r>
            <w:r w:rsidR="00825614" w:rsidRPr="00F66162">
              <w:rPr>
                <w:rFonts w:ascii="Aptos" w:hAnsi="Aptos"/>
                <w:noProof/>
              </w:rPr>
              <w:t xml:space="preserve"> o</w:t>
            </w:r>
            <w:r w:rsidR="00825614">
              <w:rPr>
                <w:rFonts w:ascii="Aptos" w:hAnsi="Aptos"/>
                <w:noProof/>
              </w:rPr>
              <w:t> </w:t>
            </w:r>
            <w:r w:rsidR="00825614" w:rsidRPr="00F66162">
              <w:rPr>
                <w:rFonts w:ascii="Aptos" w:hAnsi="Aptos"/>
                <w:noProof/>
              </w:rPr>
              <w:t>nie</w:t>
            </w:r>
            <w:r w:rsidRPr="00F66162">
              <w:rPr>
                <w:rFonts w:ascii="Aptos" w:hAnsi="Aptos"/>
                <w:noProof/>
              </w:rPr>
              <w:t>prawidłowościach</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6E53E46"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392EC7B" w14:textId="77777777" w:rsidR="139DF8FE" w:rsidRPr="00F66162" w:rsidRDefault="139DF8FE" w:rsidP="139DF8FE">
            <w:pPr>
              <w:spacing w:before="0" w:after="0"/>
              <w:rPr>
                <w:noProof/>
              </w:rPr>
            </w:pPr>
            <w:r w:rsidRPr="00F66162">
              <w:rPr>
                <w:rFonts w:ascii="Aptos" w:hAnsi="Aptos"/>
                <w:noProof/>
              </w:rPr>
              <w:t>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686F77D" w14:textId="77777777" w:rsidR="139DF8FE" w:rsidRPr="00F66162" w:rsidRDefault="139DF8FE" w:rsidP="139DF8FE">
            <w:pPr>
              <w:spacing w:before="0" w:after="0"/>
              <w:rPr>
                <w:noProof/>
              </w:rPr>
            </w:pPr>
            <w:r w:rsidRPr="00F66162">
              <w:rPr>
                <w:rFonts w:ascii="Aptos" w:hAnsi="Aptos"/>
                <w:noProof/>
              </w:rPr>
              <w:t>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2D130DB" w14:textId="77777777" w:rsidR="139DF8FE" w:rsidRPr="00F66162" w:rsidRDefault="139DF8FE" w:rsidP="139DF8FE">
            <w:pPr>
              <w:spacing w:before="0" w:after="0"/>
              <w:rPr>
                <w:noProof/>
              </w:rPr>
            </w:pPr>
            <w:r w:rsidRPr="00F66162">
              <w:rPr>
                <w:rFonts w:ascii="Aptos" w:hAnsi="Aptos"/>
                <w:noProof/>
              </w:rPr>
              <w:t>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E4C0F1C" w14:textId="77777777" w:rsidR="139DF8FE" w:rsidRPr="00F66162" w:rsidRDefault="139DF8FE" w:rsidP="139DF8FE">
            <w:pPr>
              <w:spacing w:before="0" w:after="0"/>
              <w:rPr>
                <w:noProof/>
              </w:rPr>
            </w:pPr>
            <w:r w:rsidRPr="00F66162">
              <w:rPr>
                <w:rFonts w:ascii="Aptos" w:hAnsi="Aptos"/>
                <w:noProof/>
              </w:rPr>
              <w:t>5</w:t>
            </w:r>
          </w:p>
        </w:tc>
      </w:tr>
      <w:tr w:rsidR="139DF8FE" w:rsidRPr="00F66162" w14:paraId="553AE8C3"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49CE87E4" w14:textId="1D5B63ED" w:rsidR="139DF8FE" w:rsidRPr="00F66162" w:rsidRDefault="139DF8FE" w:rsidP="139DF8FE">
            <w:pPr>
              <w:spacing w:before="0" w:after="0"/>
              <w:rPr>
                <w:noProof/>
              </w:rPr>
            </w:pPr>
            <w:r w:rsidRPr="00F66162">
              <w:rPr>
                <w:rFonts w:ascii="Aptos" w:hAnsi="Aptos"/>
                <w:noProof/>
              </w:rPr>
              <w:t>Nadzór nad deklaracjami</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rap</w:t>
            </w:r>
            <w:r w:rsidRPr="00F66162">
              <w:rPr>
                <w:rFonts w:ascii="Aptos" w:hAnsi="Aptos"/>
                <w:noProof/>
              </w:rPr>
              <w:t>ortami na temat wielkości emisji oraz ich przegląd:</w:t>
            </w:r>
          </w:p>
          <w:p w14:paraId="13401357" w14:textId="77777777" w:rsidR="139DF8FE" w:rsidRPr="00F66162" w:rsidRDefault="139DF8FE" w:rsidP="139DF8FE">
            <w:pPr>
              <w:spacing w:before="0" w:after="0"/>
              <w:rPr>
                <w:noProof/>
              </w:rPr>
            </w:pPr>
            <w:r w:rsidRPr="00F66162">
              <w:rPr>
                <w:rFonts w:ascii="Aptos" w:hAnsi="Aptos"/>
                <w:noProof/>
              </w:rPr>
              <w:t xml:space="preserve"> </w:t>
            </w:r>
          </w:p>
          <w:p w14:paraId="1C32BE75" w14:textId="77777777" w:rsidR="139DF8FE" w:rsidRPr="00F66162" w:rsidRDefault="139DF8FE" w:rsidP="00F605F1">
            <w:pPr>
              <w:pStyle w:val="Akapitzlist"/>
              <w:numPr>
                <w:ilvl w:val="0"/>
                <w:numId w:val="7"/>
              </w:numPr>
              <w:spacing w:before="0" w:after="0"/>
              <w:rPr>
                <w:rFonts w:ascii="Aptos" w:eastAsia="Aptos" w:hAnsi="Aptos" w:cs="Aptos"/>
                <w:noProof/>
                <w:szCs w:val="24"/>
              </w:rPr>
            </w:pPr>
            <w:r w:rsidRPr="00F66162">
              <w:rPr>
                <w:rFonts w:ascii="Aptos" w:hAnsi="Aptos"/>
                <w:noProof/>
              </w:rPr>
              <w:t>Nadzór nad automatycznym etapem sprawdzania deklaracji</w:t>
            </w:r>
          </w:p>
          <w:p w14:paraId="61C15DC7" w14:textId="77777777" w:rsidR="139DF8FE" w:rsidRPr="00F66162" w:rsidRDefault="139DF8FE" w:rsidP="139DF8FE">
            <w:pPr>
              <w:spacing w:before="0" w:after="0"/>
              <w:rPr>
                <w:noProof/>
              </w:rPr>
            </w:pPr>
            <w:r w:rsidRPr="00F66162">
              <w:rPr>
                <w:rFonts w:ascii="Aptos" w:hAnsi="Aptos"/>
                <w:noProof/>
              </w:rPr>
              <w:t xml:space="preserve"> </w:t>
            </w:r>
          </w:p>
          <w:p w14:paraId="52377BE0" w14:textId="77ACFE50" w:rsidR="139DF8FE" w:rsidRPr="00F66162" w:rsidRDefault="139DF8FE" w:rsidP="00F605F1">
            <w:pPr>
              <w:pStyle w:val="Akapitzlist"/>
              <w:numPr>
                <w:ilvl w:val="0"/>
                <w:numId w:val="7"/>
              </w:numPr>
              <w:spacing w:before="0" w:after="0"/>
              <w:rPr>
                <w:rFonts w:ascii="Aptos" w:eastAsia="Aptos" w:hAnsi="Aptos" w:cs="Aptos"/>
                <w:noProof/>
                <w:szCs w:val="24"/>
              </w:rPr>
            </w:pPr>
            <w:r w:rsidRPr="00F66162">
              <w:rPr>
                <w:rFonts w:ascii="Aptos" w:hAnsi="Aptos"/>
                <w:noProof/>
              </w:rPr>
              <w:t>Przegląd deklaracji (obliczenia emisji wbudowanych, obowiązki dotyczące certyfikatów, odliczanie opłat emisyjnych uiszczonych za granicą</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ost</w:t>
            </w:r>
            <w:r w:rsidRPr="00F66162">
              <w:rPr>
                <w:rFonts w:ascii="Aptos" w:hAnsi="Aptos"/>
                <w:noProof/>
              </w:rPr>
              <w:t>ateczna kwota)</w:t>
            </w:r>
          </w:p>
          <w:p w14:paraId="35981F63" w14:textId="77777777" w:rsidR="139DF8FE" w:rsidRPr="00F66162" w:rsidRDefault="139DF8FE" w:rsidP="139DF8FE">
            <w:pPr>
              <w:spacing w:before="0" w:after="0"/>
              <w:ind w:left="720"/>
              <w:rPr>
                <w:noProof/>
              </w:rPr>
            </w:pPr>
            <w:r w:rsidRPr="00F66162">
              <w:rPr>
                <w:rFonts w:ascii="Aptos" w:hAnsi="Aptos"/>
                <w:noProof/>
              </w:rPr>
              <w:t xml:space="preserve"> </w:t>
            </w:r>
          </w:p>
          <w:p w14:paraId="27F8D8BB" w14:textId="77777777" w:rsidR="139DF8FE" w:rsidRPr="00F66162" w:rsidRDefault="139DF8FE" w:rsidP="139DF8FE">
            <w:pPr>
              <w:spacing w:before="0" w:after="0"/>
              <w:rPr>
                <w:noProof/>
              </w:rPr>
            </w:pPr>
            <w:r w:rsidRPr="00F66162">
              <w:rPr>
                <w:rFonts w:ascii="Aptos" w:hAnsi="Aptos"/>
                <w:noProof/>
              </w:rPr>
              <w:t>+ Ocena nieprzekazanych certyfikatów CBAM</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09F4784"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98754AA" w14:textId="77777777" w:rsidR="139DF8FE" w:rsidRPr="00F66162" w:rsidRDefault="139DF8FE" w:rsidP="139DF8FE">
            <w:pPr>
              <w:spacing w:before="0" w:after="0"/>
              <w:rPr>
                <w:noProof/>
              </w:rPr>
            </w:pPr>
            <w:r w:rsidRPr="00F66162">
              <w:rPr>
                <w:rFonts w:ascii="Aptos" w:hAnsi="Aptos"/>
                <w:noProof/>
              </w:rPr>
              <w:t>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7C7E30F" w14:textId="77777777" w:rsidR="139DF8FE" w:rsidRPr="00F66162" w:rsidRDefault="139DF8FE" w:rsidP="139DF8FE">
            <w:pPr>
              <w:spacing w:before="0" w:after="0"/>
              <w:rPr>
                <w:noProof/>
              </w:rPr>
            </w:pPr>
            <w:r w:rsidRPr="00F66162">
              <w:rPr>
                <w:rFonts w:ascii="Aptos" w:hAnsi="Aptos"/>
                <w:noProof/>
              </w:rPr>
              <w:t>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A5EA677" w14:textId="77777777" w:rsidR="139DF8FE" w:rsidRPr="00F66162" w:rsidRDefault="139DF8FE" w:rsidP="139DF8FE">
            <w:pPr>
              <w:spacing w:before="0" w:after="0"/>
              <w:rPr>
                <w:noProof/>
              </w:rPr>
            </w:pPr>
            <w:r w:rsidRPr="00F66162">
              <w:rPr>
                <w:rFonts w:ascii="Aptos" w:hAnsi="Aptos"/>
                <w:noProof/>
              </w:rPr>
              <w:t>8</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C251247" w14:textId="77777777" w:rsidR="139DF8FE" w:rsidRPr="00F66162" w:rsidRDefault="139DF8FE" w:rsidP="139DF8FE">
            <w:pPr>
              <w:spacing w:before="0" w:after="0"/>
              <w:rPr>
                <w:noProof/>
              </w:rPr>
            </w:pPr>
            <w:r w:rsidRPr="00F66162">
              <w:rPr>
                <w:rFonts w:ascii="Aptos" w:hAnsi="Aptos"/>
                <w:noProof/>
              </w:rPr>
              <w:t>25</w:t>
            </w:r>
          </w:p>
        </w:tc>
      </w:tr>
      <w:tr w:rsidR="139DF8FE" w:rsidRPr="00F66162" w14:paraId="04E87F75"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500058CE" w14:textId="77777777" w:rsidR="139DF8FE" w:rsidRPr="00F66162" w:rsidRDefault="139DF8FE" w:rsidP="139DF8FE">
            <w:pPr>
              <w:spacing w:before="0" w:after="0"/>
              <w:rPr>
                <w:noProof/>
              </w:rPr>
            </w:pPr>
            <w:r w:rsidRPr="00F66162">
              <w:rPr>
                <w:rFonts w:ascii="Aptos" w:hAnsi="Aptos"/>
                <w:noProof/>
              </w:rPr>
              <w:t xml:space="preserve">3. Przegląd raportów na </w:t>
            </w:r>
            <w:r w:rsidRPr="00F66162">
              <w:rPr>
                <w:rFonts w:ascii="Aptos" w:hAnsi="Aptos"/>
                <w:noProof/>
              </w:rPr>
              <w:lastRenderedPageBreak/>
              <w:t>temat wielkości emisji</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85BBA1E" w14:textId="77777777" w:rsidR="139DF8FE" w:rsidRPr="00F66162" w:rsidRDefault="139DF8FE" w:rsidP="139DF8FE">
            <w:pPr>
              <w:spacing w:before="0" w:after="0"/>
              <w:rPr>
                <w:noProof/>
              </w:rPr>
            </w:pPr>
            <w:r w:rsidRPr="00F66162">
              <w:rPr>
                <w:rFonts w:ascii="Aptos" w:hAnsi="Aptos"/>
                <w:noProof/>
              </w:rPr>
              <w:lastRenderedPageBreak/>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1FFDE3A" w14:textId="77777777" w:rsidR="139DF8FE" w:rsidRPr="00F66162" w:rsidRDefault="139DF8FE" w:rsidP="139DF8FE">
            <w:pPr>
              <w:spacing w:before="0" w:after="0"/>
              <w:rPr>
                <w:noProof/>
              </w:rPr>
            </w:pPr>
            <w:r w:rsidRPr="00F66162">
              <w:rPr>
                <w:rFonts w:ascii="Aptos" w:hAnsi="Aptos"/>
                <w:noProof/>
              </w:rPr>
              <w:t>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FFD1BEE" w14:textId="77777777" w:rsidR="139DF8FE" w:rsidRPr="00F66162" w:rsidRDefault="139DF8FE" w:rsidP="139DF8FE">
            <w:pPr>
              <w:spacing w:before="0" w:after="0"/>
              <w:rPr>
                <w:noProof/>
              </w:rPr>
            </w:pPr>
            <w:r w:rsidRPr="00F66162">
              <w:rPr>
                <w:rFonts w:ascii="Aptos" w:hAnsi="Aptos"/>
                <w:noProof/>
              </w:rPr>
              <w:t>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C255086" w14:textId="77777777" w:rsidR="139DF8FE" w:rsidRPr="00F66162" w:rsidRDefault="139DF8FE" w:rsidP="139DF8FE">
            <w:pPr>
              <w:spacing w:before="0" w:after="0"/>
              <w:rPr>
                <w:noProof/>
              </w:rPr>
            </w:pPr>
            <w:r w:rsidRPr="00F66162">
              <w:rPr>
                <w:rFonts w:ascii="Aptos" w:hAnsi="Aptos"/>
                <w:noProof/>
              </w:rPr>
              <w:t>10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E8F276D" w14:textId="77777777" w:rsidR="139DF8FE" w:rsidRPr="00F66162" w:rsidRDefault="139DF8FE" w:rsidP="139DF8FE">
            <w:pPr>
              <w:spacing w:before="0" w:after="0"/>
              <w:rPr>
                <w:noProof/>
              </w:rPr>
            </w:pPr>
            <w:r w:rsidRPr="00F66162">
              <w:rPr>
                <w:rFonts w:ascii="Aptos" w:hAnsi="Aptos"/>
                <w:noProof/>
              </w:rPr>
              <w:t>10</w:t>
            </w:r>
          </w:p>
        </w:tc>
      </w:tr>
      <w:tr w:rsidR="139DF8FE" w:rsidRPr="00F66162" w14:paraId="703F78A1"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666E4C8C" w14:textId="77777777" w:rsidR="139DF8FE" w:rsidRPr="00F66162" w:rsidRDefault="139DF8FE" w:rsidP="139DF8FE">
            <w:pPr>
              <w:spacing w:before="0" w:after="0"/>
              <w:rPr>
                <w:noProof/>
              </w:rPr>
            </w:pPr>
            <w:r w:rsidRPr="00F66162">
              <w:rPr>
                <w:rFonts w:ascii="Aptos" w:hAnsi="Aptos"/>
                <w:noProof/>
              </w:rPr>
              <w:t>Określenie opartych na analizie ryzyka czynników przeglądu deklaracji</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07B74AC"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B37ADD9" w14:textId="77777777" w:rsidR="139DF8FE" w:rsidRPr="00F66162" w:rsidRDefault="139DF8FE" w:rsidP="139DF8FE">
            <w:pPr>
              <w:spacing w:before="0" w:after="0"/>
              <w:rPr>
                <w:noProof/>
              </w:rPr>
            </w:pPr>
            <w:r w:rsidRPr="00F66162">
              <w:rPr>
                <w:rFonts w:ascii="Aptos" w:hAnsi="Aptos"/>
                <w:noProof/>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2151C9F" w14:textId="77777777" w:rsidR="139DF8FE" w:rsidRPr="00F66162" w:rsidRDefault="139DF8FE" w:rsidP="139DF8FE">
            <w:pPr>
              <w:spacing w:before="0" w:after="0"/>
              <w:rPr>
                <w:noProof/>
              </w:rPr>
            </w:pPr>
            <w:r w:rsidRPr="00F66162">
              <w:rPr>
                <w:rFonts w:ascii="Aptos" w:hAnsi="Aptos"/>
                <w:noProof/>
              </w:rPr>
              <w:t>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F7E1D8" w14:textId="77777777" w:rsidR="139DF8FE" w:rsidRPr="00F66162" w:rsidRDefault="139DF8FE" w:rsidP="139DF8FE">
            <w:pPr>
              <w:spacing w:before="0" w:after="0"/>
              <w:rPr>
                <w:noProof/>
              </w:rPr>
            </w:pPr>
            <w:r w:rsidRPr="00F66162">
              <w:rPr>
                <w:rFonts w:ascii="Aptos" w:hAnsi="Aptos"/>
                <w:noProof/>
              </w:rPr>
              <w:t>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69FEC77" w14:textId="77777777" w:rsidR="139DF8FE" w:rsidRPr="00F66162" w:rsidRDefault="139DF8FE" w:rsidP="139DF8FE">
            <w:pPr>
              <w:spacing w:before="0" w:after="0"/>
              <w:rPr>
                <w:noProof/>
              </w:rPr>
            </w:pPr>
            <w:r w:rsidRPr="00F66162">
              <w:rPr>
                <w:rFonts w:ascii="Aptos" w:hAnsi="Aptos"/>
                <w:noProof/>
              </w:rPr>
              <w:t>1</w:t>
            </w:r>
          </w:p>
        </w:tc>
      </w:tr>
      <w:tr w:rsidR="139DF8FE" w:rsidRPr="00F66162" w14:paraId="5B891FA1"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4E03ABCD" w14:textId="77777777" w:rsidR="139DF8FE" w:rsidRPr="00F66162" w:rsidRDefault="139DF8FE" w:rsidP="139DF8FE">
            <w:pPr>
              <w:spacing w:before="0" w:after="0"/>
              <w:rPr>
                <w:noProof/>
              </w:rPr>
            </w:pPr>
            <w:r w:rsidRPr="00F66162">
              <w:rPr>
                <w:rFonts w:ascii="Aptos" w:hAnsi="Aptos"/>
                <w:noProof/>
              </w:rPr>
              <w:t>Kary</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DE2C64A"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FDDF785" w14:textId="77777777" w:rsidR="139DF8FE" w:rsidRPr="00F66162" w:rsidRDefault="139DF8FE" w:rsidP="139DF8FE">
            <w:pPr>
              <w:spacing w:before="0" w:after="0"/>
              <w:rPr>
                <w:noProof/>
              </w:rPr>
            </w:pPr>
            <w:r w:rsidRPr="00F66162">
              <w:rPr>
                <w:rFonts w:ascii="Aptos" w:hAnsi="Aptos"/>
                <w:noProof/>
              </w:rPr>
              <w:t>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16DA63A" w14:textId="77777777" w:rsidR="139DF8FE" w:rsidRPr="00F66162" w:rsidRDefault="139DF8FE" w:rsidP="139DF8FE">
            <w:pPr>
              <w:spacing w:before="0" w:after="0"/>
              <w:rPr>
                <w:noProof/>
              </w:rPr>
            </w:pPr>
            <w:r w:rsidRPr="00F66162">
              <w:rPr>
                <w:rFonts w:ascii="Aptos" w:hAnsi="Aptos"/>
                <w:noProof/>
              </w:rPr>
              <w:t>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68EAAC0" w14:textId="77777777" w:rsidR="139DF8FE" w:rsidRPr="00F66162" w:rsidRDefault="139DF8FE" w:rsidP="139DF8FE">
            <w:pPr>
              <w:spacing w:before="0" w:after="0"/>
              <w:rPr>
                <w:noProof/>
              </w:rPr>
            </w:pPr>
            <w:r w:rsidRPr="00F66162">
              <w:rPr>
                <w:rFonts w:ascii="Aptos" w:hAnsi="Aptos"/>
                <w:noProof/>
              </w:rPr>
              <w:t>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A3983FC" w14:textId="77777777" w:rsidR="139DF8FE" w:rsidRPr="00F66162" w:rsidRDefault="139DF8FE" w:rsidP="139DF8FE">
            <w:pPr>
              <w:spacing w:before="0" w:after="0"/>
              <w:rPr>
                <w:noProof/>
              </w:rPr>
            </w:pPr>
            <w:r w:rsidRPr="00F66162">
              <w:rPr>
                <w:rFonts w:ascii="Aptos" w:hAnsi="Aptos"/>
                <w:noProof/>
              </w:rPr>
              <w:t>2</w:t>
            </w:r>
          </w:p>
        </w:tc>
      </w:tr>
      <w:tr w:rsidR="139DF8FE" w:rsidRPr="00F66162" w14:paraId="07E5EAD5"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368F4F76" w14:textId="6AC39693" w:rsidR="139DF8FE" w:rsidRPr="00F66162" w:rsidRDefault="139DF8FE" w:rsidP="139DF8FE">
            <w:pPr>
              <w:spacing w:before="0" w:after="0"/>
              <w:rPr>
                <w:noProof/>
              </w:rPr>
            </w:pPr>
            <w:r w:rsidRPr="00F66162">
              <w:rPr>
                <w:rFonts w:ascii="Aptos" w:hAnsi="Aptos"/>
                <w:noProof/>
              </w:rPr>
              <w:t>Nadzór nad zewnętrzną platformą zakupu</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spr</w:t>
            </w:r>
            <w:r w:rsidRPr="00F66162">
              <w:rPr>
                <w:rFonts w:ascii="Aptos" w:hAnsi="Aptos"/>
                <w:noProof/>
              </w:rPr>
              <w:t>zedaży certyfikatów CBAM, jej monitorowanie</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zar</w:t>
            </w:r>
            <w:r w:rsidRPr="00F66162">
              <w:rPr>
                <w:rFonts w:ascii="Aptos" w:hAnsi="Aptos"/>
                <w:noProof/>
              </w:rPr>
              <w:t>ządzanie nią oraz obliczanie cen certyfikatów CBAM</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2E831E4"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0CED15F" w14:textId="77777777" w:rsidR="139DF8FE" w:rsidRPr="00F66162" w:rsidRDefault="139DF8FE" w:rsidP="139DF8FE">
            <w:pPr>
              <w:spacing w:before="0" w:after="0"/>
              <w:rPr>
                <w:noProof/>
              </w:rPr>
            </w:pPr>
            <w:r w:rsidRPr="00F66162">
              <w:rPr>
                <w:rFonts w:ascii="Aptos" w:hAnsi="Aptos"/>
                <w:noProof/>
              </w:rPr>
              <w:t>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942DF4F" w14:textId="77777777" w:rsidR="139DF8FE" w:rsidRPr="00F66162" w:rsidRDefault="139DF8FE" w:rsidP="139DF8FE">
            <w:pPr>
              <w:spacing w:before="0" w:after="0"/>
              <w:rPr>
                <w:noProof/>
              </w:rPr>
            </w:pPr>
            <w:r w:rsidRPr="00F66162">
              <w:rPr>
                <w:rFonts w:ascii="Aptos" w:hAnsi="Aptos"/>
                <w:noProof/>
              </w:rPr>
              <w:t>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57DC393" w14:textId="77777777" w:rsidR="139DF8FE" w:rsidRPr="00F66162" w:rsidRDefault="139DF8FE" w:rsidP="139DF8FE">
            <w:pPr>
              <w:spacing w:before="0" w:after="0"/>
              <w:rPr>
                <w:noProof/>
              </w:rPr>
            </w:pPr>
            <w:r w:rsidRPr="00F66162">
              <w:rPr>
                <w:rFonts w:ascii="Aptos" w:hAnsi="Aptos"/>
                <w:noProof/>
              </w:rPr>
              <w:t>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C4AB22" w14:textId="77777777" w:rsidR="139DF8FE" w:rsidRPr="00F66162" w:rsidRDefault="139DF8FE" w:rsidP="139DF8FE">
            <w:pPr>
              <w:spacing w:before="0" w:after="0"/>
              <w:rPr>
                <w:noProof/>
              </w:rPr>
            </w:pPr>
            <w:r w:rsidRPr="00F66162">
              <w:rPr>
                <w:rFonts w:ascii="Aptos" w:hAnsi="Aptos"/>
                <w:noProof/>
              </w:rPr>
              <w:t>2</w:t>
            </w:r>
          </w:p>
        </w:tc>
      </w:tr>
      <w:tr w:rsidR="139DF8FE" w:rsidRPr="00F66162" w14:paraId="5143DCDF"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1A6E98B1" w14:textId="0E8FC1FD" w:rsidR="139DF8FE" w:rsidRPr="00F66162" w:rsidRDefault="139DF8FE" w:rsidP="139DF8FE">
            <w:pPr>
              <w:spacing w:before="0" w:after="0"/>
              <w:rPr>
                <w:noProof/>
              </w:rPr>
            </w:pPr>
            <w:r w:rsidRPr="00F66162">
              <w:rPr>
                <w:rFonts w:ascii="Aptos" w:hAnsi="Aptos"/>
                <w:noProof/>
              </w:rPr>
              <w:t>Przeglądy</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obo</w:t>
            </w:r>
            <w:r w:rsidRPr="00F66162">
              <w:rPr>
                <w:rFonts w:ascii="Aptos" w:hAnsi="Aptos"/>
                <w:noProof/>
              </w:rPr>
              <w:t>wiązki sprawozdawcze na koniec okresu przejściowego,</w:t>
            </w:r>
            <w:r w:rsidR="00825614" w:rsidRPr="00F66162">
              <w:rPr>
                <w:rFonts w:ascii="Aptos" w:hAnsi="Aptos"/>
                <w:noProof/>
              </w:rPr>
              <w:t xml:space="preserve"> w</w:t>
            </w:r>
            <w:r w:rsidR="00825614">
              <w:rPr>
                <w:rFonts w:ascii="Aptos" w:hAnsi="Aptos"/>
                <w:noProof/>
              </w:rPr>
              <w:t> </w:t>
            </w:r>
            <w:r w:rsidR="00825614" w:rsidRPr="00F66162">
              <w:rPr>
                <w:rFonts w:ascii="Aptos" w:hAnsi="Aptos"/>
                <w:noProof/>
              </w:rPr>
              <w:t>tym</w:t>
            </w:r>
            <w:r w:rsidRPr="00F66162">
              <w:rPr>
                <w:rFonts w:ascii="Aptos" w:hAnsi="Aptos"/>
                <w:noProof/>
              </w:rPr>
              <w:t xml:space="preserve"> ocena sprawozdań</w:t>
            </w:r>
            <w:r w:rsidR="00825614" w:rsidRPr="00F66162">
              <w:rPr>
                <w:rFonts w:ascii="Aptos" w:hAnsi="Aptos"/>
                <w:noProof/>
              </w:rPr>
              <w:t xml:space="preserve"> z</w:t>
            </w:r>
            <w:r w:rsidR="00825614">
              <w:rPr>
                <w:rFonts w:ascii="Aptos" w:hAnsi="Aptos"/>
                <w:noProof/>
              </w:rPr>
              <w:t> </w:t>
            </w:r>
            <w:r w:rsidR="00825614" w:rsidRPr="00F66162">
              <w:rPr>
                <w:rFonts w:ascii="Aptos" w:hAnsi="Aptos"/>
                <w:noProof/>
              </w:rPr>
              <w:t>okr</w:t>
            </w:r>
            <w:r w:rsidRPr="00F66162">
              <w:rPr>
                <w:rFonts w:ascii="Aptos" w:hAnsi="Aptos"/>
                <w:noProof/>
              </w:rPr>
              <w:t>esu przejściowego</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FE47154" w14:textId="77777777" w:rsidR="139DF8FE" w:rsidRPr="00F66162" w:rsidRDefault="139DF8FE" w:rsidP="139DF8FE">
            <w:pPr>
              <w:spacing w:before="0" w:after="0"/>
              <w:rPr>
                <w:noProof/>
              </w:rPr>
            </w:pPr>
            <w:r w:rsidRPr="00F66162">
              <w:rPr>
                <w:rFonts w:ascii="Aptos" w:hAnsi="Aptos"/>
                <w:noProof/>
              </w:rPr>
              <w:t>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9DC71BE" w14:textId="77777777" w:rsidR="139DF8FE" w:rsidRPr="00F66162" w:rsidRDefault="139DF8FE" w:rsidP="139DF8FE">
            <w:pPr>
              <w:spacing w:before="0" w:after="0"/>
              <w:rPr>
                <w:noProof/>
              </w:rPr>
            </w:pPr>
            <w:r w:rsidRPr="00F66162">
              <w:rPr>
                <w:rFonts w:ascii="Aptos" w:hAnsi="Aptos"/>
                <w:noProof/>
              </w:rPr>
              <w:t>7</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90451C7" w14:textId="77777777" w:rsidR="139DF8FE" w:rsidRPr="00F66162" w:rsidRDefault="139DF8FE" w:rsidP="139DF8FE">
            <w:pPr>
              <w:spacing w:before="0" w:after="0"/>
              <w:rPr>
                <w:noProof/>
              </w:rPr>
            </w:pPr>
            <w:r w:rsidRPr="00F66162">
              <w:rPr>
                <w:rFonts w:ascii="Aptos" w:hAnsi="Aptos"/>
                <w:noProof/>
              </w:rPr>
              <w:t>13,5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5C20B44" w14:textId="77777777" w:rsidR="139DF8FE" w:rsidRPr="00F66162" w:rsidRDefault="139DF8FE" w:rsidP="139DF8FE">
            <w:pPr>
              <w:spacing w:before="0" w:after="0"/>
              <w:rPr>
                <w:noProof/>
              </w:rPr>
            </w:pPr>
            <w:r w:rsidRPr="00F66162">
              <w:rPr>
                <w:rFonts w:ascii="Aptos" w:hAnsi="Aptos"/>
                <w:noProof/>
              </w:rPr>
              <w:t>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03736F3" w14:textId="77777777" w:rsidR="139DF8FE" w:rsidRPr="00F66162" w:rsidRDefault="139DF8FE" w:rsidP="139DF8FE">
            <w:pPr>
              <w:spacing w:before="0" w:after="0"/>
              <w:rPr>
                <w:noProof/>
              </w:rPr>
            </w:pPr>
            <w:r w:rsidRPr="00F66162">
              <w:rPr>
                <w:rFonts w:ascii="Aptos" w:hAnsi="Aptos"/>
                <w:noProof/>
              </w:rPr>
              <w:t>0</w:t>
            </w:r>
          </w:p>
        </w:tc>
      </w:tr>
      <w:tr w:rsidR="139DF8FE" w:rsidRPr="00F66162" w14:paraId="4DFFB353"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337D33A0" w14:textId="77777777" w:rsidR="139DF8FE" w:rsidRPr="00F66162" w:rsidRDefault="139DF8FE" w:rsidP="139DF8FE">
            <w:pPr>
              <w:spacing w:before="0" w:after="0"/>
              <w:rPr>
                <w:noProof/>
              </w:rPr>
            </w:pPr>
            <w:r w:rsidRPr="00F66162">
              <w:rPr>
                <w:rFonts w:ascii="Aptos" w:hAnsi="Aptos"/>
                <w:noProof/>
              </w:rPr>
              <w:t>Sporządzanie sprawozdań</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5324815" w14:textId="77777777" w:rsidR="139DF8FE" w:rsidRPr="00F66162" w:rsidRDefault="139DF8FE" w:rsidP="139DF8FE">
            <w:pPr>
              <w:spacing w:before="0" w:after="0"/>
              <w:rPr>
                <w:noProof/>
              </w:rPr>
            </w:pPr>
            <w:r w:rsidRPr="00F66162">
              <w:rPr>
                <w:rFonts w:ascii="Aptos" w:hAnsi="Aptos"/>
                <w:noProof/>
              </w:rPr>
              <w:t>3</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50427FE" w14:textId="77777777" w:rsidR="139DF8FE" w:rsidRPr="00F66162" w:rsidRDefault="139DF8FE" w:rsidP="139DF8FE">
            <w:pPr>
              <w:spacing w:before="0" w:after="0"/>
              <w:rPr>
                <w:noProof/>
              </w:rPr>
            </w:pPr>
            <w:r w:rsidRPr="00F66162">
              <w:rPr>
                <w:rFonts w:ascii="Aptos" w:hAnsi="Aptos"/>
                <w:noProof/>
              </w:rPr>
              <w:t>3</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B7F175D" w14:textId="77777777" w:rsidR="139DF8FE" w:rsidRPr="00F66162" w:rsidRDefault="139DF8FE" w:rsidP="139DF8FE">
            <w:pPr>
              <w:spacing w:before="0" w:after="0"/>
              <w:rPr>
                <w:noProof/>
              </w:rPr>
            </w:pPr>
            <w:r w:rsidRPr="00F66162">
              <w:rPr>
                <w:rFonts w:ascii="Aptos" w:hAnsi="Aptos"/>
                <w:noProof/>
              </w:rPr>
              <w:t>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5B00753" w14:textId="77777777" w:rsidR="139DF8FE" w:rsidRPr="00F66162" w:rsidRDefault="139DF8FE" w:rsidP="139DF8FE">
            <w:pPr>
              <w:spacing w:before="0" w:after="0"/>
              <w:rPr>
                <w:noProof/>
              </w:rPr>
            </w:pPr>
            <w:r w:rsidRPr="00F66162">
              <w:rPr>
                <w:rFonts w:ascii="Aptos" w:hAnsi="Aptos"/>
                <w:noProof/>
              </w:rPr>
              <w:t>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D15F25C" w14:textId="77777777" w:rsidR="139DF8FE" w:rsidRPr="00F66162" w:rsidRDefault="139DF8FE" w:rsidP="139DF8FE">
            <w:pPr>
              <w:spacing w:before="0" w:after="0"/>
              <w:rPr>
                <w:noProof/>
              </w:rPr>
            </w:pPr>
            <w:r w:rsidRPr="00F66162">
              <w:rPr>
                <w:rFonts w:ascii="Aptos" w:hAnsi="Aptos"/>
                <w:noProof/>
              </w:rPr>
              <w:t>3</w:t>
            </w:r>
          </w:p>
        </w:tc>
      </w:tr>
      <w:tr w:rsidR="139DF8FE" w:rsidRPr="00F66162" w14:paraId="672E5624"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658F5363" w14:textId="5EE77D3C" w:rsidR="139DF8FE" w:rsidRPr="00F66162" w:rsidRDefault="139DF8FE" w:rsidP="139DF8FE">
            <w:pPr>
              <w:spacing w:before="0" w:after="0"/>
              <w:rPr>
                <w:noProof/>
              </w:rPr>
            </w:pPr>
            <w:r w:rsidRPr="00F66162">
              <w:rPr>
                <w:rFonts w:ascii="Aptos" w:hAnsi="Aptos"/>
                <w:noProof/>
              </w:rPr>
              <w:t>Reprezentacja</w:t>
            </w:r>
            <w:r w:rsidR="00825614" w:rsidRPr="00F66162">
              <w:rPr>
                <w:rFonts w:ascii="Aptos" w:hAnsi="Aptos"/>
                <w:noProof/>
              </w:rPr>
              <w:t xml:space="preserve"> w</w:t>
            </w:r>
            <w:r w:rsidR="00825614">
              <w:rPr>
                <w:rFonts w:ascii="Aptos" w:hAnsi="Aptos"/>
                <w:noProof/>
              </w:rPr>
              <w:t> </w:t>
            </w:r>
            <w:r w:rsidR="00825614" w:rsidRPr="00F66162">
              <w:rPr>
                <w:rFonts w:ascii="Aptos" w:hAnsi="Aptos"/>
                <w:noProof/>
              </w:rPr>
              <w:t>spo</w:t>
            </w:r>
            <w:r w:rsidRPr="00F66162">
              <w:rPr>
                <w:rFonts w:ascii="Aptos" w:hAnsi="Aptos"/>
                <w:noProof/>
              </w:rPr>
              <w:t>rach sądowych</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odz</w:t>
            </w:r>
            <w:r w:rsidRPr="00F66162">
              <w:rPr>
                <w:rFonts w:ascii="Aptos" w:hAnsi="Aptos"/>
                <w:noProof/>
              </w:rPr>
              <w:t xml:space="preserve">yskiwanie należności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67EEDCF" w14:textId="77777777" w:rsidR="139DF8FE" w:rsidRPr="00F66162" w:rsidRDefault="139DF8FE" w:rsidP="139DF8FE">
            <w:pPr>
              <w:spacing w:before="0" w:after="0"/>
              <w:rPr>
                <w:noProof/>
              </w:rPr>
            </w:pPr>
            <w:r w:rsidRPr="00F66162">
              <w:rPr>
                <w:rFonts w:ascii="Aptos" w:hAnsi="Aptos"/>
                <w:noProof/>
              </w:rPr>
              <w:t>3</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E75E6CF" w14:textId="77777777" w:rsidR="139DF8FE" w:rsidRPr="00F66162" w:rsidRDefault="139DF8FE" w:rsidP="139DF8FE">
            <w:pPr>
              <w:spacing w:before="0" w:after="0"/>
              <w:rPr>
                <w:noProof/>
              </w:rPr>
            </w:pPr>
            <w:r w:rsidRPr="00F66162">
              <w:rPr>
                <w:rFonts w:ascii="Aptos" w:hAnsi="Aptos"/>
                <w:noProof/>
              </w:rPr>
              <w:t>3</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C24470C" w14:textId="77777777" w:rsidR="139DF8FE" w:rsidRPr="00F66162" w:rsidRDefault="139DF8FE" w:rsidP="139DF8FE">
            <w:pPr>
              <w:spacing w:before="0" w:after="0"/>
              <w:rPr>
                <w:noProof/>
              </w:rPr>
            </w:pPr>
            <w:r w:rsidRPr="00F66162">
              <w:rPr>
                <w:rFonts w:ascii="Aptos" w:hAnsi="Aptos"/>
                <w:noProof/>
              </w:rPr>
              <w:t>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6C68BDF" w14:textId="77777777" w:rsidR="139DF8FE" w:rsidRPr="00F66162" w:rsidRDefault="139DF8FE" w:rsidP="139DF8FE">
            <w:pPr>
              <w:spacing w:before="0" w:after="0"/>
              <w:rPr>
                <w:noProof/>
              </w:rPr>
            </w:pPr>
            <w:r w:rsidRPr="00F66162">
              <w:rPr>
                <w:rFonts w:ascii="Aptos" w:hAnsi="Aptos"/>
                <w:noProof/>
              </w:rPr>
              <w:t>6</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9F0D529" w14:textId="77777777" w:rsidR="139DF8FE" w:rsidRPr="00F66162" w:rsidRDefault="139DF8FE" w:rsidP="139DF8FE">
            <w:pPr>
              <w:spacing w:before="0" w:after="0"/>
              <w:rPr>
                <w:noProof/>
              </w:rPr>
            </w:pPr>
            <w:r w:rsidRPr="00F66162">
              <w:rPr>
                <w:rFonts w:ascii="Aptos" w:hAnsi="Aptos"/>
                <w:noProof/>
              </w:rPr>
              <w:t>8</w:t>
            </w:r>
          </w:p>
        </w:tc>
      </w:tr>
      <w:tr w:rsidR="139DF8FE" w:rsidRPr="00F66162" w14:paraId="19136D31"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77AB9185" w14:textId="29DCF0A6" w:rsidR="139DF8FE" w:rsidRPr="00F66162" w:rsidRDefault="139DF8FE" w:rsidP="139DF8FE">
            <w:pPr>
              <w:spacing w:before="0" w:after="0"/>
              <w:rPr>
                <w:noProof/>
              </w:rPr>
            </w:pPr>
            <w:r w:rsidRPr="00F66162">
              <w:rPr>
                <w:rFonts w:ascii="Aptos" w:hAnsi="Aptos"/>
                <w:noProof/>
              </w:rPr>
              <w:t>Nadzór związany</w:t>
            </w:r>
            <w:r w:rsidR="00825614" w:rsidRPr="00F66162">
              <w:rPr>
                <w:rFonts w:ascii="Aptos" w:hAnsi="Aptos"/>
                <w:noProof/>
              </w:rPr>
              <w:t xml:space="preserve"> z</w:t>
            </w:r>
            <w:r w:rsidR="00825614">
              <w:rPr>
                <w:rFonts w:ascii="Aptos" w:hAnsi="Aptos"/>
                <w:noProof/>
              </w:rPr>
              <w:t> </w:t>
            </w:r>
            <w:r w:rsidR="00825614" w:rsidRPr="00F66162">
              <w:rPr>
                <w:rFonts w:ascii="Aptos" w:hAnsi="Aptos"/>
                <w:noProof/>
              </w:rPr>
              <w:t>odp</w:t>
            </w:r>
            <w:r w:rsidRPr="00F66162">
              <w:rPr>
                <w:rFonts w:ascii="Aptos" w:hAnsi="Aptos"/>
                <w:noProof/>
              </w:rPr>
              <w:t>owiedzialnością finansową</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FA917B" w14:textId="77777777" w:rsidR="139DF8FE" w:rsidRPr="00F66162" w:rsidRDefault="139DF8FE" w:rsidP="139DF8FE">
            <w:pPr>
              <w:rPr>
                <w:noProof/>
              </w:rPr>
            </w:pPr>
            <w:r w:rsidRPr="00F66162">
              <w:rPr>
                <w:noProof/>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ABE065" w14:textId="77777777" w:rsidR="139DF8FE" w:rsidRPr="00F66162" w:rsidRDefault="139DF8FE" w:rsidP="139DF8FE">
            <w:pPr>
              <w:rPr>
                <w:noProof/>
              </w:rPr>
            </w:pPr>
            <w:r w:rsidRPr="00F66162">
              <w:rPr>
                <w:noProof/>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CC4BD3" w14:textId="77777777" w:rsidR="139DF8FE" w:rsidRPr="00F66162" w:rsidRDefault="139DF8FE" w:rsidP="139DF8FE">
            <w:pPr>
              <w:rPr>
                <w:noProof/>
              </w:rPr>
            </w:pPr>
            <w:r w:rsidRPr="00F66162">
              <w:rPr>
                <w:noProof/>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859BEA" w14:textId="77777777" w:rsidR="139DF8FE" w:rsidRPr="00F66162" w:rsidRDefault="139DF8FE" w:rsidP="139DF8FE">
            <w:pPr>
              <w:rPr>
                <w:noProof/>
              </w:rPr>
            </w:pPr>
            <w:r w:rsidRPr="00F66162">
              <w:rPr>
                <w:noProof/>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BB5E09" w14:textId="77777777" w:rsidR="139DF8FE" w:rsidRPr="00F66162" w:rsidRDefault="139DF8FE" w:rsidP="139DF8FE">
            <w:pPr>
              <w:rPr>
                <w:noProof/>
              </w:rPr>
            </w:pPr>
            <w:r w:rsidRPr="00F66162">
              <w:rPr>
                <w:noProof/>
              </w:rPr>
              <w:t xml:space="preserve"> </w:t>
            </w:r>
          </w:p>
        </w:tc>
      </w:tr>
      <w:tr w:rsidR="139DF8FE" w:rsidRPr="00F66162" w14:paraId="7A83E83F"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1950B643" w14:textId="711A97CE" w:rsidR="139DF8FE" w:rsidRPr="00F66162" w:rsidRDefault="139DF8FE" w:rsidP="139DF8FE">
            <w:pPr>
              <w:spacing w:before="0" w:after="0"/>
              <w:rPr>
                <w:noProof/>
              </w:rPr>
            </w:pPr>
            <w:r w:rsidRPr="00F66162">
              <w:rPr>
                <w:rFonts w:ascii="Aptos" w:hAnsi="Aptos"/>
                <w:noProof/>
              </w:rPr>
              <w:t>Umowy</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zas</w:t>
            </w:r>
            <w:r w:rsidRPr="00F66162">
              <w:rPr>
                <w:rFonts w:ascii="Aptos" w:hAnsi="Aptos"/>
                <w:noProof/>
              </w:rPr>
              <w:t>oby ludzkie</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6CEA6D" w14:textId="77777777" w:rsidR="139DF8FE" w:rsidRPr="00F66162" w:rsidRDefault="139DF8FE" w:rsidP="139DF8FE">
            <w:pPr>
              <w:rPr>
                <w:noProof/>
              </w:rPr>
            </w:pPr>
            <w:r w:rsidRPr="00F66162">
              <w:rPr>
                <w:noProof/>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6A3962" w14:textId="77777777" w:rsidR="139DF8FE" w:rsidRPr="00F66162" w:rsidRDefault="139DF8FE" w:rsidP="139DF8FE">
            <w:pPr>
              <w:rPr>
                <w:noProof/>
              </w:rPr>
            </w:pPr>
            <w:r w:rsidRPr="00F66162">
              <w:rPr>
                <w:noProof/>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819A7" w14:textId="77777777" w:rsidR="139DF8FE" w:rsidRPr="00F66162" w:rsidRDefault="139DF8FE" w:rsidP="139DF8FE">
            <w:pPr>
              <w:rPr>
                <w:noProof/>
              </w:rPr>
            </w:pPr>
            <w:r w:rsidRPr="00F66162">
              <w:rPr>
                <w:noProof/>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6CE639" w14:textId="77777777" w:rsidR="139DF8FE" w:rsidRPr="00F66162" w:rsidRDefault="139DF8FE" w:rsidP="139DF8FE">
            <w:pPr>
              <w:rPr>
                <w:noProof/>
              </w:rPr>
            </w:pPr>
            <w:r w:rsidRPr="00F66162">
              <w:rPr>
                <w:noProof/>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C8E849" w14:textId="77777777" w:rsidR="139DF8FE" w:rsidRPr="00F66162" w:rsidRDefault="139DF8FE" w:rsidP="139DF8FE">
            <w:pPr>
              <w:rPr>
                <w:noProof/>
              </w:rPr>
            </w:pPr>
            <w:r w:rsidRPr="00F66162">
              <w:rPr>
                <w:noProof/>
              </w:rPr>
              <w:t xml:space="preserve"> </w:t>
            </w:r>
          </w:p>
        </w:tc>
      </w:tr>
      <w:tr w:rsidR="139DF8FE" w:rsidRPr="00F66162" w14:paraId="509F1493"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3171ADC7" w14:textId="35ACA27B" w:rsidR="139DF8FE" w:rsidRPr="00F66162" w:rsidRDefault="139DF8FE" w:rsidP="139DF8FE">
            <w:pPr>
              <w:spacing w:before="0" w:after="0"/>
              <w:rPr>
                <w:noProof/>
              </w:rPr>
            </w:pPr>
            <w:r w:rsidRPr="00F66162">
              <w:rPr>
                <w:rFonts w:ascii="Aptos" w:hAnsi="Aptos"/>
                <w:noProof/>
              </w:rPr>
              <w:t>Opracowywanie prawa wtórnego (aktów wykonawczych</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del</w:t>
            </w:r>
            <w:r w:rsidRPr="00F66162">
              <w:rPr>
                <w:rFonts w:ascii="Aptos" w:hAnsi="Aptos"/>
                <w:noProof/>
              </w:rPr>
              <w:t>egowanych)</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1246C8E" w14:textId="77777777" w:rsidR="139DF8FE" w:rsidRPr="00F66162" w:rsidRDefault="139DF8FE" w:rsidP="139DF8FE">
            <w:pPr>
              <w:spacing w:before="0" w:after="0"/>
              <w:rPr>
                <w:noProof/>
              </w:rPr>
            </w:pPr>
            <w:r w:rsidRPr="00F66162">
              <w:rPr>
                <w:rFonts w:ascii="Aptos" w:hAnsi="Aptos"/>
                <w:noProof/>
              </w:rPr>
              <w:t>3</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D656572" w14:textId="77777777" w:rsidR="139DF8FE" w:rsidRPr="00F66162" w:rsidRDefault="139DF8FE" w:rsidP="139DF8FE">
            <w:pPr>
              <w:spacing w:before="0" w:after="0"/>
              <w:rPr>
                <w:noProof/>
              </w:rPr>
            </w:pPr>
            <w:r w:rsidRPr="00F66162">
              <w:rPr>
                <w:rFonts w:ascii="Aptos" w:hAnsi="Aptos"/>
                <w:noProof/>
              </w:rPr>
              <w:t>3</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5F18295" w14:textId="77777777" w:rsidR="139DF8FE" w:rsidRPr="00F66162" w:rsidRDefault="139DF8FE" w:rsidP="139DF8FE">
            <w:pPr>
              <w:spacing w:before="0" w:after="0"/>
              <w:rPr>
                <w:noProof/>
              </w:rPr>
            </w:pPr>
            <w:r w:rsidRPr="00F66162">
              <w:rPr>
                <w:rFonts w:ascii="Aptos" w:hAnsi="Aptos"/>
                <w:noProof/>
              </w:rPr>
              <w:t>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D2B6280" w14:textId="77777777" w:rsidR="139DF8FE" w:rsidRPr="00F66162" w:rsidRDefault="139DF8FE" w:rsidP="139DF8FE">
            <w:pPr>
              <w:spacing w:before="0" w:after="0"/>
              <w:rPr>
                <w:noProof/>
              </w:rPr>
            </w:pPr>
            <w:r w:rsidRPr="00F66162">
              <w:rPr>
                <w:rFonts w:ascii="Aptos" w:hAnsi="Aptos"/>
                <w:noProof/>
              </w:rPr>
              <w:t>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46E9034" w14:textId="77777777" w:rsidR="139DF8FE" w:rsidRPr="00F66162" w:rsidRDefault="139DF8FE" w:rsidP="139DF8FE">
            <w:pPr>
              <w:spacing w:before="0" w:after="0"/>
              <w:rPr>
                <w:noProof/>
              </w:rPr>
            </w:pPr>
            <w:r w:rsidRPr="00F66162">
              <w:rPr>
                <w:rFonts w:ascii="Aptos" w:hAnsi="Aptos"/>
                <w:noProof/>
              </w:rPr>
              <w:t>3</w:t>
            </w:r>
          </w:p>
        </w:tc>
      </w:tr>
      <w:tr w:rsidR="139DF8FE" w:rsidRPr="00F66162" w14:paraId="668A3850"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01E524A5" w14:textId="05250488" w:rsidR="139DF8FE" w:rsidRPr="00F66162" w:rsidRDefault="139DF8FE" w:rsidP="139DF8FE">
            <w:pPr>
              <w:spacing w:before="0" w:after="0"/>
              <w:rPr>
                <w:noProof/>
              </w:rPr>
            </w:pPr>
            <w:r w:rsidRPr="00F66162">
              <w:rPr>
                <w:rFonts w:ascii="Aptos" w:hAnsi="Aptos"/>
                <w:noProof/>
              </w:rPr>
              <w:t>Działania informacyjne</w:t>
            </w:r>
            <w:r w:rsidR="00825614" w:rsidRPr="00F66162">
              <w:rPr>
                <w:rFonts w:ascii="Aptos" w:hAnsi="Aptos"/>
                <w:noProof/>
              </w:rPr>
              <w:t xml:space="preserve"> i</w:t>
            </w:r>
            <w:r w:rsidR="00825614">
              <w:rPr>
                <w:rFonts w:ascii="Aptos" w:hAnsi="Aptos"/>
                <w:noProof/>
              </w:rPr>
              <w:t> </w:t>
            </w:r>
            <w:r w:rsidR="00825614" w:rsidRPr="00F66162">
              <w:rPr>
                <w:rFonts w:ascii="Aptos" w:hAnsi="Aptos"/>
                <w:noProof/>
              </w:rPr>
              <w:t>szk</w:t>
            </w:r>
            <w:r w:rsidRPr="00F66162">
              <w:rPr>
                <w:rFonts w:ascii="Aptos" w:hAnsi="Aptos"/>
                <w:noProof/>
              </w:rPr>
              <w:t>oleniowe</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EBB8E3B" w14:textId="77777777" w:rsidR="139DF8FE" w:rsidRPr="00F66162" w:rsidRDefault="139DF8FE" w:rsidP="139DF8FE">
            <w:pPr>
              <w:spacing w:before="0" w:after="0"/>
              <w:rPr>
                <w:noProof/>
              </w:rPr>
            </w:pPr>
            <w:r w:rsidRPr="00F66162">
              <w:rPr>
                <w:rFonts w:ascii="Aptos" w:hAnsi="Aptos"/>
                <w:noProof/>
              </w:rPr>
              <w:t>2</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C4C416F" w14:textId="77777777" w:rsidR="139DF8FE" w:rsidRPr="00F66162" w:rsidRDefault="139DF8FE" w:rsidP="139DF8FE">
            <w:pPr>
              <w:spacing w:before="0" w:after="0"/>
              <w:rPr>
                <w:noProof/>
              </w:rPr>
            </w:pPr>
            <w:r w:rsidRPr="00F66162">
              <w:rPr>
                <w:rFonts w:ascii="Aptos" w:hAnsi="Aptos"/>
                <w:noProof/>
              </w:rPr>
              <w:t>2</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476FB31" w14:textId="77777777" w:rsidR="139DF8FE" w:rsidRPr="00F66162" w:rsidRDefault="139DF8FE" w:rsidP="139DF8FE">
            <w:pPr>
              <w:spacing w:before="0" w:after="0"/>
              <w:rPr>
                <w:noProof/>
              </w:rPr>
            </w:pPr>
            <w:r w:rsidRPr="00F66162">
              <w:rPr>
                <w:rFonts w:ascii="Aptos" w:hAnsi="Aptos"/>
                <w:noProof/>
              </w:rPr>
              <w:t>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38F65A9" w14:textId="77777777" w:rsidR="139DF8FE" w:rsidRPr="00F66162" w:rsidRDefault="139DF8FE" w:rsidP="139DF8FE">
            <w:pPr>
              <w:spacing w:before="0" w:after="0"/>
              <w:rPr>
                <w:noProof/>
              </w:rPr>
            </w:pPr>
            <w:r w:rsidRPr="00F66162">
              <w:rPr>
                <w:rFonts w:ascii="Aptos" w:hAnsi="Aptos"/>
                <w:noProof/>
              </w:rPr>
              <w:t>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3BDC95" w14:textId="77777777" w:rsidR="139DF8FE" w:rsidRPr="00F66162" w:rsidRDefault="139DF8FE" w:rsidP="139DF8FE">
            <w:pPr>
              <w:spacing w:before="0" w:after="0"/>
              <w:rPr>
                <w:noProof/>
              </w:rPr>
            </w:pPr>
            <w:r w:rsidRPr="00F66162">
              <w:rPr>
                <w:rFonts w:ascii="Aptos" w:hAnsi="Aptos"/>
                <w:noProof/>
              </w:rPr>
              <w:t>2</w:t>
            </w:r>
          </w:p>
        </w:tc>
      </w:tr>
      <w:tr w:rsidR="139DF8FE" w:rsidRPr="00F66162" w14:paraId="46A722B3"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5F9F3C63" w14:textId="77777777" w:rsidR="139DF8FE" w:rsidRPr="00F66162" w:rsidRDefault="139DF8FE" w:rsidP="139DF8FE">
            <w:pPr>
              <w:spacing w:before="0" w:after="0"/>
              <w:rPr>
                <w:noProof/>
              </w:rPr>
            </w:pPr>
            <w:r w:rsidRPr="00F66162">
              <w:rPr>
                <w:rFonts w:ascii="Aptos" w:hAnsi="Aptos"/>
                <w:noProof/>
              </w:rPr>
              <w:t>Metodyka obliczania emisji wbudowanych</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ADC8E4F" w14:textId="77777777" w:rsidR="139DF8FE" w:rsidRPr="00F66162" w:rsidRDefault="139DF8FE" w:rsidP="139DF8FE">
            <w:pPr>
              <w:spacing w:before="0" w:after="0"/>
              <w:rPr>
                <w:noProof/>
              </w:rPr>
            </w:pPr>
            <w:r w:rsidRPr="00F66162">
              <w:rPr>
                <w:rFonts w:ascii="Aptos" w:hAnsi="Aptos"/>
                <w:noProof/>
              </w:rPr>
              <w:t>1</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4C5F90" w14:textId="77777777" w:rsidR="139DF8FE" w:rsidRPr="00F66162" w:rsidRDefault="139DF8FE" w:rsidP="139DF8FE">
            <w:pPr>
              <w:spacing w:before="0" w:after="0"/>
              <w:rPr>
                <w:noProof/>
              </w:rPr>
            </w:pPr>
            <w:r w:rsidRPr="00F66162">
              <w:rPr>
                <w:rFonts w:ascii="Aptos" w:hAnsi="Aptos"/>
                <w:noProof/>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EFB02AF" w14:textId="77777777" w:rsidR="139DF8FE" w:rsidRPr="00F66162" w:rsidRDefault="139DF8FE" w:rsidP="139DF8FE">
            <w:pPr>
              <w:spacing w:before="0" w:after="0"/>
              <w:rPr>
                <w:noProof/>
              </w:rPr>
            </w:pPr>
            <w:r w:rsidRPr="00F66162">
              <w:rPr>
                <w:rFonts w:ascii="Aptos" w:hAnsi="Aptos"/>
                <w:noProof/>
              </w:rPr>
              <w:t>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EA2D8A7" w14:textId="77777777" w:rsidR="139DF8FE" w:rsidRPr="00F66162" w:rsidRDefault="139DF8FE" w:rsidP="139DF8FE">
            <w:pPr>
              <w:spacing w:before="0" w:after="0"/>
              <w:rPr>
                <w:noProof/>
              </w:rPr>
            </w:pPr>
            <w:r w:rsidRPr="00F66162">
              <w:rPr>
                <w:rFonts w:ascii="Aptos" w:hAnsi="Aptos"/>
                <w:noProof/>
              </w:rPr>
              <w:t>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85E59C8" w14:textId="77777777" w:rsidR="139DF8FE" w:rsidRPr="00F66162" w:rsidRDefault="139DF8FE" w:rsidP="139DF8FE">
            <w:pPr>
              <w:spacing w:before="0" w:after="0"/>
              <w:rPr>
                <w:noProof/>
              </w:rPr>
            </w:pPr>
            <w:r w:rsidRPr="00F66162">
              <w:rPr>
                <w:rFonts w:ascii="Aptos" w:hAnsi="Aptos"/>
                <w:noProof/>
              </w:rPr>
              <w:t>1</w:t>
            </w:r>
          </w:p>
        </w:tc>
      </w:tr>
      <w:tr w:rsidR="139DF8FE" w:rsidRPr="00F66162" w14:paraId="7BB4AA81" w14:textId="77777777" w:rsidTr="008067C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14:paraId="14EB0D17" w14:textId="77777777" w:rsidR="139DF8FE" w:rsidRPr="00F66162" w:rsidRDefault="139DF8FE" w:rsidP="139DF8FE">
            <w:pPr>
              <w:spacing w:before="0" w:after="0"/>
              <w:rPr>
                <w:noProof/>
              </w:rPr>
            </w:pPr>
            <w:r w:rsidRPr="00F66162">
              <w:rPr>
                <w:rFonts w:ascii="Aptos" w:hAnsi="Aptos"/>
                <w:b/>
                <w:noProof/>
              </w:rPr>
              <w:t>Całkowita liczba pracowników zespołu ds. CBAM (z wyłączeniem IT)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861D997" w14:textId="77777777" w:rsidR="139DF8FE" w:rsidRPr="00F66162" w:rsidRDefault="139DF8FE" w:rsidP="139DF8FE">
            <w:pPr>
              <w:spacing w:before="0" w:after="0"/>
              <w:rPr>
                <w:noProof/>
              </w:rPr>
            </w:pPr>
            <w:r w:rsidRPr="00F66162">
              <w:rPr>
                <w:rFonts w:ascii="Aptos" w:hAnsi="Aptos"/>
                <w:noProof/>
              </w:rPr>
              <w:t>12</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CE52C1A" w14:textId="77777777" w:rsidR="139DF8FE" w:rsidRPr="00F66162" w:rsidRDefault="139DF8FE" w:rsidP="139DF8FE">
            <w:pPr>
              <w:spacing w:before="0" w:after="0"/>
              <w:rPr>
                <w:noProof/>
              </w:rPr>
            </w:pPr>
            <w:r w:rsidRPr="00F66162">
              <w:rPr>
                <w:rFonts w:ascii="Aptos" w:hAnsi="Aptos"/>
                <w:noProof/>
              </w:rPr>
              <w:t>21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ED9CEC3" w14:textId="77777777" w:rsidR="139DF8FE" w:rsidRPr="00F66162" w:rsidRDefault="139DF8FE" w:rsidP="139DF8FE">
            <w:pPr>
              <w:spacing w:before="0" w:after="0"/>
              <w:rPr>
                <w:noProof/>
              </w:rPr>
            </w:pPr>
            <w:r w:rsidRPr="00F66162">
              <w:rPr>
                <w:rFonts w:ascii="Aptos" w:hAnsi="Aptos"/>
                <w:noProof/>
              </w:rPr>
              <w:t>29</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DE0FA5" w14:textId="77777777" w:rsidR="139DF8FE" w:rsidRPr="00F66162" w:rsidRDefault="139DF8FE" w:rsidP="139DF8FE">
            <w:pPr>
              <w:spacing w:before="0" w:after="0"/>
              <w:rPr>
                <w:noProof/>
              </w:rPr>
            </w:pPr>
            <w:r w:rsidRPr="00F66162">
              <w:rPr>
                <w:rFonts w:ascii="Aptos" w:hAnsi="Aptos"/>
                <w:noProof/>
              </w:rPr>
              <w:t>50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0AE9B5" w14:textId="77777777" w:rsidR="139DF8FE" w:rsidRPr="00F66162" w:rsidRDefault="139DF8FE" w:rsidP="139DF8FE">
            <w:pPr>
              <w:spacing w:before="0" w:after="0"/>
              <w:rPr>
                <w:noProof/>
              </w:rPr>
            </w:pPr>
            <w:r w:rsidRPr="00F66162">
              <w:rPr>
                <w:rFonts w:ascii="Aptos" w:hAnsi="Aptos"/>
                <w:noProof/>
              </w:rPr>
              <w:t>75</w:t>
            </w:r>
          </w:p>
        </w:tc>
      </w:tr>
    </w:tbl>
    <w:p w14:paraId="5CFE0A54" w14:textId="6CD1DF8B" w:rsidR="5D606F45" w:rsidRPr="00F66162" w:rsidRDefault="5D606F45" w:rsidP="139DF8FE">
      <w:pPr>
        <w:ind w:left="850" w:hanging="850"/>
        <w:rPr>
          <w:noProof/>
        </w:rPr>
      </w:pPr>
      <w:r w:rsidRPr="00F66162">
        <w:rPr>
          <w:i/>
          <w:noProof/>
        </w:rPr>
        <w:t>Przydział całkowitej liczby pracowników,</w:t>
      </w:r>
      <w:r w:rsidR="00825614" w:rsidRPr="00F66162">
        <w:rPr>
          <w:i/>
          <w:noProof/>
        </w:rPr>
        <w:t xml:space="preserve"> w</w:t>
      </w:r>
      <w:r w:rsidR="00825614">
        <w:rPr>
          <w:i/>
          <w:noProof/>
        </w:rPr>
        <w:t> </w:t>
      </w:r>
      <w:r w:rsidR="00825614" w:rsidRPr="00F66162">
        <w:rPr>
          <w:i/>
          <w:noProof/>
        </w:rPr>
        <w:t>tym</w:t>
      </w:r>
      <w:r w:rsidRPr="00F66162">
        <w:rPr>
          <w:i/>
          <w:noProof/>
        </w:rPr>
        <w:t xml:space="preserve"> pracowników IT,</w:t>
      </w:r>
      <w:r w:rsidR="00825614" w:rsidRPr="00F66162">
        <w:rPr>
          <w:i/>
          <w:noProof/>
        </w:rPr>
        <w:t xml:space="preserve"> w</w:t>
      </w:r>
      <w:r w:rsidR="00825614">
        <w:rPr>
          <w:i/>
          <w:noProof/>
        </w:rPr>
        <w:t> </w:t>
      </w:r>
      <w:r w:rsidR="00825614" w:rsidRPr="00F66162">
        <w:rPr>
          <w:i/>
          <w:noProof/>
        </w:rPr>
        <w:t>lat</w:t>
      </w:r>
      <w:r w:rsidRPr="00F66162">
        <w:rPr>
          <w:i/>
          <w:noProof/>
        </w:rPr>
        <w:t>ach 2023–2027 byłby następujący:</w:t>
      </w:r>
    </w:p>
    <w:tbl>
      <w:tblPr>
        <w:tblStyle w:val="Tabela-Siatka"/>
        <w:tblW w:w="0" w:type="auto"/>
        <w:tblInd w:w="-34" w:type="dxa"/>
        <w:tblLayout w:type="fixed"/>
        <w:tblLook w:val="04A0" w:firstRow="1" w:lastRow="0" w:firstColumn="1" w:lastColumn="0" w:noHBand="0" w:noVBand="1"/>
      </w:tblPr>
      <w:tblGrid>
        <w:gridCol w:w="3261"/>
        <w:gridCol w:w="1276"/>
        <w:gridCol w:w="1275"/>
        <w:gridCol w:w="1276"/>
        <w:gridCol w:w="1134"/>
        <w:gridCol w:w="992"/>
      </w:tblGrid>
      <w:tr w:rsidR="139DF8FE" w:rsidRPr="00F66162" w14:paraId="48123C07" w14:textId="77777777" w:rsidTr="008067CE">
        <w:trPr>
          <w:trHeight w:val="30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18DF0EE9" w14:textId="77777777" w:rsidR="139DF8FE" w:rsidRPr="00F66162" w:rsidRDefault="139DF8FE" w:rsidP="139DF8FE">
            <w:pPr>
              <w:rPr>
                <w:noProof/>
              </w:rPr>
            </w:pPr>
            <w:r w:rsidRPr="00F66162">
              <w:rPr>
                <w:b/>
                <w:noProof/>
              </w:rPr>
              <w:t>Rok</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04BC4AE" w14:textId="77777777" w:rsidR="139DF8FE" w:rsidRPr="00F66162" w:rsidRDefault="139DF8FE" w:rsidP="139DF8FE">
            <w:pPr>
              <w:rPr>
                <w:noProof/>
              </w:rPr>
            </w:pPr>
            <w:r w:rsidRPr="00F66162">
              <w:rPr>
                <w:b/>
                <w:noProof/>
              </w:rPr>
              <w:t>2023</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5C51E5A" w14:textId="77777777" w:rsidR="139DF8FE" w:rsidRPr="00F66162" w:rsidRDefault="139DF8FE" w:rsidP="139DF8FE">
            <w:pPr>
              <w:rPr>
                <w:noProof/>
              </w:rPr>
            </w:pPr>
            <w:r w:rsidRPr="00F66162">
              <w:rPr>
                <w:b/>
                <w:noProof/>
              </w:rPr>
              <w:t>2024</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62A460C" w14:textId="77777777" w:rsidR="139DF8FE" w:rsidRPr="00F66162" w:rsidRDefault="139DF8FE" w:rsidP="139DF8FE">
            <w:pPr>
              <w:rPr>
                <w:noProof/>
              </w:rPr>
            </w:pPr>
            <w:r w:rsidRPr="00F66162">
              <w:rPr>
                <w:b/>
                <w:noProof/>
              </w:rPr>
              <w:t>2025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ECE3503" w14:textId="77777777" w:rsidR="139DF8FE" w:rsidRPr="00F66162" w:rsidRDefault="139DF8FE" w:rsidP="139DF8FE">
            <w:pPr>
              <w:rPr>
                <w:noProof/>
              </w:rPr>
            </w:pPr>
            <w:r w:rsidRPr="00F66162">
              <w:rPr>
                <w:b/>
                <w:noProof/>
              </w:rPr>
              <w:t>2026</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D4C18E" w14:textId="77777777" w:rsidR="139DF8FE" w:rsidRPr="00F66162" w:rsidRDefault="139DF8FE" w:rsidP="139DF8FE">
            <w:pPr>
              <w:rPr>
                <w:noProof/>
              </w:rPr>
            </w:pPr>
            <w:r w:rsidRPr="00F66162">
              <w:rPr>
                <w:b/>
                <w:noProof/>
              </w:rPr>
              <w:t>2027</w:t>
            </w:r>
          </w:p>
        </w:tc>
      </w:tr>
      <w:tr w:rsidR="139DF8FE" w:rsidRPr="00F66162" w14:paraId="34DE2954" w14:textId="77777777" w:rsidTr="008067CE">
        <w:trPr>
          <w:trHeight w:val="30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7E95B168" w14:textId="77777777" w:rsidR="139DF8FE" w:rsidRPr="00F66162" w:rsidRDefault="139DF8FE" w:rsidP="139DF8FE">
            <w:pPr>
              <w:rPr>
                <w:noProof/>
              </w:rPr>
            </w:pPr>
            <w:r w:rsidRPr="00F66162">
              <w:rPr>
                <w:b/>
                <w:noProof/>
              </w:rPr>
              <w:t>Całkowita liczba pracowników</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FC3CCF4" w14:textId="77777777" w:rsidR="139DF8FE" w:rsidRPr="00F66162" w:rsidRDefault="139DF8FE" w:rsidP="139DF8FE">
            <w:pPr>
              <w:rPr>
                <w:noProof/>
              </w:rPr>
            </w:pPr>
            <w:r w:rsidRPr="00F66162">
              <w:rPr>
                <w:noProof/>
              </w:rPr>
              <w:t>20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59A9551" w14:textId="77777777" w:rsidR="139DF8FE" w:rsidRPr="00F66162" w:rsidRDefault="139DF8FE" w:rsidP="139DF8FE">
            <w:pPr>
              <w:rPr>
                <w:noProof/>
              </w:rPr>
            </w:pPr>
            <w:r w:rsidRPr="00F66162">
              <w:rPr>
                <w:noProof/>
              </w:rPr>
              <w:t>33</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65F14C0" w14:textId="77777777" w:rsidR="139DF8FE" w:rsidRPr="00F66162" w:rsidRDefault="139DF8FE" w:rsidP="139DF8FE">
            <w:pPr>
              <w:rPr>
                <w:noProof/>
              </w:rPr>
            </w:pPr>
            <w:r w:rsidRPr="00F66162">
              <w:rPr>
                <w:noProof/>
              </w:rPr>
              <w:t>44</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8ABD8CC" w14:textId="77777777" w:rsidR="139DF8FE" w:rsidRPr="00F66162" w:rsidRDefault="139DF8FE" w:rsidP="139DF8FE">
            <w:pPr>
              <w:rPr>
                <w:noProof/>
              </w:rPr>
            </w:pPr>
            <w:r w:rsidRPr="00F66162">
              <w:rPr>
                <w:noProof/>
              </w:rPr>
              <w:t>65</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3A8FC26" w14:textId="77777777" w:rsidR="139DF8FE" w:rsidRPr="00F66162" w:rsidRDefault="139DF8FE" w:rsidP="139DF8FE">
            <w:pPr>
              <w:rPr>
                <w:noProof/>
              </w:rPr>
            </w:pPr>
            <w:r w:rsidRPr="00F66162">
              <w:rPr>
                <w:noProof/>
              </w:rPr>
              <w:t>90</w:t>
            </w:r>
          </w:p>
        </w:tc>
      </w:tr>
      <w:tr w:rsidR="139DF8FE" w:rsidRPr="00F66162" w14:paraId="267C32F3" w14:textId="77777777" w:rsidTr="008067CE">
        <w:trPr>
          <w:trHeight w:val="30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49E4482B" w14:textId="77777777" w:rsidR="139DF8FE" w:rsidRPr="00F66162" w:rsidRDefault="139DF8FE" w:rsidP="139DF8FE">
            <w:pPr>
              <w:rPr>
                <w:noProof/>
              </w:rPr>
            </w:pPr>
            <w:r w:rsidRPr="00F66162">
              <w:rPr>
                <w:b/>
                <w:noProof/>
              </w:rPr>
              <w:t>Zespół ds. CBAM</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5B16C7E" w14:textId="77777777" w:rsidR="139DF8FE" w:rsidRPr="00F66162" w:rsidRDefault="139DF8FE" w:rsidP="139DF8FE">
            <w:pPr>
              <w:rPr>
                <w:noProof/>
              </w:rPr>
            </w:pPr>
            <w:r w:rsidRPr="00F66162">
              <w:rPr>
                <w:noProof/>
              </w:rPr>
              <w:t>12</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29BF392" w14:textId="77777777" w:rsidR="139DF8FE" w:rsidRPr="00F66162" w:rsidRDefault="139DF8FE" w:rsidP="139DF8FE">
            <w:pPr>
              <w:rPr>
                <w:noProof/>
              </w:rPr>
            </w:pPr>
            <w:r w:rsidRPr="00F66162">
              <w:rPr>
                <w:noProof/>
              </w:rPr>
              <w:t>21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3DBDAB2" w14:textId="77777777" w:rsidR="139DF8FE" w:rsidRPr="00F66162" w:rsidRDefault="139DF8FE" w:rsidP="139DF8FE">
            <w:pPr>
              <w:rPr>
                <w:noProof/>
              </w:rPr>
            </w:pPr>
            <w:r w:rsidRPr="00F66162">
              <w:rPr>
                <w:noProof/>
              </w:rPr>
              <w:t>29</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4618A0D" w14:textId="77777777" w:rsidR="139DF8FE" w:rsidRPr="00F66162" w:rsidRDefault="139DF8FE" w:rsidP="139DF8FE">
            <w:pPr>
              <w:rPr>
                <w:noProof/>
              </w:rPr>
            </w:pPr>
            <w:r w:rsidRPr="00F66162">
              <w:rPr>
                <w:noProof/>
              </w:rPr>
              <w:t>50</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F9CEB7" w14:textId="77777777" w:rsidR="139DF8FE" w:rsidRPr="00F66162" w:rsidRDefault="139DF8FE" w:rsidP="139DF8FE">
            <w:pPr>
              <w:rPr>
                <w:noProof/>
              </w:rPr>
            </w:pPr>
            <w:r w:rsidRPr="00F66162">
              <w:rPr>
                <w:noProof/>
              </w:rPr>
              <w:t>75</w:t>
            </w:r>
          </w:p>
        </w:tc>
      </w:tr>
      <w:tr w:rsidR="139DF8FE" w:rsidRPr="00F66162" w14:paraId="45924B20" w14:textId="77777777" w:rsidTr="008067CE">
        <w:trPr>
          <w:trHeight w:val="30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05BB6069" w14:textId="77777777" w:rsidR="139DF8FE" w:rsidRPr="00F66162" w:rsidRDefault="139DF8FE" w:rsidP="139DF8FE">
            <w:pPr>
              <w:rPr>
                <w:noProof/>
              </w:rPr>
            </w:pPr>
            <w:r w:rsidRPr="00F66162">
              <w:rPr>
                <w:b/>
                <w:noProof/>
              </w:rPr>
              <w:lastRenderedPageBreak/>
              <w:t>Zespół informatyczny CBAM</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06E3E3E" w14:textId="77777777" w:rsidR="139DF8FE" w:rsidRPr="00F66162" w:rsidRDefault="139DF8FE" w:rsidP="139DF8FE">
            <w:pPr>
              <w:rPr>
                <w:noProof/>
              </w:rPr>
            </w:pPr>
            <w:r w:rsidRPr="00F66162">
              <w:rPr>
                <w:noProof/>
              </w:rPr>
              <w:t>8</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0567670" w14:textId="77777777" w:rsidR="139DF8FE" w:rsidRPr="00F66162" w:rsidRDefault="139DF8FE" w:rsidP="139DF8FE">
            <w:pPr>
              <w:rPr>
                <w:noProof/>
              </w:rPr>
            </w:pPr>
            <w:r w:rsidRPr="00F66162">
              <w:rPr>
                <w:noProof/>
              </w:rPr>
              <w:t>12</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00A7D15" w14:textId="77777777" w:rsidR="139DF8FE" w:rsidRPr="00F66162" w:rsidRDefault="139DF8FE" w:rsidP="139DF8FE">
            <w:pPr>
              <w:rPr>
                <w:noProof/>
              </w:rPr>
            </w:pPr>
            <w:r w:rsidRPr="00F66162">
              <w:rPr>
                <w:noProof/>
              </w:rPr>
              <w:t>15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D6D5E2B" w14:textId="77777777" w:rsidR="139DF8FE" w:rsidRPr="00F66162" w:rsidRDefault="139DF8FE" w:rsidP="139DF8FE">
            <w:pPr>
              <w:rPr>
                <w:noProof/>
              </w:rPr>
            </w:pPr>
            <w:r w:rsidRPr="00F66162">
              <w:rPr>
                <w:noProof/>
              </w:rPr>
              <w:t>15</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7C2570D" w14:textId="77777777" w:rsidR="139DF8FE" w:rsidRPr="00F66162" w:rsidRDefault="139DF8FE" w:rsidP="139DF8FE">
            <w:pPr>
              <w:rPr>
                <w:noProof/>
              </w:rPr>
            </w:pPr>
            <w:r w:rsidRPr="00F66162">
              <w:rPr>
                <w:noProof/>
              </w:rPr>
              <w:t>15</w:t>
            </w:r>
          </w:p>
        </w:tc>
      </w:tr>
    </w:tbl>
    <w:p w14:paraId="1858F211" w14:textId="22D30CD0" w:rsidR="666BDBD0" w:rsidRPr="00F66162" w:rsidRDefault="666BDBD0" w:rsidP="139DF8FE">
      <w:pPr>
        <w:ind w:left="850"/>
        <w:rPr>
          <w:noProof/>
        </w:rPr>
      </w:pPr>
      <w:r w:rsidRPr="00F66162">
        <w:rPr>
          <w:noProof/>
        </w:rPr>
        <w:t>Strategiczne znaczenie, skala</w:t>
      </w:r>
      <w:r w:rsidR="00825614" w:rsidRPr="00F66162">
        <w:rPr>
          <w:noProof/>
        </w:rPr>
        <w:t xml:space="preserve"> i</w:t>
      </w:r>
      <w:r w:rsidR="00825614">
        <w:rPr>
          <w:noProof/>
        </w:rPr>
        <w:t> </w:t>
      </w:r>
      <w:r w:rsidR="00825614" w:rsidRPr="00F66162">
        <w:rPr>
          <w:noProof/>
        </w:rPr>
        <w:t>zło</w:t>
      </w:r>
      <w:r w:rsidRPr="00F66162">
        <w:rPr>
          <w:noProof/>
        </w:rPr>
        <w:t>żoność projektu informatycznego CBAM wymagają powołania specjalnego zespołu informatycznego CBAM zarządzającego ogólną realizacją</w:t>
      </w:r>
      <w:r w:rsidR="00825614" w:rsidRPr="00F66162">
        <w:rPr>
          <w:noProof/>
        </w:rPr>
        <w:t xml:space="preserve"> i</w:t>
      </w:r>
      <w:r w:rsidR="00825614">
        <w:rPr>
          <w:noProof/>
        </w:rPr>
        <w:t> </w:t>
      </w:r>
      <w:r w:rsidR="00825614" w:rsidRPr="00F66162">
        <w:rPr>
          <w:noProof/>
        </w:rPr>
        <w:t>fun</w:t>
      </w:r>
      <w:r w:rsidRPr="00F66162">
        <w:rPr>
          <w:noProof/>
        </w:rPr>
        <w:t xml:space="preserve">kcjonowaniem projektu. </w:t>
      </w:r>
    </w:p>
    <w:p w14:paraId="274B3378" w14:textId="10735C00" w:rsidR="666BDBD0" w:rsidRPr="00F66162" w:rsidRDefault="666BDBD0" w:rsidP="139DF8FE">
      <w:pPr>
        <w:ind w:left="850"/>
        <w:rPr>
          <w:noProof/>
        </w:rPr>
      </w:pPr>
      <w:r w:rsidRPr="00F66162">
        <w:rPr>
          <w:noProof/>
        </w:rPr>
        <w:t>Zespół informatyczny CBAM składa się</w:t>
      </w:r>
      <w:r w:rsidR="00825614" w:rsidRPr="00F66162">
        <w:rPr>
          <w:noProof/>
        </w:rPr>
        <w:t xml:space="preserve"> z</w:t>
      </w:r>
      <w:r w:rsidR="00825614">
        <w:rPr>
          <w:noProof/>
        </w:rPr>
        <w:t> </w:t>
      </w:r>
      <w:r w:rsidR="00825614" w:rsidRPr="00F66162">
        <w:rPr>
          <w:noProof/>
        </w:rPr>
        <w:t>1</w:t>
      </w:r>
      <w:r w:rsidRPr="00F66162">
        <w:rPr>
          <w:noProof/>
        </w:rPr>
        <w:t>5 pracowników</w:t>
      </w:r>
      <w:r w:rsidR="00825614" w:rsidRPr="00F66162">
        <w:rPr>
          <w:noProof/>
        </w:rPr>
        <w:t xml:space="preserve"> o</w:t>
      </w:r>
      <w:r w:rsidR="00825614">
        <w:rPr>
          <w:noProof/>
        </w:rPr>
        <w:t> </w:t>
      </w:r>
      <w:r w:rsidR="00825614" w:rsidRPr="00F66162">
        <w:rPr>
          <w:noProof/>
        </w:rPr>
        <w:t>wys</w:t>
      </w:r>
      <w:r w:rsidRPr="00F66162">
        <w:rPr>
          <w:noProof/>
        </w:rPr>
        <w:t>pecjalizowanym profilu informatycznym, a do ich zadań należy: określenie architektury systemu informatycznego CBAM oraz organizacji projektu, planowanie</w:t>
      </w:r>
      <w:r w:rsidR="00825614" w:rsidRPr="00F66162">
        <w:rPr>
          <w:noProof/>
        </w:rPr>
        <w:t xml:space="preserve"> i</w:t>
      </w:r>
      <w:r w:rsidR="00825614">
        <w:rPr>
          <w:noProof/>
        </w:rPr>
        <w:t> </w:t>
      </w:r>
      <w:r w:rsidR="00825614" w:rsidRPr="00F66162">
        <w:rPr>
          <w:noProof/>
        </w:rPr>
        <w:t>zar</w:t>
      </w:r>
      <w:r w:rsidRPr="00F66162">
        <w:rPr>
          <w:noProof/>
        </w:rPr>
        <w:t>ządzanie nimi, opracowywanie, wdrażanie</w:t>
      </w:r>
      <w:r w:rsidR="00825614" w:rsidRPr="00F66162">
        <w:rPr>
          <w:noProof/>
        </w:rPr>
        <w:t xml:space="preserve"> i</w:t>
      </w:r>
      <w:r w:rsidR="00825614">
        <w:rPr>
          <w:noProof/>
        </w:rPr>
        <w:t> </w:t>
      </w:r>
      <w:r w:rsidR="00825614" w:rsidRPr="00F66162">
        <w:rPr>
          <w:noProof/>
        </w:rPr>
        <w:t>org</w:t>
      </w:r>
      <w:r w:rsidRPr="00F66162">
        <w:rPr>
          <w:noProof/>
        </w:rPr>
        <w:t>anizowanie modelu usług, zarządzanie operacjami</w:t>
      </w:r>
      <w:r w:rsidR="00825614" w:rsidRPr="00F66162">
        <w:rPr>
          <w:noProof/>
        </w:rPr>
        <w:t xml:space="preserve"> i</w:t>
      </w:r>
      <w:r w:rsidR="00825614">
        <w:rPr>
          <w:noProof/>
        </w:rPr>
        <w:t> </w:t>
      </w:r>
      <w:r w:rsidR="00825614" w:rsidRPr="00F66162">
        <w:rPr>
          <w:noProof/>
        </w:rPr>
        <w:t>wsp</w:t>
      </w:r>
      <w:r w:rsidRPr="00F66162">
        <w:rPr>
          <w:noProof/>
        </w:rPr>
        <w:t>ieranie służb TRADE i COM, organów ds. klimatu</w:t>
      </w:r>
      <w:r w:rsidR="00825614" w:rsidRPr="00F66162">
        <w:rPr>
          <w:noProof/>
        </w:rPr>
        <w:t xml:space="preserve"> i</w:t>
      </w:r>
      <w:r w:rsidR="00825614">
        <w:rPr>
          <w:noProof/>
        </w:rPr>
        <w:t> </w:t>
      </w:r>
      <w:r w:rsidR="00825614" w:rsidRPr="00F66162">
        <w:rPr>
          <w:noProof/>
        </w:rPr>
        <w:t>org</w:t>
      </w:r>
      <w:r w:rsidRPr="00F66162">
        <w:rPr>
          <w:noProof/>
        </w:rPr>
        <w:t>anów celnych, równolegle</w:t>
      </w:r>
      <w:r w:rsidR="00825614" w:rsidRPr="00F66162">
        <w:rPr>
          <w:noProof/>
        </w:rPr>
        <w:t xml:space="preserve"> z</w:t>
      </w:r>
      <w:r w:rsidR="00825614">
        <w:rPr>
          <w:noProof/>
        </w:rPr>
        <w:t> </w:t>
      </w:r>
      <w:r w:rsidR="00825614" w:rsidRPr="00F66162">
        <w:rPr>
          <w:noProof/>
        </w:rPr>
        <w:t>prz</w:t>
      </w:r>
      <w:r w:rsidRPr="00F66162">
        <w:rPr>
          <w:noProof/>
        </w:rPr>
        <w:t>ejściowym</w:t>
      </w:r>
      <w:r w:rsidR="00825614" w:rsidRPr="00F66162">
        <w:rPr>
          <w:noProof/>
        </w:rPr>
        <w:t xml:space="preserve"> i</w:t>
      </w:r>
      <w:r w:rsidR="00825614">
        <w:rPr>
          <w:noProof/>
        </w:rPr>
        <w:t> </w:t>
      </w:r>
      <w:r w:rsidR="00825614" w:rsidRPr="00F66162">
        <w:rPr>
          <w:noProof/>
        </w:rPr>
        <w:t>doc</w:t>
      </w:r>
      <w:r w:rsidRPr="00F66162">
        <w:rPr>
          <w:noProof/>
        </w:rPr>
        <w:t>elowym systemem informatycznym CBAM.</w:t>
      </w:r>
    </w:p>
    <w:p w14:paraId="0B024C67" w14:textId="0D7EB94B" w:rsidR="666BDBD0" w:rsidRPr="00F66162" w:rsidRDefault="666BDBD0" w:rsidP="139DF8FE">
      <w:pPr>
        <w:ind w:left="850"/>
        <w:rPr>
          <w:noProof/>
        </w:rPr>
      </w:pPr>
      <w:r w:rsidRPr="00F66162">
        <w:rPr>
          <w:noProof/>
        </w:rPr>
        <w:t>W skład zespołu informatycznego CBAM weszłoby 15 pracowników Komisji,</w:t>
      </w:r>
      <w:r w:rsidR="00825614" w:rsidRPr="00F66162">
        <w:rPr>
          <w:noProof/>
        </w:rPr>
        <w:t xml:space="preserve"> a</w:t>
      </w:r>
      <w:r w:rsidR="00825614">
        <w:rPr>
          <w:noProof/>
        </w:rPr>
        <w:t> </w:t>
      </w:r>
      <w:r w:rsidR="00825614" w:rsidRPr="00F66162">
        <w:rPr>
          <w:noProof/>
        </w:rPr>
        <w:t>str</w:t>
      </w:r>
      <w:r w:rsidRPr="00F66162">
        <w:rPr>
          <w:noProof/>
        </w:rPr>
        <w:t>uktura zespołu wyglądałaby następująco:</w:t>
      </w:r>
    </w:p>
    <w:p w14:paraId="7239BBAB" w14:textId="3659B648" w:rsidR="666BDBD0" w:rsidRPr="00F66162" w:rsidRDefault="000A2E84" w:rsidP="00825614">
      <w:pPr>
        <w:pBdr>
          <w:top w:val="single" w:sz="8" w:space="1" w:color="000000"/>
          <w:left w:val="single" w:sz="8" w:space="4" w:color="000000"/>
          <w:bottom w:val="single" w:sz="8" w:space="1" w:color="000000"/>
          <w:right w:val="single" w:sz="8" w:space="4" w:color="000000"/>
        </w:pBdr>
        <w:jc w:val="center"/>
        <w:rPr>
          <w:noProof/>
        </w:rPr>
      </w:pPr>
      <w:r>
        <w:rPr>
          <w:noProof/>
          <w:lang w:val="en-GB" w:eastAsia="en-GB"/>
        </w:rPr>
        <w:drawing>
          <wp:inline distT="0" distB="0" distL="0" distR="0" wp14:anchorId="02F33123" wp14:editId="062D130C">
            <wp:extent cx="4645143" cy="5505450"/>
            <wp:effectExtent l="0" t="0" r="3175" b="0"/>
            <wp:docPr id="936294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94947" name=""/>
                    <pic:cNvPicPr/>
                  </pic:nvPicPr>
                  <pic:blipFill>
                    <a:blip r:embed="rId22"/>
                    <a:stretch>
                      <a:fillRect/>
                    </a:stretch>
                  </pic:blipFill>
                  <pic:spPr>
                    <a:xfrm>
                      <a:off x="0" y="0"/>
                      <a:ext cx="4659699" cy="5522702"/>
                    </a:xfrm>
                    <a:prstGeom prst="rect">
                      <a:avLst/>
                    </a:prstGeom>
                  </pic:spPr>
                </pic:pic>
              </a:graphicData>
            </a:graphic>
          </wp:inline>
        </w:drawing>
      </w:r>
    </w:p>
    <w:p w14:paraId="2BE18E6D" w14:textId="3381E254" w:rsidR="666BDBD0" w:rsidRPr="00F66162" w:rsidRDefault="00825614" w:rsidP="139DF8FE">
      <w:pPr>
        <w:ind w:left="850" w:hanging="850"/>
        <w:rPr>
          <w:noProof/>
        </w:rPr>
      </w:pPr>
      <w:r>
        <w:rPr>
          <w:i/>
          <w:noProof/>
        </w:rPr>
        <w:br w:type="column"/>
      </w:r>
      <w:r w:rsidR="666BDBD0" w:rsidRPr="00F66162">
        <w:rPr>
          <w:i/>
          <w:noProof/>
        </w:rPr>
        <w:lastRenderedPageBreak/>
        <w:t>Proponowany plan rozmieszczenia członków zespołu informatycznego CBAM jest następujący:</w:t>
      </w:r>
    </w:p>
    <w:tbl>
      <w:tblPr>
        <w:tblStyle w:val="Tabela-Siatka"/>
        <w:tblW w:w="9322" w:type="dxa"/>
        <w:tblLayout w:type="fixed"/>
        <w:tblLook w:val="04A0" w:firstRow="1" w:lastRow="0" w:firstColumn="1" w:lastColumn="0" w:noHBand="0" w:noVBand="1"/>
      </w:tblPr>
      <w:tblGrid>
        <w:gridCol w:w="1802"/>
        <w:gridCol w:w="1316"/>
        <w:gridCol w:w="1434"/>
        <w:gridCol w:w="1576"/>
        <w:gridCol w:w="1434"/>
        <w:gridCol w:w="1760"/>
      </w:tblGrid>
      <w:tr w:rsidR="139DF8FE" w:rsidRPr="00F66162" w14:paraId="7984314A" w14:textId="77777777" w:rsidTr="008067CE">
        <w:trPr>
          <w:trHeight w:val="300"/>
        </w:trPr>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0721B674" w14:textId="77777777" w:rsidR="139DF8FE" w:rsidRPr="00F66162" w:rsidRDefault="139DF8FE" w:rsidP="139DF8FE">
            <w:pPr>
              <w:rPr>
                <w:noProof/>
              </w:rPr>
            </w:pPr>
            <w:r w:rsidRPr="00F66162">
              <w:rPr>
                <w:b/>
                <w:noProof/>
              </w:rPr>
              <w:t>Rok</w:t>
            </w:r>
          </w:p>
        </w:tc>
        <w:tc>
          <w:tcPr>
            <w:tcW w:w="1316" w:type="dxa"/>
            <w:tcBorders>
              <w:top w:val="single" w:sz="8" w:space="0" w:color="auto"/>
              <w:left w:val="single" w:sz="8" w:space="0" w:color="auto"/>
              <w:bottom w:val="single" w:sz="8" w:space="0" w:color="auto"/>
              <w:right w:val="single" w:sz="8" w:space="0" w:color="auto"/>
            </w:tcBorders>
            <w:tcMar>
              <w:left w:w="108" w:type="dxa"/>
              <w:right w:w="108" w:type="dxa"/>
            </w:tcMar>
          </w:tcPr>
          <w:p w14:paraId="3361453A" w14:textId="77777777" w:rsidR="139DF8FE" w:rsidRPr="00F66162" w:rsidRDefault="139DF8FE" w:rsidP="139DF8FE">
            <w:pPr>
              <w:rPr>
                <w:noProof/>
              </w:rPr>
            </w:pPr>
            <w:r w:rsidRPr="00F66162">
              <w:rPr>
                <w:b/>
                <w:noProof/>
              </w:rPr>
              <w:t>2023</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5A987AE" w14:textId="77777777" w:rsidR="139DF8FE" w:rsidRPr="00F66162" w:rsidRDefault="139DF8FE" w:rsidP="139DF8FE">
            <w:pPr>
              <w:rPr>
                <w:noProof/>
              </w:rPr>
            </w:pPr>
            <w:r w:rsidRPr="00F66162">
              <w:rPr>
                <w:b/>
                <w:noProof/>
              </w:rPr>
              <w:t>2024</w:t>
            </w:r>
          </w:p>
        </w:tc>
        <w:tc>
          <w:tcPr>
            <w:tcW w:w="1576" w:type="dxa"/>
            <w:tcBorders>
              <w:top w:val="single" w:sz="8" w:space="0" w:color="auto"/>
              <w:left w:val="single" w:sz="8" w:space="0" w:color="auto"/>
              <w:bottom w:val="single" w:sz="8" w:space="0" w:color="auto"/>
              <w:right w:val="single" w:sz="8" w:space="0" w:color="auto"/>
            </w:tcBorders>
            <w:tcMar>
              <w:left w:w="108" w:type="dxa"/>
              <w:right w:w="108" w:type="dxa"/>
            </w:tcMar>
          </w:tcPr>
          <w:p w14:paraId="43C6EE3C" w14:textId="77777777" w:rsidR="139DF8FE" w:rsidRPr="00F66162" w:rsidRDefault="139DF8FE" w:rsidP="139DF8FE">
            <w:pPr>
              <w:rPr>
                <w:noProof/>
              </w:rPr>
            </w:pPr>
            <w:r w:rsidRPr="00F66162">
              <w:rPr>
                <w:b/>
                <w:noProof/>
              </w:rPr>
              <w:t>2025</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41AE4D56" w14:textId="77777777" w:rsidR="139DF8FE" w:rsidRPr="00F66162" w:rsidRDefault="139DF8FE" w:rsidP="139DF8FE">
            <w:pPr>
              <w:rPr>
                <w:noProof/>
              </w:rPr>
            </w:pPr>
            <w:r w:rsidRPr="00F66162">
              <w:rPr>
                <w:b/>
                <w:noProof/>
              </w:rPr>
              <w:t>2026</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56D9B867" w14:textId="77777777" w:rsidR="139DF8FE" w:rsidRPr="00F66162" w:rsidRDefault="139DF8FE" w:rsidP="139DF8FE">
            <w:pPr>
              <w:rPr>
                <w:noProof/>
              </w:rPr>
            </w:pPr>
            <w:r w:rsidRPr="00F66162">
              <w:rPr>
                <w:b/>
                <w:noProof/>
              </w:rPr>
              <w:t>2027</w:t>
            </w:r>
          </w:p>
        </w:tc>
      </w:tr>
      <w:tr w:rsidR="139DF8FE" w:rsidRPr="00F66162" w14:paraId="0A24EA5F" w14:textId="77777777" w:rsidTr="008067CE">
        <w:trPr>
          <w:trHeight w:val="300"/>
        </w:trPr>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5F63D6F9" w14:textId="77777777" w:rsidR="139DF8FE" w:rsidRPr="00F66162" w:rsidRDefault="139DF8FE" w:rsidP="139DF8FE">
            <w:pPr>
              <w:rPr>
                <w:noProof/>
              </w:rPr>
            </w:pPr>
            <w:r w:rsidRPr="00F66162">
              <w:rPr>
                <w:b/>
                <w:noProof/>
              </w:rPr>
              <w:t>Liczba pracowników</w:t>
            </w:r>
          </w:p>
        </w:tc>
        <w:tc>
          <w:tcPr>
            <w:tcW w:w="1316" w:type="dxa"/>
            <w:tcBorders>
              <w:top w:val="single" w:sz="8" w:space="0" w:color="auto"/>
              <w:left w:val="single" w:sz="8" w:space="0" w:color="auto"/>
              <w:bottom w:val="single" w:sz="8" w:space="0" w:color="auto"/>
              <w:right w:val="single" w:sz="8" w:space="0" w:color="auto"/>
            </w:tcBorders>
            <w:tcMar>
              <w:left w:w="108" w:type="dxa"/>
              <w:right w:w="108" w:type="dxa"/>
            </w:tcMar>
          </w:tcPr>
          <w:p w14:paraId="143AE84D" w14:textId="77777777" w:rsidR="139DF8FE" w:rsidRPr="00F66162" w:rsidRDefault="139DF8FE" w:rsidP="139DF8FE">
            <w:pPr>
              <w:rPr>
                <w:noProof/>
              </w:rPr>
            </w:pPr>
            <w:r w:rsidRPr="00F66162">
              <w:rPr>
                <w:noProof/>
              </w:rPr>
              <w:t>8</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2EE7D48" w14:textId="77777777" w:rsidR="139DF8FE" w:rsidRPr="00F66162" w:rsidRDefault="139DF8FE" w:rsidP="139DF8FE">
            <w:pPr>
              <w:rPr>
                <w:noProof/>
              </w:rPr>
            </w:pPr>
            <w:r w:rsidRPr="00F66162">
              <w:rPr>
                <w:noProof/>
              </w:rPr>
              <w:t>12</w:t>
            </w:r>
          </w:p>
        </w:tc>
        <w:tc>
          <w:tcPr>
            <w:tcW w:w="1576" w:type="dxa"/>
            <w:tcBorders>
              <w:top w:val="single" w:sz="8" w:space="0" w:color="auto"/>
              <w:left w:val="single" w:sz="8" w:space="0" w:color="auto"/>
              <w:bottom w:val="single" w:sz="8" w:space="0" w:color="auto"/>
              <w:right w:val="single" w:sz="8" w:space="0" w:color="auto"/>
            </w:tcBorders>
            <w:tcMar>
              <w:left w:w="108" w:type="dxa"/>
              <w:right w:w="108" w:type="dxa"/>
            </w:tcMar>
          </w:tcPr>
          <w:p w14:paraId="02490C8D" w14:textId="77777777" w:rsidR="139DF8FE" w:rsidRPr="00F66162" w:rsidRDefault="139DF8FE" w:rsidP="139DF8FE">
            <w:pPr>
              <w:rPr>
                <w:noProof/>
              </w:rPr>
            </w:pPr>
            <w:r w:rsidRPr="00F66162">
              <w:rPr>
                <w:noProof/>
              </w:rPr>
              <w:t>15</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47732516" w14:textId="77777777" w:rsidR="139DF8FE" w:rsidRPr="00F66162" w:rsidRDefault="139DF8FE" w:rsidP="139DF8FE">
            <w:pPr>
              <w:rPr>
                <w:noProof/>
              </w:rPr>
            </w:pPr>
            <w:r w:rsidRPr="00F66162">
              <w:rPr>
                <w:noProof/>
              </w:rPr>
              <w:t>15</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276288C0" w14:textId="77777777" w:rsidR="139DF8FE" w:rsidRPr="00F66162" w:rsidRDefault="139DF8FE" w:rsidP="139DF8FE">
            <w:pPr>
              <w:rPr>
                <w:noProof/>
              </w:rPr>
            </w:pPr>
            <w:r w:rsidRPr="00F66162">
              <w:rPr>
                <w:noProof/>
              </w:rPr>
              <w:t>15</w:t>
            </w:r>
          </w:p>
        </w:tc>
      </w:tr>
      <w:tr w:rsidR="139DF8FE" w:rsidRPr="00F66162" w14:paraId="3CEFF5C8" w14:textId="77777777" w:rsidTr="008067CE">
        <w:trPr>
          <w:trHeight w:val="300"/>
        </w:trPr>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453FEFF7" w14:textId="77777777" w:rsidR="139DF8FE" w:rsidRPr="00F66162" w:rsidRDefault="139DF8FE" w:rsidP="139DF8FE">
            <w:pPr>
              <w:rPr>
                <w:noProof/>
              </w:rPr>
            </w:pPr>
            <w:r w:rsidRPr="00F66162">
              <w:rPr>
                <w:b/>
                <w:noProof/>
              </w:rPr>
              <w:t>AD</w:t>
            </w:r>
          </w:p>
        </w:tc>
        <w:tc>
          <w:tcPr>
            <w:tcW w:w="1316" w:type="dxa"/>
            <w:tcBorders>
              <w:top w:val="single" w:sz="8" w:space="0" w:color="auto"/>
              <w:left w:val="single" w:sz="8" w:space="0" w:color="auto"/>
              <w:bottom w:val="single" w:sz="8" w:space="0" w:color="auto"/>
              <w:right w:val="single" w:sz="8" w:space="0" w:color="auto"/>
            </w:tcBorders>
            <w:tcMar>
              <w:left w:w="108" w:type="dxa"/>
              <w:right w:w="108" w:type="dxa"/>
            </w:tcMar>
          </w:tcPr>
          <w:p w14:paraId="40E5AC13" w14:textId="77777777" w:rsidR="139DF8FE" w:rsidRPr="00F66162" w:rsidRDefault="139DF8FE" w:rsidP="139DF8FE">
            <w:pPr>
              <w:rPr>
                <w:noProof/>
              </w:rPr>
            </w:pPr>
            <w:r w:rsidRPr="00F66162">
              <w:rPr>
                <w:noProof/>
              </w:rPr>
              <w:t>4</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46072A78" w14:textId="77777777" w:rsidR="139DF8FE" w:rsidRPr="00F66162" w:rsidRDefault="139DF8FE" w:rsidP="139DF8FE">
            <w:pPr>
              <w:rPr>
                <w:noProof/>
              </w:rPr>
            </w:pPr>
            <w:r w:rsidRPr="00F66162">
              <w:rPr>
                <w:noProof/>
              </w:rPr>
              <w:t>5</w:t>
            </w:r>
          </w:p>
        </w:tc>
        <w:tc>
          <w:tcPr>
            <w:tcW w:w="1576" w:type="dxa"/>
            <w:tcBorders>
              <w:top w:val="single" w:sz="8" w:space="0" w:color="auto"/>
              <w:left w:val="single" w:sz="8" w:space="0" w:color="auto"/>
              <w:bottom w:val="single" w:sz="8" w:space="0" w:color="auto"/>
              <w:right w:val="single" w:sz="8" w:space="0" w:color="auto"/>
            </w:tcBorders>
            <w:tcMar>
              <w:left w:w="108" w:type="dxa"/>
              <w:right w:w="108" w:type="dxa"/>
            </w:tcMar>
          </w:tcPr>
          <w:p w14:paraId="1BF52812" w14:textId="77777777" w:rsidR="139DF8FE" w:rsidRPr="00F66162" w:rsidRDefault="139DF8FE" w:rsidP="139DF8FE">
            <w:pPr>
              <w:rPr>
                <w:noProof/>
              </w:rPr>
            </w:pPr>
            <w:r w:rsidRPr="00F66162">
              <w:rPr>
                <w:noProof/>
              </w:rPr>
              <w:t>5</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270EF24A" w14:textId="77777777" w:rsidR="139DF8FE" w:rsidRPr="00F66162" w:rsidRDefault="139DF8FE" w:rsidP="139DF8FE">
            <w:pPr>
              <w:rPr>
                <w:noProof/>
              </w:rPr>
            </w:pPr>
            <w:r w:rsidRPr="00F66162">
              <w:rPr>
                <w:noProof/>
              </w:rPr>
              <w:t>5</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0371B9C2" w14:textId="77777777" w:rsidR="139DF8FE" w:rsidRPr="00F66162" w:rsidRDefault="139DF8FE" w:rsidP="139DF8FE">
            <w:pPr>
              <w:rPr>
                <w:noProof/>
              </w:rPr>
            </w:pPr>
            <w:r w:rsidRPr="00F66162">
              <w:rPr>
                <w:noProof/>
              </w:rPr>
              <w:t>5</w:t>
            </w:r>
          </w:p>
        </w:tc>
      </w:tr>
      <w:tr w:rsidR="139DF8FE" w:rsidRPr="00F66162" w14:paraId="3AD773BA" w14:textId="77777777" w:rsidTr="008067CE">
        <w:trPr>
          <w:trHeight w:val="300"/>
        </w:trPr>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5CB4DD3C" w14:textId="77777777" w:rsidR="139DF8FE" w:rsidRPr="00F66162" w:rsidRDefault="139DF8FE" w:rsidP="139DF8FE">
            <w:pPr>
              <w:rPr>
                <w:noProof/>
              </w:rPr>
            </w:pPr>
            <w:r w:rsidRPr="00F66162">
              <w:rPr>
                <w:b/>
                <w:noProof/>
              </w:rPr>
              <w:t>CA</w:t>
            </w:r>
          </w:p>
        </w:tc>
        <w:tc>
          <w:tcPr>
            <w:tcW w:w="1316" w:type="dxa"/>
            <w:tcBorders>
              <w:top w:val="single" w:sz="8" w:space="0" w:color="auto"/>
              <w:left w:val="single" w:sz="8" w:space="0" w:color="auto"/>
              <w:bottom w:val="single" w:sz="8" w:space="0" w:color="auto"/>
              <w:right w:val="single" w:sz="8" w:space="0" w:color="auto"/>
            </w:tcBorders>
            <w:tcMar>
              <w:left w:w="108" w:type="dxa"/>
              <w:right w:w="108" w:type="dxa"/>
            </w:tcMar>
          </w:tcPr>
          <w:p w14:paraId="21983000" w14:textId="77777777" w:rsidR="139DF8FE" w:rsidRPr="00F66162" w:rsidRDefault="139DF8FE" w:rsidP="139DF8FE">
            <w:pPr>
              <w:rPr>
                <w:noProof/>
              </w:rPr>
            </w:pPr>
            <w:r w:rsidRPr="00F66162">
              <w:rPr>
                <w:noProof/>
              </w:rPr>
              <w:t>4</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676245F" w14:textId="77777777" w:rsidR="139DF8FE" w:rsidRPr="00F66162" w:rsidRDefault="139DF8FE" w:rsidP="139DF8FE">
            <w:pPr>
              <w:rPr>
                <w:noProof/>
              </w:rPr>
            </w:pPr>
            <w:r w:rsidRPr="00F66162">
              <w:rPr>
                <w:noProof/>
              </w:rPr>
              <w:t>7</w:t>
            </w:r>
          </w:p>
        </w:tc>
        <w:tc>
          <w:tcPr>
            <w:tcW w:w="1576" w:type="dxa"/>
            <w:tcBorders>
              <w:top w:val="single" w:sz="8" w:space="0" w:color="auto"/>
              <w:left w:val="single" w:sz="8" w:space="0" w:color="auto"/>
              <w:bottom w:val="single" w:sz="8" w:space="0" w:color="auto"/>
              <w:right w:val="single" w:sz="8" w:space="0" w:color="auto"/>
            </w:tcBorders>
            <w:tcMar>
              <w:left w:w="108" w:type="dxa"/>
              <w:right w:w="108" w:type="dxa"/>
            </w:tcMar>
          </w:tcPr>
          <w:p w14:paraId="5D5E4F70" w14:textId="77777777" w:rsidR="139DF8FE" w:rsidRPr="00F66162" w:rsidRDefault="139DF8FE" w:rsidP="139DF8FE">
            <w:pPr>
              <w:rPr>
                <w:noProof/>
              </w:rPr>
            </w:pPr>
            <w:r w:rsidRPr="00F66162">
              <w:rPr>
                <w:noProof/>
              </w:rPr>
              <w:t>10</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61A705B" w14:textId="77777777" w:rsidR="139DF8FE" w:rsidRPr="00F66162" w:rsidRDefault="139DF8FE" w:rsidP="139DF8FE">
            <w:pPr>
              <w:rPr>
                <w:noProof/>
              </w:rPr>
            </w:pPr>
            <w:r w:rsidRPr="00F66162">
              <w:rPr>
                <w:noProof/>
              </w:rPr>
              <w:t>10</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3F54FF6B" w14:textId="77777777" w:rsidR="139DF8FE" w:rsidRPr="00F66162" w:rsidRDefault="139DF8FE" w:rsidP="139DF8FE">
            <w:pPr>
              <w:rPr>
                <w:noProof/>
              </w:rPr>
            </w:pPr>
            <w:r w:rsidRPr="00F66162">
              <w:rPr>
                <w:noProof/>
              </w:rPr>
              <w:t>10</w:t>
            </w:r>
          </w:p>
        </w:tc>
      </w:tr>
    </w:tbl>
    <w:p w14:paraId="767F87D3" w14:textId="77777777" w:rsidR="139DF8FE" w:rsidRPr="00F66162" w:rsidRDefault="139DF8FE" w:rsidP="139DF8FE">
      <w:pPr>
        <w:pStyle w:val="Text1"/>
        <w:rPr>
          <w:noProof/>
        </w:rPr>
      </w:pPr>
    </w:p>
    <w:p w14:paraId="158AA104" w14:textId="55A77D32" w:rsidR="00FA5543" w:rsidRPr="00F66162" w:rsidRDefault="00FA5543" w:rsidP="00390489">
      <w:pPr>
        <w:pStyle w:val="ManualHeading3"/>
        <w:rPr>
          <w:bCs/>
          <w:noProof/>
          <w:szCs w:val="24"/>
        </w:rPr>
      </w:pPr>
      <w:r w:rsidRPr="00F66162">
        <w:rPr>
          <w:noProof/>
        </w:rPr>
        <w:t>1.5.2.</w:t>
      </w:r>
      <w:r w:rsidRPr="00F66162">
        <w:rPr>
          <w:noProof/>
        </w:rPr>
        <w:tab/>
        <w:t>Wartość dodana</w:t>
      </w:r>
      <w:r w:rsidR="00825614" w:rsidRPr="00F66162">
        <w:rPr>
          <w:noProof/>
        </w:rPr>
        <w:t xml:space="preserve"> z</w:t>
      </w:r>
      <w:r w:rsidR="00825614">
        <w:rPr>
          <w:noProof/>
        </w:rPr>
        <w:t> </w:t>
      </w:r>
      <w:r w:rsidR="00825614" w:rsidRPr="00F66162">
        <w:rPr>
          <w:noProof/>
        </w:rPr>
        <w:t>tyt</w:t>
      </w:r>
      <w:r w:rsidRPr="00F66162">
        <w:rPr>
          <w:noProof/>
        </w:rPr>
        <w:t>ułu zaangażowania Unii Europejskiej (może wynikać</w:t>
      </w:r>
      <w:r w:rsidR="00825614" w:rsidRPr="00F66162">
        <w:rPr>
          <w:noProof/>
        </w:rPr>
        <w:t xml:space="preserve"> z</w:t>
      </w:r>
      <w:r w:rsidR="00825614">
        <w:rPr>
          <w:noProof/>
        </w:rPr>
        <w:t> </w:t>
      </w:r>
      <w:r w:rsidR="00825614" w:rsidRPr="00F66162">
        <w:rPr>
          <w:noProof/>
        </w:rPr>
        <w:t>róż</w:t>
      </w:r>
      <w:r w:rsidRPr="00F66162">
        <w:rPr>
          <w:noProof/>
        </w:rPr>
        <w:t>nych czynników, na przykład korzyści koordynacyjnych, pewności prawa, większej efektywności lub komplementarności). Na potrzeby tej sekcji „wartość dodaną</w:t>
      </w:r>
      <w:r w:rsidR="00825614" w:rsidRPr="00F66162">
        <w:rPr>
          <w:noProof/>
        </w:rPr>
        <w:t xml:space="preserve"> z</w:t>
      </w:r>
      <w:r w:rsidR="00825614">
        <w:rPr>
          <w:noProof/>
        </w:rPr>
        <w:t> </w:t>
      </w:r>
      <w:r w:rsidR="00825614" w:rsidRPr="00F66162">
        <w:rPr>
          <w:noProof/>
        </w:rPr>
        <w:t>tyt</w:t>
      </w:r>
      <w:r w:rsidRPr="00F66162">
        <w:rPr>
          <w:noProof/>
        </w:rPr>
        <w:t>ułu zaangażowania Unii Europejskiej” należy rozumieć jako wartość wynikającą</w:t>
      </w:r>
      <w:r w:rsidR="00825614" w:rsidRPr="00F66162">
        <w:rPr>
          <w:noProof/>
        </w:rPr>
        <w:t xml:space="preserve"> z</w:t>
      </w:r>
      <w:r w:rsidR="00825614">
        <w:rPr>
          <w:noProof/>
        </w:rPr>
        <w:t> </w:t>
      </w:r>
      <w:r w:rsidR="00825614" w:rsidRPr="00F66162">
        <w:rPr>
          <w:noProof/>
        </w:rPr>
        <w:t>uni</w:t>
      </w:r>
      <w:r w:rsidRPr="00F66162">
        <w:rPr>
          <w:noProof/>
        </w:rPr>
        <w:t>jnej interwencji, wykraczającą poza wartość, która zostałaby wytworzona przez same państwa członkowskie.</w:t>
      </w:r>
    </w:p>
    <w:p w14:paraId="024FD792" w14:textId="1CA19F11" w:rsidR="00FA5543" w:rsidRPr="00F66162" w:rsidRDefault="6C3AF1E0" w:rsidP="139DF8FE">
      <w:pPr>
        <w:pStyle w:val="Text1"/>
        <w:pBdr>
          <w:top w:val="single" w:sz="8" w:space="1" w:color="000000"/>
          <w:left w:val="single" w:sz="8" w:space="4" w:color="000000"/>
          <w:bottom w:val="single" w:sz="8" w:space="1" w:color="000000"/>
          <w:right w:val="single" w:sz="8" w:space="4" w:color="000000"/>
        </w:pBdr>
        <w:rPr>
          <w:noProof/>
        </w:rPr>
      </w:pPr>
      <w:r w:rsidRPr="00F66162">
        <w:rPr>
          <w:noProof/>
        </w:rPr>
        <w:t>Przyczyny działania na poziomie UE (</w:t>
      </w:r>
      <w:r w:rsidRPr="00F66162">
        <w:rPr>
          <w:i/>
          <w:iCs/>
          <w:noProof/>
        </w:rPr>
        <w:t>ex ante</w:t>
      </w:r>
      <w:r w:rsidRPr="00F66162">
        <w:rPr>
          <w:noProof/>
        </w:rPr>
        <w:t>): Redukcja emisji gazów cieplarnianych jest zasadniczo kwestią transgraniczną, wymagającą skutecznych działań na możliwie największą skalę. UE jako organizacja ponadnarodowa jest właściwym podmiotem do ustanowienia skutecznej polityki klimatycznej w UE, tak jak to uczyniła</w:t>
      </w:r>
      <w:r w:rsidR="00825614" w:rsidRPr="00F66162">
        <w:rPr>
          <w:noProof/>
        </w:rPr>
        <w:t xml:space="preserve"> w</w:t>
      </w:r>
      <w:r w:rsidR="00825614">
        <w:rPr>
          <w:noProof/>
        </w:rPr>
        <w:t> </w:t>
      </w:r>
      <w:r w:rsidR="00825614" w:rsidRPr="00F66162">
        <w:rPr>
          <w:noProof/>
        </w:rPr>
        <w:t>prz</w:t>
      </w:r>
      <w:r w:rsidRPr="00F66162">
        <w:rPr>
          <w:noProof/>
        </w:rPr>
        <w:t xml:space="preserve">ypadku systemu EU ETS. </w:t>
      </w:r>
    </w:p>
    <w:p w14:paraId="4C0DA998" w14:textId="0998F521" w:rsidR="00FA5543" w:rsidRPr="00F66162" w:rsidRDefault="1444E3D8" w:rsidP="139DF8FE">
      <w:pPr>
        <w:pStyle w:val="Text1"/>
        <w:pBdr>
          <w:top w:val="single" w:sz="8" w:space="1" w:color="000000"/>
          <w:left w:val="single" w:sz="8" w:space="4" w:color="000000"/>
          <w:bottom w:val="single" w:sz="8" w:space="1" w:color="000000"/>
          <w:right w:val="single" w:sz="8" w:space="4" w:color="000000"/>
        </w:pBdr>
        <w:rPr>
          <w:noProof/>
        </w:rPr>
      </w:pPr>
      <w:r w:rsidRPr="00F66162">
        <w:rPr>
          <w:noProof/>
        </w:rPr>
        <w:t>Na poziomie UE istnieje już zharmonizowana opłata za emisję gazów cieplarnianych. Składa się na nią opłata wynikająca z EU ETS dla sektorów objętych systemem. Jedynym sensownym sposobem zapewnienia równoważności polityki</w:t>
      </w:r>
      <w:r w:rsidR="00825614" w:rsidRPr="00F66162">
        <w:rPr>
          <w:noProof/>
        </w:rPr>
        <w:t xml:space="preserve"> w</w:t>
      </w:r>
      <w:r w:rsidR="00825614">
        <w:rPr>
          <w:noProof/>
        </w:rPr>
        <w:t> </w:t>
      </w:r>
      <w:r w:rsidR="00825614" w:rsidRPr="00F66162">
        <w:rPr>
          <w:noProof/>
        </w:rPr>
        <w:t>zak</w:t>
      </w:r>
      <w:r w:rsidRPr="00F66162">
        <w:rPr>
          <w:noProof/>
        </w:rPr>
        <w:t>resie ustalania opłat za emisję gazów cieplarnianych stosowanej na unijnym rynku wewnętrznym</w:t>
      </w:r>
      <w:r w:rsidR="00825614" w:rsidRPr="00F66162">
        <w:rPr>
          <w:noProof/>
        </w:rPr>
        <w:t xml:space="preserve"> i</w:t>
      </w:r>
      <w:r w:rsidR="00825614">
        <w:rPr>
          <w:noProof/>
        </w:rPr>
        <w:t> </w:t>
      </w:r>
      <w:r w:rsidR="00825614" w:rsidRPr="00F66162">
        <w:rPr>
          <w:noProof/>
        </w:rPr>
        <w:t>maj</w:t>
      </w:r>
      <w:r w:rsidRPr="00F66162">
        <w:rPr>
          <w:noProof/>
        </w:rPr>
        <w:t>ącej zastosowanie do przywozu jest podjęcie działań na szczeblu Unii.</w:t>
      </w:r>
    </w:p>
    <w:p w14:paraId="433016D8" w14:textId="05C2EFC9" w:rsidR="00FA5543" w:rsidRPr="00F66162" w:rsidRDefault="1444E3D8" w:rsidP="139DF8FE">
      <w:pPr>
        <w:pStyle w:val="Text1"/>
        <w:pBdr>
          <w:top w:val="single" w:sz="8" w:space="1" w:color="000000"/>
          <w:left w:val="single" w:sz="8" w:space="4" w:color="000000"/>
          <w:bottom w:val="single" w:sz="8" w:space="1" w:color="000000"/>
          <w:right w:val="single" w:sz="8" w:space="4" w:color="000000"/>
        </w:pBdr>
        <w:rPr>
          <w:rFonts w:eastAsia="Times New Roman"/>
          <w:noProof/>
          <w:color w:val="0000FF"/>
          <w:szCs w:val="24"/>
        </w:rPr>
      </w:pPr>
      <w:r w:rsidRPr="00F66162">
        <w:rPr>
          <w:noProof/>
        </w:rPr>
        <w:t>Wszelkie inicjatywy powinny być realizowane</w:t>
      </w:r>
      <w:r w:rsidR="00825614" w:rsidRPr="00F66162">
        <w:rPr>
          <w:noProof/>
        </w:rPr>
        <w:t xml:space="preserve"> w</w:t>
      </w:r>
      <w:r w:rsidR="00825614">
        <w:rPr>
          <w:noProof/>
        </w:rPr>
        <w:t> </w:t>
      </w:r>
      <w:r w:rsidR="00825614" w:rsidRPr="00F66162">
        <w:rPr>
          <w:noProof/>
        </w:rPr>
        <w:t>spo</w:t>
      </w:r>
      <w:r w:rsidRPr="00F66162">
        <w:rPr>
          <w:noProof/>
        </w:rPr>
        <w:t>sób zapewniający importerom, niezależnie od państwa pochodzenia</w:t>
      </w:r>
      <w:r w:rsidR="00825614" w:rsidRPr="00F66162">
        <w:rPr>
          <w:noProof/>
        </w:rPr>
        <w:t xml:space="preserve"> i</w:t>
      </w:r>
      <w:r w:rsidR="00825614">
        <w:rPr>
          <w:noProof/>
        </w:rPr>
        <w:t> </w:t>
      </w:r>
      <w:r w:rsidR="00825614" w:rsidRPr="00F66162">
        <w:rPr>
          <w:noProof/>
        </w:rPr>
        <w:t>por</w:t>
      </w:r>
      <w:r w:rsidRPr="00F66162">
        <w:rPr>
          <w:noProof/>
        </w:rPr>
        <w:t>tu wprowadzenia lub przeznaczenia na terytorium UE, jednolite warunki</w:t>
      </w:r>
      <w:r w:rsidR="00825614" w:rsidRPr="00F66162">
        <w:rPr>
          <w:noProof/>
        </w:rPr>
        <w:t xml:space="preserve"> i</w:t>
      </w:r>
      <w:r w:rsidR="00825614">
        <w:rPr>
          <w:noProof/>
        </w:rPr>
        <w:t> </w:t>
      </w:r>
      <w:r w:rsidR="00825614" w:rsidRPr="00F66162">
        <w:rPr>
          <w:noProof/>
        </w:rPr>
        <w:t>zac</w:t>
      </w:r>
      <w:r w:rsidRPr="00F66162">
        <w:rPr>
          <w:noProof/>
        </w:rPr>
        <w:t>hęty do redukcji emisji gazów cieplarnianych, które są równoważne</w:t>
      </w:r>
      <w:r w:rsidR="00825614" w:rsidRPr="00F66162">
        <w:rPr>
          <w:noProof/>
        </w:rPr>
        <w:t xml:space="preserve"> z</w:t>
      </w:r>
      <w:r w:rsidR="00825614">
        <w:rPr>
          <w:noProof/>
        </w:rPr>
        <w:t> </w:t>
      </w:r>
      <w:r w:rsidR="00825614" w:rsidRPr="00F66162">
        <w:rPr>
          <w:noProof/>
        </w:rPr>
        <w:t>war</w:t>
      </w:r>
      <w:r w:rsidRPr="00F66162">
        <w:rPr>
          <w:noProof/>
        </w:rPr>
        <w:t>unkami</w:t>
      </w:r>
      <w:r w:rsidR="00825614" w:rsidRPr="00F66162">
        <w:rPr>
          <w:noProof/>
        </w:rPr>
        <w:t xml:space="preserve"> i</w:t>
      </w:r>
      <w:r w:rsidR="00825614">
        <w:rPr>
          <w:noProof/>
        </w:rPr>
        <w:t> </w:t>
      </w:r>
      <w:r w:rsidR="00825614" w:rsidRPr="00F66162">
        <w:rPr>
          <w:noProof/>
        </w:rPr>
        <w:t>zac</w:t>
      </w:r>
      <w:r w:rsidRPr="00F66162">
        <w:rPr>
          <w:noProof/>
        </w:rPr>
        <w:t>hętami stosowanymi</w:t>
      </w:r>
      <w:r w:rsidR="00825614" w:rsidRPr="00F66162">
        <w:rPr>
          <w:noProof/>
        </w:rPr>
        <w:t xml:space="preserve"> w</w:t>
      </w:r>
      <w:r w:rsidR="00825614">
        <w:rPr>
          <w:noProof/>
        </w:rPr>
        <w:t> </w:t>
      </w:r>
      <w:r w:rsidR="00825614" w:rsidRPr="00F66162">
        <w:rPr>
          <w:noProof/>
        </w:rPr>
        <w:t>odn</w:t>
      </w:r>
      <w:r w:rsidRPr="00F66162">
        <w:rPr>
          <w:noProof/>
        </w:rPr>
        <w:t>iesieniu do producentów wewnątrzunijnych. Jedynym skutecznym sposobem na osiągnięcie tego celu jest podjęcie działań na szczeblu UE.</w:t>
      </w:r>
    </w:p>
    <w:p w14:paraId="26E93928" w14:textId="167D5146" w:rsidR="00FA5543" w:rsidRPr="00F66162" w:rsidRDefault="1444E3D8"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Proponowane uproszczenie wprowadzone rozporządzeniem zmieniającym najlepiej przeprowadzić na szczeblu UE, aby zapewnić pewność</w:t>
      </w:r>
      <w:r w:rsidR="00825614" w:rsidRPr="00F66162">
        <w:rPr>
          <w:noProof/>
        </w:rPr>
        <w:t xml:space="preserve"> i</w:t>
      </w:r>
      <w:r w:rsidR="00825614">
        <w:rPr>
          <w:noProof/>
        </w:rPr>
        <w:t> </w:t>
      </w:r>
      <w:r w:rsidR="00825614" w:rsidRPr="00F66162">
        <w:rPr>
          <w:noProof/>
        </w:rPr>
        <w:t>spó</w:t>
      </w:r>
      <w:r w:rsidRPr="00F66162">
        <w:rPr>
          <w:noProof/>
        </w:rPr>
        <w:t>jność prawa. Zapewni to równe warunki działania unijnych przedsiębiorstw</w:t>
      </w:r>
      <w:r w:rsidR="00825614" w:rsidRPr="00F66162">
        <w:rPr>
          <w:noProof/>
        </w:rPr>
        <w:t xml:space="preserve"> i</w:t>
      </w:r>
      <w:r w:rsidR="00825614">
        <w:rPr>
          <w:noProof/>
        </w:rPr>
        <w:t> </w:t>
      </w:r>
      <w:r w:rsidR="00825614" w:rsidRPr="00F66162">
        <w:rPr>
          <w:noProof/>
        </w:rPr>
        <w:t>org</w:t>
      </w:r>
      <w:r w:rsidRPr="00F66162">
        <w:rPr>
          <w:noProof/>
        </w:rPr>
        <w:t>anów, które skorzystają</w:t>
      </w:r>
      <w:r w:rsidR="00825614" w:rsidRPr="00F66162">
        <w:rPr>
          <w:noProof/>
        </w:rPr>
        <w:t xml:space="preserve"> z</w:t>
      </w:r>
      <w:r w:rsidR="00825614">
        <w:rPr>
          <w:noProof/>
        </w:rPr>
        <w:t> </w:t>
      </w:r>
      <w:r w:rsidR="00825614" w:rsidRPr="00F66162">
        <w:rPr>
          <w:noProof/>
        </w:rPr>
        <w:t>rac</w:t>
      </w:r>
      <w:r w:rsidRPr="00F66162">
        <w:rPr>
          <w:noProof/>
        </w:rPr>
        <w:t>jonalizacji wymogów sprawozdawczych wynikającej</w:t>
      </w:r>
      <w:r w:rsidR="00825614" w:rsidRPr="00F66162">
        <w:rPr>
          <w:noProof/>
        </w:rPr>
        <w:t xml:space="preserve"> z</w:t>
      </w:r>
      <w:r w:rsidR="00825614">
        <w:rPr>
          <w:noProof/>
        </w:rPr>
        <w:t> </w:t>
      </w:r>
      <w:r w:rsidR="00825614" w:rsidRPr="00F66162">
        <w:rPr>
          <w:noProof/>
        </w:rPr>
        <w:t>nin</w:t>
      </w:r>
      <w:r w:rsidRPr="00F66162">
        <w:rPr>
          <w:noProof/>
        </w:rPr>
        <w:t>iejszego wniosku.</w:t>
      </w:r>
    </w:p>
    <w:p w14:paraId="5C428175" w14:textId="5C89AF25" w:rsidR="00FA5543" w:rsidRPr="00F66162" w:rsidRDefault="6C3AF1E0"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b/>
          <w:noProof/>
        </w:rPr>
        <w:t>Oczekiwana wygenerowana unijna wartość dodana (</w:t>
      </w:r>
      <w:r w:rsidRPr="00F66162">
        <w:rPr>
          <w:b/>
          <w:i/>
          <w:iCs/>
          <w:noProof/>
        </w:rPr>
        <w:t>ex post</w:t>
      </w:r>
      <w:r w:rsidRPr="00F66162">
        <w:rPr>
          <w:b/>
          <w:noProof/>
        </w:rPr>
        <w:t>)</w:t>
      </w:r>
      <w:r w:rsidRPr="00F66162">
        <w:rPr>
          <w:noProof/>
        </w:rPr>
        <w:t>: Równolegle do EU ETS na szczeblu UE mogą zostać ustanowione</w:t>
      </w:r>
      <w:r w:rsidR="00825614" w:rsidRPr="00F66162">
        <w:rPr>
          <w:noProof/>
        </w:rPr>
        <w:t xml:space="preserve"> w</w:t>
      </w:r>
      <w:r w:rsidR="00825614">
        <w:rPr>
          <w:noProof/>
        </w:rPr>
        <w:t> </w:t>
      </w:r>
      <w:r w:rsidR="00825614" w:rsidRPr="00F66162">
        <w:rPr>
          <w:noProof/>
        </w:rPr>
        <w:t>naj</w:t>
      </w:r>
      <w:r w:rsidRPr="00F66162">
        <w:rPr>
          <w:noProof/>
        </w:rPr>
        <w:t xml:space="preserve">bardziej odpowiedni sposób redukcja emisji gazów cieplarnianych oraz ochrona przed ryzykiem ucieczki emisji na jednolitym rynku UE. Ponadto potrzebę minimalnych kosztów administracyjnych można najlepiej zaspokoić dzięki ustanowieniu spójnych przepisów dla całego jednolitego rynku, co tym bardziej podkreśla wartość dodaną interwencji na szczeblu UE. </w:t>
      </w:r>
    </w:p>
    <w:p w14:paraId="7E6D3BBE" w14:textId="6E565072" w:rsidR="00FA5543" w:rsidRPr="00F66162" w:rsidRDefault="459A401A"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lastRenderedPageBreak/>
        <w:t>Konsultacje publiczne potwierdziły wartość dodaną podejmowania działań dotyczących CBAM na szczeblu UE</w:t>
      </w:r>
      <w:r w:rsidR="00825614" w:rsidRPr="00F66162">
        <w:rPr>
          <w:noProof/>
        </w:rPr>
        <w:t>. W</w:t>
      </w:r>
      <w:r w:rsidR="00825614">
        <w:rPr>
          <w:noProof/>
        </w:rPr>
        <w:t> </w:t>
      </w:r>
      <w:r w:rsidR="00825614" w:rsidRPr="00F66162">
        <w:rPr>
          <w:noProof/>
        </w:rPr>
        <w:t>szc</w:t>
      </w:r>
      <w:r w:rsidRPr="00F66162">
        <w:rPr>
          <w:noProof/>
        </w:rPr>
        <w:t>zególności zainteresowane podmioty są zgodne, że unijny CBAM jest konieczny ze względu na istniejące różnice między ambicjami UE</w:t>
      </w:r>
      <w:r w:rsidR="00825614" w:rsidRPr="00F66162">
        <w:rPr>
          <w:noProof/>
        </w:rPr>
        <w:t xml:space="preserve"> a</w:t>
      </w:r>
      <w:r w:rsidR="00825614">
        <w:rPr>
          <w:noProof/>
        </w:rPr>
        <w:t> </w:t>
      </w:r>
      <w:r w:rsidR="00825614" w:rsidRPr="00F66162">
        <w:rPr>
          <w:noProof/>
        </w:rPr>
        <w:t>amb</w:t>
      </w:r>
      <w:r w:rsidRPr="00F66162">
        <w:rPr>
          <w:noProof/>
        </w:rPr>
        <w:t>icjami pozostałych państw świata,</w:t>
      </w:r>
      <w:r w:rsidR="00825614" w:rsidRPr="00F66162">
        <w:rPr>
          <w:noProof/>
        </w:rPr>
        <w:t xml:space="preserve"> a</w:t>
      </w:r>
      <w:r w:rsidR="00825614">
        <w:rPr>
          <w:noProof/>
        </w:rPr>
        <w:t> </w:t>
      </w:r>
      <w:r w:rsidR="00825614" w:rsidRPr="00F66162">
        <w:rPr>
          <w:noProof/>
        </w:rPr>
        <w:t>tak</w:t>
      </w:r>
      <w:r w:rsidRPr="00F66162">
        <w:rPr>
          <w:noProof/>
        </w:rPr>
        <w:t>że aby wspierać globalne starania na rzecz klimatu. Ponadto</w:t>
      </w:r>
      <w:r w:rsidR="00825614" w:rsidRPr="00F66162">
        <w:rPr>
          <w:noProof/>
        </w:rPr>
        <w:t xml:space="preserve"> z</w:t>
      </w:r>
      <w:r w:rsidR="00825614">
        <w:rPr>
          <w:noProof/>
        </w:rPr>
        <w:t> </w:t>
      </w:r>
      <w:r w:rsidR="00825614" w:rsidRPr="00F66162">
        <w:rPr>
          <w:noProof/>
        </w:rPr>
        <w:t>uwa</w:t>
      </w:r>
      <w:r w:rsidRPr="00F66162">
        <w:rPr>
          <w:noProof/>
        </w:rPr>
        <w:t>gi na pozycję UE</w:t>
      </w:r>
      <w:r w:rsidR="00825614" w:rsidRPr="00F66162">
        <w:rPr>
          <w:noProof/>
        </w:rPr>
        <w:t xml:space="preserve"> w</w:t>
      </w:r>
      <w:r w:rsidR="00825614">
        <w:rPr>
          <w:noProof/>
        </w:rPr>
        <w:t> </w:t>
      </w:r>
      <w:r w:rsidR="00825614" w:rsidRPr="00F66162">
        <w:rPr>
          <w:noProof/>
        </w:rPr>
        <w:t>han</w:t>
      </w:r>
      <w:r w:rsidRPr="00F66162">
        <w:rPr>
          <w:noProof/>
        </w:rPr>
        <w:t>dlu międzynarodowym, jeśli wprowadzi ona CBAM, wpływ na środowisko</w:t>
      </w:r>
      <w:r w:rsidR="00825614" w:rsidRPr="00F66162">
        <w:rPr>
          <w:noProof/>
        </w:rPr>
        <w:t xml:space="preserve"> w</w:t>
      </w:r>
      <w:r w:rsidR="00825614">
        <w:rPr>
          <w:noProof/>
        </w:rPr>
        <w:t> </w:t>
      </w:r>
      <w:r w:rsidR="00825614" w:rsidRPr="00F66162">
        <w:rPr>
          <w:noProof/>
        </w:rPr>
        <w:t>kon</w:t>
      </w:r>
      <w:r w:rsidRPr="00F66162">
        <w:rPr>
          <w:noProof/>
        </w:rPr>
        <w:t>tekście międzynarodowych ambitnych celów klimatycznych będzie najbardziej skuteczny jako potencjalny przykład do naśladowania.</w:t>
      </w:r>
    </w:p>
    <w:p w14:paraId="3F99EAD9" w14:textId="77777777" w:rsidR="00FA5543" w:rsidRPr="00F66162" w:rsidRDefault="459A401A"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Cel redukcji emisji oraz osiągnięcia neutralności klimatycznej wymaga zatem – przy braku równie ambitnej polityki globalnej – działań ze strony Unii Europejskiej.</w:t>
      </w:r>
    </w:p>
    <w:p w14:paraId="0ED3665E" w14:textId="4BE02D4B" w:rsidR="00FA5543" w:rsidRPr="00F66162" w:rsidRDefault="00FA5543" w:rsidP="00390489">
      <w:pPr>
        <w:pStyle w:val="ManualHeading3"/>
        <w:rPr>
          <w:noProof/>
        </w:rPr>
      </w:pPr>
      <w:r w:rsidRPr="00F66162">
        <w:rPr>
          <w:noProof/>
        </w:rPr>
        <w:t>1.5.3.</w:t>
      </w:r>
      <w:r w:rsidRPr="00F66162">
        <w:rPr>
          <w:noProof/>
        </w:rPr>
        <w:tab/>
        <w:t>Główne wnioski wyciągnięte</w:t>
      </w:r>
      <w:r w:rsidR="00825614" w:rsidRPr="00F66162">
        <w:rPr>
          <w:noProof/>
        </w:rPr>
        <w:t xml:space="preserve"> z</w:t>
      </w:r>
      <w:r w:rsidR="00825614">
        <w:rPr>
          <w:noProof/>
        </w:rPr>
        <w:t> </w:t>
      </w:r>
      <w:r w:rsidR="00825614" w:rsidRPr="00F66162">
        <w:rPr>
          <w:noProof/>
        </w:rPr>
        <w:t>pod</w:t>
      </w:r>
      <w:r w:rsidRPr="00F66162">
        <w:rPr>
          <w:noProof/>
        </w:rPr>
        <w:t>obnych działań</w:t>
      </w:r>
    </w:p>
    <w:p w14:paraId="5F0AEE53" w14:textId="3C61531E" w:rsidR="00580B5C" w:rsidRPr="00F66162" w:rsidRDefault="2E2B6830" w:rsidP="139DF8FE">
      <w:pPr>
        <w:pStyle w:val="Text1"/>
        <w:pBdr>
          <w:top w:val="single" w:sz="8" w:space="1" w:color="000000"/>
          <w:left w:val="single" w:sz="8" w:space="4" w:color="000000"/>
          <w:bottom w:val="single" w:sz="8" w:space="1" w:color="000000"/>
          <w:right w:val="single" w:sz="8" w:space="4" w:color="000000"/>
        </w:pBdr>
        <w:rPr>
          <w:noProof/>
        </w:rPr>
      </w:pPr>
      <w:r w:rsidRPr="00F66162">
        <w:rPr>
          <w:noProof/>
        </w:rPr>
        <w:t>CBAM jest nowym mechanizmem. Wariant preferowany</w:t>
      </w:r>
      <w:r w:rsidR="00825614" w:rsidRPr="00F66162">
        <w:rPr>
          <w:noProof/>
        </w:rPr>
        <w:t xml:space="preserve"> w</w:t>
      </w:r>
      <w:r w:rsidR="00825614">
        <w:rPr>
          <w:noProof/>
        </w:rPr>
        <w:t> </w:t>
      </w:r>
      <w:r w:rsidR="00825614" w:rsidRPr="00F66162">
        <w:rPr>
          <w:noProof/>
        </w:rPr>
        <w:t>oce</w:t>
      </w:r>
      <w:r w:rsidRPr="00F66162">
        <w:rPr>
          <w:noProof/>
        </w:rPr>
        <w:t>nie skutków opiera się na unijnym systemie handlu uprawnieniami do emisji i ma na celu powielenie niektórych jego cech.</w:t>
      </w:r>
    </w:p>
    <w:p w14:paraId="4165DF9D" w14:textId="77777777" w:rsidR="00580B5C" w:rsidRPr="00F66162" w:rsidRDefault="2E2B6830" w:rsidP="139DF8FE">
      <w:pPr>
        <w:pStyle w:val="Text1"/>
        <w:pBdr>
          <w:top w:val="single" w:sz="8" w:space="1" w:color="000000"/>
          <w:left w:val="single" w:sz="8" w:space="4" w:color="000000"/>
          <w:bottom w:val="single" w:sz="8" w:space="1" w:color="000000"/>
          <w:right w:val="single" w:sz="8" w:space="4" w:color="000000"/>
        </w:pBdr>
        <w:rPr>
          <w:rFonts w:eastAsia="Times New Roman"/>
          <w:noProof/>
          <w:color w:val="0000FF"/>
          <w:szCs w:val="24"/>
        </w:rPr>
      </w:pPr>
      <w:r w:rsidRPr="00F66162">
        <w:rPr>
          <w:noProof/>
        </w:rPr>
        <w:t>Jeżeli nie zostaną udostępnione wystarczające zasoby, aby prawidłowo egzekwować CBAM, istnieje poważne ryzyko, że przedsiębiorstwa unikną obowiązków związanych z CBAM.</w:t>
      </w:r>
    </w:p>
    <w:p w14:paraId="7C404E5E" w14:textId="7987760A" w:rsidR="00580B5C" w:rsidRPr="00F66162" w:rsidRDefault="2E2B6830"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 xml:space="preserve">Wniosek zmieniający oparto na doświadczeniach zdobytych podczas wdrażania CBAM, którego przejściowy okres obowiązywania rozpoczął </w:t>
      </w:r>
      <w:r w:rsidRPr="00825614">
        <w:rPr>
          <w:noProof/>
        </w:rPr>
        <w:t>się</w:t>
      </w:r>
      <w:r w:rsidR="00825614" w:rsidRPr="00825614">
        <w:rPr>
          <w:noProof/>
        </w:rPr>
        <w:t> </w:t>
      </w:r>
      <w:r w:rsidRPr="00825614">
        <w:rPr>
          <w:noProof/>
        </w:rPr>
        <w:t>1</w:t>
      </w:r>
      <w:r w:rsidRPr="00F66162">
        <w:rPr>
          <w:noProof/>
        </w:rPr>
        <w:t xml:space="preserve"> października 20</w:t>
      </w:r>
      <w:r w:rsidRPr="00825614">
        <w:rPr>
          <w:noProof/>
        </w:rPr>
        <w:t>23</w:t>
      </w:r>
      <w:r w:rsidR="00825614" w:rsidRPr="00825614">
        <w:rPr>
          <w:noProof/>
        </w:rPr>
        <w:t> </w:t>
      </w:r>
      <w:r w:rsidRPr="00825614">
        <w:rPr>
          <w:noProof/>
        </w:rPr>
        <w:t>r.</w:t>
      </w:r>
    </w:p>
    <w:p w14:paraId="4A0B5F2A" w14:textId="4BA150F7" w:rsidR="00FA5543" w:rsidRPr="00F66162" w:rsidRDefault="00FA5543" w:rsidP="00390489">
      <w:pPr>
        <w:pStyle w:val="ManualHeading3"/>
        <w:rPr>
          <w:noProof/>
        </w:rPr>
      </w:pPr>
      <w:r w:rsidRPr="00F66162">
        <w:rPr>
          <w:noProof/>
        </w:rPr>
        <w:t>1.5.4.</w:t>
      </w:r>
      <w:r w:rsidRPr="00F66162">
        <w:rPr>
          <w:noProof/>
        </w:rPr>
        <w:tab/>
        <w:t>Spójność</w:t>
      </w:r>
      <w:r w:rsidR="00825614" w:rsidRPr="00F66162">
        <w:rPr>
          <w:noProof/>
        </w:rPr>
        <w:t xml:space="preserve"> z</w:t>
      </w:r>
      <w:r w:rsidR="00825614">
        <w:rPr>
          <w:noProof/>
        </w:rPr>
        <w:t> </w:t>
      </w:r>
      <w:r w:rsidR="00825614" w:rsidRPr="00F66162">
        <w:rPr>
          <w:noProof/>
        </w:rPr>
        <w:t>wie</w:t>
      </w:r>
      <w:r w:rsidRPr="00F66162">
        <w:rPr>
          <w:noProof/>
        </w:rPr>
        <w:t>loletnimi ramami finansowymi oraz możliwa synergia</w:t>
      </w:r>
      <w:r w:rsidR="00825614" w:rsidRPr="00F66162">
        <w:rPr>
          <w:noProof/>
        </w:rPr>
        <w:t xml:space="preserve"> z</w:t>
      </w:r>
      <w:r w:rsidR="00825614">
        <w:rPr>
          <w:noProof/>
        </w:rPr>
        <w:t> </w:t>
      </w:r>
      <w:r w:rsidR="00825614" w:rsidRPr="00F66162">
        <w:rPr>
          <w:noProof/>
        </w:rPr>
        <w:t>inn</w:t>
      </w:r>
      <w:r w:rsidRPr="00F66162">
        <w:rPr>
          <w:noProof/>
        </w:rPr>
        <w:t>ymi właściwymi instrumentami</w:t>
      </w:r>
    </w:p>
    <w:p w14:paraId="314EA134" w14:textId="5D6D50ED" w:rsidR="0061374C" w:rsidRPr="00F66162" w:rsidRDefault="20003530"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 zawartym</w:t>
      </w:r>
      <w:r w:rsidR="00825614" w:rsidRPr="00F66162">
        <w:rPr>
          <w:noProof/>
        </w:rPr>
        <w:t xml:space="preserve"> w</w:t>
      </w:r>
      <w:r w:rsidR="00825614">
        <w:rPr>
          <w:noProof/>
        </w:rPr>
        <w:t> </w:t>
      </w:r>
      <w:r w:rsidR="00825614" w:rsidRPr="00F66162">
        <w:rPr>
          <w:noProof/>
        </w:rPr>
        <w:t>kon</w:t>
      </w:r>
      <w:r w:rsidRPr="00F66162">
        <w:rPr>
          <w:noProof/>
        </w:rPr>
        <w:t>tekście negocjacji porozumieniu międzyinstytucjonalnym</w:t>
      </w:r>
      <w:r w:rsidR="00825614" w:rsidRPr="00F66162">
        <w:rPr>
          <w:noProof/>
        </w:rPr>
        <w:t xml:space="preserve"> z</w:t>
      </w:r>
      <w:r w:rsidR="00825614">
        <w:rPr>
          <w:noProof/>
        </w:rPr>
        <w:t> </w:t>
      </w:r>
      <w:r w:rsidR="00825614" w:rsidRPr="00F66162">
        <w:rPr>
          <w:noProof/>
        </w:rPr>
        <w:t>dni</w:t>
      </w:r>
      <w:r w:rsidRPr="00F66162">
        <w:rPr>
          <w:noProof/>
        </w:rPr>
        <w:t>a 16 grudnia 2020 r. Parlament Europejski, Rada</w:t>
      </w:r>
      <w:r w:rsidR="00825614" w:rsidRPr="00F66162">
        <w:rPr>
          <w:noProof/>
        </w:rPr>
        <w:t xml:space="preserve"> i</w:t>
      </w:r>
      <w:r w:rsidR="00825614">
        <w:rPr>
          <w:noProof/>
        </w:rPr>
        <w:t> </w:t>
      </w:r>
      <w:r w:rsidR="00825614" w:rsidRPr="00F66162">
        <w:rPr>
          <w:noProof/>
        </w:rPr>
        <w:t>Kom</w:t>
      </w:r>
      <w:r w:rsidRPr="00F66162">
        <w:rPr>
          <w:noProof/>
        </w:rPr>
        <w:t>isja uzgodniły, że „instytucje będą dążyć do wprowadzenia wystarczających nowych zasobów własnych</w:t>
      </w:r>
      <w:r w:rsidR="00825614" w:rsidRPr="00F66162">
        <w:rPr>
          <w:noProof/>
        </w:rPr>
        <w:t xml:space="preserve"> z</w:t>
      </w:r>
      <w:r w:rsidR="00825614">
        <w:rPr>
          <w:noProof/>
        </w:rPr>
        <w:t> </w:t>
      </w:r>
      <w:r w:rsidR="00825614" w:rsidRPr="00F66162">
        <w:rPr>
          <w:noProof/>
        </w:rPr>
        <w:t>myś</w:t>
      </w:r>
      <w:r w:rsidRPr="00F66162">
        <w:rPr>
          <w:noProof/>
        </w:rPr>
        <w:t>lą</w:t>
      </w:r>
      <w:r w:rsidR="00825614" w:rsidRPr="00F66162">
        <w:rPr>
          <w:noProof/>
        </w:rPr>
        <w:t xml:space="preserve"> o</w:t>
      </w:r>
      <w:r w:rsidR="00825614">
        <w:rPr>
          <w:noProof/>
        </w:rPr>
        <w:t> </w:t>
      </w:r>
      <w:r w:rsidR="00825614" w:rsidRPr="00F66162">
        <w:rPr>
          <w:noProof/>
        </w:rPr>
        <w:t>pok</w:t>
      </w:r>
      <w:r w:rsidRPr="00F66162">
        <w:rPr>
          <w:noProof/>
        </w:rPr>
        <w:t>ryciu kwoty odpowiadającej spodziewanym wydatkom związanym ze spłatą” NextGenerationEU. Wezwano Komisję, aby</w:t>
      </w:r>
      <w:r w:rsidR="00825614" w:rsidRPr="00F66162">
        <w:rPr>
          <w:noProof/>
        </w:rPr>
        <w:t xml:space="preserve"> w</w:t>
      </w:r>
      <w:r w:rsidR="00825614">
        <w:rPr>
          <w:noProof/>
        </w:rPr>
        <w:t> </w:t>
      </w:r>
      <w:r w:rsidR="00825614" w:rsidRPr="00F66162">
        <w:rPr>
          <w:noProof/>
        </w:rPr>
        <w:t>ram</w:t>
      </w:r>
      <w:r w:rsidRPr="00F66162">
        <w:rPr>
          <w:noProof/>
        </w:rPr>
        <w:t>ach otrzymanego mandatu złożyła wniosek</w:t>
      </w:r>
      <w:r w:rsidR="00825614" w:rsidRPr="00F66162">
        <w:rPr>
          <w:noProof/>
        </w:rPr>
        <w:t xml:space="preserve"> w</w:t>
      </w:r>
      <w:r w:rsidR="00825614">
        <w:rPr>
          <w:noProof/>
        </w:rPr>
        <w:t> </w:t>
      </w:r>
      <w:r w:rsidR="00825614" w:rsidRPr="00F66162">
        <w:rPr>
          <w:noProof/>
        </w:rPr>
        <w:t>spr</w:t>
      </w:r>
      <w:r w:rsidRPr="00F66162">
        <w:rPr>
          <w:noProof/>
        </w:rPr>
        <w:t>awie CBAM</w:t>
      </w:r>
      <w:r w:rsidR="00825614" w:rsidRPr="00F66162">
        <w:rPr>
          <w:noProof/>
        </w:rPr>
        <w:t xml:space="preserve"> w</w:t>
      </w:r>
      <w:r w:rsidR="00825614">
        <w:rPr>
          <w:noProof/>
        </w:rPr>
        <w:t> </w:t>
      </w:r>
      <w:r w:rsidR="00825614" w:rsidRPr="00F66162">
        <w:rPr>
          <w:noProof/>
        </w:rPr>
        <w:t>pie</w:t>
      </w:r>
      <w:r w:rsidRPr="00F66162">
        <w:rPr>
          <w:noProof/>
        </w:rPr>
        <w:t>rwszym półroczu 2021 r.</w:t>
      </w:r>
    </w:p>
    <w:p w14:paraId="308B24A7" w14:textId="50F67C74" w:rsidR="0061374C" w:rsidRPr="00F66162" w:rsidRDefault="20003530" w:rsidP="139DF8FE">
      <w:pPr>
        <w:pStyle w:val="Text1"/>
        <w:pBdr>
          <w:top w:val="single" w:sz="8" w:space="1" w:color="000000"/>
          <w:left w:val="single" w:sz="8" w:space="4" w:color="000000"/>
          <w:bottom w:val="single" w:sz="8" w:space="1" w:color="000000"/>
          <w:right w:val="single" w:sz="8" w:space="4" w:color="000000"/>
        </w:pBdr>
        <w:rPr>
          <w:rFonts w:eastAsia="Times New Roman"/>
          <w:noProof/>
          <w:color w:val="0000FF"/>
          <w:szCs w:val="24"/>
        </w:rPr>
      </w:pPr>
      <w:r w:rsidRPr="00F66162">
        <w:rPr>
          <w:noProof/>
        </w:rPr>
        <w:t>Ostateczne porozumienie współprawodawców przewiduje, że większość elementów wdrażania</w:t>
      </w:r>
      <w:r w:rsidR="00825614" w:rsidRPr="00F66162">
        <w:rPr>
          <w:noProof/>
        </w:rPr>
        <w:t xml:space="preserve"> i</w:t>
      </w:r>
      <w:r w:rsidR="00825614">
        <w:rPr>
          <w:noProof/>
        </w:rPr>
        <w:t> </w:t>
      </w:r>
      <w:r w:rsidR="00825614" w:rsidRPr="00F66162">
        <w:rPr>
          <w:noProof/>
        </w:rPr>
        <w:t>egz</w:t>
      </w:r>
      <w:r w:rsidRPr="00F66162">
        <w:rPr>
          <w:noProof/>
        </w:rPr>
        <w:t>ekwowania CBAM będzie należała do obowiązków Komisji</w:t>
      </w:r>
      <w:r w:rsidR="00825614" w:rsidRPr="00F66162">
        <w:rPr>
          <w:noProof/>
        </w:rPr>
        <w:t>. W</w:t>
      </w:r>
      <w:r w:rsidR="00825614">
        <w:rPr>
          <w:noProof/>
        </w:rPr>
        <w:t> </w:t>
      </w:r>
      <w:r w:rsidR="00825614" w:rsidRPr="00F66162">
        <w:rPr>
          <w:noProof/>
        </w:rPr>
        <w:t>zwi</w:t>
      </w:r>
      <w:r w:rsidRPr="00F66162">
        <w:rPr>
          <w:noProof/>
        </w:rPr>
        <w:t>ązku</w:t>
      </w:r>
      <w:r w:rsidR="00825614" w:rsidRPr="00F66162">
        <w:rPr>
          <w:noProof/>
        </w:rPr>
        <w:t xml:space="preserve"> z</w:t>
      </w:r>
      <w:r w:rsidR="00825614">
        <w:rPr>
          <w:noProof/>
        </w:rPr>
        <w:t> </w:t>
      </w:r>
      <w:r w:rsidR="00825614" w:rsidRPr="00F66162">
        <w:rPr>
          <w:noProof/>
        </w:rPr>
        <w:t>tym</w:t>
      </w:r>
      <w:r w:rsidRPr="00F66162">
        <w:rPr>
          <w:noProof/>
        </w:rPr>
        <w:t>, aby zapewnić prawidłowe wdrożenie wniosku,</w:t>
      </w:r>
      <w:r w:rsidR="00825614" w:rsidRPr="00F66162">
        <w:rPr>
          <w:noProof/>
        </w:rPr>
        <w:t xml:space="preserve"> w</w:t>
      </w:r>
      <w:r w:rsidR="00825614">
        <w:rPr>
          <w:noProof/>
        </w:rPr>
        <w:t> </w:t>
      </w:r>
      <w:r w:rsidR="00825614" w:rsidRPr="00F66162">
        <w:rPr>
          <w:noProof/>
        </w:rPr>
        <w:t>obe</w:t>
      </w:r>
      <w:r w:rsidRPr="00F66162">
        <w:rPr>
          <w:noProof/>
        </w:rPr>
        <w:t>cnych WRF należy udostępnić odpowiednie środki finansowania.</w:t>
      </w:r>
    </w:p>
    <w:p w14:paraId="6509EF8F" w14:textId="64D2F933" w:rsidR="0061374C" w:rsidRPr="00F66162" w:rsidRDefault="20003530"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Wniosek zmieniający jest spójny</w:t>
      </w:r>
      <w:r w:rsidR="00825614" w:rsidRPr="00F66162">
        <w:rPr>
          <w:noProof/>
        </w:rPr>
        <w:t xml:space="preserve"> z</w:t>
      </w:r>
      <w:r w:rsidR="00825614">
        <w:rPr>
          <w:noProof/>
        </w:rPr>
        <w:t> </w:t>
      </w:r>
      <w:r w:rsidR="00825614" w:rsidRPr="00F66162">
        <w:rPr>
          <w:noProof/>
        </w:rPr>
        <w:t>cel</w:t>
      </w:r>
      <w:r w:rsidRPr="00F66162">
        <w:rPr>
          <w:noProof/>
        </w:rPr>
        <w:t>em Programu lepszego stanowienia prawa, ponieważ wzmacnia zdolność Komisji do ogólnego nadzorowania CBAM, ograniczając przy tym koszty administracyjne (w szczególności dla małych importerów,</w:t>
      </w:r>
      <w:r w:rsidR="00825614" w:rsidRPr="00F66162">
        <w:rPr>
          <w:noProof/>
        </w:rPr>
        <w:t xml:space="preserve"> a</w:t>
      </w:r>
      <w:r w:rsidR="00825614">
        <w:rPr>
          <w:noProof/>
        </w:rPr>
        <w:t> </w:t>
      </w:r>
      <w:r w:rsidR="00825614" w:rsidRPr="00F66162">
        <w:rPr>
          <w:noProof/>
        </w:rPr>
        <w:t>tak</w:t>
      </w:r>
      <w:r w:rsidRPr="00F66162">
        <w:rPr>
          <w:noProof/>
        </w:rPr>
        <w:t>że dla organów państw członkowskich), które</w:t>
      </w:r>
      <w:r w:rsidR="00825614" w:rsidRPr="00F66162">
        <w:rPr>
          <w:noProof/>
        </w:rPr>
        <w:t xml:space="preserve"> w</w:t>
      </w:r>
      <w:r w:rsidR="00825614">
        <w:rPr>
          <w:noProof/>
        </w:rPr>
        <w:t> </w:t>
      </w:r>
      <w:r w:rsidR="00825614" w:rsidRPr="00F66162">
        <w:rPr>
          <w:noProof/>
        </w:rPr>
        <w:t>prz</w:t>
      </w:r>
      <w:r w:rsidRPr="00F66162">
        <w:rPr>
          <w:noProof/>
        </w:rPr>
        <w:t>eciwnym razie ponoszono by</w:t>
      </w:r>
      <w:r w:rsidR="00825614" w:rsidRPr="00F66162">
        <w:rPr>
          <w:noProof/>
        </w:rPr>
        <w:t xml:space="preserve"> w</w:t>
      </w:r>
      <w:r w:rsidR="00825614">
        <w:rPr>
          <w:noProof/>
        </w:rPr>
        <w:t> </w:t>
      </w:r>
      <w:r w:rsidR="00825614" w:rsidRPr="00F66162">
        <w:rPr>
          <w:noProof/>
        </w:rPr>
        <w:t>zwi</w:t>
      </w:r>
      <w:r w:rsidRPr="00F66162">
        <w:rPr>
          <w:noProof/>
        </w:rPr>
        <w:t>ązku</w:t>
      </w:r>
      <w:r w:rsidR="00825614" w:rsidRPr="00F66162">
        <w:rPr>
          <w:noProof/>
        </w:rPr>
        <w:t xml:space="preserve"> z</w:t>
      </w:r>
      <w:r w:rsidR="00825614">
        <w:rPr>
          <w:noProof/>
        </w:rPr>
        <w:t> </w:t>
      </w:r>
      <w:r w:rsidR="00825614" w:rsidRPr="00F66162">
        <w:rPr>
          <w:noProof/>
        </w:rPr>
        <w:t>gro</w:t>
      </w:r>
      <w:r w:rsidRPr="00F66162">
        <w:rPr>
          <w:noProof/>
        </w:rPr>
        <w:t>madzeniem informacji na inne sposoby.</w:t>
      </w:r>
    </w:p>
    <w:p w14:paraId="4938396F" w14:textId="73C49E8E" w:rsidR="00FA5543" w:rsidRPr="00F66162" w:rsidRDefault="00FA5543" w:rsidP="00390489">
      <w:pPr>
        <w:pStyle w:val="ManualHeading3"/>
        <w:rPr>
          <w:noProof/>
        </w:rPr>
      </w:pPr>
      <w:r w:rsidRPr="00F66162">
        <w:rPr>
          <w:noProof/>
        </w:rPr>
        <w:t>1.5.5.</w:t>
      </w:r>
      <w:r w:rsidRPr="00F66162">
        <w:rPr>
          <w:noProof/>
        </w:rPr>
        <w:tab/>
        <w:t>Ocena różnych dostępnych możliwości finansowania,</w:t>
      </w:r>
      <w:r w:rsidR="00825614" w:rsidRPr="00F66162">
        <w:rPr>
          <w:noProof/>
        </w:rPr>
        <w:t xml:space="preserve"> w</w:t>
      </w:r>
      <w:r w:rsidR="00825614">
        <w:rPr>
          <w:noProof/>
        </w:rPr>
        <w:t> </w:t>
      </w:r>
      <w:r w:rsidR="00825614" w:rsidRPr="00F66162">
        <w:rPr>
          <w:noProof/>
        </w:rPr>
        <w:t>tym</w:t>
      </w:r>
      <w:r w:rsidRPr="00F66162">
        <w:rPr>
          <w:noProof/>
        </w:rPr>
        <w:t xml:space="preserve"> możliwości przegrupowania środków</w:t>
      </w:r>
    </w:p>
    <w:p w14:paraId="0D00342A" w14:textId="12E5BAEF" w:rsidR="00FA5543" w:rsidRPr="00F66162" w:rsidRDefault="0F6DF140"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Koszty wprowadzenia</w:t>
      </w:r>
      <w:r w:rsidR="00825614" w:rsidRPr="00F66162">
        <w:rPr>
          <w:noProof/>
        </w:rPr>
        <w:t xml:space="preserve"> w</w:t>
      </w:r>
      <w:r w:rsidR="00825614">
        <w:rPr>
          <w:noProof/>
        </w:rPr>
        <w:t> </w:t>
      </w:r>
      <w:r w:rsidR="00825614" w:rsidRPr="00F66162">
        <w:rPr>
          <w:noProof/>
        </w:rPr>
        <w:t>życ</w:t>
      </w:r>
      <w:r w:rsidRPr="00F66162">
        <w:rPr>
          <w:noProof/>
        </w:rPr>
        <w:t>ie CBAM zostaną sfinansowane</w:t>
      </w:r>
      <w:r w:rsidR="00825614" w:rsidRPr="00F66162">
        <w:rPr>
          <w:noProof/>
        </w:rPr>
        <w:t xml:space="preserve"> z</w:t>
      </w:r>
      <w:r w:rsidR="00825614">
        <w:rPr>
          <w:noProof/>
        </w:rPr>
        <w:t> </w:t>
      </w:r>
      <w:r w:rsidR="00825614" w:rsidRPr="00F66162">
        <w:rPr>
          <w:noProof/>
        </w:rPr>
        <w:t>bud</w:t>
      </w:r>
      <w:r w:rsidRPr="00F66162">
        <w:rPr>
          <w:noProof/>
        </w:rPr>
        <w:t>żetu UE.</w:t>
      </w:r>
    </w:p>
    <w:p w14:paraId="5BDDE4C1" w14:textId="572730F5" w:rsidR="00FA5543" w:rsidRPr="00F66162" w:rsidRDefault="00FA5543" w:rsidP="00390489">
      <w:pPr>
        <w:pStyle w:val="ManualHeading2"/>
        <w:rPr>
          <w:bCs/>
          <w:noProof/>
          <w:szCs w:val="24"/>
        </w:rPr>
      </w:pPr>
      <w:r w:rsidRPr="00F66162">
        <w:rPr>
          <w:noProof/>
        </w:rPr>
        <w:br w:type="page"/>
      </w:r>
      <w:r w:rsidRPr="00F66162">
        <w:rPr>
          <w:noProof/>
        </w:rPr>
        <w:lastRenderedPageBreak/>
        <w:t>1.6.</w:t>
      </w:r>
      <w:r w:rsidRPr="00F66162">
        <w:rPr>
          <w:noProof/>
        </w:rPr>
        <w:tab/>
        <w:t>Czas trwania</w:t>
      </w:r>
      <w:r w:rsidR="00825614" w:rsidRPr="00F66162">
        <w:rPr>
          <w:noProof/>
        </w:rPr>
        <w:t xml:space="preserve"> i</w:t>
      </w:r>
      <w:r w:rsidR="00825614">
        <w:rPr>
          <w:noProof/>
        </w:rPr>
        <w:t> </w:t>
      </w:r>
      <w:r w:rsidR="00825614" w:rsidRPr="00F66162">
        <w:rPr>
          <w:noProof/>
        </w:rPr>
        <w:t>wpł</w:t>
      </w:r>
      <w:r w:rsidRPr="00F66162">
        <w:rPr>
          <w:noProof/>
        </w:rPr>
        <w:t>yw finansowy wniosku/inicjatywy</w:t>
      </w:r>
    </w:p>
    <w:p w14:paraId="6A9DB47A" w14:textId="77777777" w:rsidR="00FA5543" w:rsidRPr="00F66162" w:rsidRDefault="00FA5543" w:rsidP="00390489">
      <w:pPr>
        <w:pStyle w:val="Text1"/>
        <w:rPr>
          <w:noProof/>
        </w:rPr>
      </w:pPr>
      <w:r w:rsidRPr="00F66162">
        <w:rPr>
          <w:rFonts w:ascii="Wingdings" w:hAnsi="Wingdings"/>
          <w:noProof/>
        </w:rPr>
        <w:t></w:t>
      </w:r>
      <w:r w:rsidRPr="00F66162">
        <w:rPr>
          <w:noProof/>
        </w:rPr>
        <w:t xml:space="preserve"> </w:t>
      </w:r>
      <w:r w:rsidRPr="00F66162">
        <w:rPr>
          <w:b/>
          <w:noProof/>
        </w:rPr>
        <w:t xml:space="preserve">Ograniczony czas trwania </w:t>
      </w:r>
    </w:p>
    <w:p w14:paraId="3F218988" w14:textId="77777777" w:rsidR="00FA5543" w:rsidRPr="00F66162" w:rsidRDefault="6C3AF1E0" w:rsidP="00390489">
      <w:pPr>
        <w:pStyle w:val="ListDash2"/>
        <w:rPr>
          <w:noProof/>
        </w:rPr>
      </w:pPr>
      <w:r w:rsidRPr="00F66162">
        <w:rPr>
          <w:rFonts w:ascii="Wingdings" w:hAnsi="Wingdings"/>
          <w:noProof/>
        </w:rPr>
        <w:t></w:t>
      </w:r>
      <w:r w:rsidRPr="00F66162">
        <w:rPr>
          <w:noProof/>
        </w:rPr>
        <w:tab/>
        <w:t xml:space="preserve">Czas trwania wniosku/inicjatywy: od [DD/MM]RRRR r. do [DD/MM]RRRR r. </w:t>
      </w:r>
    </w:p>
    <w:p w14:paraId="04A5FEC0" w14:textId="1F32E410" w:rsidR="00FA5543" w:rsidRPr="00F66162" w:rsidRDefault="6C3AF1E0" w:rsidP="00390489">
      <w:pPr>
        <w:pStyle w:val="ListDash2"/>
        <w:rPr>
          <w:noProof/>
        </w:rPr>
      </w:pPr>
      <w:r w:rsidRPr="00F66162">
        <w:rPr>
          <w:rFonts w:ascii="Wingdings" w:hAnsi="Wingdings"/>
          <w:noProof/>
        </w:rPr>
        <w:t></w:t>
      </w:r>
      <w:r w:rsidRPr="00F66162">
        <w:rPr>
          <w:noProof/>
        </w:rPr>
        <w:tab/>
        <w:t>Czas trwania wpływu finansowego: od RRRR r. do RRRR r.</w:t>
      </w:r>
      <w:r w:rsidR="00825614" w:rsidRPr="00F66162">
        <w:rPr>
          <w:noProof/>
        </w:rPr>
        <w:t xml:space="preserve"> w</w:t>
      </w:r>
      <w:r w:rsidR="00825614">
        <w:rPr>
          <w:noProof/>
        </w:rPr>
        <w:t> </w:t>
      </w:r>
      <w:r w:rsidR="00825614" w:rsidRPr="00F66162">
        <w:rPr>
          <w:noProof/>
        </w:rPr>
        <w:t>odn</w:t>
      </w:r>
      <w:r w:rsidRPr="00F66162">
        <w:rPr>
          <w:noProof/>
        </w:rPr>
        <w:t>iesieniu do środków na zobowiązania oraz od RRRR r. do RRRR r.</w:t>
      </w:r>
      <w:r w:rsidR="00825614" w:rsidRPr="00F66162">
        <w:rPr>
          <w:noProof/>
        </w:rPr>
        <w:t xml:space="preserve"> w</w:t>
      </w:r>
      <w:r w:rsidR="00825614">
        <w:rPr>
          <w:noProof/>
        </w:rPr>
        <w:t> </w:t>
      </w:r>
      <w:r w:rsidR="00825614" w:rsidRPr="00F66162">
        <w:rPr>
          <w:noProof/>
        </w:rPr>
        <w:t>odn</w:t>
      </w:r>
      <w:r w:rsidRPr="00F66162">
        <w:rPr>
          <w:noProof/>
        </w:rPr>
        <w:t xml:space="preserve">iesieniu do środków na płatności. </w:t>
      </w:r>
    </w:p>
    <w:p w14:paraId="6F2AC524" w14:textId="77777777" w:rsidR="00FA5543" w:rsidRPr="00F66162" w:rsidRDefault="000C5DCA" w:rsidP="00390489">
      <w:pPr>
        <w:pStyle w:val="Text1"/>
        <w:rPr>
          <w:noProof/>
        </w:rPr>
      </w:pPr>
      <w:r w:rsidRPr="00F66162">
        <w:rPr>
          <w:rFonts w:ascii="Wingdings" w:hAnsi="Wingdings"/>
          <w:noProof/>
        </w:rPr>
        <w:t></w:t>
      </w:r>
      <w:r w:rsidRPr="00F66162">
        <w:rPr>
          <w:noProof/>
        </w:rPr>
        <w:t xml:space="preserve"> </w:t>
      </w:r>
      <w:r w:rsidRPr="00F66162">
        <w:rPr>
          <w:b/>
          <w:noProof/>
        </w:rPr>
        <w:t>Nieograniczony czas trwania</w:t>
      </w:r>
    </w:p>
    <w:p w14:paraId="56D9FB86" w14:textId="6A089527" w:rsidR="00FA5543" w:rsidRPr="00F66162" w:rsidRDefault="00FA5543" w:rsidP="00390489">
      <w:pPr>
        <w:pStyle w:val="ListDash1"/>
        <w:rPr>
          <w:noProof/>
        </w:rPr>
      </w:pPr>
      <w:r w:rsidRPr="00F66162">
        <w:rPr>
          <w:noProof/>
        </w:rPr>
        <w:t>Wprowadzenie</w:t>
      </w:r>
      <w:r w:rsidR="00825614" w:rsidRPr="00F66162">
        <w:rPr>
          <w:noProof/>
        </w:rPr>
        <w:t xml:space="preserve"> w</w:t>
      </w:r>
      <w:r w:rsidR="00825614">
        <w:rPr>
          <w:noProof/>
        </w:rPr>
        <w:t> </w:t>
      </w:r>
      <w:r w:rsidR="00825614" w:rsidRPr="00F66162">
        <w:rPr>
          <w:noProof/>
        </w:rPr>
        <w:t>życ</w:t>
      </w:r>
      <w:r w:rsidRPr="00F66162">
        <w:rPr>
          <w:noProof/>
        </w:rPr>
        <w:t>ie</w:t>
      </w:r>
      <w:r w:rsidR="00825614" w:rsidRPr="00F66162">
        <w:rPr>
          <w:noProof/>
        </w:rPr>
        <w:t xml:space="preserve"> z</w:t>
      </w:r>
      <w:r w:rsidR="00825614">
        <w:rPr>
          <w:noProof/>
        </w:rPr>
        <w:t> </w:t>
      </w:r>
      <w:r w:rsidR="00825614" w:rsidRPr="00F66162">
        <w:rPr>
          <w:noProof/>
        </w:rPr>
        <w:t>okr</w:t>
      </w:r>
      <w:r w:rsidRPr="00F66162">
        <w:rPr>
          <w:noProof/>
        </w:rPr>
        <w:t>esem rozruchu od RRRR r. do RRRR r.,</w:t>
      </w:r>
    </w:p>
    <w:p w14:paraId="039330DB" w14:textId="77777777" w:rsidR="00FA5543" w:rsidRPr="00F66162" w:rsidRDefault="00FA5543" w:rsidP="00390489">
      <w:pPr>
        <w:pStyle w:val="ListDash1"/>
        <w:rPr>
          <w:noProof/>
        </w:rPr>
      </w:pPr>
      <w:r w:rsidRPr="00F66162">
        <w:rPr>
          <w:noProof/>
        </w:rPr>
        <w:t>po którym następuje faza operacyjna.</w:t>
      </w:r>
    </w:p>
    <w:p w14:paraId="40C5E79F" w14:textId="3C306B9B" w:rsidR="00FA5543" w:rsidRPr="00F66162" w:rsidRDefault="00FA5543" w:rsidP="00390489">
      <w:pPr>
        <w:pStyle w:val="ManualHeading2"/>
        <w:rPr>
          <w:bCs/>
          <w:noProof/>
          <w:szCs w:val="24"/>
        </w:rPr>
      </w:pPr>
      <w:r w:rsidRPr="00F66162">
        <w:rPr>
          <w:noProof/>
        </w:rPr>
        <w:t>1.7.</w:t>
      </w:r>
      <w:r w:rsidRPr="00F66162">
        <w:rPr>
          <w:noProof/>
        </w:rPr>
        <w:tab/>
        <w:t>Planowane metody wykonania budżetu</w:t>
      </w:r>
      <w:r w:rsidRPr="00F66162">
        <w:rPr>
          <w:rStyle w:val="Odwoanieprzypisudolnego"/>
          <w:noProof/>
        </w:rPr>
        <w:footnoteReference w:id="20"/>
      </w:r>
    </w:p>
    <w:p w14:paraId="0353A318" w14:textId="77777777" w:rsidR="00FA5543" w:rsidRPr="00F66162" w:rsidRDefault="590065AC" w:rsidP="00390489">
      <w:pPr>
        <w:pStyle w:val="Text1"/>
        <w:rPr>
          <w:noProof/>
        </w:rPr>
      </w:pPr>
      <w:r w:rsidRPr="00F66162">
        <w:rPr>
          <w:rFonts w:ascii="Wingdings" w:hAnsi="Wingdings"/>
          <w:noProof/>
        </w:rPr>
        <w:t></w:t>
      </w:r>
      <w:r w:rsidRPr="00F66162">
        <w:rPr>
          <w:noProof/>
        </w:rPr>
        <w:t xml:space="preserve"> </w:t>
      </w:r>
      <w:r w:rsidRPr="00F66162">
        <w:rPr>
          <w:b/>
          <w:noProof/>
        </w:rPr>
        <w:t>Bezpośrednie zarządzanie</w:t>
      </w:r>
      <w:r w:rsidRPr="00F66162">
        <w:rPr>
          <w:noProof/>
        </w:rPr>
        <w:t xml:space="preserve"> przez Komisję</w:t>
      </w:r>
    </w:p>
    <w:p w14:paraId="3AA48B83" w14:textId="3B3F9B08" w:rsidR="00FA5543" w:rsidRPr="00F66162" w:rsidRDefault="2FB5F5CD" w:rsidP="00390489">
      <w:pPr>
        <w:pStyle w:val="ListDash2"/>
        <w:rPr>
          <w:rFonts w:cs="EUAlbertina"/>
          <w:noProof/>
        </w:rPr>
      </w:pPr>
      <w:r w:rsidRPr="00F66162">
        <w:rPr>
          <w:rFonts w:ascii="Wingdings" w:hAnsi="Wingdings"/>
          <w:noProof/>
        </w:rPr>
        <w:t></w:t>
      </w:r>
      <w:r w:rsidR="00825614" w:rsidRPr="00F66162">
        <w:rPr>
          <w:noProof/>
        </w:rPr>
        <w:t xml:space="preserve"> w</w:t>
      </w:r>
      <w:r w:rsidR="00825614">
        <w:rPr>
          <w:noProof/>
        </w:rPr>
        <w:t> </w:t>
      </w:r>
      <w:r w:rsidR="00825614" w:rsidRPr="00F66162">
        <w:rPr>
          <w:noProof/>
        </w:rPr>
        <w:t>ram</w:t>
      </w:r>
      <w:r w:rsidRPr="00F66162">
        <w:rPr>
          <w:noProof/>
        </w:rPr>
        <w:t>ach jej służb,</w:t>
      </w:r>
      <w:r w:rsidR="00825614" w:rsidRPr="00F66162">
        <w:rPr>
          <w:noProof/>
        </w:rPr>
        <w:t xml:space="preserve"> w</w:t>
      </w:r>
      <w:r w:rsidR="00825614">
        <w:rPr>
          <w:noProof/>
        </w:rPr>
        <w:t> </w:t>
      </w:r>
      <w:r w:rsidR="00825614" w:rsidRPr="00F66162">
        <w:rPr>
          <w:noProof/>
        </w:rPr>
        <w:t>tym</w:t>
      </w:r>
      <w:r w:rsidRPr="00F66162">
        <w:rPr>
          <w:noProof/>
        </w:rPr>
        <w:t xml:space="preserve"> za pośrednictwem jej pracowników</w:t>
      </w:r>
      <w:r w:rsidR="00825614" w:rsidRPr="00F66162">
        <w:rPr>
          <w:noProof/>
        </w:rPr>
        <w:t xml:space="preserve"> w</w:t>
      </w:r>
      <w:r w:rsidR="00825614">
        <w:rPr>
          <w:noProof/>
        </w:rPr>
        <w:t> </w:t>
      </w:r>
      <w:r w:rsidR="00825614" w:rsidRPr="00F66162">
        <w:rPr>
          <w:noProof/>
        </w:rPr>
        <w:t>del</w:t>
      </w:r>
      <w:r w:rsidRPr="00F66162">
        <w:rPr>
          <w:noProof/>
        </w:rPr>
        <w:t xml:space="preserve">egaturach Unii </w:t>
      </w:r>
    </w:p>
    <w:p w14:paraId="5588F87B" w14:textId="77777777" w:rsidR="00FA5543" w:rsidRPr="00F66162" w:rsidRDefault="6C3AF1E0" w:rsidP="00390489">
      <w:pPr>
        <w:pStyle w:val="ListDash2"/>
        <w:rPr>
          <w:noProof/>
        </w:rPr>
      </w:pPr>
      <w:r w:rsidRPr="00F66162">
        <w:rPr>
          <w:rFonts w:ascii="Wingdings" w:hAnsi="Wingdings"/>
          <w:noProof/>
        </w:rPr>
        <w:t></w:t>
      </w:r>
      <w:r w:rsidRPr="00F66162">
        <w:rPr>
          <w:noProof/>
        </w:rPr>
        <w:t xml:space="preserve"> przez agencje wykonawcze </w:t>
      </w:r>
    </w:p>
    <w:p w14:paraId="02B17A01" w14:textId="3EA1581B" w:rsidR="00FA5543" w:rsidRPr="00F66162" w:rsidRDefault="00FA5543" w:rsidP="00390489">
      <w:pPr>
        <w:pStyle w:val="Text1"/>
        <w:rPr>
          <w:noProof/>
        </w:rPr>
      </w:pPr>
      <w:r w:rsidRPr="00F66162">
        <w:rPr>
          <w:rFonts w:ascii="Wingdings" w:hAnsi="Wingdings"/>
          <w:noProof/>
        </w:rPr>
        <w:t></w:t>
      </w:r>
      <w:r w:rsidRPr="00F66162">
        <w:rPr>
          <w:b/>
          <w:i/>
          <w:noProof/>
        </w:rPr>
        <w:t xml:space="preserve"> </w:t>
      </w:r>
      <w:r w:rsidRPr="00F66162">
        <w:rPr>
          <w:b/>
          <w:noProof/>
        </w:rPr>
        <w:t>Zarządzanie dzielone</w:t>
      </w:r>
      <w:r w:rsidR="00825614" w:rsidRPr="00F66162">
        <w:rPr>
          <w:noProof/>
        </w:rPr>
        <w:t xml:space="preserve"> z</w:t>
      </w:r>
      <w:r w:rsidR="00825614">
        <w:rPr>
          <w:noProof/>
        </w:rPr>
        <w:t> </w:t>
      </w:r>
      <w:r w:rsidR="00825614" w:rsidRPr="00F66162">
        <w:rPr>
          <w:noProof/>
        </w:rPr>
        <w:t>pań</w:t>
      </w:r>
      <w:r w:rsidRPr="00F66162">
        <w:rPr>
          <w:noProof/>
        </w:rPr>
        <w:t xml:space="preserve">stwami członkowskimi </w:t>
      </w:r>
    </w:p>
    <w:p w14:paraId="6DA21A61" w14:textId="0B104C6E" w:rsidR="00FA5543" w:rsidRPr="00F66162" w:rsidRDefault="00FA5543" w:rsidP="00390489">
      <w:pPr>
        <w:pStyle w:val="Text1"/>
        <w:rPr>
          <w:noProof/>
        </w:rPr>
      </w:pPr>
      <w:r w:rsidRPr="00F66162">
        <w:rPr>
          <w:rFonts w:ascii="Wingdings" w:hAnsi="Wingdings"/>
          <w:noProof/>
        </w:rPr>
        <w:t></w:t>
      </w:r>
      <w:r w:rsidRPr="00F66162">
        <w:rPr>
          <w:i/>
          <w:noProof/>
        </w:rPr>
        <w:t xml:space="preserve"> </w:t>
      </w:r>
      <w:r w:rsidRPr="00F66162">
        <w:rPr>
          <w:b/>
          <w:noProof/>
        </w:rPr>
        <w:t>Zarządzanie pośrednie</w:t>
      </w:r>
      <w:r w:rsidRPr="00F66162">
        <w:rPr>
          <w:noProof/>
        </w:rPr>
        <w:t xml:space="preserve"> przez przekazanie zadań związanych</w:t>
      </w:r>
      <w:r w:rsidR="00825614" w:rsidRPr="00F66162">
        <w:rPr>
          <w:noProof/>
        </w:rPr>
        <w:t xml:space="preserve"> z</w:t>
      </w:r>
      <w:r w:rsidR="00825614">
        <w:rPr>
          <w:noProof/>
        </w:rPr>
        <w:t> </w:t>
      </w:r>
      <w:r w:rsidR="00825614" w:rsidRPr="00F66162">
        <w:rPr>
          <w:noProof/>
        </w:rPr>
        <w:t>wyk</w:t>
      </w:r>
      <w:r w:rsidRPr="00F66162">
        <w:rPr>
          <w:noProof/>
        </w:rPr>
        <w:t>onaniem budżetu:</w:t>
      </w:r>
    </w:p>
    <w:p w14:paraId="7EDAE6E9" w14:textId="77777777" w:rsidR="00FA5543" w:rsidRPr="00F66162" w:rsidRDefault="6C3AF1E0" w:rsidP="00390489">
      <w:pPr>
        <w:pStyle w:val="ListDash2"/>
        <w:rPr>
          <w:noProof/>
        </w:rPr>
      </w:pPr>
      <w:r w:rsidRPr="00F66162">
        <w:rPr>
          <w:rFonts w:ascii="Wingdings" w:hAnsi="Wingdings"/>
          <w:noProof/>
        </w:rPr>
        <w:t></w:t>
      </w:r>
      <w:r w:rsidRPr="00F66162">
        <w:rPr>
          <w:noProof/>
        </w:rPr>
        <w:t xml:space="preserve"> państwom trzecim lub organom przez nie wyznaczonym</w:t>
      </w:r>
    </w:p>
    <w:p w14:paraId="2ED96A2A" w14:textId="61522AE7" w:rsidR="00FA5543" w:rsidRPr="00F66162" w:rsidRDefault="6C3AF1E0" w:rsidP="00390489">
      <w:pPr>
        <w:pStyle w:val="ListDash2"/>
        <w:rPr>
          <w:noProof/>
        </w:rPr>
      </w:pPr>
      <w:r w:rsidRPr="00F66162">
        <w:rPr>
          <w:rFonts w:ascii="Wingdings" w:hAnsi="Wingdings"/>
          <w:noProof/>
        </w:rPr>
        <w:t></w:t>
      </w:r>
      <w:r w:rsidRPr="00F66162">
        <w:rPr>
          <w:noProof/>
        </w:rPr>
        <w:t xml:space="preserve"> organizacjom międzynarodowym</w:t>
      </w:r>
      <w:r w:rsidR="00825614" w:rsidRPr="00F66162">
        <w:rPr>
          <w:noProof/>
        </w:rPr>
        <w:t xml:space="preserve"> i</w:t>
      </w:r>
      <w:r w:rsidR="00825614">
        <w:rPr>
          <w:noProof/>
        </w:rPr>
        <w:t> </w:t>
      </w:r>
      <w:r w:rsidR="00825614" w:rsidRPr="00F66162">
        <w:rPr>
          <w:noProof/>
        </w:rPr>
        <w:t>ich</w:t>
      </w:r>
      <w:r w:rsidRPr="00F66162">
        <w:rPr>
          <w:noProof/>
        </w:rPr>
        <w:t xml:space="preserve"> agencjom (wyszczególnić)</w:t>
      </w:r>
    </w:p>
    <w:p w14:paraId="65CA87ED" w14:textId="476738B4" w:rsidR="00FA5543" w:rsidRPr="00F66162" w:rsidRDefault="6C3AF1E0" w:rsidP="00390489">
      <w:pPr>
        <w:pStyle w:val="ListDash2"/>
        <w:rPr>
          <w:noProof/>
        </w:rPr>
      </w:pPr>
      <w:r w:rsidRPr="00F66162">
        <w:rPr>
          <w:rFonts w:ascii="Wingdings" w:hAnsi="Wingdings"/>
          <w:noProof/>
        </w:rPr>
        <w:t></w:t>
      </w:r>
      <w:r w:rsidRPr="00F66162">
        <w:rPr>
          <w:noProof/>
        </w:rPr>
        <w:t xml:space="preserve"> Europejskiemu Bankowi Inwestycyjnemu</w:t>
      </w:r>
      <w:r w:rsidR="00825614" w:rsidRPr="00F66162">
        <w:rPr>
          <w:noProof/>
        </w:rPr>
        <w:t xml:space="preserve"> i</w:t>
      </w:r>
      <w:r w:rsidR="00825614">
        <w:rPr>
          <w:noProof/>
        </w:rPr>
        <w:t> </w:t>
      </w:r>
      <w:r w:rsidR="00825614" w:rsidRPr="00F66162">
        <w:rPr>
          <w:noProof/>
        </w:rPr>
        <w:t>Eur</w:t>
      </w:r>
      <w:r w:rsidRPr="00F66162">
        <w:rPr>
          <w:noProof/>
        </w:rPr>
        <w:t>opejskiemu Funduszowi Inwestycyjnemu</w:t>
      </w:r>
    </w:p>
    <w:p w14:paraId="25CD718E" w14:textId="1E71F6B5" w:rsidR="00FA5543" w:rsidRPr="00F66162" w:rsidRDefault="6C3AF1E0" w:rsidP="00390489">
      <w:pPr>
        <w:pStyle w:val="ListDash2"/>
        <w:rPr>
          <w:noProof/>
        </w:rPr>
      </w:pPr>
      <w:r w:rsidRPr="00F66162">
        <w:rPr>
          <w:rFonts w:ascii="Wingdings" w:hAnsi="Wingdings"/>
          <w:noProof/>
        </w:rPr>
        <w:t></w:t>
      </w:r>
      <w:r w:rsidRPr="00F66162">
        <w:rPr>
          <w:noProof/>
        </w:rPr>
        <w:t xml:space="preserve"> organom,</w:t>
      </w:r>
      <w:r w:rsidR="00825614" w:rsidRPr="00F66162">
        <w:rPr>
          <w:noProof/>
        </w:rPr>
        <w:t xml:space="preserve"> o</w:t>
      </w:r>
      <w:r w:rsidR="00825614">
        <w:rPr>
          <w:noProof/>
        </w:rPr>
        <w:t> </w:t>
      </w:r>
      <w:r w:rsidR="00825614" w:rsidRPr="00F66162">
        <w:rPr>
          <w:noProof/>
        </w:rPr>
        <w:t>któ</w:t>
      </w:r>
      <w:r w:rsidRPr="00F66162">
        <w:rPr>
          <w:noProof/>
        </w:rPr>
        <w:t>rych mowa</w:t>
      </w:r>
      <w:r w:rsidR="00825614" w:rsidRPr="00F66162">
        <w:rPr>
          <w:noProof/>
        </w:rPr>
        <w:t xml:space="preserve"> w</w:t>
      </w:r>
      <w:r w:rsidR="00825614">
        <w:rPr>
          <w:noProof/>
        </w:rPr>
        <w:t> </w:t>
      </w:r>
      <w:r w:rsidR="00825614" w:rsidRPr="00825614">
        <w:rPr>
          <w:noProof/>
        </w:rPr>
        <w:t>art</w:t>
      </w:r>
      <w:r w:rsidRPr="00825614">
        <w:rPr>
          <w:noProof/>
        </w:rPr>
        <w:t>.</w:t>
      </w:r>
      <w:r w:rsidR="00825614" w:rsidRPr="00825614">
        <w:rPr>
          <w:noProof/>
        </w:rPr>
        <w:t> </w:t>
      </w:r>
      <w:r w:rsidRPr="00825614">
        <w:rPr>
          <w:noProof/>
        </w:rPr>
        <w:t>7</w:t>
      </w:r>
      <w:r w:rsidRPr="00F66162">
        <w:rPr>
          <w:noProof/>
        </w:rPr>
        <w:t>0</w:t>
      </w:r>
      <w:r w:rsidR="00825614" w:rsidRPr="00F66162">
        <w:rPr>
          <w:noProof/>
        </w:rPr>
        <w:t xml:space="preserve"> i</w:t>
      </w:r>
      <w:r w:rsidR="00825614">
        <w:rPr>
          <w:noProof/>
        </w:rPr>
        <w:t> </w:t>
      </w:r>
      <w:r w:rsidR="00825614" w:rsidRPr="00F66162">
        <w:rPr>
          <w:noProof/>
        </w:rPr>
        <w:t>7</w:t>
      </w:r>
      <w:r w:rsidRPr="00F66162">
        <w:rPr>
          <w:noProof/>
        </w:rPr>
        <w:t>1 rozporządzenia finansowego</w:t>
      </w:r>
    </w:p>
    <w:p w14:paraId="558A21FC" w14:textId="77777777" w:rsidR="00FA5543" w:rsidRPr="00F66162" w:rsidRDefault="6C3AF1E0" w:rsidP="00390489">
      <w:pPr>
        <w:pStyle w:val="ListDash2"/>
        <w:rPr>
          <w:noProof/>
        </w:rPr>
      </w:pPr>
      <w:r w:rsidRPr="00F66162">
        <w:rPr>
          <w:rFonts w:ascii="Wingdings" w:hAnsi="Wingdings"/>
          <w:noProof/>
        </w:rPr>
        <w:t></w:t>
      </w:r>
      <w:r w:rsidRPr="00F66162">
        <w:rPr>
          <w:noProof/>
        </w:rPr>
        <w:t xml:space="preserve"> organom prawa publicznego</w:t>
      </w:r>
    </w:p>
    <w:p w14:paraId="2F46B2BD" w14:textId="4C3ED973" w:rsidR="00FA5543" w:rsidRPr="00F66162" w:rsidRDefault="6C3AF1E0" w:rsidP="00390489">
      <w:pPr>
        <w:pStyle w:val="ListDash2"/>
        <w:rPr>
          <w:noProof/>
        </w:rPr>
      </w:pPr>
      <w:r w:rsidRPr="00F66162">
        <w:rPr>
          <w:rFonts w:ascii="Wingdings" w:hAnsi="Wingdings"/>
          <w:noProof/>
        </w:rPr>
        <w:t></w:t>
      </w:r>
      <w:r w:rsidRPr="00F66162">
        <w:rPr>
          <w:noProof/>
        </w:rPr>
        <w:t xml:space="preserve"> podmiotom podlegającym prawu prywatnemu, które świadczą usługi użyteczności publicznej,</w:t>
      </w:r>
      <w:r w:rsidR="00825614" w:rsidRPr="00F66162">
        <w:rPr>
          <w:noProof/>
        </w:rPr>
        <w:t xml:space="preserve"> w</w:t>
      </w:r>
      <w:r w:rsidR="00825614">
        <w:rPr>
          <w:noProof/>
        </w:rPr>
        <w:t> </w:t>
      </w:r>
      <w:r w:rsidR="00825614" w:rsidRPr="00F66162">
        <w:rPr>
          <w:noProof/>
        </w:rPr>
        <w:t>zak</w:t>
      </w:r>
      <w:r w:rsidRPr="00F66162">
        <w:rPr>
          <w:noProof/>
        </w:rPr>
        <w:t>resie,</w:t>
      </w:r>
      <w:r w:rsidR="00825614" w:rsidRPr="00F66162">
        <w:rPr>
          <w:noProof/>
        </w:rPr>
        <w:t xml:space="preserve"> w</w:t>
      </w:r>
      <w:r w:rsidR="00825614">
        <w:rPr>
          <w:noProof/>
        </w:rPr>
        <w:t> </w:t>
      </w:r>
      <w:r w:rsidR="00825614" w:rsidRPr="00F66162">
        <w:rPr>
          <w:noProof/>
        </w:rPr>
        <w:t>jak</w:t>
      </w:r>
      <w:r w:rsidRPr="00F66162">
        <w:rPr>
          <w:noProof/>
        </w:rPr>
        <w:t>im są im zapewnione odpowiednie gwarancje finansowe</w:t>
      </w:r>
    </w:p>
    <w:p w14:paraId="4643CF9B" w14:textId="40822ED6" w:rsidR="00FA5543" w:rsidRPr="00F66162" w:rsidRDefault="6C3AF1E0" w:rsidP="00390489">
      <w:pPr>
        <w:pStyle w:val="ListDash2"/>
        <w:rPr>
          <w:noProof/>
        </w:rPr>
      </w:pPr>
      <w:r w:rsidRPr="00F66162">
        <w:rPr>
          <w:rFonts w:ascii="Wingdings" w:hAnsi="Wingdings"/>
          <w:noProof/>
        </w:rPr>
        <w:t></w:t>
      </w:r>
      <w:r w:rsidRPr="00F66162">
        <w:rPr>
          <w:noProof/>
        </w:rPr>
        <w:t xml:space="preserve"> podmiotom podlegającym prawu prywatnemu państwa członkowskiego, którym powierzono realizację partnerstwa publiczno-prywatnego</w:t>
      </w:r>
      <w:r w:rsidR="00825614" w:rsidRPr="00F66162">
        <w:rPr>
          <w:noProof/>
        </w:rPr>
        <w:t xml:space="preserve"> i</w:t>
      </w:r>
      <w:r w:rsidR="00825614">
        <w:rPr>
          <w:noProof/>
        </w:rPr>
        <w:t> </w:t>
      </w:r>
      <w:r w:rsidR="00825614" w:rsidRPr="00F66162">
        <w:rPr>
          <w:noProof/>
        </w:rPr>
        <w:t>zap</w:t>
      </w:r>
      <w:r w:rsidRPr="00F66162">
        <w:rPr>
          <w:noProof/>
        </w:rPr>
        <w:t>ewniono odpowiednie gwarancje finansowe</w:t>
      </w:r>
    </w:p>
    <w:p w14:paraId="32804A12" w14:textId="476AAB4D" w:rsidR="00FA5543" w:rsidRPr="00F66162" w:rsidRDefault="6C3AF1E0" w:rsidP="00390489">
      <w:pPr>
        <w:pStyle w:val="ListDash2"/>
        <w:rPr>
          <w:noProof/>
        </w:rPr>
      </w:pPr>
      <w:r w:rsidRPr="00F66162">
        <w:rPr>
          <w:rFonts w:ascii="Wingdings" w:hAnsi="Wingdings"/>
          <w:noProof/>
        </w:rPr>
        <w:t></w:t>
      </w:r>
      <w:r w:rsidRPr="00F66162">
        <w:rPr>
          <w:noProof/>
        </w:rPr>
        <w:t xml:space="preserve"> podmiotom lub osobom odpowiedzialnym za wykonanie określonych działań</w:t>
      </w:r>
      <w:r w:rsidR="00825614" w:rsidRPr="00F66162">
        <w:rPr>
          <w:noProof/>
        </w:rPr>
        <w:t xml:space="preserve"> w</w:t>
      </w:r>
      <w:r w:rsidR="00825614">
        <w:rPr>
          <w:noProof/>
        </w:rPr>
        <w:t> </w:t>
      </w:r>
      <w:r w:rsidR="00825614" w:rsidRPr="00F66162">
        <w:rPr>
          <w:noProof/>
        </w:rPr>
        <w:t>dzi</w:t>
      </w:r>
      <w:r w:rsidRPr="00F66162">
        <w:rPr>
          <w:noProof/>
        </w:rPr>
        <w:t>edzinie wspólnej polityki zagranicznej</w:t>
      </w:r>
      <w:r w:rsidR="00825614" w:rsidRPr="00F66162">
        <w:rPr>
          <w:noProof/>
        </w:rPr>
        <w:t xml:space="preserve"> i</w:t>
      </w:r>
      <w:r w:rsidR="00825614">
        <w:rPr>
          <w:noProof/>
        </w:rPr>
        <w:t> </w:t>
      </w:r>
      <w:r w:rsidR="00825614" w:rsidRPr="00F66162">
        <w:rPr>
          <w:noProof/>
        </w:rPr>
        <w:t>bez</w:t>
      </w:r>
      <w:r w:rsidRPr="00F66162">
        <w:rPr>
          <w:noProof/>
        </w:rPr>
        <w:t>pieczeństwa na mocy tytułu V Traktatu</w:t>
      </w:r>
      <w:r w:rsidR="00825614" w:rsidRPr="00F66162">
        <w:rPr>
          <w:noProof/>
        </w:rPr>
        <w:t xml:space="preserve"> o</w:t>
      </w:r>
      <w:r w:rsidR="00825614">
        <w:rPr>
          <w:noProof/>
        </w:rPr>
        <w:t> </w:t>
      </w:r>
      <w:r w:rsidR="00825614" w:rsidRPr="00F66162">
        <w:rPr>
          <w:noProof/>
        </w:rPr>
        <w:t>Uni</w:t>
      </w:r>
      <w:r w:rsidRPr="00F66162">
        <w:rPr>
          <w:noProof/>
        </w:rPr>
        <w:t>i Europejskiej oraz określonym we właściwym podstawowym akcie prawnym</w:t>
      </w:r>
    </w:p>
    <w:p w14:paraId="7EA6696E" w14:textId="172CC0AB" w:rsidR="00FA5543" w:rsidRPr="00F66162" w:rsidRDefault="6C3AF1E0" w:rsidP="00390489">
      <w:pPr>
        <w:pStyle w:val="ListDash2"/>
        <w:rPr>
          <w:noProof/>
        </w:rPr>
      </w:pPr>
      <w:r w:rsidRPr="00F66162">
        <w:rPr>
          <w:rFonts w:ascii="Wingdings" w:hAnsi="Wingdings"/>
          <w:noProof/>
        </w:rPr>
        <w:t></w:t>
      </w:r>
      <w:r w:rsidRPr="00F66162">
        <w:rPr>
          <w:noProof/>
        </w:rPr>
        <w:t xml:space="preserve"> podmiotom mającym siedzibę</w:t>
      </w:r>
      <w:r w:rsidR="00825614" w:rsidRPr="00F66162">
        <w:rPr>
          <w:noProof/>
        </w:rPr>
        <w:t xml:space="preserve"> w</w:t>
      </w:r>
      <w:r w:rsidR="00825614">
        <w:rPr>
          <w:noProof/>
        </w:rPr>
        <w:t> </w:t>
      </w:r>
      <w:r w:rsidR="00825614" w:rsidRPr="00F66162">
        <w:rPr>
          <w:noProof/>
        </w:rPr>
        <w:t>pań</w:t>
      </w:r>
      <w:r w:rsidRPr="00F66162">
        <w:rPr>
          <w:noProof/>
        </w:rPr>
        <w:t>stwie członkowskim, podlegającym prawu prywatnemu państwa członkowskiego lub prawu Unii</w:t>
      </w:r>
      <w:r w:rsidR="00825614" w:rsidRPr="00F66162">
        <w:rPr>
          <w:noProof/>
        </w:rPr>
        <w:t xml:space="preserve"> i</w:t>
      </w:r>
      <w:r w:rsidR="00825614">
        <w:rPr>
          <w:noProof/>
        </w:rPr>
        <w:t> </w:t>
      </w:r>
      <w:r w:rsidR="00825614" w:rsidRPr="00F66162">
        <w:rPr>
          <w:noProof/>
        </w:rPr>
        <w:t>kwa</w:t>
      </w:r>
      <w:r w:rsidRPr="00F66162">
        <w:rPr>
          <w:noProof/>
        </w:rPr>
        <w:t xml:space="preserve">lifikującym się, </w:t>
      </w:r>
      <w:r w:rsidRPr="00F66162">
        <w:rPr>
          <w:noProof/>
        </w:rPr>
        <w:lastRenderedPageBreak/>
        <w:t>zgodnie</w:t>
      </w:r>
      <w:r w:rsidR="00825614" w:rsidRPr="00F66162">
        <w:rPr>
          <w:noProof/>
        </w:rPr>
        <w:t xml:space="preserve"> z</w:t>
      </w:r>
      <w:r w:rsidR="00825614">
        <w:rPr>
          <w:noProof/>
        </w:rPr>
        <w:t> </w:t>
      </w:r>
      <w:r w:rsidR="00825614" w:rsidRPr="00F66162">
        <w:rPr>
          <w:noProof/>
        </w:rPr>
        <w:t>prz</w:t>
      </w:r>
      <w:r w:rsidRPr="00F66162">
        <w:rPr>
          <w:noProof/>
        </w:rPr>
        <w:t>episami sektorowymi, do powierzenia im wykonywania środków finansowych Unii lub gwarancji budżetowych,</w:t>
      </w:r>
      <w:r w:rsidR="00825614" w:rsidRPr="00F66162">
        <w:rPr>
          <w:noProof/>
        </w:rPr>
        <w:t xml:space="preserve"> w</w:t>
      </w:r>
      <w:r w:rsidR="00825614">
        <w:rPr>
          <w:noProof/>
        </w:rPr>
        <w:t> </w:t>
      </w:r>
      <w:r w:rsidR="00825614" w:rsidRPr="00F66162">
        <w:rPr>
          <w:noProof/>
        </w:rPr>
        <w:t>zak</w:t>
      </w:r>
      <w:r w:rsidRPr="00F66162">
        <w:rPr>
          <w:noProof/>
        </w:rPr>
        <w:t>resie,</w:t>
      </w:r>
      <w:r w:rsidR="00825614" w:rsidRPr="00F66162">
        <w:rPr>
          <w:noProof/>
        </w:rPr>
        <w:t xml:space="preserve"> w</w:t>
      </w:r>
      <w:r w:rsidR="00825614">
        <w:rPr>
          <w:noProof/>
        </w:rPr>
        <w:t> </w:t>
      </w:r>
      <w:r w:rsidR="00825614" w:rsidRPr="00F66162">
        <w:rPr>
          <w:noProof/>
        </w:rPr>
        <w:t>jak</w:t>
      </w:r>
      <w:r w:rsidRPr="00F66162">
        <w:rPr>
          <w:noProof/>
        </w:rPr>
        <w:t>im podmioty te są kontrolowane przez podmioty prawa publicznego lub podmioty podlegające prawu prywatnemu świadczące usługi użyteczności publicznej,</w:t>
      </w:r>
      <w:r w:rsidR="00825614" w:rsidRPr="00F66162">
        <w:rPr>
          <w:noProof/>
        </w:rPr>
        <w:t xml:space="preserve"> a</w:t>
      </w:r>
      <w:r w:rsidR="00825614">
        <w:rPr>
          <w:noProof/>
        </w:rPr>
        <w:t> </w:t>
      </w:r>
      <w:r w:rsidR="00825614" w:rsidRPr="00F66162">
        <w:rPr>
          <w:noProof/>
        </w:rPr>
        <w:t>tak</w:t>
      </w:r>
      <w:r w:rsidRPr="00F66162">
        <w:rPr>
          <w:noProof/>
        </w:rPr>
        <w:t>że posiadają odpowiednie gwarancje finansowe</w:t>
      </w:r>
      <w:r w:rsidR="00825614" w:rsidRPr="00F66162">
        <w:rPr>
          <w:noProof/>
        </w:rPr>
        <w:t xml:space="preserve"> w</w:t>
      </w:r>
      <w:r w:rsidR="00825614">
        <w:rPr>
          <w:noProof/>
        </w:rPr>
        <w:t> </w:t>
      </w:r>
      <w:r w:rsidR="00825614" w:rsidRPr="00F66162">
        <w:rPr>
          <w:noProof/>
        </w:rPr>
        <w:t>for</w:t>
      </w:r>
      <w:r w:rsidRPr="00F66162">
        <w:rPr>
          <w:noProof/>
        </w:rPr>
        <w:t>mie odpowiedzialności solidarnej organów kontrolnych lub równoważne gwarancje finansowe, które mogą być ograniczone,</w:t>
      </w:r>
      <w:r w:rsidR="00825614" w:rsidRPr="00F66162">
        <w:rPr>
          <w:noProof/>
        </w:rPr>
        <w:t xml:space="preserve"> w</w:t>
      </w:r>
      <w:r w:rsidR="00825614">
        <w:rPr>
          <w:noProof/>
        </w:rPr>
        <w:t> </w:t>
      </w:r>
      <w:r w:rsidR="00825614" w:rsidRPr="00F66162">
        <w:rPr>
          <w:noProof/>
        </w:rPr>
        <w:t>odn</w:t>
      </w:r>
      <w:r w:rsidRPr="00F66162">
        <w:rPr>
          <w:noProof/>
        </w:rPr>
        <w:t>iesieniu do każdego działania, do maksymalnej kwoty wsparcia Unii.</w:t>
      </w:r>
    </w:p>
    <w:p w14:paraId="51279972" w14:textId="77777777" w:rsidR="00FA5543" w:rsidRPr="00F66162" w:rsidRDefault="00FA5543" w:rsidP="00390489">
      <w:pPr>
        <w:rPr>
          <w:noProof/>
        </w:rPr>
      </w:pPr>
      <w:r w:rsidRPr="00F66162">
        <w:rPr>
          <w:noProof/>
        </w:rPr>
        <w:t xml:space="preserve">Uwagi </w:t>
      </w:r>
    </w:p>
    <w:p w14:paraId="7736873F" w14:textId="77777777" w:rsidR="00FA5543" w:rsidRPr="00F66162" w:rsidRDefault="1F9D7B66" w:rsidP="00F0618E">
      <w:pPr>
        <w:pBdr>
          <w:top w:val="single" w:sz="4" w:space="1" w:color="auto"/>
          <w:left w:val="single" w:sz="4" w:space="0" w:color="auto"/>
          <w:bottom w:val="single" w:sz="4" w:space="1" w:color="auto"/>
          <w:right w:val="single" w:sz="4" w:space="4" w:color="auto"/>
        </w:pBdr>
        <w:rPr>
          <w:noProof/>
        </w:rPr>
      </w:pPr>
      <w:r w:rsidRPr="00F66162">
        <w:rPr>
          <w:noProof/>
        </w:rPr>
        <w:t>Nie dotyczy.</w:t>
      </w:r>
    </w:p>
    <w:p w14:paraId="5BC5ECAF" w14:textId="77777777" w:rsidR="00FA5543" w:rsidRPr="00F66162" w:rsidRDefault="00FA5543" w:rsidP="00390489">
      <w:pPr>
        <w:pStyle w:val="ManualHeading1"/>
        <w:rPr>
          <w:bCs/>
          <w:noProof/>
          <w:szCs w:val="24"/>
        </w:rPr>
      </w:pPr>
      <w:r w:rsidRPr="00F66162">
        <w:rPr>
          <w:noProof/>
        </w:rPr>
        <w:t>2.</w:t>
      </w:r>
      <w:r w:rsidRPr="00F66162">
        <w:rPr>
          <w:noProof/>
        </w:rPr>
        <w:tab/>
        <w:t xml:space="preserve">ŚRODKI ZARZĄDZANIA </w:t>
      </w:r>
    </w:p>
    <w:p w14:paraId="5315E0B9" w14:textId="0B2B4411" w:rsidR="00FA5543" w:rsidRPr="00F66162" w:rsidRDefault="6C3AF1E0" w:rsidP="00390489">
      <w:pPr>
        <w:pStyle w:val="ManualHeading2"/>
        <w:rPr>
          <w:noProof/>
        </w:rPr>
      </w:pPr>
      <w:r w:rsidRPr="00F66162">
        <w:rPr>
          <w:noProof/>
        </w:rPr>
        <w:t>2.1.</w:t>
      </w:r>
      <w:r w:rsidRPr="00F66162">
        <w:rPr>
          <w:noProof/>
        </w:rPr>
        <w:tab/>
        <w:t>Zasady nadzoru</w:t>
      </w:r>
      <w:r w:rsidR="00825614" w:rsidRPr="00F66162">
        <w:rPr>
          <w:noProof/>
        </w:rPr>
        <w:t xml:space="preserve"> i</w:t>
      </w:r>
      <w:r w:rsidR="00825614">
        <w:rPr>
          <w:noProof/>
        </w:rPr>
        <w:t> </w:t>
      </w:r>
      <w:r w:rsidR="00825614" w:rsidRPr="00F66162">
        <w:rPr>
          <w:noProof/>
        </w:rPr>
        <w:t>spr</w:t>
      </w:r>
      <w:r w:rsidRPr="00F66162">
        <w:rPr>
          <w:noProof/>
        </w:rPr>
        <w:t xml:space="preserve">awozdawczości </w:t>
      </w:r>
    </w:p>
    <w:p w14:paraId="095B0050" w14:textId="6C1F664E" w:rsidR="00FA5543" w:rsidRPr="00F66162" w:rsidRDefault="3F4B96B8"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Komisja zapewni wprowadzenie ustaleń dotyczących monitorowania</w:t>
      </w:r>
      <w:r w:rsidR="00825614" w:rsidRPr="00F66162">
        <w:rPr>
          <w:noProof/>
        </w:rPr>
        <w:t xml:space="preserve"> i</w:t>
      </w:r>
      <w:r w:rsidR="00825614">
        <w:rPr>
          <w:noProof/>
        </w:rPr>
        <w:t> </w:t>
      </w:r>
      <w:r w:rsidR="00825614" w:rsidRPr="00F66162">
        <w:rPr>
          <w:noProof/>
        </w:rPr>
        <w:t>oce</w:t>
      </w:r>
      <w:r w:rsidRPr="00F66162">
        <w:rPr>
          <w:noProof/>
        </w:rPr>
        <w:t>ny funkcjonowania CBAM</w:t>
      </w:r>
      <w:r w:rsidR="00825614" w:rsidRPr="00F66162">
        <w:rPr>
          <w:noProof/>
        </w:rPr>
        <w:t xml:space="preserve"> i</w:t>
      </w:r>
      <w:r w:rsidR="00825614">
        <w:rPr>
          <w:noProof/>
        </w:rPr>
        <w:t> </w:t>
      </w:r>
      <w:r w:rsidR="00825614" w:rsidRPr="00F66162">
        <w:rPr>
          <w:noProof/>
        </w:rPr>
        <w:t>jeg</w:t>
      </w:r>
      <w:r w:rsidRPr="00F66162">
        <w:rPr>
          <w:noProof/>
        </w:rPr>
        <w:t>o oceny</w:t>
      </w:r>
      <w:r w:rsidR="00825614" w:rsidRPr="00F66162">
        <w:rPr>
          <w:noProof/>
        </w:rPr>
        <w:t xml:space="preserve"> w</w:t>
      </w:r>
      <w:r w:rsidR="00825614">
        <w:rPr>
          <w:noProof/>
        </w:rPr>
        <w:t> </w:t>
      </w:r>
      <w:r w:rsidR="00825614" w:rsidRPr="00F66162">
        <w:rPr>
          <w:noProof/>
        </w:rPr>
        <w:t>odn</w:t>
      </w:r>
      <w:r w:rsidRPr="00F66162">
        <w:rPr>
          <w:noProof/>
        </w:rPr>
        <w:t xml:space="preserve">iesieniu do głównych celów polityki. </w:t>
      </w:r>
    </w:p>
    <w:p w14:paraId="0327AE25" w14:textId="5CDDD44B" w:rsidR="00FA5543" w:rsidRPr="00F66162" w:rsidRDefault="3F4B96B8" w:rsidP="139DF8FE">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F66162">
        <w:rPr>
          <w:noProof/>
        </w:rPr>
        <w:t>Przed zakończeniem okresu przejściowego</w:t>
      </w:r>
      <w:r w:rsidR="00825614" w:rsidRPr="00F66162">
        <w:rPr>
          <w:noProof/>
        </w:rPr>
        <w:t xml:space="preserve"> z</w:t>
      </w:r>
      <w:r w:rsidR="00825614">
        <w:rPr>
          <w:noProof/>
        </w:rPr>
        <w:t> </w:t>
      </w:r>
      <w:r w:rsidR="00825614" w:rsidRPr="00F66162">
        <w:rPr>
          <w:noProof/>
        </w:rPr>
        <w:t>koń</w:t>
      </w:r>
      <w:r w:rsidRPr="00F66162">
        <w:rPr>
          <w:noProof/>
        </w:rPr>
        <w:t>cem 20</w:t>
      </w:r>
      <w:r w:rsidRPr="00825614">
        <w:rPr>
          <w:noProof/>
        </w:rPr>
        <w:t>25</w:t>
      </w:r>
      <w:r w:rsidR="00825614" w:rsidRPr="00825614">
        <w:rPr>
          <w:noProof/>
        </w:rPr>
        <w:t> </w:t>
      </w:r>
      <w:r w:rsidRPr="00825614">
        <w:rPr>
          <w:noProof/>
        </w:rPr>
        <w:t>r.</w:t>
      </w:r>
      <w:r w:rsidRPr="00F66162">
        <w:rPr>
          <w:noProof/>
        </w:rPr>
        <w:t xml:space="preserve"> Komisja opublikuje kompleksowe oceny funkcjonowania CBAM,</w:t>
      </w:r>
      <w:r w:rsidR="00825614" w:rsidRPr="00F66162">
        <w:rPr>
          <w:noProof/>
        </w:rPr>
        <w:t xml:space="preserve"> w</w:t>
      </w:r>
      <w:r w:rsidR="00825614">
        <w:rPr>
          <w:noProof/>
        </w:rPr>
        <w:t> </w:t>
      </w:r>
      <w:r w:rsidR="00825614" w:rsidRPr="00F66162">
        <w:rPr>
          <w:noProof/>
        </w:rPr>
        <w:t>tym</w:t>
      </w:r>
      <w:r w:rsidRPr="00F66162">
        <w:rPr>
          <w:noProof/>
        </w:rPr>
        <w:t xml:space="preserve"> zarządzania tym mechanizmem,</w:t>
      </w:r>
      <w:r w:rsidR="00825614" w:rsidRPr="00F66162">
        <w:rPr>
          <w:noProof/>
        </w:rPr>
        <w:t xml:space="preserve"> a</w:t>
      </w:r>
      <w:r w:rsidR="00825614">
        <w:rPr>
          <w:noProof/>
        </w:rPr>
        <w:t> </w:t>
      </w:r>
      <w:r w:rsidR="00825614" w:rsidRPr="00F66162">
        <w:rPr>
          <w:noProof/>
        </w:rPr>
        <w:t>nas</w:t>
      </w:r>
      <w:r w:rsidRPr="00F66162">
        <w:rPr>
          <w:noProof/>
        </w:rPr>
        <w:t>tępnie będzie publikować takie oceny co dwa lata</w:t>
      </w:r>
      <w:r w:rsidR="00825614" w:rsidRPr="00F66162">
        <w:rPr>
          <w:noProof/>
        </w:rPr>
        <w:t>. W</w:t>
      </w:r>
      <w:r w:rsidR="00825614">
        <w:rPr>
          <w:noProof/>
        </w:rPr>
        <w:t> </w:t>
      </w:r>
      <w:r w:rsidR="00825614" w:rsidRPr="00F66162">
        <w:rPr>
          <w:noProof/>
        </w:rPr>
        <w:t>spr</w:t>
      </w:r>
      <w:r w:rsidRPr="00F66162">
        <w:rPr>
          <w:noProof/>
        </w:rPr>
        <w:t>awozdaniu</w:t>
      </w:r>
      <w:r w:rsidR="00825614" w:rsidRPr="00F66162">
        <w:rPr>
          <w:noProof/>
        </w:rPr>
        <w:t xml:space="preserve"> z</w:t>
      </w:r>
      <w:r w:rsidR="00825614">
        <w:rPr>
          <w:noProof/>
        </w:rPr>
        <w:t> </w:t>
      </w:r>
      <w:r w:rsidR="00825614" w:rsidRPr="00F66162">
        <w:rPr>
          <w:noProof/>
        </w:rPr>
        <w:t>2</w:t>
      </w:r>
      <w:r w:rsidRPr="00F66162">
        <w:rPr>
          <w:noProof/>
        </w:rPr>
        <w:t>0</w:t>
      </w:r>
      <w:r w:rsidRPr="00825614">
        <w:rPr>
          <w:noProof/>
        </w:rPr>
        <w:t>25</w:t>
      </w:r>
      <w:r w:rsidR="00825614" w:rsidRPr="00825614">
        <w:rPr>
          <w:noProof/>
        </w:rPr>
        <w:t> </w:t>
      </w:r>
      <w:r w:rsidRPr="00825614">
        <w:rPr>
          <w:noProof/>
        </w:rPr>
        <w:t>r.</w:t>
      </w:r>
      <w:r w:rsidRPr="00F66162">
        <w:rPr>
          <w:noProof/>
        </w:rPr>
        <w:t xml:space="preserve"> dokona ona również przeglądu zakresu CBAM, aby zbadać możliwość jego rozszerzenia</w:t>
      </w:r>
      <w:r w:rsidR="00825614" w:rsidRPr="00F66162">
        <w:rPr>
          <w:noProof/>
        </w:rPr>
        <w:t xml:space="preserve"> o</w:t>
      </w:r>
      <w:r w:rsidR="00825614">
        <w:rPr>
          <w:noProof/>
        </w:rPr>
        <w:t> </w:t>
      </w:r>
      <w:r w:rsidR="00825614" w:rsidRPr="00F66162">
        <w:rPr>
          <w:noProof/>
        </w:rPr>
        <w:t>emi</w:t>
      </w:r>
      <w:r w:rsidRPr="00F66162">
        <w:rPr>
          <w:noProof/>
        </w:rPr>
        <w:t>sje</w:t>
      </w:r>
      <w:r w:rsidR="00825614" w:rsidRPr="00F66162">
        <w:rPr>
          <w:noProof/>
        </w:rPr>
        <w:t xml:space="preserve"> z</w:t>
      </w:r>
      <w:r w:rsidR="00825614">
        <w:rPr>
          <w:noProof/>
        </w:rPr>
        <w:t> </w:t>
      </w:r>
      <w:r w:rsidR="00825614" w:rsidRPr="00F66162">
        <w:rPr>
          <w:noProof/>
        </w:rPr>
        <w:t>inn</w:t>
      </w:r>
      <w:r w:rsidRPr="00F66162">
        <w:rPr>
          <w:noProof/>
        </w:rPr>
        <w:t>ych sektorów objętych EU ETS,</w:t>
      </w:r>
      <w:r w:rsidR="00825614" w:rsidRPr="00F66162">
        <w:rPr>
          <w:noProof/>
        </w:rPr>
        <w:t xml:space="preserve"> w</w:t>
      </w:r>
      <w:r w:rsidR="00825614">
        <w:rPr>
          <w:noProof/>
        </w:rPr>
        <w:t> </w:t>
      </w:r>
      <w:r w:rsidR="00825614" w:rsidRPr="00F66162">
        <w:rPr>
          <w:noProof/>
        </w:rPr>
        <w:t>prz</w:t>
      </w:r>
      <w:r w:rsidRPr="00F66162">
        <w:rPr>
          <w:noProof/>
        </w:rPr>
        <w:t>ypadku których istnieje ryzyko ucieczki emisji,</w:t>
      </w:r>
      <w:r w:rsidR="00825614" w:rsidRPr="00F66162">
        <w:rPr>
          <w:noProof/>
        </w:rPr>
        <w:t xml:space="preserve"> o</w:t>
      </w:r>
      <w:r w:rsidR="00825614">
        <w:rPr>
          <w:noProof/>
        </w:rPr>
        <w:t> </w:t>
      </w:r>
      <w:r w:rsidR="00825614" w:rsidRPr="00F66162">
        <w:rPr>
          <w:noProof/>
        </w:rPr>
        <w:t>pro</w:t>
      </w:r>
      <w:r w:rsidRPr="00F66162">
        <w:rPr>
          <w:noProof/>
        </w:rPr>
        <w:t>dukty znajdujące się dalej</w:t>
      </w:r>
      <w:r w:rsidR="00825614" w:rsidRPr="00F66162">
        <w:rPr>
          <w:noProof/>
        </w:rPr>
        <w:t xml:space="preserve"> w</w:t>
      </w:r>
      <w:r w:rsidR="00825614">
        <w:rPr>
          <w:noProof/>
        </w:rPr>
        <w:t> </w:t>
      </w:r>
      <w:r w:rsidR="00825614" w:rsidRPr="00F66162">
        <w:rPr>
          <w:noProof/>
        </w:rPr>
        <w:t>łań</w:t>
      </w:r>
      <w:r w:rsidRPr="00F66162">
        <w:rPr>
          <w:noProof/>
        </w:rPr>
        <w:t>cuchu wartości,</w:t>
      </w:r>
      <w:r w:rsidR="00825614" w:rsidRPr="00F66162">
        <w:rPr>
          <w:noProof/>
        </w:rPr>
        <w:t xml:space="preserve"> a</w:t>
      </w:r>
      <w:r w:rsidR="00825614">
        <w:rPr>
          <w:noProof/>
        </w:rPr>
        <w:t> </w:t>
      </w:r>
      <w:r w:rsidR="00825614" w:rsidRPr="00F66162">
        <w:rPr>
          <w:noProof/>
        </w:rPr>
        <w:t>tak</w:t>
      </w:r>
      <w:r w:rsidRPr="00F66162">
        <w:rPr>
          <w:noProof/>
        </w:rPr>
        <w:t>że</w:t>
      </w:r>
      <w:r w:rsidR="00825614" w:rsidRPr="00F66162">
        <w:rPr>
          <w:noProof/>
        </w:rPr>
        <w:t xml:space="preserve"> o</w:t>
      </w:r>
      <w:r w:rsidR="00825614">
        <w:rPr>
          <w:noProof/>
        </w:rPr>
        <w:t> </w:t>
      </w:r>
      <w:r w:rsidR="00825614" w:rsidRPr="00F66162">
        <w:rPr>
          <w:noProof/>
        </w:rPr>
        <w:t>emi</w:t>
      </w:r>
      <w:r w:rsidRPr="00F66162">
        <w:rPr>
          <w:noProof/>
        </w:rPr>
        <w:t>sje pośrednie we wszystkich sektorach</w:t>
      </w:r>
      <w:r w:rsidR="00825614" w:rsidRPr="00F66162">
        <w:rPr>
          <w:noProof/>
        </w:rPr>
        <w:t>. W</w:t>
      </w:r>
      <w:r w:rsidR="00825614">
        <w:rPr>
          <w:noProof/>
        </w:rPr>
        <w:t> </w:t>
      </w:r>
      <w:r w:rsidR="00825614" w:rsidRPr="00F66162">
        <w:rPr>
          <w:noProof/>
        </w:rPr>
        <w:t>tym</w:t>
      </w:r>
      <w:r w:rsidRPr="00F66162">
        <w:rPr>
          <w:noProof/>
        </w:rPr>
        <w:t xml:space="preserve"> celu niezbędne jest monitorowanie oddziaływania CBAM na sektory, które znalazły się na krótkiej liście.</w:t>
      </w:r>
    </w:p>
    <w:p w14:paraId="245073F2" w14:textId="6AB466C8" w:rsidR="00FA5543" w:rsidRPr="00F66162" w:rsidRDefault="00FA5543" w:rsidP="00390489">
      <w:pPr>
        <w:pStyle w:val="ManualHeading2"/>
        <w:rPr>
          <w:bCs/>
          <w:noProof/>
          <w:szCs w:val="24"/>
        </w:rPr>
      </w:pPr>
      <w:r w:rsidRPr="00F66162">
        <w:rPr>
          <w:noProof/>
        </w:rPr>
        <w:t>2.2.</w:t>
      </w:r>
      <w:r w:rsidRPr="00F66162">
        <w:rPr>
          <w:noProof/>
        </w:rPr>
        <w:tab/>
        <w:t>System zarządzania</w:t>
      </w:r>
      <w:r w:rsidR="00825614" w:rsidRPr="00F66162">
        <w:rPr>
          <w:noProof/>
        </w:rPr>
        <w:t xml:space="preserve"> i</w:t>
      </w:r>
      <w:r w:rsidR="00825614">
        <w:rPr>
          <w:noProof/>
        </w:rPr>
        <w:t> </w:t>
      </w:r>
      <w:r w:rsidR="00825614" w:rsidRPr="00F66162">
        <w:rPr>
          <w:noProof/>
        </w:rPr>
        <w:t>kon</w:t>
      </w:r>
      <w:r w:rsidRPr="00F66162">
        <w:rPr>
          <w:noProof/>
        </w:rPr>
        <w:t xml:space="preserve">troli </w:t>
      </w:r>
    </w:p>
    <w:p w14:paraId="3D7CCEBA" w14:textId="4CCCB721" w:rsidR="00FA5543" w:rsidRPr="00F66162" w:rsidRDefault="00FA5543" w:rsidP="00390489">
      <w:pPr>
        <w:pStyle w:val="ManualHeading3"/>
        <w:rPr>
          <w:noProof/>
        </w:rPr>
      </w:pPr>
      <w:r w:rsidRPr="00F66162">
        <w:rPr>
          <w:noProof/>
        </w:rPr>
        <w:t>2.2.1.</w:t>
      </w:r>
      <w:r w:rsidRPr="00F66162">
        <w:rPr>
          <w:noProof/>
        </w:rPr>
        <w:tab/>
        <w:t>Uzasadnienie dla proponowanych metod wykonania budżetu, mechanizmów finansowania wykonania, sposobów dokonywania płatności</w:t>
      </w:r>
      <w:r w:rsidR="00825614" w:rsidRPr="00F66162">
        <w:rPr>
          <w:noProof/>
        </w:rPr>
        <w:t xml:space="preserve"> i</w:t>
      </w:r>
      <w:r w:rsidR="00825614">
        <w:rPr>
          <w:noProof/>
        </w:rPr>
        <w:t> </w:t>
      </w:r>
      <w:r w:rsidR="00825614" w:rsidRPr="00F66162">
        <w:rPr>
          <w:noProof/>
        </w:rPr>
        <w:t>str</w:t>
      </w:r>
      <w:r w:rsidRPr="00F66162">
        <w:rPr>
          <w:noProof/>
        </w:rPr>
        <w:t>ategii kontroli</w:t>
      </w:r>
    </w:p>
    <w:p w14:paraId="78138ECF" w14:textId="01F45027" w:rsidR="00FA5543" w:rsidRPr="00F66162" w:rsidRDefault="7A6C50F8" w:rsidP="139DF8FE">
      <w:pPr>
        <w:pStyle w:val="Text1"/>
        <w:pBdr>
          <w:top w:val="single" w:sz="8" w:space="1" w:color="000000"/>
          <w:left w:val="single" w:sz="8" w:space="4" w:color="000000"/>
          <w:bottom w:val="single" w:sz="8" w:space="1" w:color="000000"/>
          <w:right w:val="single" w:sz="8" w:space="4" w:color="000000"/>
        </w:pBdr>
        <w:ind w:left="720"/>
        <w:rPr>
          <w:rFonts w:eastAsia="Times New Roman"/>
          <w:noProof/>
          <w:szCs w:val="24"/>
        </w:rPr>
      </w:pPr>
      <w:r w:rsidRPr="00F66162">
        <w:rPr>
          <w:noProof/>
        </w:rPr>
        <w:t>Znacząco scentralizowana struktura CBAM umożliwia jego bardzo jednolite</w:t>
      </w:r>
      <w:r w:rsidR="00825614" w:rsidRPr="00F66162">
        <w:rPr>
          <w:noProof/>
        </w:rPr>
        <w:t xml:space="preserve"> i</w:t>
      </w:r>
      <w:r w:rsidR="00825614">
        <w:rPr>
          <w:noProof/>
        </w:rPr>
        <w:t> </w:t>
      </w:r>
      <w:r w:rsidR="00825614" w:rsidRPr="00F66162">
        <w:rPr>
          <w:noProof/>
        </w:rPr>
        <w:t>sku</w:t>
      </w:r>
      <w:r w:rsidRPr="00F66162">
        <w:rPr>
          <w:noProof/>
        </w:rPr>
        <w:t>teczne wdrożenie</w:t>
      </w:r>
      <w:r w:rsidR="00825614" w:rsidRPr="00F66162">
        <w:rPr>
          <w:noProof/>
        </w:rPr>
        <w:t xml:space="preserve"> w</w:t>
      </w:r>
      <w:r w:rsidR="00825614">
        <w:rPr>
          <w:noProof/>
        </w:rPr>
        <w:t> </w:t>
      </w:r>
      <w:r w:rsidR="00825614" w:rsidRPr="00F66162">
        <w:rPr>
          <w:noProof/>
        </w:rPr>
        <w:t>cał</w:t>
      </w:r>
      <w:r w:rsidRPr="00F66162">
        <w:rPr>
          <w:noProof/>
        </w:rPr>
        <w:t>ej UE,</w:t>
      </w:r>
      <w:r w:rsidR="00825614" w:rsidRPr="00F66162">
        <w:rPr>
          <w:noProof/>
        </w:rPr>
        <w:t xml:space="preserve"> w</w:t>
      </w:r>
      <w:r w:rsidR="00825614">
        <w:rPr>
          <w:noProof/>
        </w:rPr>
        <w:t> </w:t>
      </w:r>
      <w:r w:rsidR="00825614" w:rsidRPr="00F66162">
        <w:rPr>
          <w:noProof/>
        </w:rPr>
        <w:t>tym w</w:t>
      </w:r>
      <w:r w:rsidR="00825614">
        <w:rPr>
          <w:noProof/>
        </w:rPr>
        <w:t> </w:t>
      </w:r>
      <w:r w:rsidR="00825614" w:rsidRPr="00F66162">
        <w:rPr>
          <w:noProof/>
        </w:rPr>
        <w:t>pań</w:t>
      </w:r>
      <w:r w:rsidRPr="00F66162">
        <w:rPr>
          <w:noProof/>
        </w:rPr>
        <w:t>stwach członkowskich, których zdolności administracyjne</w:t>
      </w:r>
      <w:r w:rsidR="00825614" w:rsidRPr="00F66162">
        <w:rPr>
          <w:noProof/>
        </w:rPr>
        <w:t xml:space="preserve"> w</w:t>
      </w:r>
      <w:r w:rsidR="00825614">
        <w:rPr>
          <w:noProof/>
        </w:rPr>
        <w:t> </w:t>
      </w:r>
      <w:r w:rsidR="00825614" w:rsidRPr="00F66162">
        <w:rPr>
          <w:noProof/>
        </w:rPr>
        <w:t>zak</w:t>
      </w:r>
      <w:r w:rsidRPr="00F66162">
        <w:rPr>
          <w:noProof/>
        </w:rPr>
        <w:t>resie kwestii klimatycznych są bardziej ograniczone. Większość zadań związanych</w:t>
      </w:r>
      <w:r w:rsidR="00825614" w:rsidRPr="00F66162">
        <w:rPr>
          <w:noProof/>
        </w:rPr>
        <w:t xml:space="preserve"> z</w:t>
      </w:r>
      <w:r w:rsidR="00825614">
        <w:rPr>
          <w:noProof/>
        </w:rPr>
        <w:t> </w:t>
      </w:r>
      <w:r w:rsidR="00825614" w:rsidRPr="00F66162">
        <w:rPr>
          <w:noProof/>
        </w:rPr>
        <w:t>wdr</w:t>
      </w:r>
      <w:r w:rsidRPr="00F66162">
        <w:rPr>
          <w:noProof/>
        </w:rPr>
        <w:t>ażaniem</w:t>
      </w:r>
      <w:r w:rsidR="00825614" w:rsidRPr="00F66162">
        <w:rPr>
          <w:noProof/>
        </w:rPr>
        <w:t xml:space="preserve"> i</w:t>
      </w:r>
      <w:r w:rsidR="00825614">
        <w:rPr>
          <w:noProof/>
        </w:rPr>
        <w:t> </w:t>
      </w:r>
      <w:r w:rsidR="00825614" w:rsidRPr="00F66162">
        <w:rPr>
          <w:noProof/>
        </w:rPr>
        <w:t>egz</w:t>
      </w:r>
      <w:r w:rsidRPr="00F66162">
        <w:rPr>
          <w:noProof/>
        </w:rPr>
        <w:t>ekwowaniem CBAM powierzono służbom Komisji. Wymaga to również zwiększenia liczby jej zadań kontrolnych</w:t>
      </w:r>
      <w:r w:rsidR="00825614" w:rsidRPr="00F66162">
        <w:rPr>
          <w:noProof/>
        </w:rPr>
        <w:t xml:space="preserve"> w</w:t>
      </w:r>
      <w:r w:rsidR="00825614">
        <w:rPr>
          <w:noProof/>
        </w:rPr>
        <w:t> </w:t>
      </w:r>
      <w:r w:rsidR="00825614" w:rsidRPr="00F66162">
        <w:rPr>
          <w:noProof/>
        </w:rPr>
        <w:t>cel</w:t>
      </w:r>
      <w:r w:rsidRPr="00F66162">
        <w:rPr>
          <w:noProof/>
        </w:rPr>
        <w:t>u zapewnienia prawidłowego wdrożenia CBAM</w:t>
      </w:r>
      <w:r w:rsidR="00825614" w:rsidRPr="00F66162">
        <w:rPr>
          <w:noProof/>
        </w:rPr>
        <w:t xml:space="preserve"> i</w:t>
      </w:r>
      <w:r w:rsidR="00825614">
        <w:rPr>
          <w:noProof/>
        </w:rPr>
        <w:t> </w:t>
      </w:r>
      <w:r w:rsidR="00825614" w:rsidRPr="00F66162">
        <w:rPr>
          <w:noProof/>
        </w:rPr>
        <w:t>zar</w:t>
      </w:r>
      <w:r w:rsidRPr="00F66162">
        <w:rPr>
          <w:noProof/>
        </w:rPr>
        <w:t>ządzania tym mechanizmem. Ponadto Komisja przewidziała zwiększenie liczby środków zapobiegania nadużyciom finansowym.</w:t>
      </w:r>
    </w:p>
    <w:p w14:paraId="215A81DA" w14:textId="5F4CB678" w:rsidR="00FA5543" w:rsidRPr="00F66162" w:rsidRDefault="7A6C50F8" w:rsidP="139DF8FE">
      <w:pPr>
        <w:pStyle w:val="Text1"/>
        <w:pBdr>
          <w:top w:val="single" w:sz="8" w:space="1" w:color="000000"/>
          <w:left w:val="single" w:sz="8" w:space="4" w:color="000000"/>
          <w:bottom w:val="single" w:sz="8" w:space="1" w:color="000000"/>
          <w:right w:val="single" w:sz="8" w:space="4" w:color="000000"/>
        </w:pBdr>
        <w:ind w:left="720"/>
        <w:rPr>
          <w:noProof/>
        </w:rPr>
      </w:pPr>
      <w:r w:rsidRPr="00F66162">
        <w:rPr>
          <w:noProof/>
        </w:rPr>
        <w:t>Niniejszy pakiet uproszczeń znacząco zmniejszy obciążenie administracyjne importerów, zwłaszcza MŚP,</w:t>
      </w:r>
      <w:r w:rsidR="00825614" w:rsidRPr="00F66162">
        <w:rPr>
          <w:noProof/>
        </w:rPr>
        <w:t xml:space="preserve"> a</w:t>
      </w:r>
      <w:r w:rsidR="00825614">
        <w:rPr>
          <w:noProof/>
        </w:rPr>
        <w:t> </w:t>
      </w:r>
      <w:r w:rsidR="00825614" w:rsidRPr="00F66162">
        <w:rPr>
          <w:noProof/>
        </w:rPr>
        <w:t>tak</w:t>
      </w:r>
      <w:r w:rsidRPr="00F66162">
        <w:rPr>
          <w:noProof/>
        </w:rPr>
        <w:t>że organów krajowych, co jest możliwe wyłącznie dzięki zwiększeniu odpowiedzialności</w:t>
      </w:r>
      <w:r w:rsidR="00825614" w:rsidRPr="00F66162">
        <w:rPr>
          <w:noProof/>
        </w:rPr>
        <w:t xml:space="preserve"> i</w:t>
      </w:r>
      <w:r w:rsidR="00825614">
        <w:rPr>
          <w:noProof/>
        </w:rPr>
        <w:t> </w:t>
      </w:r>
      <w:r w:rsidR="00825614" w:rsidRPr="00F66162">
        <w:rPr>
          <w:noProof/>
        </w:rPr>
        <w:t>zad</w:t>
      </w:r>
      <w:r w:rsidRPr="00F66162">
        <w:rPr>
          <w:noProof/>
        </w:rPr>
        <w:t>ań służb Komisji, zwłaszcza</w:t>
      </w:r>
      <w:r w:rsidR="00825614" w:rsidRPr="00F66162">
        <w:rPr>
          <w:noProof/>
        </w:rPr>
        <w:t xml:space="preserve"> w</w:t>
      </w:r>
      <w:r w:rsidR="00825614">
        <w:rPr>
          <w:noProof/>
        </w:rPr>
        <w:t> </w:t>
      </w:r>
      <w:r w:rsidR="00825614" w:rsidRPr="00F66162">
        <w:rPr>
          <w:noProof/>
        </w:rPr>
        <w:t>zak</w:t>
      </w:r>
      <w:r w:rsidRPr="00F66162">
        <w:rPr>
          <w:noProof/>
        </w:rPr>
        <w:t>resie monitorowania</w:t>
      </w:r>
      <w:r w:rsidR="00825614" w:rsidRPr="00F66162">
        <w:rPr>
          <w:noProof/>
        </w:rPr>
        <w:t xml:space="preserve"> i</w:t>
      </w:r>
      <w:r w:rsidR="00825614">
        <w:rPr>
          <w:noProof/>
        </w:rPr>
        <w:t> </w:t>
      </w:r>
      <w:r w:rsidR="00825614" w:rsidRPr="00F66162">
        <w:rPr>
          <w:noProof/>
        </w:rPr>
        <w:t>egz</w:t>
      </w:r>
      <w:r w:rsidRPr="00F66162">
        <w:rPr>
          <w:noProof/>
        </w:rPr>
        <w:t>ekwowania przepisów.</w:t>
      </w:r>
    </w:p>
    <w:p w14:paraId="28345C57" w14:textId="4604C49C" w:rsidR="00FA5543" w:rsidRPr="00F66162" w:rsidRDefault="00FA5543" w:rsidP="00390489">
      <w:pPr>
        <w:pStyle w:val="ManualHeading3"/>
        <w:rPr>
          <w:bCs/>
          <w:noProof/>
          <w:szCs w:val="24"/>
        </w:rPr>
      </w:pPr>
      <w:r w:rsidRPr="00F66162">
        <w:rPr>
          <w:noProof/>
        </w:rPr>
        <w:t>2.2.2.</w:t>
      </w:r>
      <w:r w:rsidRPr="00F66162">
        <w:rPr>
          <w:noProof/>
        </w:rPr>
        <w:tab/>
        <w:t>Informacje dotyczące zidentyfikowanego ryzyka</w:t>
      </w:r>
      <w:r w:rsidR="00825614" w:rsidRPr="00F66162">
        <w:rPr>
          <w:noProof/>
        </w:rPr>
        <w:t xml:space="preserve"> i</w:t>
      </w:r>
      <w:r w:rsidR="00825614">
        <w:rPr>
          <w:noProof/>
        </w:rPr>
        <w:t> </w:t>
      </w:r>
      <w:r w:rsidR="00825614" w:rsidRPr="00F66162">
        <w:rPr>
          <w:noProof/>
        </w:rPr>
        <w:t>sys</w:t>
      </w:r>
      <w:r w:rsidRPr="00F66162">
        <w:rPr>
          <w:noProof/>
        </w:rPr>
        <w:t>temów kontroli wewnętrznej ustanowionych</w:t>
      </w:r>
      <w:r w:rsidR="00825614" w:rsidRPr="00F66162">
        <w:rPr>
          <w:noProof/>
        </w:rPr>
        <w:t xml:space="preserve"> w</w:t>
      </w:r>
      <w:r w:rsidR="00825614">
        <w:rPr>
          <w:noProof/>
        </w:rPr>
        <w:t> </w:t>
      </w:r>
      <w:r w:rsidR="00825614" w:rsidRPr="00F66162">
        <w:rPr>
          <w:noProof/>
        </w:rPr>
        <w:t>cel</w:t>
      </w:r>
      <w:r w:rsidRPr="00F66162">
        <w:rPr>
          <w:noProof/>
        </w:rPr>
        <w:t>u jego ograniczenia</w:t>
      </w:r>
    </w:p>
    <w:p w14:paraId="7BC74EC4" w14:textId="025D5BB4" w:rsidR="00FA5543" w:rsidRPr="00F66162" w:rsidRDefault="0203C40B"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CBAM będzie opierać się na systemie deklaratywnym, który wiąże się</w:t>
      </w:r>
      <w:r w:rsidR="00825614" w:rsidRPr="00F66162">
        <w:rPr>
          <w:noProof/>
        </w:rPr>
        <w:t xml:space="preserve"> z</w:t>
      </w:r>
      <w:r w:rsidR="00825614">
        <w:rPr>
          <w:noProof/>
        </w:rPr>
        <w:t> </w:t>
      </w:r>
      <w:r w:rsidR="00825614" w:rsidRPr="00F66162">
        <w:rPr>
          <w:noProof/>
        </w:rPr>
        <w:t>ryz</w:t>
      </w:r>
      <w:r w:rsidRPr="00F66162">
        <w:rPr>
          <w:noProof/>
        </w:rPr>
        <w:t>ykiem braku deklaracji lub błędnych deklaracji.</w:t>
      </w:r>
    </w:p>
    <w:p w14:paraId="2825BB40" w14:textId="15F31E88" w:rsidR="00FA5543" w:rsidRPr="00F66162" w:rsidRDefault="0203C40B" w:rsidP="139DF8FE">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F66162">
        <w:rPr>
          <w:noProof/>
        </w:rPr>
        <w:lastRenderedPageBreak/>
        <w:t>Aby ograniczyć ryzyko braku deklaracji, system wymaga uzyskania upoważnienia przed przywozem towarów objętych zakresem rozporządzenia. Krajowe organy celne będą odpowiedzialne za egzekwowanie tej zasady poprzez niedopuszczanie tych towarów do obrotu do czasu uzyskania przez zgłaszającego upoważnienia zgodnie</w:t>
      </w:r>
      <w:r w:rsidR="00825614" w:rsidRPr="00F66162">
        <w:rPr>
          <w:noProof/>
        </w:rPr>
        <w:t xml:space="preserve"> z</w:t>
      </w:r>
      <w:r w:rsidR="00825614">
        <w:rPr>
          <w:noProof/>
        </w:rPr>
        <w:t> </w:t>
      </w:r>
      <w:r w:rsidR="00825614" w:rsidRPr="00F66162">
        <w:rPr>
          <w:noProof/>
        </w:rPr>
        <w:t>prz</w:t>
      </w:r>
      <w:r w:rsidRPr="00F66162">
        <w:rPr>
          <w:noProof/>
        </w:rPr>
        <w:t>episami niniejszego rozporządzenia.</w:t>
      </w:r>
    </w:p>
    <w:p w14:paraId="4A8D5E71" w14:textId="77777777" w:rsidR="00FA5543" w:rsidRPr="00F66162" w:rsidRDefault="0203C40B" w:rsidP="139DF8FE">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F66162">
        <w:rPr>
          <w:noProof/>
        </w:rPr>
        <w:t>Aby ograniczyć ryzyko błędnych deklaracji, wprowadzony zostanie system audytów oparty na kryteriach oceny ryzyka oraz audyty wyrywkowe, którym towarzyszyć będą kary ustalone na wystarczająco wysokim poziomie, aby były odstraszające. Audyt będzie miał miejsce zarówno na poziomie deklaracji CBAM składanych przez organy krajowe, jak i na poziomie zgłoszeń przywozowych składanych przez organy celne.</w:t>
      </w:r>
    </w:p>
    <w:p w14:paraId="2C6CE6E0" w14:textId="6A706B28" w:rsidR="00FA5543" w:rsidRPr="00F66162" w:rsidRDefault="00FA5543" w:rsidP="00390489">
      <w:pPr>
        <w:pStyle w:val="ManualHeading3"/>
        <w:rPr>
          <w:noProof/>
        </w:rPr>
      </w:pPr>
      <w:r w:rsidRPr="00F66162">
        <w:rPr>
          <w:noProof/>
        </w:rPr>
        <w:t>2.2.3.</w:t>
      </w:r>
      <w:r w:rsidRPr="00F66162">
        <w:rPr>
          <w:noProof/>
        </w:rPr>
        <w:tab/>
        <w:t>Oszacowanie</w:t>
      </w:r>
      <w:r w:rsidR="00825614" w:rsidRPr="00F66162">
        <w:rPr>
          <w:noProof/>
        </w:rPr>
        <w:t xml:space="preserve"> i</w:t>
      </w:r>
      <w:r w:rsidR="00825614">
        <w:rPr>
          <w:noProof/>
        </w:rPr>
        <w:t> </w:t>
      </w:r>
      <w:r w:rsidR="00825614" w:rsidRPr="00F66162">
        <w:rPr>
          <w:noProof/>
        </w:rPr>
        <w:t>uza</w:t>
      </w:r>
      <w:r w:rsidRPr="00F66162">
        <w:rPr>
          <w:noProof/>
        </w:rPr>
        <w:t>sadnienie efektywności kosztowej kontroli (relacja kosztów kontroli do wartości zarządzanych funduszy powiązanych) oraz ocena prawdopodobnego ryzyka błędu (przy płatności</w:t>
      </w:r>
      <w:r w:rsidR="00825614" w:rsidRPr="00F66162">
        <w:rPr>
          <w:noProof/>
        </w:rPr>
        <w:t xml:space="preserve"> i</w:t>
      </w:r>
      <w:r w:rsidR="00825614">
        <w:rPr>
          <w:noProof/>
        </w:rPr>
        <w:t> </w:t>
      </w:r>
      <w:r w:rsidR="00825614" w:rsidRPr="00F66162">
        <w:rPr>
          <w:noProof/>
        </w:rPr>
        <w:t>prz</w:t>
      </w:r>
      <w:r w:rsidRPr="00F66162">
        <w:rPr>
          <w:noProof/>
        </w:rPr>
        <w:t xml:space="preserve">y zamykaniu) </w:t>
      </w:r>
    </w:p>
    <w:p w14:paraId="68E1E056" w14:textId="56A68684" w:rsidR="00FA5543" w:rsidRPr="00F66162" w:rsidRDefault="64D6CE5D"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Służby Komisji będą kontrolować prawidłowe stosowanie CBAM,</w:t>
      </w:r>
      <w:r w:rsidR="00825614" w:rsidRPr="00F66162">
        <w:rPr>
          <w:noProof/>
        </w:rPr>
        <w:t xml:space="preserve"> w</w:t>
      </w:r>
      <w:r w:rsidR="00825614">
        <w:rPr>
          <w:noProof/>
        </w:rPr>
        <w:t> </w:t>
      </w:r>
      <w:r w:rsidR="00825614" w:rsidRPr="00F66162">
        <w:rPr>
          <w:noProof/>
        </w:rPr>
        <w:t>szc</w:t>
      </w:r>
      <w:r w:rsidRPr="00F66162">
        <w:rPr>
          <w:noProof/>
        </w:rPr>
        <w:t>zególności przekazywanie certyfikatów CBAM do umorzenia</w:t>
      </w:r>
      <w:r w:rsidR="00825614" w:rsidRPr="00F66162">
        <w:rPr>
          <w:noProof/>
        </w:rPr>
        <w:t xml:space="preserve"> i</w:t>
      </w:r>
      <w:r w:rsidR="00825614">
        <w:rPr>
          <w:noProof/>
        </w:rPr>
        <w:t> </w:t>
      </w:r>
      <w:r w:rsidR="00825614" w:rsidRPr="00F66162">
        <w:rPr>
          <w:noProof/>
        </w:rPr>
        <w:t>pra</w:t>
      </w:r>
      <w:r w:rsidRPr="00F66162">
        <w:rPr>
          <w:noProof/>
        </w:rPr>
        <w:t xml:space="preserve">widłowe stosowanie progu </w:t>
      </w:r>
      <w:r w:rsidRPr="00F66162">
        <w:rPr>
          <w:i/>
          <w:iCs/>
          <w:noProof/>
        </w:rPr>
        <w:t>de minimis</w:t>
      </w:r>
      <w:r w:rsidR="00825614" w:rsidRPr="00F66162">
        <w:rPr>
          <w:noProof/>
        </w:rPr>
        <w:t>. W</w:t>
      </w:r>
      <w:r w:rsidR="00825614">
        <w:rPr>
          <w:noProof/>
        </w:rPr>
        <w:t> </w:t>
      </w:r>
      <w:r w:rsidR="00825614" w:rsidRPr="00F66162">
        <w:rPr>
          <w:noProof/>
        </w:rPr>
        <w:t>cel</w:t>
      </w:r>
      <w:r w:rsidRPr="00F66162">
        <w:rPr>
          <w:noProof/>
        </w:rPr>
        <w:t>u zapewnienia opłacalności kontroli</w:t>
      </w:r>
      <w:r w:rsidR="00825614" w:rsidRPr="00F66162">
        <w:rPr>
          <w:noProof/>
        </w:rPr>
        <w:t xml:space="preserve"> i</w:t>
      </w:r>
      <w:r w:rsidR="00825614">
        <w:rPr>
          <w:noProof/>
        </w:rPr>
        <w:t> </w:t>
      </w:r>
      <w:r w:rsidR="00825614" w:rsidRPr="00F66162">
        <w:rPr>
          <w:noProof/>
        </w:rPr>
        <w:t>prz</w:t>
      </w:r>
      <w:r w:rsidRPr="00F66162">
        <w:rPr>
          <w:noProof/>
        </w:rPr>
        <w:t xml:space="preserve">eciwdziałania ryzyku obchodzenia przepisów zastosowany zostanie efektywny system zarządzania ryzykiem. </w:t>
      </w:r>
    </w:p>
    <w:p w14:paraId="3C682F97" w14:textId="2A79F8F7" w:rsidR="00FA5543" w:rsidRPr="00F66162" w:rsidRDefault="6C3AF1E0" w:rsidP="00390489">
      <w:pPr>
        <w:pStyle w:val="ManualHeading2"/>
        <w:rPr>
          <w:bCs/>
          <w:noProof/>
          <w:szCs w:val="24"/>
        </w:rPr>
      </w:pPr>
      <w:r w:rsidRPr="00F66162">
        <w:rPr>
          <w:noProof/>
        </w:rPr>
        <w:t>2.3.</w:t>
      </w:r>
      <w:r w:rsidRPr="00F66162">
        <w:rPr>
          <w:noProof/>
        </w:rPr>
        <w:tab/>
        <w:t>Środki zapobiegania nadużyciom finansowym</w:t>
      </w:r>
      <w:r w:rsidR="00825614" w:rsidRPr="00F66162">
        <w:rPr>
          <w:noProof/>
        </w:rPr>
        <w:t xml:space="preserve"> i</w:t>
      </w:r>
      <w:r w:rsidR="00825614">
        <w:rPr>
          <w:noProof/>
        </w:rPr>
        <w:t> </w:t>
      </w:r>
      <w:r w:rsidR="00825614" w:rsidRPr="00F66162">
        <w:rPr>
          <w:noProof/>
        </w:rPr>
        <w:t>nie</w:t>
      </w:r>
      <w:r w:rsidRPr="00F66162">
        <w:rPr>
          <w:noProof/>
        </w:rPr>
        <w:t xml:space="preserve">prawidłowościom </w:t>
      </w:r>
    </w:p>
    <w:p w14:paraId="03F6805C" w14:textId="3432D218" w:rsidR="00FA5543" w:rsidRPr="00F66162" w:rsidRDefault="0E8304A1"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Należy zapewnić ochronę interesów finansowych Unii</w:t>
      </w:r>
      <w:r w:rsidR="00825614" w:rsidRPr="00F66162">
        <w:rPr>
          <w:noProof/>
        </w:rPr>
        <w:t xml:space="preserve"> w</w:t>
      </w:r>
      <w:r w:rsidR="00825614">
        <w:rPr>
          <w:noProof/>
        </w:rPr>
        <w:t> </w:t>
      </w:r>
      <w:r w:rsidR="00825614" w:rsidRPr="00F66162">
        <w:rPr>
          <w:noProof/>
        </w:rPr>
        <w:t>cał</w:t>
      </w:r>
      <w:r w:rsidRPr="00F66162">
        <w:rPr>
          <w:noProof/>
        </w:rPr>
        <w:t>ym cyklu wydatkowania, przez zastosowanie proporcjonalnych środków obejmujących zapobieganie nieprawidłowościom oraz ich wykrywanie</w:t>
      </w:r>
      <w:r w:rsidR="00825614" w:rsidRPr="00F66162">
        <w:rPr>
          <w:noProof/>
        </w:rPr>
        <w:t xml:space="preserve"> i</w:t>
      </w:r>
      <w:r w:rsidR="00825614">
        <w:rPr>
          <w:noProof/>
        </w:rPr>
        <w:t> </w:t>
      </w:r>
      <w:r w:rsidR="00825614" w:rsidRPr="00F66162">
        <w:rPr>
          <w:noProof/>
        </w:rPr>
        <w:t>bad</w:t>
      </w:r>
      <w:r w:rsidRPr="00F66162">
        <w:rPr>
          <w:noProof/>
        </w:rPr>
        <w:t>anie, odzyskiwanie środków utraconych, nienależnie wypłaconych lub niewłaściwie wykorzystanych oraz,</w:t>
      </w:r>
      <w:r w:rsidR="00825614" w:rsidRPr="00F66162">
        <w:rPr>
          <w:noProof/>
        </w:rPr>
        <w:t xml:space="preserve"> w</w:t>
      </w:r>
      <w:r w:rsidR="00825614">
        <w:rPr>
          <w:noProof/>
        </w:rPr>
        <w:t> </w:t>
      </w:r>
      <w:r w:rsidR="00825614" w:rsidRPr="00F66162">
        <w:rPr>
          <w:noProof/>
        </w:rPr>
        <w:t>sto</w:t>
      </w:r>
      <w:r w:rsidRPr="00F66162">
        <w:rPr>
          <w:noProof/>
        </w:rPr>
        <w:t>sownych przypadkach, nakładanie kar administracyjnych</w:t>
      </w:r>
      <w:r w:rsidR="00825614" w:rsidRPr="00F66162">
        <w:rPr>
          <w:noProof/>
        </w:rPr>
        <w:t xml:space="preserve"> i</w:t>
      </w:r>
      <w:r w:rsidR="00825614">
        <w:rPr>
          <w:noProof/>
        </w:rPr>
        <w:t> </w:t>
      </w:r>
      <w:r w:rsidR="00825614" w:rsidRPr="00F66162">
        <w:rPr>
          <w:noProof/>
        </w:rPr>
        <w:t>fin</w:t>
      </w:r>
      <w:r w:rsidRPr="00F66162">
        <w:rPr>
          <w:noProof/>
        </w:rPr>
        <w:t xml:space="preserve">ansowych. </w:t>
      </w:r>
    </w:p>
    <w:p w14:paraId="22A70E5C" w14:textId="4BE73AC4" w:rsidR="00FA5543" w:rsidRPr="00F66162" w:rsidRDefault="0E8304A1" w:rsidP="139DF8FE">
      <w:pPr>
        <w:pBdr>
          <w:top w:val="single" w:sz="8" w:space="1" w:color="000000"/>
          <w:left w:val="single" w:sz="8" w:space="4" w:color="000000"/>
          <w:bottom w:val="single" w:sz="8" w:space="1" w:color="000000"/>
          <w:right w:val="single" w:sz="8" w:space="4" w:color="000000"/>
        </w:pBdr>
        <w:ind w:left="850"/>
        <w:rPr>
          <w:noProof/>
        </w:rPr>
      </w:pPr>
      <w:r w:rsidRPr="00F66162">
        <w:rPr>
          <w:noProof/>
        </w:rPr>
        <w:t>Skuteczne działania</w:t>
      </w:r>
      <w:r w:rsidR="00825614" w:rsidRPr="00F66162">
        <w:rPr>
          <w:noProof/>
        </w:rPr>
        <w:t xml:space="preserve"> w</w:t>
      </w:r>
      <w:r w:rsidR="00825614">
        <w:rPr>
          <w:noProof/>
        </w:rPr>
        <w:t> </w:t>
      </w:r>
      <w:r w:rsidR="00825614" w:rsidRPr="00F66162">
        <w:rPr>
          <w:noProof/>
        </w:rPr>
        <w:t>zak</w:t>
      </w:r>
      <w:r w:rsidRPr="00F66162">
        <w:rPr>
          <w:noProof/>
        </w:rPr>
        <w:t>resie zapobiegania nadużyciom finansowym wymagają aktywnej współpracy,</w:t>
      </w:r>
      <w:r w:rsidR="00825614" w:rsidRPr="00F66162">
        <w:rPr>
          <w:noProof/>
        </w:rPr>
        <w:t xml:space="preserve"> w</w:t>
      </w:r>
      <w:r w:rsidR="00825614">
        <w:rPr>
          <w:noProof/>
        </w:rPr>
        <w:t> </w:t>
      </w:r>
      <w:r w:rsidR="00825614" w:rsidRPr="00F66162">
        <w:rPr>
          <w:noProof/>
        </w:rPr>
        <w:t>tym</w:t>
      </w:r>
      <w:r w:rsidRPr="00F66162">
        <w:rPr>
          <w:noProof/>
        </w:rPr>
        <w:t xml:space="preserve"> wymiany wiedzy</w:t>
      </w:r>
      <w:r w:rsidR="00825614" w:rsidRPr="00F66162">
        <w:rPr>
          <w:noProof/>
        </w:rPr>
        <w:t xml:space="preserve"> i</w:t>
      </w:r>
      <w:r w:rsidR="00825614">
        <w:rPr>
          <w:noProof/>
        </w:rPr>
        <w:t> </w:t>
      </w:r>
      <w:r w:rsidR="00825614" w:rsidRPr="00F66162">
        <w:rPr>
          <w:noProof/>
        </w:rPr>
        <w:t>inf</w:t>
      </w:r>
      <w:r w:rsidRPr="00F66162">
        <w:rPr>
          <w:noProof/>
        </w:rPr>
        <w:t>ormacji, między organami celnymi</w:t>
      </w:r>
      <w:r w:rsidR="00825614" w:rsidRPr="00F66162">
        <w:rPr>
          <w:noProof/>
        </w:rPr>
        <w:t xml:space="preserve"> a</w:t>
      </w:r>
      <w:r w:rsidR="00825614">
        <w:rPr>
          <w:noProof/>
        </w:rPr>
        <w:t> </w:t>
      </w:r>
      <w:r w:rsidR="00825614" w:rsidRPr="00F66162">
        <w:rPr>
          <w:noProof/>
        </w:rPr>
        <w:t>wła</w:t>
      </w:r>
      <w:r w:rsidRPr="00F66162">
        <w:rPr>
          <w:noProof/>
        </w:rPr>
        <w:t>ściwymi organami na szczeblu krajowym</w:t>
      </w:r>
      <w:r w:rsidR="00825614" w:rsidRPr="00F66162">
        <w:rPr>
          <w:noProof/>
        </w:rPr>
        <w:t xml:space="preserve"> i</w:t>
      </w:r>
      <w:r w:rsidR="00825614">
        <w:rPr>
          <w:noProof/>
        </w:rPr>
        <w:t> </w:t>
      </w:r>
      <w:r w:rsidR="00825614" w:rsidRPr="00F66162">
        <w:rPr>
          <w:noProof/>
        </w:rPr>
        <w:t>uni</w:t>
      </w:r>
      <w:r w:rsidRPr="00F66162">
        <w:rPr>
          <w:noProof/>
        </w:rPr>
        <w:t>jnym; mogą również wymagać współpracy</w:t>
      </w:r>
      <w:r w:rsidR="00825614" w:rsidRPr="00F66162">
        <w:rPr>
          <w:noProof/>
        </w:rPr>
        <w:t xml:space="preserve"> z</w:t>
      </w:r>
      <w:r w:rsidR="00825614">
        <w:rPr>
          <w:noProof/>
        </w:rPr>
        <w:t> </w:t>
      </w:r>
      <w:r w:rsidR="00825614" w:rsidRPr="00F66162">
        <w:rPr>
          <w:noProof/>
        </w:rPr>
        <w:t>pań</w:t>
      </w:r>
      <w:r w:rsidRPr="00F66162">
        <w:rPr>
          <w:noProof/>
        </w:rPr>
        <w:t>stwami trzecimi. Szczególną uwagę należy zwrócić na nierzetelne podmioty gospodarcze (np. przedsiębiorstwa fasadowe, znikające podmioty gospodarcze) oraz na handel transgraniczny wewnątrz UE.</w:t>
      </w:r>
    </w:p>
    <w:p w14:paraId="7DDE9717" w14:textId="160C4215" w:rsidR="00FA5543" w:rsidRPr="00F66162" w:rsidRDefault="0E8304A1" w:rsidP="139DF8FE">
      <w:pPr>
        <w:pBdr>
          <w:top w:val="single" w:sz="8" w:space="1" w:color="000000"/>
          <w:left w:val="single" w:sz="8" w:space="4" w:color="000000"/>
          <w:bottom w:val="single" w:sz="8" w:space="1" w:color="000000"/>
          <w:right w:val="single" w:sz="8" w:space="4" w:color="000000"/>
        </w:pBdr>
        <w:ind w:left="850"/>
        <w:rPr>
          <w:noProof/>
        </w:rPr>
      </w:pPr>
      <w:r w:rsidRPr="00F66162">
        <w:rPr>
          <w:noProof/>
        </w:rPr>
        <w:t>Należy opracować szybkie działania</w:t>
      </w:r>
      <w:r w:rsidR="00825614" w:rsidRPr="00F66162">
        <w:rPr>
          <w:noProof/>
        </w:rPr>
        <w:t xml:space="preserve"> w</w:t>
      </w:r>
      <w:r w:rsidR="00825614">
        <w:rPr>
          <w:noProof/>
        </w:rPr>
        <w:t> </w:t>
      </w:r>
      <w:r w:rsidR="00825614" w:rsidRPr="00F66162">
        <w:rPr>
          <w:noProof/>
        </w:rPr>
        <w:t>zak</w:t>
      </w:r>
      <w:r w:rsidRPr="00F66162">
        <w:rPr>
          <w:noProof/>
        </w:rPr>
        <w:t>resie zwalczania nadużyć finansowych, aby reagować na nowe/nowo wykryte ryzyko nadużyć finansowych. Właściwe organy powinny zgłaszać przypadki powtarzających się nadużyć finansowych</w:t>
      </w:r>
      <w:r w:rsidR="00825614" w:rsidRPr="00F66162">
        <w:rPr>
          <w:noProof/>
        </w:rPr>
        <w:t xml:space="preserve"> i</w:t>
      </w:r>
      <w:r w:rsidR="00825614">
        <w:rPr>
          <w:noProof/>
        </w:rPr>
        <w:t> </w:t>
      </w:r>
      <w:r w:rsidR="00825614" w:rsidRPr="00F66162">
        <w:rPr>
          <w:noProof/>
        </w:rPr>
        <w:t>dzi</w:t>
      </w:r>
      <w:r w:rsidRPr="00F66162">
        <w:rPr>
          <w:noProof/>
        </w:rPr>
        <w:t>elić się wiedzą na ich temat.</w:t>
      </w:r>
    </w:p>
    <w:p w14:paraId="5F574BFC" w14:textId="4ADEE835" w:rsidR="00FA5543" w:rsidRPr="00F66162" w:rsidRDefault="0E8304A1" w:rsidP="139DF8FE">
      <w:pPr>
        <w:pBdr>
          <w:top w:val="single" w:sz="8" w:space="1" w:color="000000"/>
          <w:left w:val="single" w:sz="8" w:space="4" w:color="000000"/>
          <w:bottom w:val="single" w:sz="8" w:space="1" w:color="000000"/>
          <w:right w:val="single" w:sz="8" w:space="4" w:color="000000"/>
        </w:pBdr>
        <w:ind w:left="850"/>
        <w:rPr>
          <w:noProof/>
        </w:rPr>
      </w:pPr>
      <w:r w:rsidRPr="00F66162">
        <w:rPr>
          <w:noProof/>
        </w:rPr>
        <w:t>Upoważnieni zgłaszający CBAM lub importerzy niewywiązujący się</w:t>
      </w:r>
      <w:r w:rsidR="00825614" w:rsidRPr="00F66162">
        <w:rPr>
          <w:noProof/>
        </w:rPr>
        <w:t xml:space="preserve"> z</w:t>
      </w:r>
      <w:r w:rsidR="00825614">
        <w:rPr>
          <w:noProof/>
        </w:rPr>
        <w:t> </w:t>
      </w:r>
      <w:r w:rsidR="00825614" w:rsidRPr="00F66162">
        <w:rPr>
          <w:noProof/>
        </w:rPr>
        <w:t>obo</w:t>
      </w:r>
      <w:r w:rsidRPr="00F66162">
        <w:rPr>
          <w:noProof/>
        </w:rPr>
        <w:t>wiązków określonych</w:t>
      </w:r>
      <w:r w:rsidR="00825614" w:rsidRPr="00F66162">
        <w:rPr>
          <w:noProof/>
        </w:rPr>
        <w:t xml:space="preserve"> w</w:t>
      </w:r>
      <w:r w:rsidR="00825614">
        <w:rPr>
          <w:noProof/>
        </w:rPr>
        <w:t> </w:t>
      </w:r>
      <w:r w:rsidR="00825614" w:rsidRPr="00F66162">
        <w:rPr>
          <w:noProof/>
        </w:rPr>
        <w:t>roz</w:t>
      </w:r>
      <w:r w:rsidRPr="00F66162">
        <w:rPr>
          <w:noProof/>
        </w:rPr>
        <w:t>porządzeniu</w:t>
      </w:r>
      <w:r w:rsidR="00825614" w:rsidRPr="00F66162">
        <w:rPr>
          <w:noProof/>
        </w:rPr>
        <w:t xml:space="preserve"> w</w:t>
      </w:r>
      <w:r w:rsidR="00825614">
        <w:rPr>
          <w:noProof/>
        </w:rPr>
        <w:t> </w:t>
      </w:r>
      <w:r w:rsidR="00825614" w:rsidRPr="00F66162">
        <w:rPr>
          <w:noProof/>
        </w:rPr>
        <w:t>spr</w:t>
      </w:r>
      <w:r w:rsidRPr="00F66162">
        <w:rPr>
          <w:noProof/>
        </w:rPr>
        <w:t>awie CBAM będą podlegali karze. Podstawą obliczenia wysokości kary będą kary w EU ETS.</w:t>
      </w:r>
    </w:p>
    <w:p w14:paraId="330ADB7D" w14:textId="32F58B0F" w:rsidR="00FA5543" w:rsidRPr="00F66162" w:rsidRDefault="0E8304A1" w:rsidP="139DF8FE">
      <w:pPr>
        <w:pBdr>
          <w:top w:val="single" w:sz="8" w:space="1" w:color="000000"/>
          <w:left w:val="single" w:sz="8" w:space="4" w:color="000000"/>
          <w:bottom w:val="single" w:sz="8" w:space="1" w:color="000000"/>
          <w:right w:val="single" w:sz="8" w:space="4" w:color="000000"/>
        </w:pBdr>
        <w:ind w:left="850"/>
        <w:rPr>
          <w:noProof/>
        </w:rPr>
      </w:pPr>
      <w:r w:rsidRPr="00F66162">
        <w:rPr>
          <w:noProof/>
        </w:rPr>
        <w:t>W przypadku powtarzających się naruszeń właściwy organ krajowy może podjąć decyzję</w:t>
      </w:r>
      <w:r w:rsidR="00825614" w:rsidRPr="00F66162">
        <w:rPr>
          <w:noProof/>
        </w:rPr>
        <w:t xml:space="preserve"> o</w:t>
      </w:r>
      <w:r w:rsidR="00825614">
        <w:rPr>
          <w:noProof/>
        </w:rPr>
        <w:t> </w:t>
      </w:r>
      <w:r w:rsidR="00825614" w:rsidRPr="00F66162">
        <w:rPr>
          <w:noProof/>
        </w:rPr>
        <w:t>zaw</w:t>
      </w:r>
      <w:r w:rsidRPr="00F66162">
        <w:rPr>
          <w:noProof/>
        </w:rPr>
        <w:t>ieszeniu rachunku zgłaszającego.</w:t>
      </w:r>
    </w:p>
    <w:p w14:paraId="42931530" w14:textId="70B76CC6" w:rsidR="00FA5543" w:rsidRPr="00F66162" w:rsidRDefault="0E8304A1" w:rsidP="139DF8FE">
      <w:pPr>
        <w:pBdr>
          <w:top w:val="single" w:sz="8" w:space="1" w:color="000000"/>
          <w:left w:val="single" w:sz="8" w:space="4" w:color="000000"/>
          <w:bottom w:val="single" w:sz="8" w:space="1" w:color="000000"/>
          <w:right w:val="single" w:sz="8" w:space="4" w:color="000000"/>
        </w:pBdr>
        <w:ind w:left="850"/>
        <w:rPr>
          <w:rFonts w:eastAsia="Times New Roman"/>
          <w:noProof/>
          <w:szCs w:val="24"/>
        </w:rPr>
      </w:pPr>
      <w:r w:rsidRPr="00F66162">
        <w:rPr>
          <w:noProof/>
        </w:rPr>
        <w:t>Służby Komisji wraz</w:t>
      </w:r>
      <w:r w:rsidR="00825614" w:rsidRPr="00F66162">
        <w:rPr>
          <w:noProof/>
        </w:rPr>
        <w:t xml:space="preserve"> z</w:t>
      </w:r>
      <w:r w:rsidR="00825614">
        <w:rPr>
          <w:noProof/>
        </w:rPr>
        <w:t> </w:t>
      </w:r>
      <w:r w:rsidR="00825614" w:rsidRPr="00F66162">
        <w:rPr>
          <w:noProof/>
        </w:rPr>
        <w:t>wła</w:t>
      </w:r>
      <w:r w:rsidRPr="00F66162">
        <w:rPr>
          <w:noProof/>
        </w:rPr>
        <w:t>ściwymi organami krajowymi</w:t>
      </w:r>
      <w:r w:rsidR="00825614" w:rsidRPr="00F66162">
        <w:rPr>
          <w:noProof/>
        </w:rPr>
        <w:t xml:space="preserve"> i</w:t>
      </w:r>
      <w:r w:rsidR="00825614">
        <w:rPr>
          <w:noProof/>
        </w:rPr>
        <w:t> </w:t>
      </w:r>
      <w:r w:rsidR="00825614" w:rsidRPr="00F66162">
        <w:rPr>
          <w:noProof/>
        </w:rPr>
        <w:t>kra</w:t>
      </w:r>
      <w:r w:rsidRPr="00F66162">
        <w:rPr>
          <w:noProof/>
        </w:rPr>
        <w:t>jowymi organami celnymi utworzyły sieć zarządzania ryzykiem CBAM, która zajmie się opracowywaniem wspólnej strategii przeciwdziałania obchodzeniu środków.</w:t>
      </w:r>
    </w:p>
    <w:p w14:paraId="1FA0B6EB" w14:textId="77777777" w:rsidR="00FA5543" w:rsidRPr="00F66162" w:rsidRDefault="00FA5543" w:rsidP="00390489">
      <w:pPr>
        <w:rPr>
          <w:noProof/>
        </w:rPr>
        <w:sectPr w:rsidR="00FA5543" w:rsidRPr="00F66162" w:rsidSect="00AB396E">
          <w:pgSz w:w="11907" w:h="16840" w:code="9"/>
          <w:pgMar w:top="1134" w:right="1418" w:bottom="1134" w:left="1418" w:header="709" w:footer="709" w:gutter="0"/>
          <w:cols w:space="708"/>
          <w:docGrid w:linePitch="360"/>
        </w:sectPr>
      </w:pPr>
    </w:p>
    <w:p w14:paraId="73961F19" w14:textId="77777777" w:rsidR="00FA5543" w:rsidRPr="00F66162" w:rsidRDefault="00FA5543" w:rsidP="00390489">
      <w:pPr>
        <w:pStyle w:val="ManualHeading1"/>
        <w:rPr>
          <w:bCs/>
          <w:noProof/>
          <w:szCs w:val="24"/>
        </w:rPr>
      </w:pPr>
      <w:r w:rsidRPr="00F66162">
        <w:rPr>
          <w:noProof/>
        </w:rPr>
        <w:lastRenderedPageBreak/>
        <w:t>3.</w:t>
      </w:r>
      <w:r w:rsidRPr="00F66162">
        <w:rPr>
          <w:noProof/>
        </w:rPr>
        <w:tab/>
        <w:t xml:space="preserve">SZACUNKOWY WPŁYW FINANSOWY WNIOSKU/INICJATYWY </w:t>
      </w:r>
    </w:p>
    <w:p w14:paraId="6133F818" w14:textId="4225A663" w:rsidR="00FA5543" w:rsidRPr="00F66162" w:rsidRDefault="6C3AF1E0" w:rsidP="00390489">
      <w:pPr>
        <w:pStyle w:val="ManualHeading2"/>
        <w:rPr>
          <w:noProof/>
        </w:rPr>
      </w:pPr>
      <w:r w:rsidRPr="00F66162">
        <w:rPr>
          <w:noProof/>
        </w:rPr>
        <w:t>3.1.</w:t>
      </w:r>
      <w:r w:rsidRPr="00F66162">
        <w:rPr>
          <w:noProof/>
        </w:rPr>
        <w:tab/>
        <w:t>Działy wieloletnich ram finansowych</w:t>
      </w:r>
      <w:r w:rsidR="00825614" w:rsidRPr="00F66162">
        <w:rPr>
          <w:noProof/>
        </w:rPr>
        <w:t xml:space="preserve"> i</w:t>
      </w:r>
      <w:r w:rsidR="00825614">
        <w:rPr>
          <w:noProof/>
        </w:rPr>
        <w:t> </w:t>
      </w:r>
      <w:r w:rsidR="00825614" w:rsidRPr="00F66162">
        <w:rPr>
          <w:noProof/>
        </w:rPr>
        <w:t>lin</w:t>
      </w:r>
      <w:r w:rsidRPr="00F66162">
        <w:rPr>
          <w:noProof/>
        </w:rPr>
        <w:t xml:space="preserve">ie budżetowe po stronie wydatków, na które wniosek/inicjatywa ma wpływ </w:t>
      </w:r>
    </w:p>
    <w:p w14:paraId="21C18DDB" w14:textId="77777777" w:rsidR="00FA5543" w:rsidRPr="00F66162" w:rsidRDefault="00FA5543" w:rsidP="00390489">
      <w:pPr>
        <w:pStyle w:val="ListBullet1"/>
        <w:rPr>
          <w:noProof/>
        </w:rPr>
      </w:pPr>
      <w:bookmarkStart w:id="0" w:name="_Hlk157691648"/>
      <w:bookmarkEnd w:id="0"/>
      <w:r w:rsidRPr="00F66162">
        <w:rPr>
          <w:noProof/>
        </w:rPr>
        <w:t xml:space="preserve">Istniejące linie budżetowe </w:t>
      </w:r>
    </w:p>
    <w:p w14:paraId="196BDBEF" w14:textId="5ED60EC1" w:rsidR="00FA5543" w:rsidRPr="00F66162" w:rsidRDefault="00FA5543" w:rsidP="00390489">
      <w:pPr>
        <w:pStyle w:val="Text1"/>
        <w:rPr>
          <w:i/>
          <w:noProof/>
        </w:rPr>
      </w:pPr>
      <w:r w:rsidRPr="00F66162">
        <w:rPr>
          <w:i/>
          <w:noProof/>
          <w:u w:val="single"/>
        </w:rPr>
        <w:t>Według</w:t>
      </w:r>
      <w:r w:rsidRPr="00F66162">
        <w:rPr>
          <w:i/>
          <w:noProof/>
        </w:rPr>
        <w:t xml:space="preserve"> działów wieloletnich ram finansowych</w:t>
      </w:r>
      <w:r w:rsidR="00825614" w:rsidRPr="00F66162">
        <w:rPr>
          <w:i/>
          <w:noProof/>
        </w:rPr>
        <w:t xml:space="preserve"> i</w:t>
      </w:r>
      <w:r w:rsidR="00825614">
        <w:rPr>
          <w:i/>
          <w:noProof/>
        </w:rPr>
        <w:t> </w:t>
      </w:r>
      <w:r w:rsidR="00825614" w:rsidRPr="00F66162">
        <w:rPr>
          <w:i/>
          <w:noProof/>
        </w:rPr>
        <w:t>lin</w:t>
      </w:r>
      <w:r w:rsidRPr="00F66162">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3827"/>
        <w:gridCol w:w="992"/>
        <w:gridCol w:w="851"/>
        <w:gridCol w:w="1417"/>
        <w:gridCol w:w="896"/>
        <w:gridCol w:w="1463"/>
      </w:tblGrid>
      <w:tr w:rsidR="00FA5543" w:rsidRPr="00F66162" w14:paraId="5029C701" w14:textId="77777777" w:rsidTr="004246FD">
        <w:trPr>
          <w:jc w:val="center"/>
        </w:trPr>
        <w:tc>
          <w:tcPr>
            <w:tcW w:w="1227" w:type="dxa"/>
            <w:vMerge w:val="restart"/>
            <w:vAlign w:val="center"/>
          </w:tcPr>
          <w:p w14:paraId="59E11D57" w14:textId="77777777" w:rsidR="00FA5543" w:rsidRPr="00F66162" w:rsidRDefault="00FA5543" w:rsidP="00390489">
            <w:pPr>
              <w:spacing w:before="60" w:after="60"/>
              <w:jc w:val="center"/>
              <w:rPr>
                <w:noProof/>
              </w:rPr>
            </w:pPr>
            <w:r w:rsidRPr="00F66162">
              <w:rPr>
                <w:noProof/>
                <w:sz w:val="18"/>
              </w:rPr>
              <w:t>Dział wieloletnich ram finansowych</w:t>
            </w:r>
          </w:p>
        </w:tc>
        <w:tc>
          <w:tcPr>
            <w:tcW w:w="3827" w:type="dxa"/>
            <w:vAlign w:val="center"/>
          </w:tcPr>
          <w:p w14:paraId="2C2F7151" w14:textId="77777777" w:rsidR="00FA5543" w:rsidRPr="00F66162" w:rsidRDefault="00FA5543" w:rsidP="00390489">
            <w:pPr>
              <w:spacing w:before="60" w:after="60"/>
              <w:jc w:val="center"/>
              <w:rPr>
                <w:noProof/>
              </w:rPr>
            </w:pPr>
            <w:r w:rsidRPr="00F66162">
              <w:rPr>
                <w:noProof/>
                <w:sz w:val="20"/>
              </w:rPr>
              <w:t>Linia budżetowa</w:t>
            </w:r>
          </w:p>
        </w:tc>
        <w:tc>
          <w:tcPr>
            <w:tcW w:w="992" w:type="dxa"/>
            <w:vAlign w:val="center"/>
          </w:tcPr>
          <w:p w14:paraId="331AFAAE" w14:textId="77777777" w:rsidR="00FA5543" w:rsidRPr="00F66162" w:rsidRDefault="00FA5543" w:rsidP="00390489">
            <w:pPr>
              <w:spacing w:before="60" w:after="60"/>
              <w:jc w:val="center"/>
              <w:rPr>
                <w:noProof/>
              </w:rPr>
            </w:pPr>
            <w:r w:rsidRPr="00F66162">
              <w:rPr>
                <w:noProof/>
                <w:sz w:val="18"/>
              </w:rPr>
              <w:t>Rodzaj wydatków</w:t>
            </w:r>
          </w:p>
        </w:tc>
        <w:tc>
          <w:tcPr>
            <w:tcW w:w="4627" w:type="dxa"/>
            <w:gridSpan w:val="4"/>
            <w:vAlign w:val="center"/>
          </w:tcPr>
          <w:p w14:paraId="2D0FBF47" w14:textId="77777777" w:rsidR="00FA5543" w:rsidRPr="00F66162" w:rsidRDefault="00FA5543" w:rsidP="00390489">
            <w:pPr>
              <w:spacing w:before="60" w:after="60"/>
              <w:jc w:val="center"/>
              <w:rPr>
                <w:noProof/>
              </w:rPr>
            </w:pPr>
            <w:r w:rsidRPr="00F66162">
              <w:rPr>
                <w:noProof/>
                <w:sz w:val="20"/>
              </w:rPr>
              <w:t xml:space="preserve">Wkład </w:t>
            </w:r>
          </w:p>
        </w:tc>
      </w:tr>
      <w:tr w:rsidR="00FA5543" w:rsidRPr="00F66162" w14:paraId="271F9EC3" w14:textId="77777777" w:rsidTr="004246FD">
        <w:trPr>
          <w:cantSplit/>
          <w:jc w:val="center"/>
        </w:trPr>
        <w:tc>
          <w:tcPr>
            <w:tcW w:w="1227" w:type="dxa"/>
            <w:vMerge/>
            <w:vAlign w:val="center"/>
          </w:tcPr>
          <w:p w14:paraId="6DC464C0" w14:textId="77777777" w:rsidR="00FA5543" w:rsidRPr="00F66162" w:rsidRDefault="00FA5543" w:rsidP="00390489">
            <w:pPr>
              <w:jc w:val="center"/>
              <w:rPr>
                <w:noProof/>
              </w:rPr>
            </w:pPr>
          </w:p>
        </w:tc>
        <w:tc>
          <w:tcPr>
            <w:tcW w:w="3827" w:type="dxa"/>
            <w:vAlign w:val="center"/>
          </w:tcPr>
          <w:p w14:paraId="225A0F77" w14:textId="28A744CA" w:rsidR="00FA5543" w:rsidRPr="00F66162" w:rsidRDefault="00FA5543" w:rsidP="00390489">
            <w:pPr>
              <w:rPr>
                <w:noProof/>
              </w:rPr>
            </w:pPr>
            <w:r w:rsidRPr="00F66162">
              <w:rPr>
                <w:noProof/>
                <w:sz w:val="20"/>
              </w:rPr>
              <w:t>Numer</w:t>
            </w:r>
            <w:r w:rsidRPr="00F66162">
              <w:rPr>
                <w:noProof/>
              </w:rPr>
              <w:br/>
            </w:r>
          </w:p>
        </w:tc>
        <w:tc>
          <w:tcPr>
            <w:tcW w:w="992" w:type="dxa"/>
            <w:vAlign w:val="center"/>
          </w:tcPr>
          <w:p w14:paraId="7410097D" w14:textId="77777777" w:rsidR="00FA5543" w:rsidRPr="00F66162" w:rsidRDefault="00FA5543" w:rsidP="00390489">
            <w:pPr>
              <w:jc w:val="center"/>
              <w:rPr>
                <w:noProof/>
              </w:rPr>
            </w:pPr>
            <w:r w:rsidRPr="00F66162">
              <w:rPr>
                <w:noProof/>
                <w:sz w:val="18"/>
              </w:rPr>
              <w:t>Zróżn. / niezróżn.</w:t>
            </w:r>
            <w:r w:rsidRPr="00F66162">
              <w:rPr>
                <w:rStyle w:val="Odwoanieprzypisudolnego"/>
                <w:noProof/>
                <w:sz w:val="18"/>
                <w:szCs w:val="18"/>
              </w:rPr>
              <w:footnoteReference w:id="21"/>
            </w:r>
          </w:p>
        </w:tc>
        <w:tc>
          <w:tcPr>
            <w:tcW w:w="851" w:type="dxa"/>
            <w:vAlign w:val="center"/>
          </w:tcPr>
          <w:p w14:paraId="264908A2" w14:textId="77777777" w:rsidR="00FA5543" w:rsidRPr="00F66162" w:rsidRDefault="00FA5543" w:rsidP="00390489">
            <w:pPr>
              <w:jc w:val="center"/>
              <w:rPr>
                <w:b/>
                <w:noProof/>
                <w:sz w:val="18"/>
              </w:rPr>
            </w:pPr>
            <w:r w:rsidRPr="00F66162">
              <w:rPr>
                <w:noProof/>
                <w:sz w:val="18"/>
              </w:rPr>
              <w:t>państw EFTA</w:t>
            </w:r>
            <w:r w:rsidRPr="00F66162">
              <w:rPr>
                <w:rStyle w:val="Odwoanieprzypisudolnego"/>
                <w:noProof/>
                <w:sz w:val="18"/>
                <w:szCs w:val="18"/>
              </w:rPr>
              <w:footnoteReference w:id="22"/>
            </w:r>
          </w:p>
        </w:tc>
        <w:tc>
          <w:tcPr>
            <w:tcW w:w="1417" w:type="dxa"/>
            <w:vAlign w:val="center"/>
          </w:tcPr>
          <w:p w14:paraId="5ADCEB05" w14:textId="5A500217" w:rsidR="00FA5543" w:rsidRPr="00F66162" w:rsidRDefault="00FA5543" w:rsidP="00390489">
            <w:pPr>
              <w:jc w:val="center"/>
              <w:rPr>
                <w:noProof/>
                <w:sz w:val="18"/>
              </w:rPr>
            </w:pPr>
            <w:r w:rsidRPr="00F66162">
              <w:rPr>
                <w:noProof/>
                <w:sz w:val="18"/>
              </w:rPr>
              <w:t>krajów kandydujących</w:t>
            </w:r>
            <w:r w:rsidR="00825614" w:rsidRPr="00F66162">
              <w:rPr>
                <w:noProof/>
                <w:sz w:val="18"/>
              </w:rPr>
              <w:t xml:space="preserve"> i</w:t>
            </w:r>
            <w:r w:rsidR="00825614">
              <w:rPr>
                <w:noProof/>
                <w:sz w:val="18"/>
              </w:rPr>
              <w:t> </w:t>
            </w:r>
            <w:r w:rsidR="00825614" w:rsidRPr="00F66162">
              <w:rPr>
                <w:noProof/>
                <w:sz w:val="18"/>
              </w:rPr>
              <w:t>pot</w:t>
            </w:r>
            <w:r w:rsidRPr="00F66162">
              <w:rPr>
                <w:noProof/>
                <w:sz w:val="18"/>
              </w:rPr>
              <w:t>encjalnych kandydatów</w:t>
            </w:r>
            <w:r w:rsidRPr="00F66162">
              <w:rPr>
                <w:rStyle w:val="Odwoanieprzypisudolnego"/>
                <w:noProof/>
                <w:sz w:val="18"/>
                <w:szCs w:val="18"/>
              </w:rPr>
              <w:footnoteReference w:id="23"/>
            </w:r>
          </w:p>
        </w:tc>
        <w:tc>
          <w:tcPr>
            <w:tcW w:w="896" w:type="dxa"/>
            <w:vAlign w:val="center"/>
          </w:tcPr>
          <w:p w14:paraId="6830F32F" w14:textId="77777777" w:rsidR="00FA5543" w:rsidRPr="00F66162" w:rsidRDefault="00FA5543" w:rsidP="00390489">
            <w:pPr>
              <w:jc w:val="center"/>
              <w:rPr>
                <w:noProof/>
                <w:sz w:val="18"/>
              </w:rPr>
            </w:pPr>
            <w:r w:rsidRPr="00F66162">
              <w:rPr>
                <w:noProof/>
                <w:sz w:val="18"/>
              </w:rPr>
              <w:t>innych państw trzecich</w:t>
            </w:r>
          </w:p>
        </w:tc>
        <w:tc>
          <w:tcPr>
            <w:tcW w:w="1463" w:type="dxa"/>
            <w:vAlign w:val="center"/>
          </w:tcPr>
          <w:p w14:paraId="38EE4025" w14:textId="7B457526" w:rsidR="00FA5543" w:rsidRPr="00F66162" w:rsidRDefault="00FA5543" w:rsidP="00390489">
            <w:pPr>
              <w:jc w:val="center"/>
              <w:rPr>
                <w:noProof/>
              </w:rPr>
            </w:pPr>
            <w:r w:rsidRPr="00F66162">
              <w:rPr>
                <w:noProof/>
                <w:sz w:val="18"/>
              </w:rPr>
              <w:t>pochodzący</w:t>
            </w:r>
            <w:r w:rsidR="00825614" w:rsidRPr="00F66162">
              <w:rPr>
                <w:noProof/>
                <w:sz w:val="18"/>
              </w:rPr>
              <w:t xml:space="preserve"> z</w:t>
            </w:r>
            <w:r w:rsidR="00825614">
              <w:rPr>
                <w:noProof/>
                <w:sz w:val="18"/>
              </w:rPr>
              <w:t> </w:t>
            </w:r>
            <w:r w:rsidR="00825614" w:rsidRPr="00F66162">
              <w:rPr>
                <w:noProof/>
                <w:sz w:val="18"/>
              </w:rPr>
              <w:t>poz</w:t>
            </w:r>
            <w:r w:rsidRPr="00F66162">
              <w:rPr>
                <w:noProof/>
                <w:sz w:val="18"/>
              </w:rPr>
              <w:t>ostałych dochodów przeznaczonych na określony cel</w:t>
            </w:r>
          </w:p>
        </w:tc>
      </w:tr>
      <w:tr w:rsidR="00FA5543" w:rsidRPr="00F66162" w14:paraId="4DBC87D3" w14:textId="77777777" w:rsidTr="004246FD">
        <w:trPr>
          <w:jc w:val="center"/>
        </w:trPr>
        <w:tc>
          <w:tcPr>
            <w:tcW w:w="1227" w:type="dxa"/>
            <w:vAlign w:val="center"/>
          </w:tcPr>
          <w:p w14:paraId="031A7815" w14:textId="77777777" w:rsidR="00FA5543" w:rsidRPr="00F66162" w:rsidRDefault="46296C71" w:rsidP="00390489">
            <w:pPr>
              <w:jc w:val="center"/>
              <w:rPr>
                <w:noProof/>
                <w:color w:val="0000FF"/>
              </w:rPr>
            </w:pPr>
            <w:r w:rsidRPr="00F66162">
              <w:rPr>
                <w:noProof/>
                <w:color w:val="0000FF"/>
              </w:rPr>
              <w:t>7</w:t>
            </w:r>
          </w:p>
        </w:tc>
        <w:tc>
          <w:tcPr>
            <w:tcW w:w="3827" w:type="dxa"/>
            <w:vAlign w:val="center"/>
          </w:tcPr>
          <w:p w14:paraId="297D7DEB" w14:textId="77777777" w:rsidR="4D97A6F2" w:rsidRPr="00F66162" w:rsidRDefault="4D97A6F2" w:rsidP="139DF8FE">
            <w:pPr>
              <w:spacing w:before="60"/>
              <w:rPr>
                <w:noProof/>
              </w:rPr>
            </w:pPr>
            <w:r w:rsidRPr="00F66162">
              <w:rPr>
                <w:noProof/>
                <w:sz w:val="22"/>
              </w:rPr>
              <w:t>20 01 02 01</w:t>
            </w:r>
          </w:p>
          <w:p w14:paraId="4E54745E" w14:textId="77777777" w:rsidR="00FA5543" w:rsidRPr="00F66162" w:rsidRDefault="00FA5543" w:rsidP="00390489">
            <w:pPr>
              <w:spacing w:after="60"/>
              <w:rPr>
                <w:noProof/>
              </w:rPr>
            </w:pPr>
          </w:p>
        </w:tc>
        <w:tc>
          <w:tcPr>
            <w:tcW w:w="992" w:type="dxa"/>
            <w:vAlign w:val="center"/>
          </w:tcPr>
          <w:p w14:paraId="19011C62" w14:textId="77777777" w:rsidR="00FA5543" w:rsidRPr="00F66162" w:rsidRDefault="00FA5543" w:rsidP="00390489">
            <w:pPr>
              <w:jc w:val="center"/>
              <w:rPr>
                <w:noProof/>
                <w:color w:val="0000FF"/>
              </w:rPr>
            </w:pPr>
            <w:r w:rsidRPr="00F66162">
              <w:rPr>
                <w:noProof/>
                <w:sz w:val="22"/>
              </w:rPr>
              <w:t>Zróżn. / niezróżn.</w:t>
            </w:r>
          </w:p>
        </w:tc>
        <w:tc>
          <w:tcPr>
            <w:tcW w:w="851" w:type="dxa"/>
            <w:vAlign w:val="center"/>
          </w:tcPr>
          <w:p w14:paraId="5AAA9419" w14:textId="77777777" w:rsidR="00FA5543" w:rsidRPr="00F66162" w:rsidRDefault="00FA5543" w:rsidP="00390489">
            <w:pPr>
              <w:jc w:val="center"/>
              <w:rPr>
                <w:noProof/>
                <w:sz w:val="20"/>
                <w:szCs w:val="20"/>
              </w:rPr>
            </w:pPr>
            <w:r w:rsidRPr="00F66162">
              <w:rPr>
                <w:noProof/>
                <w:sz w:val="20"/>
              </w:rPr>
              <w:t>NIE</w:t>
            </w:r>
          </w:p>
        </w:tc>
        <w:tc>
          <w:tcPr>
            <w:tcW w:w="1417" w:type="dxa"/>
            <w:vAlign w:val="center"/>
          </w:tcPr>
          <w:p w14:paraId="5D005B45" w14:textId="77777777" w:rsidR="00FA5543" w:rsidRPr="00F66162" w:rsidRDefault="00FA5543" w:rsidP="00390489">
            <w:pPr>
              <w:jc w:val="center"/>
              <w:rPr>
                <w:noProof/>
                <w:sz w:val="20"/>
                <w:szCs w:val="20"/>
              </w:rPr>
            </w:pPr>
            <w:r w:rsidRPr="00F66162">
              <w:rPr>
                <w:noProof/>
                <w:sz w:val="20"/>
              </w:rPr>
              <w:t>NIE</w:t>
            </w:r>
          </w:p>
        </w:tc>
        <w:tc>
          <w:tcPr>
            <w:tcW w:w="896" w:type="dxa"/>
            <w:vAlign w:val="center"/>
          </w:tcPr>
          <w:p w14:paraId="71BA5E40" w14:textId="77777777" w:rsidR="00FA5543" w:rsidRPr="00F66162" w:rsidRDefault="00FA5543" w:rsidP="00390489">
            <w:pPr>
              <w:jc w:val="center"/>
              <w:rPr>
                <w:noProof/>
                <w:sz w:val="20"/>
                <w:szCs w:val="20"/>
              </w:rPr>
            </w:pPr>
            <w:r w:rsidRPr="00F66162">
              <w:rPr>
                <w:noProof/>
                <w:sz w:val="20"/>
              </w:rPr>
              <w:t>NIE</w:t>
            </w:r>
          </w:p>
        </w:tc>
        <w:tc>
          <w:tcPr>
            <w:tcW w:w="1463" w:type="dxa"/>
            <w:vAlign w:val="center"/>
          </w:tcPr>
          <w:p w14:paraId="15BEA494" w14:textId="77777777" w:rsidR="00FA5543" w:rsidRPr="00F66162" w:rsidRDefault="6C3AF1E0" w:rsidP="00390489">
            <w:pPr>
              <w:jc w:val="center"/>
              <w:rPr>
                <w:noProof/>
                <w:sz w:val="20"/>
                <w:szCs w:val="20"/>
              </w:rPr>
            </w:pPr>
            <w:r w:rsidRPr="00F66162">
              <w:rPr>
                <w:noProof/>
                <w:sz w:val="20"/>
              </w:rPr>
              <w:t>NIE</w:t>
            </w:r>
          </w:p>
        </w:tc>
      </w:tr>
      <w:tr w:rsidR="00FA5543" w:rsidRPr="00F66162" w14:paraId="1276DA00" w14:textId="77777777" w:rsidTr="004246FD">
        <w:trPr>
          <w:jc w:val="center"/>
        </w:trPr>
        <w:tc>
          <w:tcPr>
            <w:tcW w:w="1227" w:type="dxa"/>
            <w:vAlign w:val="center"/>
          </w:tcPr>
          <w:p w14:paraId="54B37D1F" w14:textId="77777777" w:rsidR="00FA5543" w:rsidRPr="00F66162" w:rsidRDefault="588FC117" w:rsidP="00390489">
            <w:pPr>
              <w:jc w:val="center"/>
              <w:rPr>
                <w:noProof/>
                <w:color w:val="0000FF"/>
              </w:rPr>
            </w:pPr>
            <w:r w:rsidRPr="00F66162">
              <w:rPr>
                <w:noProof/>
                <w:color w:val="0000FF"/>
              </w:rPr>
              <w:t>3</w:t>
            </w:r>
          </w:p>
        </w:tc>
        <w:tc>
          <w:tcPr>
            <w:tcW w:w="3827" w:type="dxa"/>
            <w:vAlign w:val="center"/>
          </w:tcPr>
          <w:p w14:paraId="04D3F571" w14:textId="77777777" w:rsidR="1F344DF5" w:rsidRPr="00F66162" w:rsidRDefault="1F344DF5" w:rsidP="139DF8FE">
            <w:pPr>
              <w:spacing w:before="60"/>
              <w:rPr>
                <w:noProof/>
              </w:rPr>
            </w:pPr>
            <w:r w:rsidRPr="00F66162">
              <w:rPr>
                <w:noProof/>
                <w:sz w:val="22"/>
              </w:rPr>
              <w:t>09 20 04 01 (CBAM)</w:t>
            </w:r>
          </w:p>
          <w:p w14:paraId="527BA819" w14:textId="77777777" w:rsidR="00FA5543" w:rsidRPr="00F66162" w:rsidRDefault="00FA5543" w:rsidP="00390489">
            <w:pPr>
              <w:spacing w:after="60"/>
              <w:rPr>
                <w:noProof/>
              </w:rPr>
            </w:pPr>
          </w:p>
        </w:tc>
        <w:tc>
          <w:tcPr>
            <w:tcW w:w="992" w:type="dxa"/>
            <w:vAlign w:val="center"/>
          </w:tcPr>
          <w:p w14:paraId="6CEC9BD3" w14:textId="77777777" w:rsidR="00FA5543" w:rsidRPr="00F66162" w:rsidRDefault="00FA5543" w:rsidP="00390489">
            <w:pPr>
              <w:jc w:val="center"/>
              <w:rPr>
                <w:noProof/>
                <w:color w:val="0000FF"/>
              </w:rPr>
            </w:pPr>
            <w:r w:rsidRPr="00F66162">
              <w:rPr>
                <w:noProof/>
                <w:sz w:val="22"/>
              </w:rPr>
              <w:t>Zróżn. / niezróżn.</w:t>
            </w:r>
          </w:p>
        </w:tc>
        <w:tc>
          <w:tcPr>
            <w:tcW w:w="851" w:type="dxa"/>
            <w:vAlign w:val="center"/>
          </w:tcPr>
          <w:p w14:paraId="4C22D833" w14:textId="77777777" w:rsidR="00FA5543" w:rsidRPr="00F66162" w:rsidRDefault="6C3AF1E0" w:rsidP="00390489">
            <w:pPr>
              <w:jc w:val="center"/>
              <w:rPr>
                <w:noProof/>
                <w:sz w:val="20"/>
                <w:szCs w:val="20"/>
              </w:rPr>
            </w:pPr>
            <w:r w:rsidRPr="00F66162">
              <w:rPr>
                <w:noProof/>
                <w:sz w:val="20"/>
              </w:rPr>
              <w:t>NIE</w:t>
            </w:r>
          </w:p>
        </w:tc>
        <w:tc>
          <w:tcPr>
            <w:tcW w:w="1417" w:type="dxa"/>
            <w:vAlign w:val="center"/>
          </w:tcPr>
          <w:p w14:paraId="6FCD01C1" w14:textId="77777777" w:rsidR="00FA5543" w:rsidRPr="00F66162" w:rsidRDefault="6C3AF1E0" w:rsidP="00390489">
            <w:pPr>
              <w:jc w:val="center"/>
              <w:rPr>
                <w:noProof/>
                <w:sz w:val="20"/>
                <w:szCs w:val="20"/>
              </w:rPr>
            </w:pPr>
            <w:r w:rsidRPr="00F66162">
              <w:rPr>
                <w:noProof/>
                <w:sz w:val="20"/>
              </w:rPr>
              <w:t>NIE</w:t>
            </w:r>
          </w:p>
        </w:tc>
        <w:tc>
          <w:tcPr>
            <w:tcW w:w="896" w:type="dxa"/>
            <w:vAlign w:val="center"/>
          </w:tcPr>
          <w:p w14:paraId="26C9322A" w14:textId="77777777" w:rsidR="00FA5543" w:rsidRPr="00F66162" w:rsidRDefault="6C3AF1E0" w:rsidP="00390489">
            <w:pPr>
              <w:jc w:val="center"/>
              <w:rPr>
                <w:noProof/>
                <w:sz w:val="20"/>
                <w:szCs w:val="20"/>
              </w:rPr>
            </w:pPr>
            <w:r w:rsidRPr="00F66162">
              <w:rPr>
                <w:noProof/>
                <w:sz w:val="20"/>
              </w:rPr>
              <w:t>NIE</w:t>
            </w:r>
          </w:p>
        </w:tc>
        <w:tc>
          <w:tcPr>
            <w:tcW w:w="1463" w:type="dxa"/>
            <w:vAlign w:val="center"/>
          </w:tcPr>
          <w:p w14:paraId="0F964236" w14:textId="77777777" w:rsidR="00FA5543" w:rsidRPr="00F66162" w:rsidRDefault="6C3AF1E0" w:rsidP="00390489">
            <w:pPr>
              <w:jc w:val="center"/>
              <w:rPr>
                <w:noProof/>
                <w:sz w:val="20"/>
                <w:szCs w:val="20"/>
              </w:rPr>
            </w:pPr>
            <w:r w:rsidRPr="00F66162">
              <w:rPr>
                <w:noProof/>
                <w:sz w:val="20"/>
              </w:rPr>
              <w:t>NIE</w:t>
            </w:r>
          </w:p>
        </w:tc>
      </w:tr>
    </w:tbl>
    <w:p w14:paraId="7495F74E" w14:textId="77777777" w:rsidR="00FA5543" w:rsidRPr="00F66162" w:rsidRDefault="00FA5543" w:rsidP="00390489">
      <w:pPr>
        <w:pStyle w:val="ListBullet1"/>
        <w:rPr>
          <w:noProof/>
        </w:rPr>
      </w:pPr>
      <w:r w:rsidRPr="00F66162">
        <w:rPr>
          <w:noProof/>
        </w:rPr>
        <w:t xml:space="preserve">Proponowane nowe linie budżetowe </w:t>
      </w:r>
    </w:p>
    <w:p w14:paraId="383D6C37" w14:textId="5103573E" w:rsidR="00FA5543" w:rsidRPr="00F66162" w:rsidRDefault="00FA5543" w:rsidP="00390489">
      <w:pPr>
        <w:pStyle w:val="Text1"/>
        <w:rPr>
          <w:i/>
          <w:noProof/>
          <w:sz w:val="20"/>
        </w:rPr>
      </w:pPr>
      <w:r w:rsidRPr="00F66162">
        <w:rPr>
          <w:i/>
          <w:noProof/>
          <w:u w:val="single"/>
        </w:rPr>
        <w:t>Według</w:t>
      </w:r>
      <w:r w:rsidRPr="00F66162">
        <w:rPr>
          <w:i/>
          <w:noProof/>
        </w:rPr>
        <w:t xml:space="preserve"> działów wieloletnich ram finansowych</w:t>
      </w:r>
      <w:r w:rsidR="00825614" w:rsidRPr="00F66162">
        <w:rPr>
          <w:i/>
          <w:noProof/>
        </w:rPr>
        <w:t xml:space="preserve"> i</w:t>
      </w:r>
      <w:r w:rsidR="00825614">
        <w:rPr>
          <w:i/>
          <w:noProof/>
        </w:rPr>
        <w:t> </w:t>
      </w:r>
      <w:r w:rsidR="00825614" w:rsidRPr="00F66162">
        <w:rPr>
          <w:i/>
          <w:noProof/>
        </w:rPr>
        <w:t>lin</w:t>
      </w:r>
      <w:r w:rsidRPr="00F66162">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3827"/>
        <w:gridCol w:w="992"/>
        <w:gridCol w:w="851"/>
        <w:gridCol w:w="1417"/>
        <w:gridCol w:w="896"/>
        <w:gridCol w:w="1463"/>
      </w:tblGrid>
      <w:tr w:rsidR="00FA5543" w:rsidRPr="00F66162" w14:paraId="369635EC" w14:textId="77777777" w:rsidTr="004246FD">
        <w:trPr>
          <w:jc w:val="center"/>
        </w:trPr>
        <w:tc>
          <w:tcPr>
            <w:tcW w:w="1227" w:type="dxa"/>
            <w:vMerge w:val="restart"/>
            <w:vAlign w:val="center"/>
          </w:tcPr>
          <w:p w14:paraId="276D3DA4" w14:textId="77777777" w:rsidR="00FA5543" w:rsidRPr="00F66162" w:rsidRDefault="00FA5543" w:rsidP="00390489">
            <w:pPr>
              <w:spacing w:before="60" w:after="60"/>
              <w:jc w:val="center"/>
              <w:rPr>
                <w:noProof/>
                <w:sz w:val="18"/>
                <w:szCs w:val="18"/>
              </w:rPr>
            </w:pPr>
            <w:r w:rsidRPr="00F66162">
              <w:rPr>
                <w:noProof/>
                <w:sz w:val="18"/>
              </w:rPr>
              <w:t>Dział wieloletnich ram finansowych</w:t>
            </w:r>
          </w:p>
        </w:tc>
        <w:tc>
          <w:tcPr>
            <w:tcW w:w="3827" w:type="dxa"/>
            <w:vAlign w:val="center"/>
          </w:tcPr>
          <w:p w14:paraId="24E2973E" w14:textId="77777777" w:rsidR="00FA5543" w:rsidRPr="00F66162" w:rsidRDefault="6C3AF1E0" w:rsidP="00390489">
            <w:pPr>
              <w:spacing w:before="60" w:after="60"/>
              <w:jc w:val="center"/>
              <w:rPr>
                <w:noProof/>
              </w:rPr>
            </w:pPr>
            <w:r w:rsidRPr="00F66162">
              <w:rPr>
                <w:noProof/>
                <w:sz w:val="20"/>
              </w:rPr>
              <w:t>Linia budżetowa</w:t>
            </w:r>
          </w:p>
        </w:tc>
        <w:tc>
          <w:tcPr>
            <w:tcW w:w="992" w:type="dxa"/>
            <w:vAlign w:val="center"/>
          </w:tcPr>
          <w:p w14:paraId="23D0F71F" w14:textId="77777777" w:rsidR="00FA5543" w:rsidRPr="00F66162" w:rsidRDefault="00FA5543" w:rsidP="00390489">
            <w:pPr>
              <w:spacing w:before="60" w:after="60"/>
              <w:jc w:val="center"/>
              <w:rPr>
                <w:noProof/>
              </w:rPr>
            </w:pPr>
            <w:r w:rsidRPr="00F66162">
              <w:rPr>
                <w:noProof/>
                <w:sz w:val="18"/>
              </w:rPr>
              <w:t>Rodzaj wydatków</w:t>
            </w:r>
          </w:p>
        </w:tc>
        <w:tc>
          <w:tcPr>
            <w:tcW w:w="4627" w:type="dxa"/>
            <w:gridSpan w:val="4"/>
            <w:vAlign w:val="center"/>
          </w:tcPr>
          <w:p w14:paraId="22A532AF" w14:textId="77777777" w:rsidR="00FA5543" w:rsidRPr="00F66162" w:rsidRDefault="00FA5543" w:rsidP="00390489">
            <w:pPr>
              <w:spacing w:before="60" w:after="60"/>
              <w:jc w:val="center"/>
              <w:rPr>
                <w:noProof/>
              </w:rPr>
            </w:pPr>
            <w:r w:rsidRPr="00F66162">
              <w:rPr>
                <w:noProof/>
                <w:sz w:val="20"/>
              </w:rPr>
              <w:t xml:space="preserve">Wkład </w:t>
            </w:r>
          </w:p>
        </w:tc>
      </w:tr>
      <w:tr w:rsidR="00FA5543" w:rsidRPr="00F66162" w14:paraId="31E9104F" w14:textId="77777777" w:rsidTr="004246FD">
        <w:trPr>
          <w:cantSplit/>
          <w:jc w:val="center"/>
        </w:trPr>
        <w:tc>
          <w:tcPr>
            <w:tcW w:w="1227" w:type="dxa"/>
            <w:vMerge/>
            <w:vAlign w:val="center"/>
          </w:tcPr>
          <w:p w14:paraId="3B9F6A1D" w14:textId="77777777" w:rsidR="00FA5543" w:rsidRPr="00F66162" w:rsidRDefault="00FA5543" w:rsidP="00390489">
            <w:pPr>
              <w:jc w:val="center"/>
              <w:rPr>
                <w:noProof/>
              </w:rPr>
            </w:pPr>
          </w:p>
        </w:tc>
        <w:tc>
          <w:tcPr>
            <w:tcW w:w="3827" w:type="dxa"/>
            <w:vAlign w:val="center"/>
          </w:tcPr>
          <w:p w14:paraId="6DB6AA08" w14:textId="00A37445" w:rsidR="00FA5543" w:rsidRPr="00F66162" w:rsidRDefault="00FA5543" w:rsidP="00390489">
            <w:pPr>
              <w:rPr>
                <w:noProof/>
              </w:rPr>
            </w:pPr>
            <w:r w:rsidRPr="00F66162">
              <w:rPr>
                <w:noProof/>
                <w:sz w:val="20"/>
              </w:rPr>
              <w:t>Numer</w:t>
            </w:r>
            <w:r w:rsidRPr="00F66162">
              <w:rPr>
                <w:noProof/>
              </w:rPr>
              <w:br/>
            </w:r>
          </w:p>
        </w:tc>
        <w:tc>
          <w:tcPr>
            <w:tcW w:w="992" w:type="dxa"/>
            <w:vAlign w:val="center"/>
          </w:tcPr>
          <w:p w14:paraId="13A5EA66" w14:textId="77777777" w:rsidR="00FA5543" w:rsidRPr="00F66162" w:rsidRDefault="00FA5543" w:rsidP="00390489">
            <w:pPr>
              <w:jc w:val="center"/>
              <w:rPr>
                <w:noProof/>
              </w:rPr>
            </w:pPr>
            <w:r w:rsidRPr="00F66162">
              <w:rPr>
                <w:noProof/>
                <w:sz w:val="18"/>
              </w:rPr>
              <w:t>Zróżn. / niezróżn.</w:t>
            </w:r>
          </w:p>
        </w:tc>
        <w:tc>
          <w:tcPr>
            <w:tcW w:w="851" w:type="dxa"/>
            <w:vAlign w:val="center"/>
          </w:tcPr>
          <w:p w14:paraId="5F1DF756" w14:textId="77777777" w:rsidR="00FA5543" w:rsidRPr="00F66162" w:rsidRDefault="00FA5543" w:rsidP="00390489">
            <w:pPr>
              <w:jc w:val="center"/>
              <w:rPr>
                <w:noProof/>
                <w:sz w:val="18"/>
              </w:rPr>
            </w:pPr>
            <w:r w:rsidRPr="00F66162">
              <w:rPr>
                <w:noProof/>
                <w:sz w:val="18"/>
              </w:rPr>
              <w:t>państw EFTA</w:t>
            </w:r>
          </w:p>
        </w:tc>
        <w:tc>
          <w:tcPr>
            <w:tcW w:w="1417" w:type="dxa"/>
            <w:vAlign w:val="center"/>
          </w:tcPr>
          <w:p w14:paraId="1BA6857F" w14:textId="0C7318F5" w:rsidR="00FA5543" w:rsidRPr="00F66162" w:rsidRDefault="00FA5543" w:rsidP="00390489">
            <w:pPr>
              <w:jc w:val="center"/>
              <w:rPr>
                <w:noProof/>
                <w:sz w:val="18"/>
              </w:rPr>
            </w:pPr>
            <w:r w:rsidRPr="00F66162">
              <w:rPr>
                <w:noProof/>
                <w:sz w:val="18"/>
              </w:rPr>
              <w:t>krajów kandydujących</w:t>
            </w:r>
            <w:r w:rsidR="00825614" w:rsidRPr="00F66162">
              <w:rPr>
                <w:noProof/>
                <w:sz w:val="18"/>
              </w:rPr>
              <w:t xml:space="preserve"> i</w:t>
            </w:r>
            <w:r w:rsidR="00825614">
              <w:rPr>
                <w:noProof/>
                <w:sz w:val="18"/>
              </w:rPr>
              <w:t> </w:t>
            </w:r>
            <w:r w:rsidR="00825614" w:rsidRPr="00F66162">
              <w:rPr>
                <w:noProof/>
                <w:sz w:val="18"/>
              </w:rPr>
              <w:t>pot</w:t>
            </w:r>
            <w:r w:rsidRPr="00F66162">
              <w:rPr>
                <w:noProof/>
                <w:sz w:val="18"/>
              </w:rPr>
              <w:t>encjalnych kandydatów</w:t>
            </w:r>
          </w:p>
        </w:tc>
        <w:tc>
          <w:tcPr>
            <w:tcW w:w="896" w:type="dxa"/>
            <w:vAlign w:val="center"/>
          </w:tcPr>
          <w:p w14:paraId="5E5C1826" w14:textId="77777777" w:rsidR="00FA5543" w:rsidRPr="00F66162" w:rsidRDefault="00FA5543" w:rsidP="00390489">
            <w:pPr>
              <w:jc w:val="center"/>
              <w:rPr>
                <w:noProof/>
                <w:sz w:val="18"/>
              </w:rPr>
            </w:pPr>
            <w:r w:rsidRPr="00F66162">
              <w:rPr>
                <w:noProof/>
                <w:sz w:val="18"/>
              </w:rPr>
              <w:t>innych państw trzecich</w:t>
            </w:r>
          </w:p>
        </w:tc>
        <w:tc>
          <w:tcPr>
            <w:tcW w:w="1463" w:type="dxa"/>
            <w:vAlign w:val="center"/>
          </w:tcPr>
          <w:p w14:paraId="0E1760CB" w14:textId="4A2D23E1" w:rsidR="00FA5543" w:rsidRPr="00F66162" w:rsidRDefault="00FA5543" w:rsidP="00390489">
            <w:pPr>
              <w:jc w:val="center"/>
              <w:rPr>
                <w:noProof/>
              </w:rPr>
            </w:pPr>
            <w:r w:rsidRPr="00F66162">
              <w:rPr>
                <w:noProof/>
                <w:sz w:val="18"/>
              </w:rPr>
              <w:t>pochodzący</w:t>
            </w:r>
            <w:r w:rsidR="00825614" w:rsidRPr="00F66162">
              <w:rPr>
                <w:noProof/>
                <w:sz w:val="18"/>
              </w:rPr>
              <w:t xml:space="preserve"> z</w:t>
            </w:r>
            <w:r w:rsidR="00825614">
              <w:rPr>
                <w:noProof/>
                <w:sz w:val="18"/>
              </w:rPr>
              <w:t> </w:t>
            </w:r>
            <w:r w:rsidR="00825614" w:rsidRPr="00F66162">
              <w:rPr>
                <w:noProof/>
                <w:sz w:val="18"/>
              </w:rPr>
              <w:t>poz</w:t>
            </w:r>
            <w:r w:rsidRPr="00F66162">
              <w:rPr>
                <w:noProof/>
                <w:sz w:val="18"/>
              </w:rPr>
              <w:t xml:space="preserve">ostałych dochodów przeznaczonych na określony cel </w:t>
            </w:r>
          </w:p>
        </w:tc>
      </w:tr>
      <w:tr w:rsidR="00FA5543" w:rsidRPr="00F66162" w14:paraId="6761E7F9" w14:textId="77777777" w:rsidTr="004246FD">
        <w:trPr>
          <w:cantSplit/>
          <w:jc w:val="center"/>
        </w:trPr>
        <w:tc>
          <w:tcPr>
            <w:tcW w:w="1227" w:type="dxa"/>
            <w:vAlign w:val="center"/>
          </w:tcPr>
          <w:p w14:paraId="552361E4" w14:textId="77777777" w:rsidR="00FA5543" w:rsidRPr="00F66162" w:rsidRDefault="49B8EBFF" w:rsidP="00390489">
            <w:pPr>
              <w:jc w:val="center"/>
              <w:rPr>
                <w:noProof/>
                <w:color w:val="0000FF"/>
              </w:rPr>
            </w:pPr>
            <w:r w:rsidRPr="00F66162">
              <w:rPr>
                <w:noProof/>
                <w:color w:val="0000FF"/>
              </w:rPr>
              <w:t>Nie dotyczy</w:t>
            </w:r>
          </w:p>
        </w:tc>
        <w:tc>
          <w:tcPr>
            <w:tcW w:w="3827" w:type="dxa"/>
            <w:vAlign w:val="center"/>
          </w:tcPr>
          <w:p w14:paraId="496F54B3" w14:textId="77777777" w:rsidR="49B8EBFF" w:rsidRPr="00F66162" w:rsidRDefault="49B8EBFF" w:rsidP="139DF8FE">
            <w:pPr>
              <w:spacing w:before="60"/>
              <w:rPr>
                <w:noProof/>
              </w:rPr>
            </w:pPr>
            <w:r w:rsidRPr="00F66162">
              <w:rPr>
                <w:noProof/>
                <w:sz w:val="22"/>
              </w:rPr>
              <w:t>Nie dotyczy</w:t>
            </w:r>
          </w:p>
          <w:p w14:paraId="4F112DF2" w14:textId="77777777" w:rsidR="00FA5543" w:rsidRPr="00F66162" w:rsidRDefault="00FA5543" w:rsidP="00390489">
            <w:pPr>
              <w:spacing w:after="60"/>
              <w:rPr>
                <w:noProof/>
              </w:rPr>
            </w:pPr>
          </w:p>
        </w:tc>
        <w:tc>
          <w:tcPr>
            <w:tcW w:w="992" w:type="dxa"/>
            <w:vAlign w:val="center"/>
          </w:tcPr>
          <w:p w14:paraId="611C6B5D" w14:textId="77777777" w:rsidR="00FA5543" w:rsidRPr="00F66162" w:rsidRDefault="00FA5543" w:rsidP="00390489">
            <w:pPr>
              <w:jc w:val="center"/>
              <w:rPr>
                <w:noProof/>
                <w:color w:val="0000FF"/>
              </w:rPr>
            </w:pPr>
            <w:r w:rsidRPr="00F66162">
              <w:rPr>
                <w:noProof/>
                <w:sz w:val="22"/>
              </w:rPr>
              <w:t>Zróżn. / niezróżn.</w:t>
            </w:r>
          </w:p>
        </w:tc>
        <w:tc>
          <w:tcPr>
            <w:tcW w:w="851" w:type="dxa"/>
            <w:vAlign w:val="center"/>
          </w:tcPr>
          <w:p w14:paraId="1A4FAF72" w14:textId="77777777" w:rsidR="00FA5543" w:rsidRPr="00F66162" w:rsidRDefault="00FA5543" w:rsidP="00390489">
            <w:pPr>
              <w:jc w:val="center"/>
              <w:rPr>
                <w:noProof/>
                <w:sz w:val="20"/>
                <w:szCs w:val="20"/>
              </w:rPr>
            </w:pPr>
            <w:r w:rsidRPr="00F66162">
              <w:rPr>
                <w:noProof/>
                <w:sz w:val="20"/>
              </w:rPr>
              <w:t>TAK/ NIE</w:t>
            </w:r>
          </w:p>
        </w:tc>
        <w:tc>
          <w:tcPr>
            <w:tcW w:w="1417" w:type="dxa"/>
            <w:vAlign w:val="center"/>
          </w:tcPr>
          <w:p w14:paraId="7E0A6806" w14:textId="77777777" w:rsidR="00FA5543" w:rsidRPr="00F66162" w:rsidRDefault="00FA5543" w:rsidP="00390489">
            <w:pPr>
              <w:jc w:val="center"/>
              <w:rPr>
                <w:noProof/>
                <w:sz w:val="20"/>
                <w:szCs w:val="20"/>
              </w:rPr>
            </w:pPr>
            <w:r w:rsidRPr="00F66162">
              <w:rPr>
                <w:noProof/>
                <w:sz w:val="20"/>
              </w:rPr>
              <w:t>TAK/ NIE</w:t>
            </w:r>
          </w:p>
        </w:tc>
        <w:tc>
          <w:tcPr>
            <w:tcW w:w="896" w:type="dxa"/>
            <w:vAlign w:val="center"/>
          </w:tcPr>
          <w:p w14:paraId="7045B68C" w14:textId="77777777" w:rsidR="00FA5543" w:rsidRPr="00F66162" w:rsidRDefault="00FA5543" w:rsidP="00390489">
            <w:pPr>
              <w:jc w:val="center"/>
              <w:rPr>
                <w:noProof/>
                <w:sz w:val="20"/>
                <w:szCs w:val="20"/>
              </w:rPr>
            </w:pPr>
            <w:r w:rsidRPr="00F66162">
              <w:rPr>
                <w:noProof/>
                <w:sz w:val="20"/>
              </w:rPr>
              <w:t>TAK/ NIE</w:t>
            </w:r>
          </w:p>
        </w:tc>
        <w:tc>
          <w:tcPr>
            <w:tcW w:w="1463" w:type="dxa"/>
            <w:vAlign w:val="center"/>
          </w:tcPr>
          <w:p w14:paraId="3D79092D" w14:textId="77777777" w:rsidR="00FA5543" w:rsidRPr="00F66162" w:rsidRDefault="00FA5543" w:rsidP="00390489">
            <w:pPr>
              <w:jc w:val="center"/>
              <w:rPr>
                <w:noProof/>
                <w:sz w:val="20"/>
                <w:szCs w:val="20"/>
              </w:rPr>
            </w:pPr>
            <w:r w:rsidRPr="00F66162">
              <w:rPr>
                <w:noProof/>
                <w:sz w:val="20"/>
              </w:rPr>
              <w:t>TAK/ NIE</w:t>
            </w:r>
          </w:p>
        </w:tc>
      </w:tr>
    </w:tbl>
    <w:p w14:paraId="320D397D" w14:textId="77777777" w:rsidR="00FA5543" w:rsidRPr="00F66162" w:rsidRDefault="00FA5543" w:rsidP="00390489">
      <w:pPr>
        <w:rPr>
          <w:noProof/>
        </w:rPr>
        <w:sectPr w:rsidR="00FA5543" w:rsidRPr="00F66162" w:rsidSect="00AB396E">
          <w:pgSz w:w="11907" w:h="16840" w:code="1"/>
          <w:pgMar w:top="1134" w:right="1418" w:bottom="1134" w:left="1418" w:header="709" w:footer="709" w:gutter="0"/>
          <w:cols w:space="708"/>
          <w:docGrid w:linePitch="360"/>
        </w:sectPr>
      </w:pPr>
    </w:p>
    <w:p w14:paraId="406337D1" w14:textId="77777777" w:rsidR="00FA5543" w:rsidRPr="00F66162" w:rsidRDefault="6C3AF1E0" w:rsidP="139DF8FE">
      <w:pPr>
        <w:pStyle w:val="ManualHeading2"/>
        <w:rPr>
          <w:noProof/>
        </w:rPr>
      </w:pPr>
      <w:r w:rsidRPr="00F66162">
        <w:rPr>
          <w:noProof/>
        </w:rPr>
        <w:lastRenderedPageBreak/>
        <w:t>3.2.</w:t>
      </w:r>
      <w:r w:rsidRPr="00F66162">
        <w:rPr>
          <w:noProof/>
        </w:rPr>
        <w:tab/>
        <w:t xml:space="preserve">Szacunkowy wpływ finansowy wniosku na środki </w:t>
      </w:r>
    </w:p>
    <w:p w14:paraId="39612ABD" w14:textId="77777777" w:rsidR="00FA5543" w:rsidRPr="00F66162" w:rsidRDefault="00FA5543" w:rsidP="00390489">
      <w:pPr>
        <w:pStyle w:val="ManualHeading3"/>
        <w:rPr>
          <w:noProof/>
        </w:rPr>
      </w:pPr>
      <w:r w:rsidRPr="00F66162">
        <w:rPr>
          <w:noProof/>
        </w:rPr>
        <w:t>3.2.1.</w:t>
      </w:r>
      <w:r w:rsidRPr="00F66162">
        <w:rPr>
          <w:noProof/>
        </w:rPr>
        <w:tab/>
        <w:t xml:space="preserve">Podsumowanie szacunkowego wpływu na środki operacyjne </w:t>
      </w:r>
    </w:p>
    <w:p w14:paraId="5FB15805" w14:textId="27F82452" w:rsidR="00FA5543" w:rsidRPr="00F66162" w:rsidRDefault="6C3AF1E0" w:rsidP="00390489">
      <w:pPr>
        <w:pStyle w:val="ListDash1"/>
        <w:rPr>
          <w:noProof/>
        </w:rPr>
      </w:pPr>
      <w:r w:rsidRPr="00F66162">
        <w:rPr>
          <w:rFonts w:ascii="Wingdings" w:hAnsi="Wingdings"/>
          <w:noProof/>
        </w:rPr>
        <w:t></w:t>
      </w:r>
      <w:r w:rsidRPr="00F66162">
        <w:rPr>
          <w:noProof/>
        </w:rPr>
        <w:tab/>
        <w:t>Wniosek/inicjatywa nie wiąże się</w:t>
      </w:r>
      <w:r w:rsidR="00825614" w:rsidRPr="00F66162">
        <w:rPr>
          <w:noProof/>
        </w:rPr>
        <w:t xml:space="preserve"> z</w:t>
      </w:r>
      <w:r w:rsidR="00825614">
        <w:rPr>
          <w:noProof/>
        </w:rPr>
        <w:t> </w:t>
      </w:r>
      <w:r w:rsidR="00825614" w:rsidRPr="00F66162">
        <w:rPr>
          <w:noProof/>
        </w:rPr>
        <w:t>kon</w:t>
      </w:r>
      <w:r w:rsidRPr="00F66162">
        <w:rPr>
          <w:noProof/>
        </w:rPr>
        <w:t xml:space="preserve">iecznością wykorzystania środków operacyjnych </w:t>
      </w:r>
    </w:p>
    <w:p w14:paraId="318A9CF9" w14:textId="2961BA90" w:rsidR="00FA5543" w:rsidRPr="00F66162" w:rsidRDefault="14B2965C" w:rsidP="00390489">
      <w:pPr>
        <w:pStyle w:val="ListDash1"/>
        <w:rPr>
          <w:noProof/>
        </w:rPr>
      </w:pPr>
      <w:r w:rsidRPr="00F66162">
        <w:rPr>
          <w:rFonts w:ascii="Wingdings" w:hAnsi="Wingdings"/>
          <w:noProof/>
        </w:rPr>
        <w:t></w:t>
      </w:r>
      <w:r w:rsidRPr="00F66162">
        <w:rPr>
          <w:noProof/>
        </w:rPr>
        <w:tab/>
        <w:t>Wniosek/inicjatywa wiąże się</w:t>
      </w:r>
      <w:r w:rsidR="00825614" w:rsidRPr="00F66162">
        <w:rPr>
          <w:noProof/>
        </w:rPr>
        <w:t xml:space="preserve"> z</w:t>
      </w:r>
      <w:r w:rsidR="00825614">
        <w:rPr>
          <w:noProof/>
        </w:rPr>
        <w:t> </w:t>
      </w:r>
      <w:r w:rsidR="00825614" w:rsidRPr="00F66162">
        <w:rPr>
          <w:noProof/>
        </w:rPr>
        <w:t>kon</w:t>
      </w:r>
      <w:r w:rsidRPr="00F66162">
        <w:rPr>
          <w:noProof/>
        </w:rPr>
        <w:t>iecznością wykorzystania środków operacyjnych, jak określono poniżej</w:t>
      </w:r>
    </w:p>
    <w:p w14:paraId="2DB4B82D" w14:textId="019C4B0C" w:rsidR="00FA5543" w:rsidRPr="00F66162" w:rsidRDefault="00FA5543" w:rsidP="00390489">
      <w:pPr>
        <w:pStyle w:val="ManualHeading3"/>
        <w:rPr>
          <w:noProof/>
        </w:rPr>
      </w:pPr>
      <w:r w:rsidRPr="00F66162">
        <w:rPr>
          <w:noProof/>
        </w:rPr>
        <w:t>3.2.1.1.</w:t>
      </w:r>
      <w:r w:rsidRPr="00F66162">
        <w:rPr>
          <w:noProof/>
        </w:rPr>
        <w:tab/>
        <w:t>Środki</w:t>
      </w:r>
      <w:r w:rsidR="00825614" w:rsidRPr="00F66162">
        <w:rPr>
          <w:noProof/>
        </w:rPr>
        <w:t xml:space="preserve"> z</w:t>
      </w:r>
      <w:r w:rsidR="00825614">
        <w:rPr>
          <w:noProof/>
        </w:rPr>
        <w:t> </w:t>
      </w:r>
      <w:r w:rsidR="00825614" w:rsidRPr="00F66162">
        <w:rPr>
          <w:noProof/>
        </w:rPr>
        <w:t>uch</w:t>
      </w:r>
      <w:r w:rsidRPr="00F66162">
        <w:rPr>
          <w:noProof/>
        </w:rPr>
        <w:t>walonego budżetu</w:t>
      </w:r>
    </w:p>
    <w:p w14:paraId="090A6746" w14:textId="77777777" w:rsidR="00FA5543" w:rsidRPr="00F66162" w:rsidRDefault="00FA5543" w:rsidP="00390489">
      <w:pPr>
        <w:jc w:val="right"/>
        <w:rPr>
          <w:noProof/>
          <w:sz w:val="18"/>
          <w:szCs w:val="18"/>
        </w:rPr>
      </w:pPr>
      <w:r w:rsidRPr="00F66162">
        <w:rPr>
          <w:noProof/>
          <w:sz w:val="18"/>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FA5543" w:rsidRPr="00F66162" w14:paraId="3E3ED8B7" w14:textId="77777777" w:rsidTr="139DF8FE">
        <w:tc>
          <w:tcPr>
            <w:tcW w:w="1739" w:type="pct"/>
            <w:shd w:val="clear" w:color="auto" w:fill="auto"/>
            <w:vAlign w:val="center"/>
          </w:tcPr>
          <w:p w14:paraId="6F28A27F" w14:textId="77777777" w:rsidR="00FA5543" w:rsidRPr="00F66162" w:rsidRDefault="00FA5543" w:rsidP="00390489">
            <w:pPr>
              <w:spacing w:before="60" w:after="60"/>
              <w:jc w:val="center"/>
              <w:rPr>
                <w:b/>
                <w:noProof/>
              </w:rPr>
            </w:pPr>
            <w:r w:rsidRPr="00F66162">
              <w:rPr>
                <w:b/>
                <w:noProof/>
                <w:sz w:val="22"/>
              </w:rPr>
              <w:t xml:space="preserve">Dział wieloletnich ram finansowych </w:t>
            </w:r>
          </w:p>
        </w:tc>
        <w:tc>
          <w:tcPr>
            <w:tcW w:w="396" w:type="pct"/>
            <w:vAlign w:val="center"/>
          </w:tcPr>
          <w:p w14:paraId="04EED994" w14:textId="77777777" w:rsidR="00FA5543" w:rsidRPr="00F66162" w:rsidRDefault="5E77EBE0" w:rsidP="139DF8FE">
            <w:pPr>
              <w:spacing w:before="60" w:after="60"/>
              <w:jc w:val="center"/>
              <w:rPr>
                <w:noProof/>
              </w:rPr>
            </w:pPr>
            <w:r w:rsidRPr="00F66162">
              <w:rPr>
                <w:noProof/>
                <w:sz w:val="22"/>
              </w:rPr>
              <w:t>3</w:t>
            </w:r>
          </w:p>
        </w:tc>
        <w:tc>
          <w:tcPr>
            <w:tcW w:w="2865" w:type="pct"/>
            <w:vAlign w:val="center"/>
          </w:tcPr>
          <w:p w14:paraId="5A1DA48F" w14:textId="123E2F05" w:rsidR="00FA5543" w:rsidRPr="00F66162" w:rsidRDefault="5E77EBE0" w:rsidP="00390489">
            <w:pPr>
              <w:spacing w:before="60" w:after="60"/>
              <w:rPr>
                <w:noProof/>
              </w:rPr>
            </w:pPr>
            <w:r w:rsidRPr="00F66162">
              <w:rPr>
                <w:noProof/>
              </w:rPr>
              <w:t>Zasoby naturalne</w:t>
            </w:r>
            <w:r w:rsidR="00825614" w:rsidRPr="00F66162">
              <w:rPr>
                <w:noProof/>
              </w:rPr>
              <w:t xml:space="preserve"> i</w:t>
            </w:r>
            <w:r w:rsidR="00825614">
              <w:rPr>
                <w:noProof/>
              </w:rPr>
              <w:t> </w:t>
            </w:r>
            <w:r w:rsidR="00825614" w:rsidRPr="00F66162">
              <w:rPr>
                <w:noProof/>
              </w:rPr>
              <w:t>śro</w:t>
            </w:r>
            <w:r w:rsidRPr="00F66162">
              <w:rPr>
                <w:noProof/>
              </w:rPr>
              <w:t>dowisko (IT)</w:t>
            </w:r>
          </w:p>
        </w:tc>
      </w:tr>
    </w:tbl>
    <w:p w14:paraId="0C0CCB5C" w14:textId="77777777" w:rsidR="00FA5543" w:rsidRPr="00F66162" w:rsidRDefault="00FA5543" w:rsidP="00390489">
      <w:pPr>
        <w:rPr>
          <w:noProof/>
          <w:sz w:val="16"/>
        </w:rPr>
      </w:pPr>
    </w:p>
    <w:tbl>
      <w:tblPr>
        <w:tblW w:w="5000" w:type="pct"/>
        <w:tblLook w:val="04A0" w:firstRow="1" w:lastRow="0" w:firstColumn="1" w:lastColumn="0" w:noHBand="0" w:noVBand="1"/>
      </w:tblPr>
      <w:tblGrid>
        <w:gridCol w:w="3947"/>
        <w:gridCol w:w="22"/>
        <w:gridCol w:w="288"/>
        <w:gridCol w:w="1169"/>
        <w:gridCol w:w="22"/>
        <w:gridCol w:w="126"/>
        <w:gridCol w:w="1021"/>
        <w:gridCol w:w="207"/>
        <w:gridCol w:w="34"/>
        <w:gridCol w:w="783"/>
        <w:gridCol w:w="562"/>
        <w:gridCol w:w="42"/>
        <w:gridCol w:w="618"/>
        <w:gridCol w:w="719"/>
        <w:gridCol w:w="50"/>
        <w:gridCol w:w="453"/>
        <w:gridCol w:w="875"/>
        <w:gridCol w:w="59"/>
        <w:gridCol w:w="288"/>
        <w:gridCol w:w="1032"/>
        <w:gridCol w:w="17"/>
        <w:gridCol w:w="173"/>
        <w:gridCol w:w="1477"/>
      </w:tblGrid>
      <w:tr w:rsidR="00FA5543" w:rsidRPr="00F66162" w14:paraId="03A50AA6" w14:textId="77777777" w:rsidTr="139DF8FE">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1E24AF5" w14:textId="77777777" w:rsidR="00FA5543" w:rsidRPr="00F66162" w:rsidRDefault="6C3AF1E0" w:rsidP="139DF8FE">
            <w:pPr>
              <w:spacing w:before="0" w:after="0"/>
              <w:jc w:val="center"/>
              <w:rPr>
                <w:noProof/>
                <w:color w:val="000000"/>
                <w:sz w:val="22"/>
              </w:rPr>
            </w:pPr>
            <w:r w:rsidRPr="00F66162">
              <w:rPr>
                <w:noProof/>
                <w:color w:val="000000" w:themeColor="text1"/>
                <w:sz w:val="22"/>
              </w:rPr>
              <w:t>Dyrekcja Generalna: TAXUD</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41627E3B"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7A91867B"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3BE10FD9"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78" w:type="pct"/>
            <w:gridSpan w:val="3"/>
            <w:tcBorders>
              <w:top w:val="single" w:sz="8" w:space="0" w:color="auto"/>
              <w:left w:val="nil"/>
              <w:bottom w:val="single" w:sz="8" w:space="0" w:color="auto"/>
              <w:right w:val="single" w:sz="8" w:space="0" w:color="auto"/>
            </w:tcBorders>
            <w:shd w:val="clear" w:color="auto" w:fill="auto"/>
            <w:vAlign w:val="center"/>
            <w:hideMark/>
          </w:tcPr>
          <w:p w14:paraId="4429D8B7"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590"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46BB901"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OGÓŁEM WRF 2021–2027</w:t>
            </w:r>
          </w:p>
        </w:tc>
      </w:tr>
      <w:tr w:rsidR="00FA5543" w:rsidRPr="00F66162" w14:paraId="0BC4A198" w14:textId="77777777" w:rsidTr="139DF8FE">
        <w:trPr>
          <w:trHeight w:val="288"/>
        </w:trPr>
        <w:tc>
          <w:tcPr>
            <w:tcW w:w="2444" w:type="pct"/>
            <w:gridSpan w:val="9"/>
            <w:vMerge/>
            <w:vAlign w:val="center"/>
            <w:hideMark/>
          </w:tcPr>
          <w:p w14:paraId="6D962704" w14:textId="77777777" w:rsidR="00FA5543" w:rsidRPr="00F66162" w:rsidRDefault="00FA5543" w:rsidP="00390489">
            <w:pPr>
              <w:spacing w:before="0" w:after="0"/>
              <w:jc w:val="left"/>
              <w:rPr>
                <w:noProof/>
                <w:color w:val="000000"/>
                <w:sz w:val="22"/>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3463C4CE"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496" w:type="pct"/>
            <w:gridSpan w:val="3"/>
            <w:tcBorders>
              <w:top w:val="nil"/>
              <w:left w:val="nil"/>
              <w:bottom w:val="single" w:sz="8" w:space="0" w:color="auto"/>
              <w:right w:val="single" w:sz="8" w:space="0" w:color="auto"/>
            </w:tcBorders>
            <w:shd w:val="clear" w:color="auto" w:fill="auto"/>
            <w:vAlign w:val="center"/>
            <w:hideMark/>
          </w:tcPr>
          <w:p w14:paraId="7281F284"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496" w:type="pct"/>
            <w:gridSpan w:val="3"/>
            <w:tcBorders>
              <w:top w:val="nil"/>
              <w:left w:val="nil"/>
              <w:bottom w:val="single" w:sz="8" w:space="0" w:color="auto"/>
              <w:right w:val="single" w:sz="8" w:space="0" w:color="auto"/>
            </w:tcBorders>
            <w:shd w:val="clear" w:color="auto" w:fill="auto"/>
            <w:vAlign w:val="center"/>
            <w:hideMark/>
          </w:tcPr>
          <w:p w14:paraId="7E41B06E"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478" w:type="pct"/>
            <w:gridSpan w:val="3"/>
            <w:tcBorders>
              <w:top w:val="nil"/>
              <w:left w:val="nil"/>
              <w:bottom w:val="single" w:sz="8" w:space="0" w:color="auto"/>
              <w:right w:val="single" w:sz="8" w:space="0" w:color="auto"/>
            </w:tcBorders>
            <w:shd w:val="clear" w:color="auto" w:fill="auto"/>
            <w:vAlign w:val="center"/>
            <w:hideMark/>
          </w:tcPr>
          <w:p w14:paraId="391A5D2E"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c>
          <w:tcPr>
            <w:tcW w:w="590" w:type="pct"/>
            <w:gridSpan w:val="2"/>
            <w:vMerge/>
            <w:vAlign w:val="center"/>
            <w:hideMark/>
          </w:tcPr>
          <w:p w14:paraId="437572DF" w14:textId="77777777" w:rsidR="00FA5543" w:rsidRPr="00F66162" w:rsidRDefault="00FA5543" w:rsidP="00390489">
            <w:pPr>
              <w:spacing w:before="0" w:after="0"/>
              <w:jc w:val="left"/>
              <w:rPr>
                <w:b/>
                <w:bCs/>
                <w:noProof/>
                <w:color w:val="000000"/>
                <w:sz w:val="20"/>
                <w:szCs w:val="20"/>
                <w:lang w:eastAsia="en-IE"/>
              </w:rPr>
            </w:pPr>
          </w:p>
        </w:tc>
      </w:tr>
      <w:tr w:rsidR="00FA5543" w:rsidRPr="00F66162" w14:paraId="404F9164" w14:textId="77777777" w:rsidTr="139DF8FE">
        <w:trPr>
          <w:trHeight w:val="300"/>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vAlign w:val="center"/>
            <w:hideMark/>
          </w:tcPr>
          <w:p w14:paraId="1177E9C3" w14:textId="77777777" w:rsidR="00FA5543" w:rsidRPr="00F66162" w:rsidRDefault="00FA5543" w:rsidP="00390489">
            <w:pPr>
              <w:spacing w:before="0" w:after="0"/>
              <w:jc w:val="left"/>
              <w:rPr>
                <w:noProof/>
                <w:color w:val="000000"/>
                <w:sz w:val="21"/>
                <w:szCs w:val="21"/>
              </w:rPr>
            </w:pPr>
            <w:r w:rsidRPr="00F66162">
              <w:rPr>
                <w:noProof/>
                <w:color w:val="000000"/>
                <w:sz w:val="21"/>
              </w:rPr>
              <w:t xml:space="preserve">Środki operacyjne </w:t>
            </w:r>
          </w:p>
        </w:tc>
      </w:tr>
      <w:tr w:rsidR="00FA5543" w:rsidRPr="00F66162" w14:paraId="1FBE4F0E" w14:textId="77777777" w:rsidTr="139DF8FE">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478981F8" w14:textId="77777777" w:rsidR="00FA5543" w:rsidRPr="00F66162" w:rsidRDefault="00FA5543" w:rsidP="00390489">
            <w:pPr>
              <w:spacing w:before="0" w:after="0"/>
              <w:jc w:val="left"/>
              <w:rPr>
                <w:noProof/>
                <w:color w:val="000000"/>
                <w:sz w:val="22"/>
              </w:rPr>
            </w:pPr>
            <w:r w:rsidRPr="00F66162">
              <w:rPr>
                <w:noProof/>
                <w:color w:val="000000"/>
                <w:sz w:val="22"/>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014BDC5E"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5651AA62" w14:textId="77777777" w:rsidR="00FA5543" w:rsidRPr="00F66162" w:rsidRDefault="00FA5543" w:rsidP="00390489">
            <w:pPr>
              <w:spacing w:before="0" w:after="0"/>
              <w:jc w:val="center"/>
              <w:rPr>
                <w:noProof/>
                <w:color w:val="000000"/>
                <w:sz w:val="14"/>
                <w:szCs w:val="14"/>
              </w:rPr>
            </w:pPr>
            <w:r w:rsidRPr="00F66162">
              <w:rPr>
                <w:noProof/>
                <w:color w:val="000000"/>
                <w:sz w:val="14"/>
              </w:rPr>
              <w:t>(1a)</w:t>
            </w:r>
          </w:p>
        </w:tc>
        <w:tc>
          <w:tcPr>
            <w:tcW w:w="496" w:type="pct"/>
            <w:gridSpan w:val="3"/>
            <w:tcBorders>
              <w:top w:val="nil"/>
              <w:left w:val="nil"/>
              <w:bottom w:val="single" w:sz="8" w:space="0" w:color="auto"/>
              <w:right w:val="single" w:sz="8" w:space="0" w:color="auto"/>
            </w:tcBorders>
            <w:shd w:val="clear" w:color="auto" w:fill="auto"/>
            <w:vAlign w:val="center"/>
            <w:hideMark/>
          </w:tcPr>
          <w:p w14:paraId="16026033" w14:textId="77777777" w:rsidR="00FA5543" w:rsidRPr="00F66162" w:rsidRDefault="196BCE94" w:rsidP="00390489">
            <w:pPr>
              <w:spacing w:before="0" w:after="0"/>
              <w:jc w:val="right"/>
              <w:rPr>
                <w:noProof/>
                <w:color w:val="000000"/>
                <w:sz w:val="20"/>
                <w:szCs w:val="20"/>
              </w:rPr>
            </w:pPr>
            <w:r w:rsidRPr="00F66162">
              <w:rPr>
                <w:noProof/>
                <w:color w:val="000000" w:themeColor="text1"/>
                <w:sz w:val="20"/>
              </w:rPr>
              <w:t xml:space="preserve">28,090 </w:t>
            </w:r>
          </w:p>
        </w:tc>
        <w:tc>
          <w:tcPr>
            <w:tcW w:w="496" w:type="pct"/>
            <w:gridSpan w:val="3"/>
            <w:tcBorders>
              <w:top w:val="nil"/>
              <w:left w:val="nil"/>
              <w:bottom w:val="single" w:sz="8" w:space="0" w:color="auto"/>
              <w:right w:val="single" w:sz="8" w:space="0" w:color="auto"/>
            </w:tcBorders>
            <w:shd w:val="clear" w:color="auto" w:fill="auto"/>
            <w:vAlign w:val="center"/>
            <w:hideMark/>
          </w:tcPr>
          <w:p w14:paraId="7431475C" w14:textId="77777777" w:rsidR="00FA5543" w:rsidRPr="00F66162" w:rsidRDefault="0294695B" w:rsidP="00390489">
            <w:pPr>
              <w:spacing w:before="0" w:after="0"/>
              <w:jc w:val="right"/>
              <w:rPr>
                <w:noProof/>
                <w:color w:val="000000"/>
                <w:sz w:val="20"/>
                <w:szCs w:val="20"/>
              </w:rPr>
            </w:pPr>
            <w:r w:rsidRPr="00F66162">
              <w:rPr>
                <w:noProof/>
                <w:color w:val="000000" w:themeColor="text1"/>
                <w:sz w:val="20"/>
              </w:rPr>
              <w:t xml:space="preserve">34,750 </w:t>
            </w:r>
          </w:p>
        </w:tc>
        <w:tc>
          <w:tcPr>
            <w:tcW w:w="496" w:type="pct"/>
            <w:gridSpan w:val="3"/>
            <w:tcBorders>
              <w:top w:val="nil"/>
              <w:left w:val="nil"/>
              <w:bottom w:val="single" w:sz="8" w:space="0" w:color="auto"/>
              <w:right w:val="single" w:sz="8" w:space="0" w:color="auto"/>
            </w:tcBorders>
            <w:shd w:val="clear" w:color="auto" w:fill="auto"/>
            <w:vAlign w:val="center"/>
            <w:hideMark/>
          </w:tcPr>
          <w:p w14:paraId="218B9587" w14:textId="77777777" w:rsidR="00FA5543" w:rsidRPr="00F66162" w:rsidRDefault="1B11002C" w:rsidP="00390489">
            <w:pPr>
              <w:spacing w:before="0" w:after="0"/>
              <w:jc w:val="right"/>
              <w:rPr>
                <w:noProof/>
                <w:color w:val="000000"/>
                <w:sz w:val="20"/>
                <w:szCs w:val="20"/>
              </w:rPr>
            </w:pPr>
            <w:r w:rsidRPr="00F66162">
              <w:rPr>
                <w:noProof/>
                <w:color w:val="000000" w:themeColor="text1"/>
                <w:sz w:val="20"/>
              </w:rPr>
              <w:t xml:space="preserve">33,700 </w:t>
            </w:r>
          </w:p>
        </w:tc>
        <w:tc>
          <w:tcPr>
            <w:tcW w:w="478" w:type="pct"/>
            <w:gridSpan w:val="3"/>
            <w:tcBorders>
              <w:top w:val="nil"/>
              <w:left w:val="nil"/>
              <w:bottom w:val="single" w:sz="8" w:space="0" w:color="auto"/>
              <w:right w:val="single" w:sz="8" w:space="0" w:color="auto"/>
            </w:tcBorders>
            <w:shd w:val="clear" w:color="auto" w:fill="auto"/>
            <w:vAlign w:val="center"/>
            <w:hideMark/>
          </w:tcPr>
          <w:p w14:paraId="02F40E53" w14:textId="77777777" w:rsidR="00FA5543" w:rsidRPr="00F66162" w:rsidRDefault="174A861D" w:rsidP="00390489">
            <w:pPr>
              <w:spacing w:before="0" w:after="0"/>
              <w:jc w:val="right"/>
              <w:rPr>
                <w:noProof/>
                <w:color w:val="000000"/>
                <w:sz w:val="20"/>
                <w:szCs w:val="20"/>
              </w:rPr>
            </w:pPr>
            <w:r w:rsidRPr="00F66162">
              <w:rPr>
                <w:noProof/>
                <w:color w:val="000000" w:themeColor="text1"/>
                <w:sz w:val="20"/>
              </w:rPr>
              <w:t xml:space="preserve">30,150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7D6350E" w14:textId="77777777" w:rsidR="00FA5543" w:rsidRPr="00F66162" w:rsidRDefault="6629B9C0" w:rsidP="00390489">
            <w:pPr>
              <w:spacing w:before="0" w:after="0"/>
              <w:jc w:val="right"/>
              <w:rPr>
                <w:b/>
                <w:bCs/>
                <w:noProof/>
                <w:color w:val="000000"/>
                <w:sz w:val="20"/>
                <w:szCs w:val="20"/>
              </w:rPr>
            </w:pPr>
            <w:r w:rsidRPr="00F66162">
              <w:rPr>
                <w:b/>
                <w:noProof/>
                <w:color w:val="000000" w:themeColor="text1"/>
                <w:sz w:val="20"/>
              </w:rPr>
              <w:t>126,690</w:t>
            </w:r>
          </w:p>
        </w:tc>
      </w:tr>
      <w:tr w:rsidR="00FA5543" w:rsidRPr="00F66162" w14:paraId="7399A646" w14:textId="77777777" w:rsidTr="139DF8FE">
        <w:trPr>
          <w:trHeight w:val="315"/>
        </w:trPr>
        <w:tc>
          <w:tcPr>
            <w:tcW w:w="1419" w:type="pct"/>
            <w:gridSpan w:val="2"/>
            <w:vMerge/>
            <w:vAlign w:val="center"/>
            <w:hideMark/>
          </w:tcPr>
          <w:p w14:paraId="62EB84F4" w14:textId="77777777" w:rsidR="00FA5543" w:rsidRPr="00F66162" w:rsidRDefault="00FA5543" w:rsidP="00390489">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00587FAD"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5E26CD10" w14:textId="77777777" w:rsidR="00FA5543" w:rsidRPr="00F66162" w:rsidRDefault="00FA5543" w:rsidP="00390489">
            <w:pPr>
              <w:spacing w:before="0" w:after="0"/>
              <w:jc w:val="center"/>
              <w:rPr>
                <w:noProof/>
                <w:color w:val="000000"/>
                <w:sz w:val="14"/>
                <w:szCs w:val="14"/>
              </w:rPr>
            </w:pPr>
            <w:r w:rsidRPr="00F66162">
              <w:rPr>
                <w:noProof/>
                <w:color w:val="000000"/>
                <w:sz w:val="14"/>
              </w:rPr>
              <w:t>(2a)</w:t>
            </w:r>
          </w:p>
        </w:tc>
        <w:tc>
          <w:tcPr>
            <w:tcW w:w="496" w:type="pct"/>
            <w:gridSpan w:val="3"/>
            <w:tcBorders>
              <w:top w:val="nil"/>
              <w:left w:val="nil"/>
              <w:bottom w:val="single" w:sz="8" w:space="0" w:color="auto"/>
              <w:right w:val="single" w:sz="8" w:space="0" w:color="auto"/>
            </w:tcBorders>
            <w:shd w:val="clear" w:color="auto" w:fill="auto"/>
            <w:vAlign w:val="center"/>
            <w:hideMark/>
          </w:tcPr>
          <w:p w14:paraId="1195C804" w14:textId="77777777" w:rsidR="00FA5543" w:rsidRPr="00F66162" w:rsidRDefault="385783A1" w:rsidP="00390489">
            <w:pPr>
              <w:spacing w:before="0" w:after="0"/>
              <w:jc w:val="right"/>
              <w:rPr>
                <w:noProof/>
                <w:color w:val="000000"/>
                <w:sz w:val="20"/>
                <w:szCs w:val="20"/>
              </w:rPr>
            </w:pPr>
            <w:r w:rsidRPr="00F66162">
              <w:rPr>
                <w:noProof/>
                <w:color w:val="000000" w:themeColor="text1"/>
                <w:sz w:val="20"/>
              </w:rPr>
              <w:t xml:space="preserve">17,530 </w:t>
            </w:r>
          </w:p>
        </w:tc>
        <w:tc>
          <w:tcPr>
            <w:tcW w:w="496" w:type="pct"/>
            <w:gridSpan w:val="3"/>
            <w:tcBorders>
              <w:top w:val="nil"/>
              <w:left w:val="nil"/>
              <w:bottom w:val="single" w:sz="8" w:space="0" w:color="auto"/>
              <w:right w:val="single" w:sz="8" w:space="0" w:color="auto"/>
            </w:tcBorders>
            <w:shd w:val="clear" w:color="auto" w:fill="auto"/>
            <w:vAlign w:val="center"/>
            <w:hideMark/>
          </w:tcPr>
          <w:p w14:paraId="3A270437" w14:textId="77777777" w:rsidR="00FA5543" w:rsidRPr="00F66162" w:rsidRDefault="1E607E6A" w:rsidP="00390489">
            <w:pPr>
              <w:spacing w:before="0" w:after="0"/>
              <w:jc w:val="right"/>
              <w:rPr>
                <w:noProof/>
                <w:color w:val="000000"/>
                <w:sz w:val="20"/>
                <w:szCs w:val="20"/>
              </w:rPr>
            </w:pPr>
            <w:r w:rsidRPr="00F66162">
              <w:rPr>
                <w:noProof/>
                <w:color w:val="000000" w:themeColor="text1"/>
                <w:sz w:val="20"/>
              </w:rPr>
              <w:t xml:space="preserve">21,157 </w:t>
            </w:r>
          </w:p>
        </w:tc>
        <w:tc>
          <w:tcPr>
            <w:tcW w:w="496" w:type="pct"/>
            <w:gridSpan w:val="3"/>
            <w:tcBorders>
              <w:top w:val="nil"/>
              <w:left w:val="nil"/>
              <w:bottom w:val="single" w:sz="8" w:space="0" w:color="auto"/>
              <w:right w:val="single" w:sz="8" w:space="0" w:color="auto"/>
            </w:tcBorders>
            <w:shd w:val="clear" w:color="auto" w:fill="auto"/>
            <w:vAlign w:val="center"/>
            <w:hideMark/>
          </w:tcPr>
          <w:p w14:paraId="05D985C1" w14:textId="77777777" w:rsidR="00FA5543" w:rsidRPr="00F66162" w:rsidRDefault="0189CF84" w:rsidP="00390489">
            <w:pPr>
              <w:spacing w:before="0" w:after="0"/>
              <w:jc w:val="right"/>
              <w:rPr>
                <w:noProof/>
                <w:color w:val="000000"/>
                <w:sz w:val="20"/>
                <w:szCs w:val="20"/>
              </w:rPr>
            </w:pPr>
            <w:r w:rsidRPr="00F66162">
              <w:rPr>
                <w:noProof/>
                <w:color w:val="000000" w:themeColor="text1"/>
                <w:sz w:val="20"/>
              </w:rPr>
              <w:t xml:space="preserve">32,090 </w:t>
            </w:r>
          </w:p>
        </w:tc>
        <w:tc>
          <w:tcPr>
            <w:tcW w:w="478" w:type="pct"/>
            <w:gridSpan w:val="3"/>
            <w:tcBorders>
              <w:top w:val="nil"/>
              <w:left w:val="nil"/>
              <w:bottom w:val="single" w:sz="8" w:space="0" w:color="auto"/>
              <w:right w:val="single" w:sz="8" w:space="0" w:color="auto"/>
            </w:tcBorders>
            <w:shd w:val="clear" w:color="auto" w:fill="auto"/>
            <w:vAlign w:val="center"/>
            <w:hideMark/>
          </w:tcPr>
          <w:p w14:paraId="04ECF371" w14:textId="77777777" w:rsidR="00FA5543" w:rsidRPr="00F66162" w:rsidRDefault="6F2594AF" w:rsidP="00390489">
            <w:pPr>
              <w:spacing w:before="0" w:after="0"/>
              <w:jc w:val="right"/>
              <w:rPr>
                <w:noProof/>
                <w:color w:val="000000"/>
                <w:sz w:val="20"/>
                <w:szCs w:val="20"/>
              </w:rPr>
            </w:pPr>
            <w:r w:rsidRPr="00F66162">
              <w:rPr>
                <w:noProof/>
                <w:color w:val="000000" w:themeColor="text1"/>
                <w:sz w:val="20"/>
              </w:rPr>
              <w:t xml:space="preserve">33,067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1143DD9E" w14:textId="77777777" w:rsidR="00FA5543" w:rsidRPr="00F66162" w:rsidRDefault="11014210" w:rsidP="00390489">
            <w:pPr>
              <w:spacing w:before="0" w:after="0"/>
              <w:jc w:val="right"/>
              <w:rPr>
                <w:b/>
                <w:bCs/>
                <w:noProof/>
                <w:color w:val="000000"/>
                <w:sz w:val="20"/>
                <w:szCs w:val="20"/>
              </w:rPr>
            </w:pPr>
            <w:r w:rsidRPr="00F66162">
              <w:rPr>
                <w:b/>
                <w:noProof/>
                <w:color w:val="000000" w:themeColor="text1"/>
                <w:sz w:val="20"/>
              </w:rPr>
              <w:t>103,844</w:t>
            </w:r>
          </w:p>
        </w:tc>
      </w:tr>
      <w:tr w:rsidR="00FA5543" w:rsidRPr="00F66162" w14:paraId="5F58CFE3" w14:textId="77777777" w:rsidTr="139DF8FE">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688CCE41" w14:textId="77777777" w:rsidR="00FA5543" w:rsidRPr="00F66162" w:rsidRDefault="00FA5543" w:rsidP="00390489">
            <w:pPr>
              <w:spacing w:before="0" w:after="0"/>
              <w:rPr>
                <w:noProof/>
                <w:color w:val="000000"/>
                <w:sz w:val="20"/>
                <w:szCs w:val="20"/>
              </w:rPr>
            </w:pPr>
            <w:r w:rsidRPr="00F66162">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7CD17325"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0A3B42FD" w14:textId="77777777" w:rsidR="00FA5543" w:rsidRPr="00F66162" w:rsidRDefault="00FA5543" w:rsidP="00390489">
            <w:pPr>
              <w:spacing w:before="0" w:after="0"/>
              <w:jc w:val="center"/>
              <w:rPr>
                <w:noProof/>
                <w:color w:val="000000"/>
                <w:sz w:val="14"/>
                <w:szCs w:val="14"/>
              </w:rPr>
            </w:pPr>
            <w:r w:rsidRPr="00F66162">
              <w:rPr>
                <w:noProof/>
                <w:color w:val="000000"/>
                <w:sz w:val="14"/>
              </w:rPr>
              <w:t>(1b)</w:t>
            </w:r>
          </w:p>
        </w:tc>
        <w:tc>
          <w:tcPr>
            <w:tcW w:w="496" w:type="pct"/>
            <w:gridSpan w:val="3"/>
            <w:tcBorders>
              <w:top w:val="nil"/>
              <w:left w:val="nil"/>
              <w:bottom w:val="single" w:sz="8" w:space="0" w:color="auto"/>
              <w:right w:val="single" w:sz="8" w:space="0" w:color="auto"/>
            </w:tcBorders>
            <w:shd w:val="clear" w:color="auto" w:fill="auto"/>
            <w:vAlign w:val="center"/>
            <w:hideMark/>
          </w:tcPr>
          <w:p w14:paraId="1E8590CB" w14:textId="77777777" w:rsidR="00FA5543" w:rsidRPr="00F66162" w:rsidRDefault="00FA5543" w:rsidP="00390489">
            <w:pPr>
              <w:spacing w:before="0" w:after="0"/>
              <w:jc w:val="right"/>
              <w:rPr>
                <w:noProof/>
                <w:color w:val="000000"/>
                <w:sz w:val="20"/>
                <w:szCs w:val="20"/>
              </w:rPr>
            </w:pPr>
            <w:r w:rsidRPr="00F66162">
              <w:rPr>
                <w:noProof/>
                <w:color w:val="000000"/>
                <w:sz w:val="20"/>
              </w:rPr>
              <w:t xml:space="preserve"> </w:t>
            </w:r>
          </w:p>
        </w:tc>
        <w:tc>
          <w:tcPr>
            <w:tcW w:w="496" w:type="pct"/>
            <w:gridSpan w:val="3"/>
            <w:tcBorders>
              <w:top w:val="nil"/>
              <w:left w:val="nil"/>
              <w:bottom w:val="single" w:sz="8" w:space="0" w:color="auto"/>
              <w:right w:val="single" w:sz="8" w:space="0" w:color="auto"/>
            </w:tcBorders>
            <w:shd w:val="clear" w:color="auto" w:fill="auto"/>
            <w:vAlign w:val="center"/>
            <w:hideMark/>
          </w:tcPr>
          <w:p w14:paraId="05108E05" w14:textId="77777777" w:rsidR="00FA5543" w:rsidRPr="00F66162" w:rsidRDefault="00FA5543" w:rsidP="00390489">
            <w:pPr>
              <w:spacing w:before="0" w:after="0"/>
              <w:jc w:val="right"/>
              <w:rPr>
                <w:noProof/>
                <w:color w:val="000000"/>
                <w:sz w:val="20"/>
                <w:szCs w:val="20"/>
              </w:rPr>
            </w:pPr>
            <w:r w:rsidRPr="00F66162">
              <w:rPr>
                <w:noProof/>
                <w:color w:val="000000"/>
                <w:sz w:val="20"/>
              </w:rPr>
              <w:t xml:space="preserve"> </w:t>
            </w:r>
          </w:p>
        </w:tc>
        <w:tc>
          <w:tcPr>
            <w:tcW w:w="496" w:type="pct"/>
            <w:gridSpan w:val="3"/>
            <w:tcBorders>
              <w:top w:val="nil"/>
              <w:left w:val="nil"/>
              <w:bottom w:val="single" w:sz="8" w:space="0" w:color="auto"/>
              <w:right w:val="single" w:sz="8" w:space="0" w:color="auto"/>
            </w:tcBorders>
            <w:shd w:val="clear" w:color="auto" w:fill="auto"/>
            <w:vAlign w:val="center"/>
            <w:hideMark/>
          </w:tcPr>
          <w:p w14:paraId="67251A39" w14:textId="77777777" w:rsidR="00FA5543" w:rsidRPr="00F66162" w:rsidRDefault="00FA5543" w:rsidP="00390489">
            <w:pPr>
              <w:spacing w:before="0" w:after="0"/>
              <w:jc w:val="right"/>
              <w:rPr>
                <w:noProof/>
                <w:color w:val="000000"/>
                <w:sz w:val="20"/>
                <w:szCs w:val="20"/>
              </w:rPr>
            </w:pPr>
            <w:r w:rsidRPr="00F66162">
              <w:rPr>
                <w:noProof/>
                <w:color w:val="000000"/>
                <w:sz w:val="20"/>
              </w:rPr>
              <w:t xml:space="preserve"> </w:t>
            </w:r>
          </w:p>
        </w:tc>
        <w:tc>
          <w:tcPr>
            <w:tcW w:w="478" w:type="pct"/>
            <w:gridSpan w:val="3"/>
            <w:tcBorders>
              <w:top w:val="nil"/>
              <w:left w:val="nil"/>
              <w:bottom w:val="single" w:sz="8" w:space="0" w:color="auto"/>
              <w:right w:val="single" w:sz="8" w:space="0" w:color="auto"/>
            </w:tcBorders>
            <w:shd w:val="clear" w:color="auto" w:fill="auto"/>
            <w:vAlign w:val="center"/>
            <w:hideMark/>
          </w:tcPr>
          <w:p w14:paraId="156BF6B1" w14:textId="77777777" w:rsidR="00FA5543" w:rsidRPr="00F66162" w:rsidRDefault="00FA5543" w:rsidP="00390489">
            <w:pPr>
              <w:spacing w:before="0" w:after="0"/>
              <w:jc w:val="right"/>
              <w:rPr>
                <w:noProof/>
                <w:color w:val="000000"/>
                <w:sz w:val="20"/>
                <w:szCs w:val="20"/>
              </w:rPr>
            </w:pPr>
            <w:r w:rsidRPr="00F66162">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9E3B30C"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0,000</w:t>
            </w:r>
          </w:p>
        </w:tc>
      </w:tr>
      <w:tr w:rsidR="00FA5543" w:rsidRPr="00F66162" w14:paraId="7038FEB1" w14:textId="77777777" w:rsidTr="139DF8FE">
        <w:trPr>
          <w:trHeight w:val="315"/>
        </w:trPr>
        <w:tc>
          <w:tcPr>
            <w:tcW w:w="1419" w:type="pct"/>
            <w:gridSpan w:val="2"/>
            <w:vMerge/>
            <w:vAlign w:val="center"/>
            <w:hideMark/>
          </w:tcPr>
          <w:p w14:paraId="6D2C3352" w14:textId="77777777" w:rsidR="00FA5543" w:rsidRPr="00F66162" w:rsidRDefault="00FA5543" w:rsidP="00390489">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53B9B44B"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1646837B" w14:textId="77777777" w:rsidR="00FA5543" w:rsidRPr="00F66162" w:rsidRDefault="00FA5543" w:rsidP="00390489">
            <w:pPr>
              <w:spacing w:before="0" w:after="0"/>
              <w:jc w:val="center"/>
              <w:rPr>
                <w:noProof/>
                <w:color w:val="000000"/>
                <w:sz w:val="14"/>
                <w:szCs w:val="14"/>
              </w:rPr>
            </w:pPr>
            <w:r w:rsidRPr="00F66162">
              <w:rPr>
                <w:noProof/>
                <w:color w:val="000000"/>
                <w:sz w:val="14"/>
              </w:rPr>
              <w:t>(2b)</w:t>
            </w:r>
          </w:p>
        </w:tc>
        <w:tc>
          <w:tcPr>
            <w:tcW w:w="496" w:type="pct"/>
            <w:gridSpan w:val="3"/>
            <w:tcBorders>
              <w:top w:val="nil"/>
              <w:left w:val="nil"/>
              <w:bottom w:val="single" w:sz="8" w:space="0" w:color="auto"/>
              <w:right w:val="single" w:sz="8" w:space="0" w:color="auto"/>
            </w:tcBorders>
            <w:shd w:val="clear" w:color="auto" w:fill="auto"/>
            <w:vAlign w:val="center"/>
            <w:hideMark/>
          </w:tcPr>
          <w:p w14:paraId="2A2EBE2E" w14:textId="77777777" w:rsidR="00FA5543" w:rsidRPr="00F66162" w:rsidRDefault="00FA5543" w:rsidP="00390489">
            <w:pPr>
              <w:spacing w:before="0" w:after="0"/>
              <w:jc w:val="right"/>
              <w:rPr>
                <w:noProof/>
                <w:color w:val="000000"/>
                <w:sz w:val="20"/>
                <w:szCs w:val="20"/>
              </w:rPr>
            </w:pPr>
            <w:r w:rsidRPr="00F66162">
              <w:rPr>
                <w:noProof/>
                <w:color w:val="000000"/>
                <w:sz w:val="20"/>
              </w:rPr>
              <w:t xml:space="preserve"> </w:t>
            </w:r>
          </w:p>
        </w:tc>
        <w:tc>
          <w:tcPr>
            <w:tcW w:w="496" w:type="pct"/>
            <w:gridSpan w:val="3"/>
            <w:tcBorders>
              <w:top w:val="nil"/>
              <w:left w:val="nil"/>
              <w:bottom w:val="single" w:sz="8" w:space="0" w:color="auto"/>
              <w:right w:val="single" w:sz="8" w:space="0" w:color="auto"/>
            </w:tcBorders>
            <w:shd w:val="clear" w:color="auto" w:fill="auto"/>
            <w:vAlign w:val="center"/>
            <w:hideMark/>
          </w:tcPr>
          <w:p w14:paraId="5E42C2E6" w14:textId="77777777" w:rsidR="00FA5543" w:rsidRPr="00F66162" w:rsidRDefault="00FA5543" w:rsidP="00390489">
            <w:pPr>
              <w:spacing w:before="0" w:after="0"/>
              <w:jc w:val="right"/>
              <w:rPr>
                <w:noProof/>
                <w:color w:val="000000"/>
                <w:sz w:val="20"/>
                <w:szCs w:val="20"/>
              </w:rPr>
            </w:pPr>
            <w:r w:rsidRPr="00F66162">
              <w:rPr>
                <w:noProof/>
                <w:color w:val="000000"/>
                <w:sz w:val="20"/>
              </w:rPr>
              <w:t xml:space="preserve"> </w:t>
            </w:r>
          </w:p>
        </w:tc>
        <w:tc>
          <w:tcPr>
            <w:tcW w:w="496" w:type="pct"/>
            <w:gridSpan w:val="3"/>
            <w:tcBorders>
              <w:top w:val="nil"/>
              <w:left w:val="nil"/>
              <w:bottom w:val="single" w:sz="8" w:space="0" w:color="auto"/>
              <w:right w:val="single" w:sz="8" w:space="0" w:color="auto"/>
            </w:tcBorders>
            <w:shd w:val="clear" w:color="auto" w:fill="auto"/>
            <w:vAlign w:val="center"/>
            <w:hideMark/>
          </w:tcPr>
          <w:p w14:paraId="423BE9BD" w14:textId="77777777" w:rsidR="00FA5543" w:rsidRPr="00F66162" w:rsidRDefault="00FA5543" w:rsidP="00390489">
            <w:pPr>
              <w:spacing w:before="0" w:after="0"/>
              <w:jc w:val="right"/>
              <w:rPr>
                <w:noProof/>
                <w:color w:val="000000"/>
                <w:sz w:val="20"/>
                <w:szCs w:val="20"/>
              </w:rPr>
            </w:pPr>
            <w:r w:rsidRPr="00F66162">
              <w:rPr>
                <w:noProof/>
                <w:color w:val="000000"/>
                <w:sz w:val="20"/>
              </w:rPr>
              <w:t xml:space="preserve"> </w:t>
            </w:r>
          </w:p>
        </w:tc>
        <w:tc>
          <w:tcPr>
            <w:tcW w:w="478" w:type="pct"/>
            <w:gridSpan w:val="3"/>
            <w:tcBorders>
              <w:top w:val="nil"/>
              <w:left w:val="nil"/>
              <w:bottom w:val="single" w:sz="8" w:space="0" w:color="auto"/>
              <w:right w:val="single" w:sz="8" w:space="0" w:color="auto"/>
            </w:tcBorders>
            <w:shd w:val="clear" w:color="auto" w:fill="auto"/>
            <w:vAlign w:val="center"/>
            <w:hideMark/>
          </w:tcPr>
          <w:p w14:paraId="0F82DEFD" w14:textId="77777777" w:rsidR="00FA5543" w:rsidRPr="00F66162" w:rsidRDefault="00FA5543" w:rsidP="00390489">
            <w:pPr>
              <w:spacing w:before="0" w:after="0"/>
              <w:jc w:val="right"/>
              <w:rPr>
                <w:noProof/>
                <w:color w:val="000000"/>
                <w:sz w:val="20"/>
                <w:szCs w:val="20"/>
              </w:rPr>
            </w:pPr>
            <w:r w:rsidRPr="00F66162">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2AB155E5"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0,000</w:t>
            </w:r>
          </w:p>
        </w:tc>
      </w:tr>
      <w:tr w:rsidR="00FA5543" w:rsidRPr="00F66162" w14:paraId="0583469F" w14:textId="77777777" w:rsidTr="139DF8FE">
        <w:trPr>
          <w:trHeight w:val="288"/>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8FB799" w14:textId="77777777" w:rsidR="00FA5543" w:rsidRPr="00F66162" w:rsidRDefault="00FA5543" w:rsidP="00390489">
            <w:pPr>
              <w:spacing w:before="0" w:after="0"/>
              <w:jc w:val="left"/>
              <w:rPr>
                <w:noProof/>
                <w:color w:val="000000"/>
                <w:sz w:val="22"/>
              </w:rPr>
            </w:pPr>
            <w:r w:rsidRPr="00F66162">
              <w:rPr>
                <w:noProof/>
                <w:color w:val="000000"/>
                <w:sz w:val="22"/>
              </w:rPr>
              <w:t>Środki administracyjne finansowane ze środków przydzielonych na określone programy</w:t>
            </w:r>
            <w:r w:rsidRPr="00F66162">
              <w:rPr>
                <w:rStyle w:val="Odwoanieprzypisudolnego"/>
                <w:noProof/>
                <w:color w:val="000000"/>
                <w:sz w:val="22"/>
                <w:lang w:eastAsia="en-IE"/>
              </w:rPr>
              <w:footnoteReference w:id="24"/>
            </w:r>
          </w:p>
        </w:tc>
      </w:tr>
      <w:tr w:rsidR="00FA5543" w:rsidRPr="00F66162" w14:paraId="5E5E9E08" w14:textId="77777777" w:rsidTr="139DF8FE">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14:paraId="1838F3AB" w14:textId="77777777" w:rsidR="00FA5543" w:rsidRPr="00F66162" w:rsidRDefault="00FA5543" w:rsidP="00390489">
            <w:pPr>
              <w:spacing w:before="0" w:after="0"/>
              <w:rPr>
                <w:noProof/>
                <w:color w:val="000000"/>
                <w:sz w:val="20"/>
                <w:szCs w:val="20"/>
              </w:rPr>
            </w:pPr>
            <w:r w:rsidRPr="00F66162">
              <w:rPr>
                <w:noProof/>
                <w:color w:val="000000"/>
                <w:sz w:val="20"/>
              </w:rPr>
              <w:t>Linia budżetowa</w:t>
            </w:r>
          </w:p>
        </w:tc>
        <w:tc>
          <w:tcPr>
            <w:tcW w:w="529" w:type="pct"/>
            <w:gridSpan w:val="3"/>
            <w:tcBorders>
              <w:top w:val="nil"/>
              <w:left w:val="nil"/>
              <w:bottom w:val="single" w:sz="8" w:space="0" w:color="auto"/>
              <w:right w:val="single" w:sz="8" w:space="0" w:color="auto"/>
            </w:tcBorders>
            <w:shd w:val="clear" w:color="auto" w:fill="auto"/>
            <w:vAlign w:val="center"/>
            <w:hideMark/>
          </w:tcPr>
          <w:p w14:paraId="5BE8998C" w14:textId="77777777" w:rsidR="00FA5543" w:rsidRPr="00F66162" w:rsidRDefault="00FA5543" w:rsidP="00390489">
            <w:pPr>
              <w:spacing w:before="0" w:after="0"/>
              <w:jc w:val="right"/>
              <w:rPr>
                <w:noProof/>
                <w:color w:val="000000"/>
                <w:sz w:val="18"/>
                <w:szCs w:val="18"/>
              </w:rPr>
            </w:pPr>
            <w:r w:rsidRPr="00F66162">
              <w:rPr>
                <w:noProof/>
                <w:color w:val="000000"/>
                <w:sz w:val="18"/>
              </w:rPr>
              <w:t xml:space="preserve"> </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05577311" w14:textId="77777777" w:rsidR="00FA5543" w:rsidRPr="00F66162" w:rsidRDefault="00FA5543" w:rsidP="00390489">
            <w:pPr>
              <w:spacing w:before="0" w:after="0"/>
              <w:jc w:val="center"/>
              <w:rPr>
                <w:noProof/>
                <w:color w:val="000000"/>
                <w:sz w:val="14"/>
                <w:szCs w:val="14"/>
              </w:rPr>
            </w:pPr>
            <w:r w:rsidRPr="00F66162">
              <w:rPr>
                <w:noProof/>
                <w:color w:val="000000"/>
                <w:sz w:val="14"/>
              </w:rPr>
              <w:t>(3)</w:t>
            </w:r>
          </w:p>
        </w:tc>
        <w:tc>
          <w:tcPr>
            <w:tcW w:w="496" w:type="pct"/>
            <w:gridSpan w:val="3"/>
            <w:tcBorders>
              <w:top w:val="nil"/>
              <w:left w:val="nil"/>
              <w:bottom w:val="single" w:sz="8" w:space="0" w:color="auto"/>
              <w:right w:val="single" w:sz="8" w:space="0" w:color="auto"/>
            </w:tcBorders>
            <w:shd w:val="clear" w:color="auto" w:fill="auto"/>
            <w:vAlign w:val="center"/>
            <w:hideMark/>
          </w:tcPr>
          <w:p w14:paraId="06E6198A"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 xml:space="preserve"> </w:t>
            </w:r>
          </w:p>
        </w:tc>
        <w:tc>
          <w:tcPr>
            <w:tcW w:w="496" w:type="pct"/>
            <w:gridSpan w:val="3"/>
            <w:tcBorders>
              <w:top w:val="nil"/>
              <w:left w:val="nil"/>
              <w:bottom w:val="single" w:sz="8" w:space="0" w:color="auto"/>
              <w:right w:val="single" w:sz="8" w:space="0" w:color="auto"/>
            </w:tcBorders>
            <w:shd w:val="clear" w:color="auto" w:fill="auto"/>
            <w:vAlign w:val="center"/>
            <w:hideMark/>
          </w:tcPr>
          <w:p w14:paraId="446E65C0"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 xml:space="preserve"> </w:t>
            </w:r>
          </w:p>
        </w:tc>
        <w:tc>
          <w:tcPr>
            <w:tcW w:w="496" w:type="pct"/>
            <w:gridSpan w:val="3"/>
            <w:tcBorders>
              <w:top w:val="nil"/>
              <w:left w:val="nil"/>
              <w:bottom w:val="single" w:sz="8" w:space="0" w:color="auto"/>
              <w:right w:val="single" w:sz="8" w:space="0" w:color="auto"/>
            </w:tcBorders>
            <w:shd w:val="clear" w:color="auto" w:fill="auto"/>
            <w:vAlign w:val="center"/>
            <w:hideMark/>
          </w:tcPr>
          <w:p w14:paraId="5A424D71"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 xml:space="preserve"> </w:t>
            </w:r>
          </w:p>
        </w:tc>
        <w:tc>
          <w:tcPr>
            <w:tcW w:w="478" w:type="pct"/>
            <w:gridSpan w:val="3"/>
            <w:tcBorders>
              <w:top w:val="nil"/>
              <w:left w:val="nil"/>
              <w:bottom w:val="single" w:sz="8" w:space="0" w:color="auto"/>
              <w:right w:val="single" w:sz="8" w:space="0" w:color="auto"/>
            </w:tcBorders>
            <w:shd w:val="clear" w:color="auto" w:fill="auto"/>
            <w:vAlign w:val="center"/>
            <w:hideMark/>
          </w:tcPr>
          <w:p w14:paraId="3CA1C7F6"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2580EF07"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0,000</w:t>
            </w:r>
          </w:p>
        </w:tc>
      </w:tr>
      <w:tr w:rsidR="00FA5543" w:rsidRPr="00F66162" w14:paraId="376F72CA" w14:textId="77777777" w:rsidTr="139DF8FE">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14:paraId="6EE1857A" w14:textId="77777777" w:rsidR="00FA5543" w:rsidRPr="00F66162" w:rsidRDefault="00FA5543" w:rsidP="00390489">
            <w:pPr>
              <w:spacing w:before="0" w:after="0"/>
              <w:jc w:val="center"/>
              <w:rPr>
                <w:b/>
                <w:bCs/>
                <w:noProof/>
                <w:color w:val="000000"/>
                <w:sz w:val="22"/>
              </w:rPr>
            </w:pPr>
            <w:r w:rsidRPr="00F66162">
              <w:rPr>
                <w:b/>
                <w:noProof/>
                <w:color w:val="000000"/>
                <w:sz w:val="22"/>
              </w:rPr>
              <w:t>OGÓŁEM środki</w:t>
            </w:r>
          </w:p>
          <w:p w14:paraId="5CCA7ABA" w14:textId="77777777" w:rsidR="00FA5543" w:rsidRPr="00F66162" w:rsidRDefault="6C3AF1E0" w:rsidP="139DF8FE">
            <w:pPr>
              <w:spacing w:before="0" w:after="0"/>
              <w:jc w:val="center"/>
              <w:rPr>
                <w:b/>
                <w:bCs/>
                <w:noProof/>
                <w:color w:val="000000"/>
                <w:sz w:val="22"/>
              </w:rPr>
            </w:pPr>
            <w:r w:rsidRPr="00F66162">
              <w:rPr>
                <w:b/>
                <w:noProof/>
                <w:color w:val="000000" w:themeColor="text1"/>
                <w:sz w:val="22"/>
              </w:rPr>
              <w:t>dla DG TAXUD</w:t>
            </w:r>
          </w:p>
        </w:tc>
        <w:tc>
          <w:tcPr>
            <w:tcW w:w="529" w:type="pct"/>
            <w:gridSpan w:val="3"/>
            <w:tcBorders>
              <w:top w:val="nil"/>
              <w:left w:val="nil"/>
              <w:bottom w:val="single" w:sz="8" w:space="0" w:color="auto"/>
              <w:right w:val="single" w:sz="8" w:space="0" w:color="auto"/>
            </w:tcBorders>
            <w:shd w:val="clear" w:color="auto" w:fill="auto"/>
            <w:vAlign w:val="center"/>
            <w:hideMark/>
          </w:tcPr>
          <w:p w14:paraId="5ED31081"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622D0405" w14:textId="77777777" w:rsidR="00FA5543" w:rsidRPr="00F66162" w:rsidRDefault="00FA5543" w:rsidP="00390489">
            <w:pPr>
              <w:spacing w:before="0" w:after="0"/>
              <w:jc w:val="center"/>
              <w:rPr>
                <w:noProof/>
                <w:color w:val="000000"/>
                <w:sz w:val="14"/>
                <w:szCs w:val="14"/>
              </w:rPr>
            </w:pPr>
            <w:r w:rsidRPr="00F66162">
              <w:rPr>
                <w:noProof/>
                <w:color w:val="000000"/>
                <w:sz w:val="14"/>
              </w:rPr>
              <w:t>=1a+1b+3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40027E1" w14:textId="77777777" w:rsidR="00FA5543" w:rsidRPr="00F66162" w:rsidRDefault="6C2980B8" w:rsidP="00390489">
            <w:pPr>
              <w:spacing w:before="0" w:after="0"/>
              <w:jc w:val="right"/>
              <w:rPr>
                <w:b/>
                <w:bCs/>
                <w:noProof/>
                <w:color w:val="000000"/>
                <w:sz w:val="20"/>
                <w:szCs w:val="20"/>
              </w:rPr>
            </w:pPr>
            <w:r w:rsidRPr="00F66162">
              <w:rPr>
                <w:b/>
                <w:noProof/>
                <w:color w:val="000000" w:themeColor="text1"/>
                <w:sz w:val="20"/>
              </w:rPr>
              <w:t>28,090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506CA70" w14:textId="77777777" w:rsidR="00FA5543" w:rsidRPr="00F66162" w:rsidRDefault="6C2980B8" w:rsidP="00390489">
            <w:pPr>
              <w:spacing w:before="0" w:after="0"/>
              <w:jc w:val="right"/>
              <w:rPr>
                <w:b/>
                <w:bCs/>
                <w:noProof/>
                <w:color w:val="000000"/>
                <w:sz w:val="20"/>
                <w:szCs w:val="20"/>
              </w:rPr>
            </w:pPr>
            <w:r w:rsidRPr="00F66162">
              <w:rPr>
                <w:b/>
                <w:noProof/>
                <w:color w:val="000000" w:themeColor="text1"/>
                <w:sz w:val="20"/>
              </w:rPr>
              <w:t>34,750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0911383" w14:textId="77777777" w:rsidR="00FA5543" w:rsidRPr="00F66162" w:rsidRDefault="6C2980B8" w:rsidP="00390489">
            <w:pPr>
              <w:spacing w:before="0" w:after="0"/>
              <w:jc w:val="right"/>
              <w:rPr>
                <w:b/>
                <w:bCs/>
                <w:noProof/>
                <w:color w:val="000000"/>
                <w:sz w:val="20"/>
                <w:szCs w:val="20"/>
              </w:rPr>
            </w:pPr>
            <w:r w:rsidRPr="00F66162">
              <w:rPr>
                <w:b/>
                <w:noProof/>
                <w:color w:val="000000" w:themeColor="text1"/>
                <w:sz w:val="20"/>
              </w:rPr>
              <w:t>33,700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8A666D9" w14:textId="77777777" w:rsidR="00FA5543" w:rsidRPr="00F66162" w:rsidRDefault="6C2980B8" w:rsidP="00390489">
            <w:pPr>
              <w:spacing w:before="0" w:after="0"/>
              <w:jc w:val="right"/>
              <w:rPr>
                <w:b/>
                <w:bCs/>
                <w:noProof/>
                <w:color w:val="000000"/>
                <w:sz w:val="20"/>
                <w:szCs w:val="20"/>
              </w:rPr>
            </w:pPr>
            <w:r w:rsidRPr="00F66162">
              <w:rPr>
                <w:b/>
                <w:noProof/>
                <w:color w:val="000000" w:themeColor="text1"/>
                <w:sz w:val="20"/>
              </w:rPr>
              <w:t>30,150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32C48001" w14:textId="77777777" w:rsidR="00FA5543" w:rsidRPr="00F66162" w:rsidRDefault="6C2980B8" w:rsidP="00390489">
            <w:pPr>
              <w:spacing w:before="0" w:after="0"/>
              <w:jc w:val="right"/>
              <w:rPr>
                <w:b/>
                <w:bCs/>
                <w:noProof/>
                <w:color w:val="000000"/>
                <w:sz w:val="20"/>
                <w:szCs w:val="20"/>
              </w:rPr>
            </w:pPr>
            <w:r w:rsidRPr="00F66162">
              <w:rPr>
                <w:b/>
                <w:noProof/>
                <w:color w:val="000000" w:themeColor="text1"/>
                <w:sz w:val="20"/>
              </w:rPr>
              <w:t>126,690</w:t>
            </w:r>
          </w:p>
        </w:tc>
      </w:tr>
      <w:tr w:rsidR="00FA5543" w:rsidRPr="00F66162" w14:paraId="1E3AD4F8" w14:textId="77777777" w:rsidTr="139DF8FE">
        <w:trPr>
          <w:trHeight w:val="288"/>
        </w:trPr>
        <w:tc>
          <w:tcPr>
            <w:tcW w:w="1419" w:type="pct"/>
            <w:gridSpan w:val="2"/>
            <w:vMerge/>
            <w:vAlign w:val="center"/>
            <w:hideMark/>
          </w:tcPr>
          <w:p w14:paraId="499393B6" w14:textId="77777777" w:rsidR="00FA5543" w:rsidRPr="00F66162" w:rsidRDefault="00FA5543" w:rsidP="00390489">
            <w:pPr>
              <w:spacing w:before="0" w:after="0"/>
              <w:jc w:val="center"/>
              <w:rPr>
                <w:b/>
                <w:bCs/>
                <w:noProof/>
                <w:color w:val="000000"/>
                <w:sz w:val="22"/>
                <w:lang w:eastAsia="en-IE"/>
              </w:rPr>
            </w:pPr>
          </w:p>
        </w:tc>
        <w:tc>
          <w:tcPr>
            <w:tcW w:w="529" w:type="pct"/>
            <w:gridSpan w:val="3"/>
            <w:tcBorders>
              <w:top w:val="nil"/>
              <w:left w:val="single" w:sz="8" w:space="0" w:color="auto"/>
              <w:bottom w:val="single" w:sz="8" w:space="0" w:color="auto"/>
              <w:right w:val="single" w:sz="8" w:space="0" w:color="auto"/>
            </w:tcBorders>
            <w:shd w:val="clear" w:color="auto" w:fill="auto"/>
            <w:vAlign w:val="center"/>
            <w:hideMark/>
          </w:tcPr>
          <w:p w14:paraId="3D968F46"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54034852" w14:textId="77777777" w:rsidR="00FA5543" w:rsidRPr="00F66162" w:rsidRDefault="00FA5543" w:rsidP="00390489">
            <w:pPr>
              <w:spacing w:before="0" w:after="0"/>
              <w:jc w:val="center"/>
              <w:rPr>
                <w:noProof/>
                <w:color w:val="000000"/>
                <w:sz w:val="14"/>
                <w:szCs w:val="14"/>
              </w:rPr>
            </w:pPr>
            <w:r w:rsidRPr="00F66162">
              <w:rPr>
                <w:noProof/>
                <w:color w:val="000000"/>
                <w:sz w:val="14"/>
              </w:rPr>
              <w:t>=2 a+2b+3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CFA4E1A" w14:textId="77777777" w:rsidR="00FA5543" w:rsidRPr="00F66162" w:rsidRDefault="0532A5AF" w:rsidP="00390489">
            <w:pPr>
              <w:spacing w:before="0" w:after="0"/>
              <w:jc w:val="right"/>
              <w:rPr>
                <w:b/>
                <w:bCs/>
                <w:noProof/>
                <w:color w:val="000000"/>
                <w:sz w:val="20"/>
                <w:szCs w:val="20"/>
              </w:rPr>
            </w:pPr>
            <w:r w:rsidRPr="00F66162">
              <w:rPr>
                <w:b/>
                <w:noProof/>
                <w:color w:val="000000" w:themeColor="text1"/>
                <w:sz w:val="20"/>
              </w:rPr>
              <w:t>17,530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9930CE4" w14:textId="77777777" w:rsidR="00FA5543" w:rsidRPr="00F66162" w:rsidRDefault="0532A5AF" w:rsidP="00390489">
            <w:pPr>
              <w:spacing w:before="0" w:after="0"/>
              <w:jc w:val="right"/>
              <w:rPr>
                <w:b/>
                <w:bCs/>
                <w:noProof/>
                <w:color w:val="000000"/>
                <w:sz w:val="20"/>
                <w:szCs w:val="20"/>
              </w:rPr>
            </w:pPr>
            <w:r w:rsidRPr="00F66162">
              <w:rPr>
                <w:b/>
                <w:noProof/>
                <w:color w:val="000000" w:themeColor="text1"/>
                <w:sz w:val="20"/>
              </w:rPr>
              <w:t>21,157</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96271AD" w14:textId="77777777" w:rsidR="00FA5543" w:rsidRPr="00F66162" w:rsidRDefault="0532A5AF" w:rsidP="00390489">
            <w:pPr>
              <w:spacing w:before="0" w:after="0"/>
              <w:jc w:val="right"/>
              <w:rPr>
                <w:b/>
                <w:bCs/>
                <w:noProof/>
                <w:color w:val="000000"/>
                <w:sz w:val="20"/>
                <w:szCs w:val="20"/>
              </w:rPr>
            </w:pPr>
            <w:r w:rsidRPr="00F66162">
              <w:rPr>
                <w:b/>
                <w:noProof/>
                <w:color w:val="000000" w:themeColor="text1"/>
                <w:sz w:val="20"/>
              </w:rPr>
              <w:t>32,090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0AFD470" w14:textId="77777777" w:rsidR="00FA5543" w:rsidRPr="00F66162" w:rsidRDefault="0532A5AF" w:rsidP="00390489">
            <w:pPr>
              <w:spacing w:before="0" w:after="0"/>
              <w:jc w:val="right"/>
              <w:rPr>
                <w:b/>
                <w:bCs/>
                <w:noProof/>
                <w:color w:val="000000"/>
                <w:sz w:val="20"/>
                <w:szCs w:val="20"/>
              </w:rPr>
            </w:pPr>
            <w:r w:rsidRPr="00F66162">
              <w:rPr>
                <w:b/>
                <w:noProof/>
                <w:color w:val="000000" w:themeColor="text1"/>
                <w:sz w:val="20"/>
              </w:rPr>
              <w:t>33,067</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34759751" w14:textId="77777777" w:rsidR="00FA5543" w:rsidRPr="00F66162" w:rsidRDefault="0532A5AF" w:rsidP="00390489">
            <w:pPr>
              <w:spacing w:before="0" w:after="0"/>
              <w:jc w:val="right"/>
              <w:rPr>
                <w:b/>
                <w:bCs/>
                <w:noProof/>
                <w:color w:val="000000"/>
                <w:sz w:val="20"/>
                <w:szCs w:val="20"/>
              </w:rPr>
            </w:pPr>
            <w:r w:rsidRPr="00F66162">
              <w:rPr>
                <w:b/>
                <w:noProof/>
                <w:color w:val="000000" w:themeColor="text1"/>
                <w:sz w:val="20"/>
              </w:rPr>
              <w:t>103,844</w:t>
            </w:r>
          </w:p>
        </w:tc>
      </w:tr>
      <w:tr w:rsidR="00FA5543" w:rsidRPr="00F66162" w14:paraId="1CCF2E5F" w14:textId="77777777" w:rsidTr="139DF8FE">
        <w:trPr>
          <w:trHeight w:val="300"/>
        </w:trPr>
        <w:tc>
          <w:tcPr>
            <w:tcW w:w="2432" w:type="pct"/>
            <w:gridSpan w:val="8"/>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52090011" w14:textId="77777777" w:rsidR="00FA5543" w:rsidRPr="00F66162" w:rsidRDefault="00FA5543" w:rsidP="00390489">
            <w:pPr>
              <w:spacing w:before="0" w:after="0"/>
              <w:jc w:val="center"/>
              <w:rPr>
                <w:b/>
                <w:bCs/>
                <w:noProof/>
                <w:color w:val="000000"/>
                <w:sz w:val="22"/>
              </w:rPr>
            </w:pPr>
            <w:r w:rsidRPr="00F66162">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3E545B13"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4536CC02"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623D35FA"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614C9C13"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596"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30C6017"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OGÓŁEM WRF 2021–2027</w:t>
            </w:r>
          </w:p>
        </w:tc>
      </w:tr>
      <w:tr w:rsidR="00FA5543" w:rsidRPr="00F66162" w14:paraId="4158D247" w14:textId="77777777" w:rsidTr="139DF8FE">
        <w:trPr>
          <w:trHeight w:val="300"/>
        </w:trPr>
        <w:tc>
          <w:tcPr>
            <w:tcW w:w="2432" w:type="pct"/>
            <w:gridSpan w:val="8"/>
            <w:vMerge/>
            <w:vAlign w:val="center"/>
            <w:hideMark/>
          </w:tcPr>
          <w:p w14:paraId="5332A816" w14:textId="77777777" w:rsidR="00FA5543" w:rsidRPr="00F66162" w:rsidRDefault="00FA5543" w:rsidP="00390489">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14:paraId="596728F6"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14:paraId="659B3E74"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493" w:type="pct"/>
            <w:gridSpan w:val="3"/>
            <w:tcBorders>
              <w:top w:val="nil"/>
              <w:left w:val="nil"/>
              <w:bottom w:val="single" w:sz="8" w:space="0" w:color="auto"/>
              <w:right w:val="single" w:sz="8" w:space="0" w:color="auto"/>
            </w:tcBorders>
            <w:shd w:val="clear" w:color="auto" w:fill="auto"/>
            <w:vAlign w:val="center"/>
            <w:hideMark/>
          </w:tcPr>
          <w:p w14:paraId="0FB7E739"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493" w:type="pct"/>
            <w:gridSpan w:val="3"/>
            <w:tcBorders>
              <w:top w:val="nil"/>
              <w:left w:val="nil"/>
              <w:bottom w:val="single" w:sz="8" w:space="0" w:color="auto"/>
              <w:right w:val="single" w:sz="8" w:space="0" w:color="auto"/>
            </w:tcBorders>
            <w:shd w:val="clear" w:color="auto" w:fill="auto"/>
            <w:vAlign w:val="center"/>
            <w:hideMark/>
          </w:tcPr>
          <w:p w14:paraId="1D2E2B95"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c>
          <w:tcPr>
            <w:tcW w:w="596" w:type="pct"/>
            <w:gridSpan w:val="3"/>
            <w:vMerge/>
            <w:vAlign w:val="center"/>
            <w:hideMark/>
          </w:tcPr>
          <w:p w14:paraId="0F4ABD9C" w14:textId="77777777" w:rsidR="00FA5543" w:rsidRPr="00F66162" w:rsidRDefault="00FA5543" w:rsidP="00390489">
            <w:pPr>
              <w:spacing w:before="0" w:after="0"/>
              <w:jc w:val="left"/>
              <w:rPr>
                <w:b/>
                <w:bCs/>
                <w:noProof/>
                <w:color w:val="000000"/>
                <w:sz w:val="20"/>
                <w:szCs w:val="20"/>
                <w:lang w:eastAsia="en-IE"/>
              </w:rPr>
            </w:pPr>
          </w:p>
        </w:tc>
      </w:tr>
      <w:tr w:rsidR="00FA5543" w:rsidRPr="00F66162" w14:paraId="39156E00" w14:textId="77777777" w:rsidTr="139DF8FE">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14:paraId="0787C803" w14:textId="14A07712" w:rsidR="00FA5543" w:rsidRPr="00F66162" w:rsidRDefault="00FA5543" w:rsidP="00390489">
            <w:pPr>
              <w:spacing w:before="0" w:after="0"/>
              <w:rPr>
                <w:noProof/>
                <w:color w:val="000000"/>
                <w:sz w:val="21"/>
                <w:szCs w:val="21"/>
              </w:rPr>
            </w:pPr>
            <w:r w:rsidRPr="00F66162">
              <w:rPr>
                <w:noProof/>
                <w:color w:val="000000"/>
                <w:sz w:val="21"/>
              </w:rPr>
              <w:lastRenderedPageBreak/>
              <w:t>OGÓŁEM środki operacyjne</w:t>
            </w:r>
            <w:r w:rsidRPr="00F66162">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14:paraId="7F10C2E0"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4110F686" w14:textId="77777777" w:rsidR="00FA5543" w:rsidRPr="00F66162" w:rsidRDefault="00FA5543" w:rsidP="00390489">
            <w:pPr>
              <w:spacing w:before="0" w:after="0"/>
              <w:jc w:val="center"/>
              <w:rPr>
                <w:noProof/>
                <w:color w:val="000000"/>
                <w:sz w:val="14"/>
                <w:szCs w:val="14"/>
              </w:rPr>
            </w:pPr>
            <w:r w:rsidRPr="00F66162">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2CE42EE" w14:textId="77777777" w:rsidR="00FA5543" w:rsidRPr="00F66162" w:rsidRDefault="4D0EB05B" w:rsidP="00390489">
            <w:pPr>
              <w:spacing w:before="0" w:after="0"/>
              <w:jc w:val="right"/>
              <w:rPr>
                <w:noProof/>
                <w:color w:val="000000"/>
                <w:sz w:val="20"/>
                <w:szCs w:val="20"/>
              </w:rPr>
            </w:pPr>
            <w:r w:rsidRPr="00F66162">
              <w:rPr>
                <w:noProof/>
                <w:color w:val="000000" w:themeColor="text1"/>
                <w:sz w:val="20"/>
              </w:rPr>
              <w:t>28,090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DEA6C8A" w14:textId="77777777" w:rsidR="00FA5543" w:rsidRPr="00F66162" w:rsidRDefault="4D0EB05B" w:rsidP="00390489">
            <w:pPr>
              <w:spacing w:before="0" w:after="0"/>
              <w:jc w:val="right"/>
              <w:rPr>
                <w:noProof/>
                <w:color w:val="000000"/>
                <w:sz w:val="20"/>
                <w:szCs w:val="20"/>
              </w:rPr>
            </w:pPr>
            <w:r w:rsidRPr="00F66162">
              <w:rPr>
                <w:noProof/>
                <w:color w:val="000000" w:themeColor="text1"/>
                <w:sz w:val="20"/>
              </w:rPr>
              <w:t>34,750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552E04C" w14:textId="77777777" w:rsidR="00FA5543" w:rsidRPr="00F66162" w:rsidRDefault="4D0EB05B" w:rsidP="00390489">
            <w:pPr>
              <w:spacing w:before="0" w:after="0"/>
              <w:jc w:val="right"/>
              <w:rPr>
                <w:noProof/>
                <w:color w:val="000000"/>
                <w:sz w:val="20"/>
                <w:szCs w:val="20"/>
              </w:rPr>
            </w:pPr>
            <w:r w:rsidRPr="00F66162">
              <w:rPr>
                <w:noProof/>
                <w:color w:val="000000" w:themeColor="text1"/>
                <w:sz w:val="20"/>
              </w:rPr>
              <w:t>33,700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7738851" w14:textId="77777777" w:rsidR="00FA5543" w:rsidRPr="00F66162" w:rsidRDefault="4D0EB05B" w:rsidP="00390489">
            <w:pPr>
              <w:spacing w:before="0" w:after="0"/>
              <w:jc w:val="right"/>
              <w:rPr>
                <w:noProof/>
                <w:color w:val="000000"/>
                <w:sz w:val="20"/>
                <w:szCs w:val="20"/>
              </w:rPr>
            </w:pPr>
            <w:r w:rsidRPr="00F66162">
              <w:rPr>
                <w:noProof/>
                <w:color w:val="000000" w:themeColor="text1"/>
                <w:sz w:val="20"/>
              </w:rPr>
              <w:t>30,150</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6417AEC" w14:textId="77777777" w:rsidR="00FA5543" w:rsidRPr="00F66162" w:rsidRDefault="4D0EB05B" w:rsidP="00390489">
            <w:pPr>
              <w:spacing w:before="0" w:after="0"/>
              <w:jc w:val="right"/>
              <w:rPr>
                <w:b/>
                <w:bCs/>
                <w:noProof/>
                <w:color w:val="000000"/>
                <w:sz w:val="20"/>
                <w:szCs w:val="20"/>
              </w:rPr>
            </w:pPr>
            <w:r w:rsidRPr="00F66162">
              <w:rPr>
                <w:b/>
                <w:noProof/>
                <w:color w:val="000000" w:themeColor="text1"/>
                <w:sz w:val="20"/>
              </w:rPr>
              <w:t>126,690</w:t>
            </w:r>
          </w:p>
        </w:tc>
      </w:tr>
      <w:tr w:rsidR="00FA5543" w:rsidRPr="00F66162" w14:paraId="1DECDA81" w14:textId="77777777" w:rsidTr="139DF8FE">
        <w:trPr>
          <w:trHeight w:val="456"/>
        </w:trPr>
        <w:tc>
          <w:tcPr>
            <w:tcW w:w="1411" w:type="pct"/>
            <w:vMerge/>
            <w:vAlign w:val="center"/>
            <w:hideMark/>
          </w:tcPr>
          <w:p w14:paraId="0629CDAC" w14:textId="77777777" w:rsidR="00FA5543" w:rsidRPr="00F66162" w:rsidRDefault="00FA5543" w:rsidP="00390489">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0CC3E088"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518978DA" w14:textId="77777777" w:rsidR="00FA5543" w:rsidRPr="00F66162" w:rsidRDefault="00FA5543" w:rsidP="00390489">
            <w:pPr>
              <w:spacing w:before="0" w:after="0"/>
              <w:jc w:val="center"/>
              <w:rPr>
                <w:noProof/>
                <w:color w:val="000000"/>
                <w:sz w:val="14"/>
                <w:szCs w:val="14"/>
              </w:rPr>
            </w:pPr>
            <w:r w:rsidRPr="00F66162">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1EE2CEC" w14:textId="77777777" w:rsidR="00FA5543" w:rsidRPr="00F66162" w:rsidRDefault="2A8C1738" w:rsidP="00390489">
            <w:pPr>
              <w:spacing w:before="0" w:after="0"/>
              <w:jc w:val="right"/>
              <w:rPr>
                <w:noProof/>
                <w:color w:val="000000"/>
                <w:sz w:val="20"/>
                <w:szCs w:val="20"/>
              </w:rPr>
            </w:pPr>
            <w:r w:rsidRPr="00F66162">
              <w:rPr>
                <w:noProof/>
                <w:color w:val="000000" w:themeColor="text1"/>
                <w:sz w:val="20"/>
              </w:rPr>
              <w:t>17,530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93E1886" w14:textId="77777777" w:rsidR="00FA5543" w:rsidRPr="00F66162" w:rsidRDefault="2A8C1738" w:rsidP="00390489">
            <w:pPr>
              <w:spacing w:before="0" w:after="0"/>
              <w:jc w:val="right"/>
              <w:rPr>
                <w:noProof/>
                <w:color w:val="000000"/>
                <w:sz w:val="20"/>
                <w:szCs w:val="20"/>
              </w:rPr>
            </w:pPr>
            <w:r w:rsidRPr="00F66162">
              <w:rPr>
                <w:noProof/>
                <w:color w:val="000000" w:themeColor="text1"/>
                <w:sz w:val="20"/>
              </w:rPr>
              <w:t>21,157</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E3FAEC2" w14:textId="77777777" w:rsidR="00FA5543" w:rsidRPr="00F66162" w:rsidRDefault="2A8C1738" w:rsidP="00390489">
            <w:pPr>
              <w:spacing w:before="0" w:after="0"/>
              <w:jc w:val="right"/>
              <w:rPr>
                <w:noProof/>
                <w:color w:val="000000"/>
                <w:sz w:val="20"/>
                <w:szCs w:val="20"/>
              </w:rPr>
            </w:pPr>
            <w:r w:rsidRPr="00F66162">
              <w:rPr>
                <w:noProof/>
                <w:color w:val="000000" w:themeColor="text1"/>
                <w:sz w:val="20"/>
              </w:rPr>
              <w:t>32,090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C203FC4" w14:textId="77777777" w:rsidR="00FA5543" w:rsidRPr="00F66162" w:rsidRDefault="2A8C1738" w:rsidP="00390489">
            <w:pPr>
              <w:spacing w:before="0" w:after="0"/>
              <w:jc w:val="right"/>
              <w:rPr>
                <w:noProof/>
                <w:color w:val="000000"/>
                <w:sz w:val="20"/>
                <w:szCs w:val="20"/>
              </w:rPr>
            </w:pPr>
            <w:r w:rsidRPr="00F66162">
              <w:rPr>
                <w:noProof/>
                <w:color w:val="000000" w:themeColor="text1"/>
                <w:sz w:val="20"/>
              </w:rPr>
              <w:t>33,067</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C3AFC46" w14:textId="77777777" w:rsidR="00FA5543" w:rsidRPr="00F66162" w:rsidRDefault="2A8C1738" w:rsidP="00390489">
            <w:pPr>
              <w:spacing w:before="0" w:after="0"/>
              <w:jc w:val="right"/>
              <w:rPr>
                <w:b/>
                <w:bCs/>
                <w:noProof/>
                <w:color w:val="000000"/>
                <w:sz w:val="20"/>
                <w:szCs w:val="20"/>
              </w:rPr>
            </w:pPr>
            <w:r w:rsidRPr="00F66162">
              <w:rPr>
                <w:b/>
                <w:noProof/>
                <w:color w:val="000000" w:themeColor="text1"/>
                <w:sz w:val="20"/>
              </w:rPr>
              <w:t>103,844</w:t>
            </w:r>
          </w:p>
        </w:tc>
      </w:tr>
      <w:tr w:rsidR="00FA5543" w:rsidRPr="00F66162" w14:paraId="5B4FE479" w14:textId="77777777" w:rsidTr="139DF8FE">
        <w:trPr>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22874EDF" w14:textId="77777777" w:rsidR="00FA5543" w:rsidRPr="00F66162" w:rsidRDefault="00FA5543" w:rsidP="00390489">
            <w:pPr>
              <w:spacing w:before="0" w:after="0"/>
              <w:rPr>
                <w:noProof/>
                <w:color w:val="000000"/>
                <w:sz w:val="21"/>
                <w:szCs w:val="21"/>
              </w:rPr>
            </w:pPr>
            <w:r w:rsidRPr="00F66162">
              <w:rPr>
                <w:noProof/>
                <w:color w:val="000000"/>
                <w:sz w:val="21"/>
              </w:rPr>
              <w:t xml:space="preserve">OGÓŁEM środki administracyjne finansowane ze środków przydzielonych na określone programy </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3BE989D8" w14:textId="77777777" w:rsidR="00FA5543" w:rsidRPr="00F66162" w:rsidRDefault="00FA5543" w:rsidP="00390489">
            <w:pPr>
              <w:spacing w:before="0" w:after="0"/>
              <w:jc w:val="center"/>
              <w:rPr>
                <w:noProof/>
                <w:color w:val="000000"/>
                <w:sz w:val="14"/>
                <w:szCs w:val="14"/>
              </w:rPr>
            </w:pPr>
            <w:r w:rsidRPr="00F66162">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959EC3A"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9C82EDB"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FBA73D4"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EFA77E9"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9D71510"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0,000</w:t>
            </w:r>
          </w:p>
        </w:tc>
      </w:tr>
      <w:tr w:rsidR="00FA5543" w:rsidRPr="00F66162" w14:paraId="29B8EA77" w14:textId="77777777" w:rsidTr="139DF8FE">
        <w:trPr>
          <w:trHeight w:val="564"/>
        </w:trPr>
        <w:tc>
          <w:tcPr>
            <w:tcW w:w="1411" w:type="pct"/>
            <w:tcBorders>
              <w:top w:val="nil"/>
              <w:left w:val="single" w:sz="8" w:space="0" w:color="auto"/>
              <w:bottom w:val="nil"/>
              <w:right w:val="single" w:sz="8" w:space="0" w:color="auto"/>
            </w:tcBorders>
            <w:shd w:val="clear" w:color="auto" w:fill="F1F1F1"/>
            <w:vAlign w:val="center"/>
            <w:hideMark/>
          </w:tcPr>
          <w:p w14:paraId="22FCD1BF" w14:textId="77777777" w:rsidR="00FA5543" w:rsidRPr="00F66162" w:rsidRDefault="6C3AF1E0" w:rsidP="139DF8FE">
            <w:pPr>
              <w:spacing w:before="0" w:after="0"/>
              <w:jc w:val="center"/>
              <w:rPr>
                <w:b/>
                <w:bCs/>
                <w:noProof/>
                <w:color w:val="000000"/>
                <w:sz w:val="22"/>
              </w:rPr>
            </w:pPr>
            <w:r w:rsidRPr="00F66162">
              <w:rPr>
                <w:b/>
                <w:noProof/>
                <w:color w:val="000000" w:themeColor="text1"/>
                <w:sz w:val="22"/>
              </w:rPr>
              <w:t>OGÓŁEM środki na DZIAŁ 3</w:t>
            </w:r>
          </w:p>
        </w:tc>
        <w:tc>
          <w:tcPr>
            <w:tcW w:w="529" w:type="pct"/>
            <w:gridSpan w:val="3"/>
            <w:tcBorders>
              <w:top w:val="nil"/>
              <w:left w:val="nil"/>
              <w:bottom w:val="single" w:sz="8" w:space="0" w:color="auto"/>
              <w:right w:val="single" w:sz="8" w:space="0" w:color="auto"/>
            </w:tcBorders>
            <w:shd w:val="clear" w:color="auto" w:fill="auto"/>
            <w:vAlign w:val="center"/>
            <w:hideMark/>
          </w:tcPr>
          <w:p w14:paraId="5807536B"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2C181134" w14:textId="77777777" w:rsidR="00FA5543" w:rsidRPr="00F66162" w:rsidRDefault="00FA5543" w:rsidP="00390489">
            <w:pPr>
              <w:spacing w:before="0" w:after="0"/>
              <w:jc w:val="center"/>
              <w:rPr>
                <w:noProof/>
                <w:color w:val="000000"/>
                <w:sz w:val="14"/>
                <w:szCs w:val="14"/>
              </w:rPr>
            </w:pPr>
            <w:r w:rsidRPr="00F66162">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258CFDC" w14:textId="77777777" w:rsidR="00FA5543" w:rsidRPr="00F66162" w:rsidRDefault="0865DEA9" w:rsidP="00390489">
            <w:pPr>
              <w:spacing w:before="0" w:after="0"/>
              <w:jc w:val="right"/>
              <w:rPr>
                <w:b/>
                <w:bCs/>
                <w:noProof/>
                <w:color w:val="000000"/>
                <w:sz w:val="20"/>
                <w:szCs w:val="20"/>
              </w:rPr>
            </w:pPr>
            <w:r w:rsidRPr="00F66162">
              <w:rPr>
                <w:b/>
                <w:noProof/>
                <w:color w:val="000000" w:themeColor="text1"/>
                <w:sz w:val="20"/>
              </w:rPr>
              <w:t>28,090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42AE7D7" w14:textId="77777777" w:rsidR="00FA5543" w:rsidRPr="00F66162" w:rsidRDefault="0865DEA9" w:rsidP="00390489">
            <w:pPr>
              <w:spacing w:before="0" w:after="0"/>
              <w:jc w:val="right"/>
              <w:rPr>
                <w:b/>
                <w:bCs/>
                <w:noProof/>
                <w:color w:val="000000"/>
                <w:sz w:val="20"/>
                <w:szCs w:val="20"/>
              </w:rPr>
            </w:pPr>
            <w:r w:rsidRPr="00F66162">
              <w:rPr>
                <w:b/>
                <w:noProof/>
                <w:color w:val="000000" w:themeColor="text1"/>
                <w:sz w:val="20"/>
              </w:rPr>
              <w:t>34,750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D0CF06E" w14:textId="77777777" w:rsidR="00FA5543" w:rsidRPr="00F66162" w:rsidRDefault="0865DEA9" w:rsidP="00390489">
            <w:pPr>
              <w:spacing w:before="0" w:after="0"/>
              <w:jc w:val="right"/>
              <w:rPr>
                <w:b/>
                <w:bCs/>
                <w:noProof/>
                <w:color w:val="000000"/>
                <w:sz w:val="20"/>
                <w:szCs w:val="20"/>
              </w:rPr>
            </w:pPr>
            <w:r w:rsidRPr="00F66162">
              <w:rPr>
                <w:b/>
                <w:noProof/>
                <w:color w:val="000000" w:themeColor="text1"/>
                <w:sz w:val="20"/>
              </w:rPr>
              <w:t>33,700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4709730" w14:textId="77777777" w:rsidR="00FA5543" w:rsidRPr="00F66162" w:rsidRDefault="0865DEA9" w:rsidP="00390489">
            <w:pPr>
              <w:spacing w:before="0" w:after="0"/>
              <w:jc w:val="right"/>
              <w:rPr>
                <w:b/>
                <w:bCs/>
                <w:noProof/>
                <w:color w:val="000000"/>
                <w:sz w:val="20"/>
                <w:szCs w:val="20"/>
              </w:rPr>
            </w:pPr>
            <w:r w:rsidRPr="00F66162">
              <w:rPr>
                <w:b/>
                <w:noProof/>
                <w:color w:val="000000" w:themeColor="text1"/>
                <w:sz w:val="20"/>
              </w:rPr>
              <w:t>30,150</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E64BD23" w14:textId="77777777" w:rsidR="00FA5543" w:rsidRPr="00F66162" w:rsidRDefault="0865DEA9" w:rsidP="00390489">
            <w:pPr>
              <w:spacing w:before="0" w:after="0"/>
              <w:jc w:val="right"/>
              <w:rPr>
                <w:b/>
                <w:bCs/>
                <w:noProof/>
                <w:color w:val="000000"/>
                <w:sz w:val="20"/>
                <w:szCs w:val="20"/>
              </w:rPr>
            </w:pPr>
            <w:r w:rsidRPr="00F66162">
              <w:rPr>
                <w:b/>
                <w:noProof/>
                <w:color w:val="000000" w:themeColor="text1"/>
                <w:sz w:val="20"/>
              </w:rPr>
              <w:t>126,690</w:t>
            </w:r>
          </w:p>
        </w:tc>
      </w:tr>
      <w:tr w:rsidR="00FA5543" w:rsidRPr="00F66162" w14:paraId="704E7895" w14:textId="77777777" w:rsidTr="139DF8FE">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14:paraId="3607AFB9" w14:textId="77777777" w:rsidR="00FA5543" w:rsidRPr="00F66162" w:rsidRDefault="00FA5543" w:rsidP="00390489">
            <w:pPr>
              <w:spacing w:before="0" w:after="0"/>
              <w:jc w:val="center"/>
              <w:rPr>
                <w:noProof/>
                <w:color w:val="000000"/>
                <w:sz w:val="22"/>
              </w:rPr>
            </w:pPr>
            <w:r w:rsidRPr="00F66162">
              <w:rPr>
                <w:noProof/>
                <w:color w:val="000000"/>
                <w:sz w:val="22"/>
              </w:rPr>
              <w:t>wieloletnich ram finansowych</w:t>
            </w:r>
          </w:p>
        </w:tc>
        <w:tc>
          <w:tcPr>
            <w:tcW w:w="529" w:type="pct"/>
            <w:gridSpan w:val="3"/>
            <w:tcBorders>
              <w:top w:val="nil"/>
              <w:left w:val="nil"/>
              <w:bottom w:val="single" w:sz="8" w:space="0" w:color="auto"/>
              <w:right w:val="single" w:sz="8" w:space="0" w:color="auto"/>
            </w:tcBorders>
            <w:shd w:val="clear" w:color="auto" w:fill="auto"/>
            <w:vAlign w:val="center"/>
            <w:hideMark/>
          </w:tcPr>
          <w:p w14:paraId="5FED138A"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25136BFA" w14:textId="77777777" w:rsidR="00FA5543" w:rsidRPr="00F66162" w:rsidRDefault="00FA5543" w:rsidP="00390489">
            <w:pPr>
              <w:spacing w:before="0" w:after="0"/>
              <w:jc w:val="center"/>
              <w:rPr>
                <w:noProof/>
                <w:color w:val="000000"/>
                <w:sz w:val="14"/>
                <w:szCs w:val="14"/>
              </w:rPr>
            </w:pPr>
            <w:r w:rsidRPr="00F66162">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5221D4D" w14:textId="77777777" w:rsidR="00FA5543" w:rsidRPr="00F66162" w:rsidRDefault="7A64CEC8" w:rsidP="00390489">
            <w:pPr>
              <w:spacing w:before="0" w:after="0"/>
              <w:jc w:val="right"/>
              <w:rPr>
                <w:b/>
                <w:bCs/>
                <w:noProof/>
                <w:color w:val="000000"/>
                <w:sz w:val="20"/>
                <w:szCs w:val="20"/>
              </w:rPr>
            </w:pPr>
            <w:r w:rsidRPr="00F66162">
              <w:rPr>
                <w:b/>
                <w:noProof/>
                <w:color w:val="000000" w:themeColor="text1"/>
                <w:sz w:val="20"/>
              </w:rPr>
              <w:t>17,530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8CAF7C1" w14:textId="77777777" w:rsidR="00FA5543" w:rsidRPr="00F66162" w:rsidRDefault="7A64CEC8" w:rsidP="00390489">
            <w:pPr>
              <w:spacing w:before="0" w:after="0"/>
              <w:jc w:val="right"/>
              <w:rPr>
                <w:b/>
                <w:bCs/>
                <w:noProof/>
                <w:color w:val="000000"/>
                <w:sz w:val="20"/>
                <w:szCs w:val="20"/>
              </w:rPr>
            </w:pPr>
            <w:r w:rsidRPr="00F66162">
              <w:rPr>
                <w:b/>
                <w:noProof/>
                <w:color w:val="000000" w:themeColor="text1"/>
                <w:sz w:val="20"/>
              </w:rPr>
              <w:t>21,157</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D8F666D" w14:textId="77777777" w:rsidR="00FA5543" w:rsidRPr="00F66162" w:rsidRDefault="7A64CEC8" w:rsidP="00390489">
            <w:pPr>
              <w:spacing w:before="0" w:after="0"/>
              <w:jc w:val="right"/>
              <w:rPr>
                <w:b/>
                <w:bCs/>
                <w:noProof/>
                <w:color w:val="000000"/>
                <w:sz w:val="20"/>
                <w:szCs w:val="20"/>
              </w:rPr>
            </w:pPr>
            <w:r w:rsidRPr="00F66162">
              <w:rPr>
                <w:b/>
                <w:noProof/>
                <w:color w:val="000000" w:themeColor="text1"/>
                <w:sz w:val="20"/>
              </w:rPr>
              <w:t>32,090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1595018" w14:textId="77777777" w:rsidR="00FA5543" w:rsidRPr="00F66162" w:rsidRDefault="7A64CEC8" w:rsidP="00390489">
            <w:pPr>
              <w:spacing w:before="0" w:after="0"/>
              <w:jc w:val="right"/>
              <w:rPr>
                <w:b/>
                <w:bCs/>
                <w:noProof/>
                <w:color w:val="000000"/>
                <w:sz w:val="20"/>
                <w:szCs w:val="20"/>
              </w:rPr>
            </w:pPr>
            <w:r w:rsidRPr="00F66162">
              <w:rPr>
                <w:b/>
                <w:noProof/>
                <w:color w:val="000000" w:themeColor="text1"/>
                <w:sz w:val="20"/>
              </w:rPr>
              <w:t>33,067</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A628328" w14:textId="77777777" w:rsidR="00FA5543" w:rsidRPr="00F66162" w:rsidRDefault="7A64CEC8" w:rsidP="00390489">
            <w:pPr>
              <w:spacing w:before="0" w:after="0"/>
              <w:jc w:val="right"/>
              <w:rPr>
                <w:b/>
                <w:bCs/>
                <w:noProof/>
                <w:color w:val="000000"/>
                <w:sz w:val="20"/>
                <w:szCs w:val="20"/>
              </w:rPr>
            </w:pPr>
            <w:r w:rsidRPr="00F66162">
              <w:rPr>
                <w:b/>
                <w:noProof/>
                <w:color w:val="000000" w:themeColor="text1"/>
                <w:sz w:val="20"/>
              </w:rPr>
              <w:t>103,844</w:t>
            </w:r>
          </w:p>
        </w:tc>
      </w:tr>
      <w:tr w:rsidR="00FA5543" w:rsidRPr="00F66162" w14:paraId="305FE241" w14:textId="77777777" w:rsidTr="139DF8FE">
        <w:trPr>
          <w:trHeight w:val="288"/>
        </w:trPr>
        <w:tc>
          <w:tcPr>
            <w:tcW w:w="1522" w:type="pct"/>
            <w:gridSpan w:val="3"/>
            <w:tcBorders>
              <w:top w:val="nil"/>
              <w:left w:val="nil"/>
              <w:bottom w:val="nil"/>
              <w:right w:val="nil"/>
            </w:tcBorders>
            <w:shd w:val="clear" w:color="auto" w:fill="auto"/>
            <w:noWrap/>
            <w:vAlign w:val="bottom"/>
            <w:hideMark/>
          </w:tcPr>
          <w:p w14:paraId="0D74F148" w14:textId="77777777" w:rsidR="00FA5543" w:rsidRPr="00F66162" w:rsidRDefault="00FA5543" w:rsidP="00390489">
            <w:pPr>
              <w:spacing w:before="0" w:after="0"/>
              <w:jc w:val="left"/>
              <w:rPr>
                <w:noProof/>
                <w:sz w:val="20"/>
                <w:szCs w:val="24"/>
                <w:lang w:eastAsia="en-IE"/>
              </w:rPr>
            </w:pPr>
          </w:p>
        </w:tc>
        <w:tc>
          <w:tcPr>
            <w:tcW w:w="471" w:type="pct"/>
            <w:gridSpan w:val="3"/>
            <w:tcBorders>
              <w:top w:val="nil"/>
              <w:left w:val="nil"/>
              <w:bottom w:val="nil"/>
              <w:right w:val="nil"/>
            </w:tcBorders>
            <w:shd w:val="clear" w:color="auto" w:fill="auto"/>
            <w:noWrap/>
            <w:vAlign w:val="bottom"/>
            <w:hideMark/>
          </w:tcPr>
          <w:p w14:paraId="5A590217" w14:textId="77777777" w:rsidR="00FA5543" w:rsidRPr="00F66162" w:rsidRDefault="00FA5543" w:rsidP="00390489">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14:paraId="23B20945" w14:textId="77777777" w:rsidR="00FA5543" w:rsidRPr="00F66162" w:rsidRDefault="00FA5543" w:rsidP="00390489">
            <w:pPr>
              <w:spacing w:before="0" w:after="0"/>
              <w:jc w:val="left"/>
              <w:rPr>
                <w:noProof/>
                <w:sz w:val="20"/>
                <w:szCs w:val="20"/>
                <w:lang w:eastAsia="en-IE"/>
              </w:rPr>
            </w:pPr>
          </w:p>
        </w:tc>
        <w:tc>
          <w:tcPr>
            <w:tcW w:w="365" w:type="pct"/>
            <w:gridSpan w:val="3"/>
            <w:tcBorders>
              <w:top w:val="nil"/>
              <w:left w:val="nil"/>
              <w:bottom w:val="nil"/>
              <w:right w:val="single" w:sz="4" w:space="0" w:color="auto"/>
            </w:tcBorders>
            <w:shd w:val="clear" w:color="auto" w:fill="auto"/>
            <w:noWrap/>
            <w:vAlign w:val="bottom"/>
            <w:hideMark/>
          </w:tcPr>
          <w:p w14:paraId="001A588A" w14:textId="77777777" w:rsidR="00FA5543" w:rsidRPr="00F66162" w:rsidRDefault="00FA5543" w:rsidP="00390489">
            <w:pPr>
              <w:spacing w:before="0" w:after="0"/>
              <w:jc w:val="left"/>
              <w:rPr>
                <w:noProof/>
                <w:sz w:val="20"/>
                <w:szCs w:val="20"/>
                <w:lang w:eastAsia="en-IE"/>
              </w:rPr>
            </w:pPr>
          </w:p>
        </w:tc>
        <w:tc>
          <w:tcPr>
            <w:tcW w:w="437" w:type="pct"/>
            <w:gridSpan w:val="3"/>
            <w:tcBorders>
              <w:top w:val="single" w:sz="8" w:space="0" w:color="auto"/>
              <w:left w:val="single" w:sz="4" w:space="0" w:color="auto"/>
              <w:bottom w:val="nil"/>
              <w:right w:val="single" w:sz="8" w:space="0" w:color="auto"/>
            </w:tcBorders>
            <w:shd w:val="clear" w:color="auto" w:fill="auto"/>
            <w:vAlign w:val="center"/>
            <w:hideMark/>
          </w:tcPr>
          <w:p w14:paraId="0DC349A7"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37" w:type="pct"/>
            <w:gridSpan w:val="3"/>
            <w:tcBorders>
              <w:top w:val="single" w:sz="8" w:space="0" w:color="auto"/>
              <w:left w:val="nil"/>
              <w:bottom w:val="nil"/>
              <w:right w:val="single" w:sz="8" w:space="0" w:color="auto"/>
            </w:tcBorders>
            <w:shd w:val="clear" w:color="auto" w:fill="auto"/>
            <w:vAlign w:val="center"/>
            <w:hideMark/>
          </w:tcPr>
          <w:p w14:paraId="17ED42E5"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37" w:type="pct"/>
            <w:gridSpan w:val="3"/>
            <w:tcBorders>
              <w:top w:val="single" w:sz="8" w:space="0" w:color="auto"/>
              <w:left w:val="nil"/>
              <w:bottom w:val="nil"/>
              <w:right w:val="single" w:sz="8" w:space="0" w:color="auto"/>
            </w:tcBorders>
            <w:shd w:val="clear" w:color="auto" w:fill="auto"/>
            <w:vAlign w:val="center"/>
            <w:hideMark/>
          </w:tcPr>
          <w:p w14:paraId="042C0805"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37" w:type="pct"/>
            <w:gridSpan w:val="3"/>
            <w:tcBorders>
              <w:top w:val="single" w:sz="8" w:space="0" w:color="auto"/>
              <w:left w:val="nil"/>
              <w:bottom w:val="nil"/>
              <w:right w:val="single" w:sz="8" w:space="0" w:color="auto"/>
            </w:tcBorders>
            <w:shd w:val="clear" w:color="auto" w:fill="auto"/>
            <w:vAlign w:val="center"/>
            <w:hideMark/>
          </w:tcPr>
          <w:p w14:paraId="283C4FA9"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529" w:type="pct"/>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2CC8D9FF"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OGÓŁEM WRF 2021–2027</w:t>
            </w:r>
          </w:p>
        </w:tc>
      </w:tr>
      <w:tr w:rsidR="00FA5543" w:rsidRPr="00F66162" w14:paraId="1EFDAAF5" w14:textId="77777777" w:rsidTr="139DF8FE">
        <w:trPr>
          <w:trHeight w:val="300"/>
        </w:trPr>
        <w:tc>
          <w:tcPr>
            <w:tcW w:w="1522" w:type="pct"/>
            <w:gridSpan w:val="3"/>
            <w:tcBorders>
              <w:top w:val="nil"/>
              <w:left w:val="nil"/>
              <w:bottom w:val="nil"/>
              <w:right w:val="nil"/>
            </w:tcBorders>
            <w:shd w:val="clear" w:color="auto" w:fill="auto"/>
            <w:noWrap/>
            <w:vAlign w:val="bottom"/>
            <w:hideMark/>
          </w:tcPr>
          <w:p w14:paraId="6977B08D" w14:textId="77777777" w:rsidR="00FA5543" w:rsidRPr="00F66162" w:rsidRDefault="00FA5543" w:rsidP="00390489">
            <w:pPr>
              <w:spacing w:before="0" w:after="0"/>
              <w:jc w:val="center"/>
              <w:rPr>
                <w:b/>
                <w:bCs/>
                <w:noProof/>
                <w:color w:val="000000"/>
                <w:sz w:val="20"/>
                <w:szCs w:val="20"/>
                <w:lang w:eastAsia="en-IE"/>
              </w:rPr>
            </w:pPr>
          </w:p>
        </w:tc>
        <w:tc>
          <w:tcPr>
            <w:tcW w:w="471" w:type="pct"/>
            <w:gridSpan w:val="3"/>
            <w:tcBorders>
              <w:top w:val="nil"/>
              <w:left w:val="nil"/>
              <w:bottom w:val="nil"/>
              <w:right w:val="nil"/>
            </w:tcBorders>
            <w:shd w:val="clear" w:color="auto" w:fill="auto"/>
            <w:noWrap/>
            <w:vAlign w:val="bottom"/>
            <w:hideMark/>
          </w:tcPr>
          <w:p w14:paraId="2FBD025E" w14:textId="77777777" w:rsidR="00FA5543" w:rsidRPr="00F66162" w:rsidRDefault="00FA5543" w:rsidP="00390489">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14:paraId="01108E45" w14:textId="77777777" w:rsidR="00FA5543" w:rsidRPr="00F66162" w:rsidRDefault="00FA5543" w:rsidP="00390489">
            <w:pPr>
              <w:spacing w:before="0" w:after="0"/>
              <w:jc w:val="left"/>
              <w:rPr>
                <w:noProof/>
                <w:sz w:val="20"/>
                <w:szCs w:val="20"/>
                <w:lang w:eastAsia="en-IE"/>
              </w:rPr>
            </w:pPr>
          </w:p>
        </w:tc>
        <w:tc>
          <w:tcPr>
            <w:tcW w:w="365" w:type="pct"/>
            <w:gridSpan w:val="3"/>
            <w:tcBorders>
              <w:top w:val="nil"/>
              <w:left w:val="nil"/>
              <w:bottom w:val="nil"/>
              <w:right w:val="single" w:sz="4" w:space="0" w:color="auto"/>
            </w:tcBorders>
            <w:shd w:val="clear" w:color="auto" w:fill="auto"/>
            <w:noWrap/>
            <w:vAlign w:val="bottom"/>
            <w:hideMark/>
          </w:tcPr>
          <w:p w14:paraId="732E906E" w14:textId="77777777" w:rsidR="00FA5543" w:rsidRPr="00F66162" w:rsidRDefault="00FA5543" w:rsidP="00390489">
            <w:pPr>
              <w:spacing w:before="0" w:after="0"/>
              <w:jc w:val="left"/>
              <w:rPr>
                <w:noProof/>
                <w:sz w:val="20"/>
                <w:szCs w:val="20"/>
                <w:lang w:eastAsia="en-IE"/>
              </w:rPr>
            </w:pPr>
          </w:p>
        </w:tc>
        <w:tc>
          <w:tcPr>
            <w:tcW w:w="437" w:type="pct"/>
            <w:gridSpan w:val="3"/>
            <w:tcBorders>
              <w:top w:val="nil"/>
              <w:left w:val="single" w:sz="4" w:space="0" w:color="auto"/>
              <w:bottom w:val="single" w:sz="8" w:space="0" w:color="auto"/>
              <w:right w:val="single" w:sz="8" w:space="0" w:color="auto"/>
            </w:tcBorders>
            <w:shd w:val="clear" w:color="auto" w:fill="auto"/>
            <w:vAlign w:val="center"/>
            <w:hideMark/>
          </w:tcPr>
          <w:p w14:paraId="5C67C1F9"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437" w:type="pct"/>
            <w:gridSpan w:val="3"/>
            <w:tcBorders>
              <w:top w:val="nil"/>
              <w:left w:val="nil"/>
              <w:bottom w:val="single" w:sz="8" w:space="0" w:color="auto"/>
              <w:right w:val="single" w:sz="8" w:space="0" w:color="auto"/>
            </w:tcBorders>
            <w:shd w:val="clear" w:color="auto" w:fill="auto"/>
            <w:vAlign w:val="center"/>
            <w:hideMark/>
          </w:tcPr>
          <w:p w14:paraId="13895623"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437" w:type="pct"/>
            <w:gridSpan w:val="3"/>
            <w:tcBorders>
              <w:top w:val="nil"/>
              <w:left w:val="nil"/>
              <w:bottom w:val="single" w:sz="8" w:space="0" w:color="auto"/>
              <w:right w:val="single" w:sz="8" w:space="0" w:color="auto"/>
            </w:tcBorders>
            <w:shd w:val="clear" w:color="auto" w:fill="auto"/>
            <w:vAlign w:val="center"/>
            <w:hideMark/>
          </w:tcPr>
          <w:p w14:paraId="16BA26AD"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437" w:type="pct"/>
            <w:gridSpan w:val="3"/>
            <w:tcBorders>
              <w:top w:val="nil"/>
              <w:left w:val="nil"/>
              <w:bottom w:val="single" w:sz="8" w:space="0" w:color="auto"/>
              <w:right w:val="single" w:sz="8" w:space="0" w:color="auto"/>
            </w:tcBorders>
            <w:shd w:val="clear" w:color="auto" w:fill="auto"/>
            <w:vAlign w:val="center"/>
            <w:hideMark/>
          </w:tcPr>
          <w:p w14:paraId="7E6A89E5"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c>
          <w:tcPr>
            <w:tcW w:w="529" w:type="pct"/>
            <w:vMerge/>
            <w:vAlign w:val="center"/>
            <w:hideMark/>
          </w:tcPr>
          <w:p w14:paraId="5839083B" w14:textId="77777777" w:rsidR="00FA5543" w:rsidRPr="00F66162" w:rsidRDefault="00FA5543" w:rsidP="00390489">
            <w:pPr>
              <w:spacing w:before="0" w:after="0"/>
              <w:jc w:val="left"/>
              <w:rPr>
                <w:b/>
                <w:bCs/>
                <w:noProof/>
                <w:color w:val="000000"/>
                <w:sz w:val="20"/>
                <w:szCs w:val="20"/>
                <w:lang w:eastAsia="en-IE"/>
              </w:rPr>
            </w:pPr>
          </w:p>
        </w:tc>
      </w:tr>
      <w:tr w:rsidR="00FA5543" w:rsidRPr="00F66162" w14:paraId="06F5465A" w14:textId="77777777" w:rsidTr="139DF8FE">
        <w:trPr>
          <w:trHeight w:val="300"/>
        </w:trPr>
        <w:tc>
          <w:tcPr>
            <w:tcW w:w="1522"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4944596" w14:textId="77777777" w:rsidR="00FA5543" w:rsidRPr="00F66162" w:rsidRDefault="00FA5543" w:rsidP="00390489">
            <w:pPr>
              <w:spacing w:before="0" w:after="0"/>
              <w:rPr>
                <w:noProof/>
                <w:color w:val="000000"/>
                <w:sz w:val="21"/>
                <w:szCs w:val="21"/>
              </w:rPr>
            </w:pPr>
            <w:r w:rsidRPr="00F66162">
              <w:rPr>
                <w:rFonts w:ascii="Calibri" w:hAnsi="Calibri"/>
                <w:noProof/>
                <w:color w:val="000000"/>
                <w:sz w:val="21"/>
              </w:rPr>
              <w:t xml:space="preserve">• </w:t>
            </w:r>
            <w:r w:rsidRPr="00F66162">
              <w:rPr>
                <w:noProof/>
                <w:color w:val="000000"/>
                <w:sz w:val="21"/>
              </w:rPr>
              <w:t>OGÓŁEM środki operacyjne (wszystkie działy operacyjne)</w:t>
            </w:r>
          </w:p>
        </w:tc>
        <w:tc>
          <w:tcPr>
            <w:tcW w:w="471" w:type="pct"/>
            <w:gridSpan w:val="3"/>
            <w:tcBorders>
              <w:top w:val="single" w:sz="8" w:space="0" w:color="auto"/>
              <w:left w:val="nil"/>
              <w:bottom w:val="single" w:sz="8" w:space="0" w:color="auto"/>
              <w:right w:val="single" w:sz="8" w:space="0" w:color="auto"/>
            </w:tcBorders>
            <w:shd w:val="clear" w:color="auto" w:fill="auto"/>
            <w:vAlign w:val="center"/>
            <w:hideMark/>
          </w:tcPr>
          <w:p w14:paraId="473E3108"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37EBD9D2" w14:textId="77777777" w:rsidR="00FA5543" w:rsidRPr="00F66162" w:rsidRDefault="00FA5543" w:rsidP="00390489">
            <w:pPr>
              <w:spacing w:before="0" w:after="0"/>
              <w:jc w:val="center"/>
              <w:rPr>
                <w:noProof/>
                <w:color w:val="000000"/>
                <w:sz w:val="14"/>
                <w:szCs w:val="14"/>
              </w:rPr>
            </w:pPr>
            <w:r w:rsidRPr="00F66162">
              <w:rPr>
                <w:noProof/>
                <w:color w:val="000000"/>
                <w:sz w:val="14"/>
              </w:rPr>
              <w:t>(4)</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E1025ED" w14:textId="77777777" w:rsidR="00FA5543" w:rsidRPr="00F66162" w:rsidRDefault="5EC9359A" w:rsidP="00390489">
            <w:pPr>
              <w:spacing w:before="0" w:after="0"/>
              <w:jc w:val="right"/>
              <w:rPr>
                <w:noProof/>
                <w:color w:val="000000"/>
                <w:sz w:val="20"/>
                <w:szCs w:val="20"/>
              </w:rPr>
            </w:pPr>
            <w:r w:rsidRPr="00F66162">
              <w:rPr>
                <w:noProof/>
                <w:color w:val="000000" w:themeColor="text1"/>
                <w:sz w:val="20"/>
              </w:rPr>
              <w:t>28,090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C8BF0BA" w14:textId="77777777" w:rsidR="00FA5543" w:rsidRPr="00F66162" w:rsidRDefault="5EC9359A" w:rsidP="00390489">
            <w:pPr>
              <w:spacing w:before="0" w:after="0"/>
              <w:jc w:val="right"/>
              <w:rPr>
                <w:noProof/>
                <w:color w:val="000000"/>
                <w:sz w:val="20"/>
                <w:szCs w:val="20"/>
              </w:rPr>
            </w:pPr>
            <w:r w:rsidRPr="00F66162">
              <w:rPr>
                <w:noProof/>
                <w:color w:val="000000" w:themeColor="text1"/>
                <w:sz w:val="20"/>
              </w:rPr>
              <w:t>34,750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F9F04AF" w14:textId="77777777" w:rsidR="00FA5543" w:rsidRPr="00F66162" w:rsidRDefault="5EC9359A" w:rsidP="00390489">
            <w:pPr>
              <w:spacing w:before="0" w:after="0"/>
              <w:jc w:val="right"/>
              <w:rPr>
                <w:noProof/>
                <w:color w:val="000000"/>
                <w:sz w:val="20"/>
                <w:szCs w:val="20"/>
              </w:rPr>
            </w:pPr>
            <w:r w:rsidRPr="00F66162">
              <w:rPr>
                <w:noProof/>
                <w:color w:val="000000" w:themeColor="text1"/>
                <w:sz w:val="20"/>
              </w:rPr>
              <w:t>33,700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28383D1" w14:textId="77777777" w:rsidR="00FA5543" w:rsidRPr="00F66162" w:rsidRDefault="5EC9359A" w:rsidP="00390489">
            <w:pPr>
              <w:spacing w:before="0" w:after="0"/>
              <w:jc w:val="right"/>
              <w:rPr>
                <w:noProof/>
                <w:color w:val="000000"/>
                <w:sz w:val="20"/>
                <w:szCs w:val="20"/>
              </w:rPr>
            </w:pPr>
            <w:r w:rsidRPr="00F66162">
              <w:rPr>
                <w:noProof/>
                <w:color w:val="000000" w:themeColor="text1"/>
                <w:sz w:val="20"/>
              </w:rPr>
              <w:t>30,150</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7A64C562" w14:textId="77777777" w:rsidR="00FA5543" w:rsidRPr="00F66162" w:rsidRDefault="5EC9359A" w:rsidP="00390489">
            <w:pPr>
              <w:spacing w:before="0" w:after="0"/>
              <w:jc w:val="right"/>
              <w:rPr>
                <w:b/>
                <w:bCs/>
                <w:noProof/>
                <w:color w:val="000000"/>
                <w:sz w:val="20"/>
                <w:szCs w:val="20"/>
              </w:rPr>
            </w:pPr>
            <w:r w:rsidRPr="00F66162">
              <w:rPr>
                <w:b/>
                <w:noProof/>
                <w:color w:val="000000" w:themeColor="text1"/>
                <w:sz w:val="20"/>
              </w:rPr>
              <w:t>126,690</w:t>
            </w:r>
          </w:p>
        </w:tc>
      </w:tr>
      <w:tr w:rsidR="00FA5543" w:rsidRPr="00F66162" w14:paraId="69994A3D" w14:textId="77777777" w:rsidTr="139DF8FE">
        <w:trPr>
          <w:trHeight w:val="300"/>
        </w:trPr>
        <w:tc>
          <w:tcPr>
            <w:tcW w:w="1522" w:type="pct"/>
            <w:gridSpan w:val="3"/>
            <w:vMerge/>
            <w:vAlign w:val="center"/>
            <w:hideMark/>
          </w:tcPr>
          <w:p w14:paraId="0A98A704" w14:textId="77777777" w:rsidR="00FA5543" w:rsidRPr="00F66162" w:rsidRDefault="00FA5543" w:rsidP="00390489">
            <w:pPr>
              <w:spacing w:before="0" w:after="0"/>
              <w:jc w:val="left"/>
              <w:rPr>
                <w:noProof/>
                <w:color w:val="000000"/>
                <w:sz w:val="21"/>
                <w:szCs w:val="21"/>
                <w:lang w:eastAsia="en-IE"/>
              </w:rPr>
            </w:pPr>
          </w:p>
        </w:tc>
        <w:tc>
          <w:tcPr>
            <w:tcW w:w="471" w:type="pct"/>
            <w:gridSpan w:val="3"/>
            <w:tcBorders>
              <w:top w:val="nil"/>
              <w:left w:val="nil"/>
              <w:bottom w:val="single" w:sz="8" w:space="0" w:color="auto"/>
              <w:right w:val="single" w:sz="8" w:space="0" w:color="auto"/>
            </w:tcBorders>
            <w:shd w:val="clear" w:color="auto" w:fill="auto"/>
            <w:vAlign w:val="center"/>
            <w:hideMark/>
          </w:tcPr>
          <w:p w14:paraId="1D4C0066"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07B80886" w14:textId="77777777" w:rsidR="00FA5543" w:rsidRPr="00F66162" w:rsidRDefault="00FA5543" w:rsidP="00390489">
            <w:pPr>
              <w:spacing w:before="0" w:after="0"/>
              <w:jc w:val="center"/>
              <w:rPr>
                <w:noProof/>
                <w:color w:val="000000"/>
                <w:sz w:val="14"/>
                <w:szCs w:val="14"/>
              </w:rPr>
            </w:pPr>
            <w:r w:rsidRPr="00F66162">
              <w:rPr>
                <w:noProof/>
                <w:color w:val="000000"/>
                <w:sz w:val="14"/>
              </w:rPr>
              <w:t>(5)</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A2BAA63" w14:textId="77777777" w:rsidR="00FA5543" w:rsidRPr="00F66162" w:rsidRDefault="6A229C68" w:rsidP="00390489">
            <w:pPr>
              <w:spacing w:before="0" w:after="0"/>
              <w:jc w:val="right"/>
              <w:rPr>
                <w:noProof/>
                <w:color w:val="000000"/>
                <w:sz w:val="20"/>
                <w:szCs w:val="20"/>
              </w:rPr>
            </w:pPr>
            <w:r w:rsidRPr="00F66162">
              <w:rPr>
                <w:noProof/>
                <w:color w:val="000000" w:themeColor="text1"/>
                <w:sz w:val="20"/>
              </w:rPr>
              <w:t>17,530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8346A29" w14:textId="77777777" w:rsidR="00FA5543" w:rsidRPr="00F66162" w:rsidRDefault="6A229C68" w:rsidP="00390489">
            <w:pPr>
              <w:spacing w:before="0" w:after="0"/>
              <w:jc w:val="right"/>
              <w:rPr>
                <w:noProof/>
                <w:color w:val="000000"/>
                <w:sz w:val="20"/>
                <w:szCs w:val="20"/>
              </w:rPr>
            </w:pPr>
            <w:r w:rsidRPr="00F66162">
              <w:rPr>
                <w:noProof/>
                <w:color w:val="000000" w:themeColor="text1"/>
                <w:sz w:val="20"/>
              </w:rPr>
              <w:t>21,157</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DD98AB3" w14:textId="77777777" w:rsidR="00FA5543" w:rsidRPr="00F66162" w:rsidRDefault="6A229C68" w:rsidP="00390489">
            <w:pPr>
              <w:spacing w:before="0" w:after="0"/>
              <w:jc w:val="right"/>
              <w:rPr>
                <w:noProof/>
                <w:color w:val="000000"/>
                <w:sz w:val="20"/>
                <w:szCs w:val="20"/>
              </w:rPr>
            </w:pPr>
            <w:r w:rsidRPr="00F66162">
              <w:rPr>
                <w:noProof/>
                <w:color w:val="000000" w:themeColor="text1"/>
                <w:sz w:val="20"/>
              </w:rPr>
              <w:t>32,090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DAACCC5" w14:textId="77777777" w:rsidR="00FA5543" w:rsidRPr="00F66162" w:rsidRDefault="6A229C68" w:rsidP="00390489">
            <w:pPr>
              <w:spacing w:before="0" w:after="0"/>
              <w:jc w:val="right"/>
              <w:rPr>
                <w:noProof/>
                <w:color w:val="000000"/>
                <w:sz w:val="20"/>
                <w:szCs w:val="20"/>
              </w:rPr>
            </w:pPr>
            <w:r w:rsidRPr="00F66162">
              <w:rPr>
                <w:noProof/>
                <w:color w:val="000000" w:themeColor="text1"/>
                <w:sz w:val="20"/>
              </w:rPr>
              <w:t>33,067</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0C7E6FF2" w14:textId="77777777" w:rsidR="00FA5543" w:rsidRPr="00F66162" w:rsidRDefault="6A229C68" w:rsidP="00390489">
            <w:pPr>
              <w:spacing w:before="0" w:after="0"/>
              <w:jc w:val="right"/>
              <w:rPr>
                <w:b/>
                <w:bCs/>
                <w:noProof/>
                <w:color w:val="000000"/>
                <w:sz w:val="20"/>
                <w:szCs w:val="20"/>
              </w:rPr>
            </w:pPr>
            <w:r w:rsidRPr="00F66162">
              <w:rPr>
                <w:b/>
                <w:noProof/>
                <w:color w:val="000000" w:themeColor="text1"/>
                <w:sz w:val="20"/>
              </w:rPr>
              <w:t>103,844</w:t>
            </w:r>
          </w:p>
        </w:tc>
      </w:tr>
      <w:tr w:rsidR="00FA5543" w:rsidRPr="00F66162" w14:paraId="6AC5500B" w14:textId="77777777" w:rsidTr="139DF8FE">
        <w:trPr>
          <w:trHeight w:val="990"/>
        </w:trPr>
        <w:tc>
          <w:tcPr>
            <w:tcW w:w="1993" w:type="pct"/>
            <w:gridSpan w:val="6"/>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38C1F042" w14:textId="77777777" w:rsidR="00FA5543" w:rsidRPr="00F66162" w:rsidRDefault="00FA5543" w:rsidP="00390489">
            <w:pPr>
              <w:spacing w:before="0" w:after="0"/>
              <w:rPr>
                <w:noProof/>
                <w:color w:val="000000"/>
                <w:sz w:val="21"/>
                <w:szCs w:val="21"/>
              </w:rPr>
            </w:pPr>
            <w:r w:rsidRPr="00F66162">
              <w:rPr>
                <w:rFonts w:ascii="Calibri" w:hAnsi="Calibri"/>
                <w:noProof/>
                <w:color w:val="000000"/>
                <w:sz w:val="21"/>
              </w:rPr>
              <w:t>•</w:t>
            </w:r>
            <w:r w:rsidRPr="00F66162">
              <w:rPr>
                <w:noProof/>
                <w:color w:val="000000"/>
                <w:sz w:val="21"/>
              </w:rPr>
              <w:t xml:space="preserve"> OGÓŁEM środki administracyjne finansowane ze środków przydzielonych na określone programy (wszystkie działy operacyjne)</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032AF59D" w14:textId="77777777" w:rsidR="00FA5543" w:rsidRPr="00F66162" w:rsidRDefault="00FA5543" w:rsidP="00390489">
            <w:pPr>
              <w:spacing w:before="0" w:after="0"/>
              <w:jc w:val="center"/>
              <w:rPr>
                <w:noProof/>
                <w:color w:val="000000"/>
                <w:sz w:val="14"/>
                <w:szCs w:val="14"/>
              </w:rPr>
            </w:pPr>
            <w:r w:rsidRPr="00F66162">
              <w:rPr>
                <w:noProof/>
                <w:color w:val="000000"/>
                <w:sz w:val="14"/>
              </w:rPr>
              <w:t>(6)</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21D2F26"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4A6979A"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612D4C7"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B7983FF"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2FC9C633"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0,000</w:t>
            </w:r>
          </w:p>
        </w:tc>
      </w:tr>
      <w:tr w:rsidR="00FA5543" w:rsidRPr="00F66162" w14:paraId="72DFE2AF" w14:textId="77777777" w:rsidTr="139DF8FE">
        <w:trPr>
          <w:trHeight w:val="564"/>
        </w:trPr>
        <w:tc>
          <w:tcPr>
            <w:tcW w:w="1522" w:type="pct"/>
            <w:gridSpan w:val="3"/>
            <w:tcBorders>
              <w:top w:val="nil"/>
              <w:left w:val="single" w:sz="8" w:space="0" w:color="auto"/>
              <w:bottom w:val="nil"/>
              <w:right w:val="single" w:sz="8" w:space="0" w:color="auto"/>
            </w:tcBorders>
            <w:shd w:val="clear" w:color="auto" w:fill="F1F1F1"/>
            <w:vAlign w:val="center"/>
            <w:hideMark/>
          </w:tcPr>
          <w:p w14:paraId="2E9C94B5" w14:textId="6E41AC20" w:rsidR="00FA5543" w:rsidRPr="00F66162" w:rsidRDefault="00FA5543" w:rsidP="00390489">
            <w:pPr>
              <w:spacing w:before="0" w:after="0"/>
              <w:jc w:val="center"/>
              <w:rPr>
                <w:b/>
                <w:bCs/>
                <w:noProof/>
                <w:color w:val="000000"/>
                <w:sz w:val="22"/>
              </w:rPr>
            </w:pPr>
            <w:r w:rsidRPr="00F66162">
              <w:rPr>
                <w:b/>
                <w:noProof/>
                <w:color w:val="000000"/>
                <w:sz w:val="22"/>
              </w:rPr>
              <w:t xml:space="preserve">OGÓŁEM środki na DZIAŁY </w:t>
            </w:r>
            <w:r w:rsidRPr="00825614">
              <w:rPr>
                <w:b/>
                <w:noProof/>
                <w:color w:val="000000"/>
                <w:sz w:val="22"/>
              </w:rPr>
              <w:t>od</w:t>
            </w:r>
            <w:r w:rsidR="00825614" w:rsidRPr="00825614">
              <w:rPr>
                <w:b/>
                <w:noProof/>
                <w:color w:val="000000"/>
                <w:sz w:val="22"/>
              </w:rPr>
              <w:t> </w:t>
            </w:r>
            <w:r w:rsidRPr="00825614">
              <w:rPr>
                <w:b/>
                <w:noProof/>
                <w:color w:val="000000"/>
                <w:sz w:val="22"/>
              </w:rPr>
              <w:t>1</w:t>
            </w:r>
            <w:r w:rsidRPr="00F66162">
              <w:rPr>
                <w:b/>
                <w:noProof/>
                <w:color w:val="000000"/>
                <w:sz w:val="22"/>
              </w:rPr>
              <w:t xml:space="preserve"> </w:t>
            </w:r>
            <w:r w:rsidRPr="00825614">
              <w:rPr>
                <w:b/>
                <w:noProof/>
                <w:color w:val="000000"/>
                <w:sz w:val="22"/>
              </w:rPr>
              <w:t>do</w:t>
            </w:r>
            <w:r w:rsidR="00825614" w:rsidRPr="00825614">
              <w:rPr>
                <w:b/>
                <w:noProof/>
                <w:color w:val="000000"/>
                <w:sz w:val="22"/>
              </w:rPr>
              <w:t> </w:t>
            </w:r>
            <w:r w:rsidRPr="00825614">
              <w:rPr>
                <w:b/>
                <w:noProof/>
                <w:color w:val="000000"/>
                <w:sz w:val="22"/>
              </w:rPr>
              <w:t>6</w:t>
            </w:r>
          </w:p>
        </w:tc>
        <w:tc>
          <w:tcPr>
            <w:tcW w:w="471" w:type="pct"/>
            <w:gridSpan w:val="3"/>
            <w:tcBorders>
              <w:top w:val="nil"/>
              <w:left w:val="nil"/>
              <w:bottom w:val="nil"/>
              <w:right w:val="single" w:sz="8" w:space="0" w:color="auto"/>
            </w:tcBorders>
            <w:shd w:val="clear" w:color="auto" w:fill="auto"/>
            <w:vAlign w:val="center"/>
            <w:hideMark/>
          </w:tcPr>
          <w:p w14:paraId="4801AE02"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731" w:type="pct"/>
            <w:gridSpan w:val="4"/>
            <w:tcBorders>
              <w:top w:val="single" w:sz="8" w:space="0" w:color="auto"/>
              <w:left w:val="nil"/>
              <w:bottom w:val="nil"/>
              <w:right w:val="single" w:sz="8" w:space="0" w:color="000000" w:themeColor="text1"/>
            </w:tcBorders>
            <w:shd w:val="clear" w:color="auto" w:fill="auto"/>
            <w:vAlign w:val="center"/>
            <w:hideMark/>
          </w:tcPr>
          <w:p w14:paraId="037D5CCB" w14:textId="77777777" w:rsidR="00FA5543" w:rsidRPr="00F66162" w:rsidRDefault="00FA5543" w:rsidP="00390489">
            <w:pPr>
              <w:spacing w:before="0" w:after="0"/>
              <w:jc w:val="center"/>
              <w:rPr>
                <w:noProof/>
                <w:color w:val="000000"/>
                <w:sz w:val="14"/>
                <w:szCs w:val="14"/>
              </w:rPr>
            </w:pPr>
            <w:r w:rsidRPr="00F66162">
              <w:rPr>
                <w:noProof/>
                <w:color w:val="000000"/>
                <w:sz w:val="14"/>
              </w:rPr>
              <w:t>=4+6</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B5D97F5" w14:textId="77777777" w:rsidR="00FA5543" w:rsidRPr="00F66162" w:rsidRDefault="330F08B6" w:rsidP="00390489">
            <w:pPr>
              <w:spacing w:before="0" w:after="0"/>
              <w:jc w:val="right"/>
              <w:rPr>
                <w:b/>
                <w:bCs/>
                <w:noProof/>
                <w:color w:val="000000"/>
                <w:sz w:val="20"/>
                <w:szCs w:val="20"/>
              </w:rPr>
            </w:pPr>
            <w:r w:rsidRPr="00F66162">
              <w:rPr>
                <w:b/>
                <w:noProof/>
                <w:color w:val="000000" w:themeColor="text1"/>
                <w:sz w:val="20"/>
              </w:rPr>
              <w:t>28,090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09B8565" w14:textId="77777777" w:rsidR="00FA5543" w:rsidRPr="00F66162" w:rsidRDefault="330F08B6" w:rsidP="00390489">
            <w:pPr>
              <w:spacing w:before="0" w:after="0"/>
              <w:jc w:val="right"/>
              <w:rPr>
                <w:b/>
                <w:bCs/>
                <w:noProof/>
                <w:color w:val="000000"/>
                <w:sz w:val="20"/>
                <w:szCs w:val="20"/>
              </w:rPr>
            </w:pPr>
            <w:r w:rsidRPr="00F66162">
              <w:rPr>
                <w:b/>
                <w:noProof/>
                <w:color w:val="000000" w:themeColor="text1"/>
                <w:sz w:val="20"/>
              </w:rPr>
              <w:t>34,750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959430A" w14:textId="77777777" w:rsidR="00FA5543" w:rsidRPr="00F66162" w:rsidRDefault="330F08B6" w:rsidP="00390489">
            <w:pPr>
              <w:spacing w:before="0" w:after="0"/>
              <w:jc w:val="right"/>
              <w:rPr>
                <w:b/>
                <w:bCs/>
                <w:noProof/>
                <w:color w:val="000000"/>
                <w:sz w:val="20"/>
                <w:szCs w:val="20"/>
              </w:rPr>
            </w:pPr>
            <w:r w:rsidRPr="00F66162">
              <w:rPr>
                <w:b/>
                <w:noProof/>
                <w:color w:val="000000" w:themeColor="text1"/>
                <w:sz w:val="20"/>
              </w:rPr>
              <w:t>33,700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06DBE2E" w14:textId="77777777" w:rsidR="00FA5543" w:rsidRPr="00F66162" w:rsidRDefault="330F08B6" w:rsidP="00390489">
            <w:pPr>
              <w:spacing w:before="0" w:after="0"/>
              <w:jc w:val="right"/>
              <w:rPr>
                <w:b/>
                <w:bCs/>
                <w:noProof/>
                <w:color w:val="000000"/>
                <w:sz w:val="20"/>
                <w:szCs w:val="20"/>
              </w:rPr>
            </w:pPr>
            <w:r w:rsidRPr="00F66162">
              <w:rPr>
                <w:b/>
                <w:noProof/>
                <w:color w:val="000000" w:themeColor="text1"/>
                <w:sz w:val="20"/>
              </w:rPr>
              <w:t>30,150</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3D25EC1D" w14:textId="77777777" w:rsidR="00FA5543" w:rsidRPr="00F66162" w:rsidRDefault="330F08B6" w:rsidP="00390489">
            <w:pPr>
              <w:spacing w:before="0" w:after="0"/>
              <w:jc w:val="right"/>
              <w:rPr>
                <w:b/>
                <w:bCs/>
                <w:noProof/>
                <w:color w:val="000000"/>
                <w:sz w:val="20"/>
                <w:szCs w:val="20"/>
              </w:rPr>
            </w:pPr>
            <w:r w:rsidRPr="00F66162">
              <w:rPr>
                <w:b/>
                <w:noProof/>
                <w:color w:val="000000" w:themeColor="text1"/>
                <w:sz w:val="20"/>
              </w:rPr>
              <w:t>126,690</w:t>
            </w:r>
          </w:p>
        </w:tc>
      </w:tr>
      <w:tr w:rsidR="00FA5543" w:rsidRPr="00F66162" w14:paraId="63EE509A" w14:textId="77777777" w:rsidTr="139DF8FE">
        <w:trPr>
          <w:trHeight w:val="588"/>
        </w:trPr>
        <w:tc>
          <w:tcPr>
            <w:tcW w:w="1522" w:type="pct"/>
            <w:gridSpan w:val="3"/>
            <w:tcBorders>
              <w:top w:val="nil"/>
              <w:left w:val="single" w:sz="8" w:space="0" w:color="auto"/>
              <w:bottom w:val="single" w:sz="8" w:space="0" w:color="auto"/>
              <w:right w:val="single" w:sz="8" w:space="0" w:color="auto"/>
            </w:tcBorders>
            <w:shd w:val="clear" w:color="auto" w:fill="F1F1F1"/>
            <w:vAlign w:val="center"/>
            <w:hideMark/>
          </w:tcPr>
          <w:p w14:paraId="12083EBA" w14:textId="77777777" w:rsidR="00FA5543" w:rsidRPr="00F66162" w:rsidRDefault="00FA5543" w:rsidP="00390489">
            <w:pPr>
              <w:spacing w:before="0" w:after="0"/>
              <w:jc w:val="center"/>
              <w:rPr>
                <w:noProof/>
                <w:color w:val="000000"/>
                <w:sz w:val="20"/>
                <w:szCs w:val="20"/>
              </w:rPr>
            </w:pPr>
            <w:r w:rsidRPr="00F66162">
              <w:rPr>
                <w:noProof/>
                <w:color w:val="000000"/>
                <w:sz w:val="20"/>
              </w:rPr>
              <w:t>wieloletnich ram finansowych</w:t>
            </w:r>
            <w:r w:rsidRPr="00F66162">
              <w:rPr>
                <w:noProof/>
              </w:rPr>
              <w:t xml:space="preserve"> </w:t>
            </w:r>
            <w:r w:rsidRPr="00F66162">
              <w:rPr>
                <w:noProof/>
              </w:rPr>
              <w:br/>
            </w:r>
            <w:r w:rsidRPr="00F66162">
              <w:rPr>
                <w:noProof/>
                <w:color w:val="000000"/>
                <w:sz w:val="20"/>
              </w:rPr>
              <w:t>(kwota referencyjna)</w:t>
            </w:r>
          </w:p>
        </w:tc>
        <w:tc>
          <w:tcPr>
            <w:tcW w:w="471" w:type="pct"/>
            <w:gridSpan w:val="3"/>
            <w:tcBorders>
              <w:top w:val="nil"/>
              <w:left w:val="nil"/>
              <w:bottom w:val="single" w:sz="8" w:space="0" w:color="auto"/>
              <w:right w:val="single" w:sz="8" w:space="0" w:color="auto"/>
            </w:tcBorders>
            <w:shd w:val="clear" w:color="auto" w:fill="auto"/>
            <w:vAlign w:val="center"/>
            <w:hideMark/>
          </w:tcPr>
          <w:p w14:paraId="615B0F74"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7D6CC395" w14:textId="77777777" w:rsidR="00FA5543" w:rsidRPr="00F66162" w:rsidRDefault="00FA5543" w:rsidP="00390489">
            <w:pPr>
              <w:spacing w:before="0" w:after="0"/>
              <w:jc w:val="center"/>
              <w:rPr>
                <w:noProof/>
                <w:color w:val="000000"/>
                <w:sz w:val="14"/>
                <w:szCs w:val="14"/>
              </w:rPr>
            </w:pPr>
            <w:r w:rsidRPr="00F66162">
              <w:rPr>
                <w:noProof/>
                <w:color w:val="000000"/>
                <w:sz w:val="14"/>
              </w:rPr>
              <w:t>=5+6</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098214A" w14:textId="77777777" w:rsidR="00FA5543" w:rsidRPr="00F66162" w:rsidRDefault="32ABF7D9" w:rsidP="00390489">
            <w:pPr>
              <w:spacing w:before="0" w:after="0"/>
              <w:jc w:val="right"/>
              <w:rPr>
                <w:b/>
                <w:bCs/>
                <w:noProof/>
                <w:color w:val="000000"/>
                <w:sz w:val="20"/>
                <w:szCs w:val="20"/>
              </w:rPr>
            </w:pPr>
            <w:r w:rsidRPr="00F66162">
              <w:rPr>
                <w:b/>
                <w:noProof/>
                <w:color w:val="000000" w:themeColor="text1"/>
                <w:sz w:val="20"/>
              </w:rPr>
              <w:t>17,530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741FEF4" w14:textId="77777777" w:rsidR="00FA5543" w:rsidRPr="00F66162" w:rsidRDefault="32ABF7D9" w:rsidP="00390489">
            <w:pPr>
              <w:spacing w:before="0" w:after="0"/>
              <w:jc w:val="right"/>
              <w:rPr>
                <w:b/>
                <w:bCs/>
                <w:noProof/>
                <w:color w:val="000000"/>
                <w:sz w:val="20"/>
                <w:szCs w:val="20"/>
              </w:rPr>
            </w:pPr>
            <w:r w:rsidRPr="00F66162">
              <w:rPr>
                <w:b/>
                <w:noProof/>
                <w:color w:val="000000" w:themeColor="text1"/>
                <w:sz w:val="20"/>
              </w:rPr>
              <w:t>21,157</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9DEC622" w14:textId="77777777" w:rsidR="00FA5543" w:rsidRPr="00F66162" w:rsidRDefault="32ABF7D9" w:rsidP="00390489">
            <w:pPr>
              <w:spacing w:before="0" w:after="0"/>
              <w:jc w:val="right"/>
              <w:rPr>
                <w:b/>
                <w:bCs/>
                <w:noProof/>
                <w:color w:val="000000"/>
                <w:sz w:val="20"/>
                <w:szCs w:val="20"/>
              </w:rPr>
            </w:pPr>
            <w:r w:rsidRPr="00F66162">
              <w:rPr>
                <w:b/>
                <w:noProof/>
                <w:color w:val="000000" w:themeColor="text1"/>
                <w:sz w:val="20"/>
              </w:rPr>
              <w:t>32,090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263EAFB" w14:textId="77777777" w:rsidR="00FA5543" w:rsidRPr="00F66162" w:rsidRDefault="32ABF7D9" w:rsidP="00390489">
            <w:pPr>
              <w:spacing w:before="0" w:after="0"/>
              <w:jc w:val="right"/>
              <w:rPr>
                <w:b/>
                <w:bCs/>
                <w:noProof/>
                <w:color w:val="000000"/>
                <w:sz w:val="20"/>
                <w:szCs w:val="20"/>
              </w:rPr>
            </w:pPr>
            <w:r w:rsidRPr="00F66162">
              <w:rPr>
                <w:b/>
                <w:noProof/>
                <w:color w:val="000000" w:themeColor="text1"/>
                <w:sz w:val="20"/>
              </w:rPr>
              <w:t>33,067</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3E3A76DA" w14:textId="77777777" w:rsidR="00FA5543" w:rsidRPr="00F66162" w:rsidRDefault="32ABF7D9" w:rsidP="00390489">
            <w:pPr>
              <w:spacing w:before="0" w:after="0"/>
              <w:jc w:val="right"/>
              <w:rPr>
                <w:b/>
                <w:bCs/>
                <w:noProof/>
                <w:color w:val="000000"/>
                <w:sz w:val="20"/>
                <w:szCs w:val="20"/>
              </w:rPr>
            </w:pPr>
            <w:r w:rsidRPr="00F66162">
              <w:rPr>
                <w:b/>
                <w:noProof/>
                <w:color w:val="000000" w:themeColor="text1"/>
                <w:sz w:val="20"/>
              </w:rPr>
              <w:t>103,844</w:t>
            </w:r>
          </w:p>
        </w:tc>
      </w:tr>
    </w:tbl>
    <w:p w14:paraId="489701C1" w14:textId="77777777" w:rsidR="00FA5543" w:rsidRPr="00F66162" w:rsidRDefault="00FA5543" w:rsidP="00390489">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2601"/>
        <w:gridCol w:w="629"/>
        <w:gridCol w:w="632"/>
        <w:gridCol w:w="1053"/>
        <w:gridCol w:w="1049"/>
        <w:gridCol w:w="1057"/>
        <w:gridCol w:w="1053"/>
        <w:gridCol w:w="1300"/>
      </w:tblGrid>
      <w:tr w:rsidR="00FA5543" w:rsidRPr="00F66162" w14:paraId="78A1F559" w14:textId="77777777" w:rsidTr="139DF8FE">
        <w:trPr>
          <w:jc w:val="center"/>
        </w:trPr>
        <w:tc>
          <w:tcPr>
            <w:tcW w:w="1739" w:type="pct"/>
            <w:shd w:val="clear" w:color="auto" w:fill="auto"/>
            <w:vAlign w:val="center"/>
          </w:tcPr>
          <w:p w14:paraId="642B32D6" w14:textId="77777777" w:rsidR="00FA5543" w:rsidRPr="00F66162" w:rsidRDefault="00FA5543" w:rsidP="00390489">
            <w:pPr>
              <w:spacing w:before="60" w:after="60"/>
              <w:jc w:val="center"/>
              <w:rPr>
                <w:b/>
                <w:noProof/>
              </w:rPr>
            </w:pPr>
            <w:r w:rsidRPr="00F66162">
              <w:rPr>
                <w:noProof/>
              </w:rPr>
              <w:br w:type="page"/>
            </w:r>
            <w:r w:rsidRPr="00F66162">
              <w:rPr>
                <w:b/>
                <w:noProof/>
                <w:sz w:val="22"/>
              </w:rPr>
              <w:t xml:space="preserve">Dział wieloletnich ram finansowych </w:t>
            </w:r>
          </w:p>
        </w:tc>
        <w:tc>
          <w:tcPr>
            <w:tcW w:w="396" w:type="pct"/>
            <w:shd w:val="clear" w:color="auto" w:fill="auto"/>
            <w:vAlign w:val="center"/>
          </w:tcPr>
          <w:p w14:paraId="684A20E5" w14:textId="77777777" w:rsidR="00FA5543" w:rsidRPr="00F66162" w:rsidRDefault="00FA5543" w:rsidP="00390489">
            <w:pPr>
              <w:spacing w:before="60" w:after="60"/>
              <w:jc w:val="center"/>
              <w:rPr>
                <w:noProof/>
              </w:rPr>
            </w:pPr>
            <w:r w:rsidRPr="00F66162">
              <w:rPr>
                <w:b/>
                <w:noProof/>
                <w:sz w:val="22"/>
              </w:rPr>
              <w:t>7</w:t>
            </w:r>
          </w:p>
        </w:tc>
        <w:tc>
          <w:tcPr>
            <w:tcW w:w="2865" w:type="pct"/>
            <w:gridSpan w:val="7"/>
            <w:vAlign w:val="center"/>
          </w:tcPr>
          <w:p w14:paraId="7EDCD345" w14:textId="77777777" w:rsidR="00FA5543" w:rsidRPr="00F66162" w:rsidRDefault="6C3AF1E0" w:rsidP="00390489">
            <w:pPr>
              <w:spacing w:before="60" w:after="60"/>
              <w:rPr>
                <w:noProof/>
              </w:rPr>
            </w:pPr>
            <w:r w:rsidRPr="00F66162">
              <w:rPr>
                <w:noProof/>
                <w:sz w:val="22"/>
              </w:rPr>
              <w:t>„Wydatki administracyjne”</w:t>
            </w:r>
            <w:r w:rsidRPr="00F66162">
              <w:rPr>
                <w:rStyle w:val="Odwoanieprzypisudolnego"/>
                <w:noProof/>
                <w:sz w:val="22"/>
              </w:rPr>
              <w:footnoteReference w:id="25"/>
            </w:r>
          </w:p>
        </w:tc>
      </w:tr>
      <w:tr w:rsidR="00FA5543" w:rsidRPr="00F66162" w14:paraId="5A3B5CB2" w14:textId="77777777" w:rsidTr="139DF8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862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84E5E20" w14:textId="77777777" w:rsidR="00FA5543" w:rsidRPr="00F66162" w:rsidRDefault="6C3AF1E0" w:rsidP="139DF8FE">
            <w:pPr>
              <w:spacing w:before="0" w:after="0"/>
              <w:jc w:val="center"/>
              <w:rPr>
                <w:noProof/>
                <w:color w:val="000000"/>
              </w:rPr>
            </w:pPr>
            <w:r w:rsidRPr="00F66162">
              <w:rPr>
                <w:noProof/>
                <w:color w:val="000000" w:themeColor="text1"/>
              </w:rPr>
              <w:t>Dyrekcja Generalna: TAXUD</w:t>
            </w:r>
          </w:p>
        </w:tc>
        <w:tc>
          <w:tcPr>
            <w:tcW w:w="1069" w:type="dxa"/>
            <w:tcBorders>
              <w:top w:val="single" w:sz="8" w:space="0" w:color="auto"/>
              <w:left w:val="nil"/>
              <w:bottom w:val="nil"/>
              <w:right w:val="single" w:sz="8" w:space="0" w:color="auto"/>
            </w:tcBorders>
            <w:shd w:val="clear" w:color="auto" w:fill="auto"/>
            <w:vAlign w:val="center"/>
            <w:hideMark/>
          </w:tcPr>
          <w:p w14:paraId="717DE922"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065" w:type="dxa"/>
            <w:tcBorders>
              <w:top w:val="single" w:sz="8" w:space="0" w:color="auto"/>
              <w:left w:val="nil"/>
              <w:bottom w:val="nil"/>
              <w:right w:val="single" w:sz="8" w:space="0" w:color="auto"/>
            </w:tcBorders>
            <w:shd w:val="clear" w:color="auto" w:fill="auto"/>
            <w:vAlign w:val="center"/>
            <w:hideMark/>
          </w:tcPr>
          <w:p w14:paraId="0665B2C5"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073" w:type="dxa"/>
            <w:tcBorders>
              <w:top w:val="single" w:sz="8" w:space="0" w:color="auto"/>
              <w:left w:val="nil"/>
              <w:bottom w:val="nil"/>
              <w:right w:val="single" w:sz="8" w:space="0" w:color="auto"/>
            </w:tcBorders>
            <w:shd w:val="clear" w:color="auto" w:fill="auto"/>
            <w:vAlign w:val="center"/>
            <w:hideMark/>
          </w:tcPr>
          <w:p w14:paraId="0687D4F6"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069" w:type="dxa"/>
            <w:tcBorders>
              <w:top w:val="single" w:sz="8" w:space="0" w:color="auto"/>
              <w:left w:val="nil"/>
              <w:bottom w:val="nil"/>
              <w:right w:val="single" w:sz="8" w:space="0" w:color="auto"/>
            </w:tcBorders>
            <w:shd w:val="clear" w:color="auto" w:fill="auto"/>
            <w:vAlign w:val="center"/>
            <w:hideMark/>
          </w:tcPr>
          <w:p w14:paraId="240186FC"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32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69A42C10"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 xml:space="preserve">OGÓŁEM </w:t>
            </w:r>
            <w:r w:rsidRPr="00F66162">
              <w:rPr>
                <w:b/>
                <w:noProof/>
                <w:color w:val="000000"/>
                <w:sz w:val="20"/>
              </w:rPr>
              <w:lastRenderedPageBreak/>
              <w:t>WRF 2021–2027</w:t>
            </w:r>
          </w:p>
        </w:tc>
      </w:tr>
      <w:tr w:rsidR="00FA5543" w:rsidRPr="00F66162" w14:paraId="68B85E10" w14:textId="77777777" w:rsidTr="139DF8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24" w:type="dxa"/>
            <w:gridSpan w:val="4"/>
            <w:vMerge/>
            <w:vAlign w:val="center"/>
            <w:hideMark/>
          </w:tcPr>
          <w:p w14:paraId="325FEE4F" w14:textId="77777777" w:rsidR="00FA5543" w:rsidRPr="00F66162" w:rsidRDefault="00FA5543" w:rsidP="00390489">
            <w:pPr>
              <w:spacing w:before="0" w:after="0"/>
              <w:jc w:val="left"/>
              <w:rPr>
                <w:noProof/>
                <w:color w:val="000000"/>
                <w:szCs w:val="24"/>
                <w:lang w:eastAsia="en-IE"/>
              </w:rPr>
            </w:pPr>
          </w:p>
        </w:tc>
        <w:tc>
          <w:tcPr>
            <w:tcW w:w="1069" w:type="dxa"/>
            <w:tcBorders>
              <w:top w:val="nil"/>
              <w:left w:val="nil"/>
              <w:bottom w:val="single" w:sz="8" w:space="0" w:color="auto"/>
              <w:right w:val="single" w:sz="8" w:space="0" w:color="auto"/>
            </w:tcBorders>
            <w:shd w:val="clear" w:color="auto" w:fill="auto"/>
            <w:vAlign w:val="center"/>
            <w:hideMark/>
          </w:tcPr>
          <w:p w14:paraId="254617C8"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1065" w:type="dxa"/>
            <w:tcBorders>
              <w:top w:val="nil"/>
              <w:left w:val="nil"/>
              <w:bottom w:val="single" w:sz="8" w:space="0" w:color="auto"/>
              <w:right w:val="single" w:sz="8" w:space="0" w:color="auto"/>
            </w:tcBorders>
            <w:shd w:val="clear" w:color="auto" w:fill="auto"/>
            <w:vAlign w:val="center"/>
            <w:hideMark/>
          </w:tcPr>
          <w:p w14:paraId="0D0B0749"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1073" w:type="dxa"/>
            <w:tcBorders>
              <w:top w:val="nil"/>
              <w:left w:val="nil"/>
              <w:bottom w:val="single" w:sz="8" w:space="0" w:color="auto"/>
              <w:right w:val="single" w:sz="8" w:space="0" w:color="auto"/>
            </w:tcBorders>
            <w:shd w:val="clear" w:color="auto" w:fill="auto"/>
            <w:vAlign w:val="center"/>
            <w:hideMark/>
          </w:tcPr>
          <w:p w14:paraId="7B2334C3"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1069" w:type="dxa"/>
            <w:tcBorders>
              <w:top w:val="nil"/>
              <w:left w:val="nil"/>
              <w:bottom w:val="single" w:sz="8" w:space="0" w:color="auto"/>
              <w:right w:val="single" w:sz="8" w:space="0" w:color="auto"/>
            </w:tcBorders>
            <w:shd w:val="clear" w:color="auto" w:fill="auto"/>
            <w:vAlign w:val="center"/>
            <w:hideMark/>
          </w:tcPr>
          <w:p w14:paraId="10AC145B"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c>
          <w:tcPr>
            <w:tcW w:w="1320" w:type="dxa"/>
            <w:vMerge/>
            <w:vAlign w:val="center"/>
            <w:hideMark/>
          </w:tcPr>
          <w:p w14:paraId="34958FBF" w14:textId="77777777" w:rsidR="00FA5543" w:rsidRPr="00F66162" w:rsidRDefault="00FA5543" w:rsidP="00390489">
            <w:pPr>
              <w:spacing w:before="0" w:after="0"/>
              <w:jc w:val="left"/>
              <w:rPr>
                <w:b/>
                <w:bCs/>
                <w:noProof/>
                <w:color w:val="000000"/>
                <w:sz w:val="20"/>
                <w:szCs w:val="20"/>
                <w:lang w:eastAsia="en-IE"/>
              </w:rPr>
            </w:pPr>
          </w:p>
        </w:tc>
      </w:tr>
      <w:tr w:rsidR="00FA5543" w:rsidRPr="00F66162" w14:paraId="3371347C" w14:textId="77777777" w:rsidTr="139DF8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24"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3FD7730" w14:textId="77777777" w:rsidR="00FA5543" w:rsidRPr="00F66162" w:rsidRDefault="00FA5543" w:rsidP="00390489">
            <w:pPr>
              <w:spacing w:before="0" w:after="0"/>
              <w:jc w:val="left"/>
              <w:rPr>
                <w:rFonts w:ascii="Wingdings" w:hAnsi="Wingdings" w:cs="Calibri"/>
                <w:noProof/>
                <w:color w:val="000000"/>
                <w:sz w:val="22"/>
              </w:rPr>
            </w:pPr>
            <w:r w:rsidRPr="00F66162">
              <w:rPr>
                <w:rFonts w:ascii="Wingdings" w:hAnsi="Wingdings"/>
                <w:noProof/>
                <w:color w:val="000000"/>
                <w:sz w:val="22"/>
              </w:rPr>
              <w:t></w:t>
            </w:r>
            <w:r w:rsidRPr="00F66162">
              <w:rPr>
                <w:noProof/>
              </w:rPr>
              <w:t xml:space="preserve"> Zasoby ludzkie</w:t>
            </w:r>
            <w:r w:rsidRPr="00F66162">
              <w:rPr>
                <w:noProof/>
                <w:color w:val="000000"/>
                <w:sz w:val="22"/>
              </w:rPr>
              <w:t xml:space="preserve"> </w:t>
            </w:r>
          </w:p>
        </w:tc>
        <w:tc>
          <w:tcPr>
            <w:tcW w:w="1069" w:type="dxa"/>
            <w:tcBorders>
              <w:top w:val="nil"/>
              <w:left w:val="nil"/>
              <w:bottom w:val="single" w:sz="8" w:space="0" w:color="auto"/>
              <w:right w:val="single" w:sz="8" w:space="0" w:color="auto"/>
            </w:tcBorders>
            <w:shd w:val="clear" w:color="auto" w:fill="D9D9D9" w:themeFill="background1" w:themeFillShade="D9"/>
            <w:vAlign w:val="center"/>
            <w:hideMark/>
          </w:tcPr>
          <w:p w14:paraId="2DD22B14" w14:textId="77777777" w:rsidR="00FA5543" w:rsidRPr="00F66162" w:rsidRDefault="1DF26445" w:rsidP="00390489">
            <w:pPr>
              <w:spacing w:before="0" w:after="0"/>
              <w:jc w:val="right"/>
              <w:rPr>
                <w:noProof/>
                <w:color w:val="000000"/>
                <w:sz w:val="20"/>
                <w:szCs w:val="20"/>
              </w:rPr>
            </w:pPr>
            <w:r w:rsidRPr="00F66162">
              <w:rPr>
                <w:noProof/>
                <w:color w:val="000000" w:themeColor="text1"/>
                <w:sz w:val="20"/>
              </w:rPr>
              <w:t>8,572</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72CB7268" w14:textId="77777777" w:rsidR="00FA5543" w:rsidRPr="00F66162" w:rsidRDefault="1DF26445" w:rsidP="00390489">
            <w:pPr>
              <w:spacing w:before="0" w:after="0"/>
              <w:jc w:val="right"/>
              <w:rPr>
                <w:noProof/>
                <w:color w:val="000000"/>
                <w:sz w:val="20"/>
                <w:szCs w:val="20"/>
              </w:rPr>
            </w:pPr>
            <w:r w:rsidRPr="00F66162">
              <w:rPr>
                <w:noProof/>
                <w:color w:val="000000" w:themeColor="text1"/>
                <w:sz w:val="20"/>
              </w:rPr>
              <w:t>6,271</w:t>
            </w:r>
          </w:p>
        </w:tc>
        <w:tc>
          <w:tcPr>
            <w:tcW w:w="1073" w:type="dxa"/>
            <w:tcBorders>
              <w:top w:val="nil"/>
              <w:left w:val="nil"/>
              <w:bottom w:val="single" w:sz="8" w:space="0" w:color="auto"/>
              <w:right w:val="single" w:sz="8" w:space="0" w:color="auto"/>
            </w:tcBorders>
            <w:shd w:val="clear" w:color="auto" w:fill="D9D9D9" w:themeFill="background1" w:themeFillShade="D9"/>
            <w:vAlign w:val="center"/>
            <w:hideMark/>
          </w:tcPr>
          <w:p w14:paraId="01F0FF50" w14:textId="77777777" w:rsidR="00FA5543" w:rsidRPr="00F66162" w:rsidRDefault="1DF26445" w:rsidP="00390489">
            <w:pPr>
              <w:spacing w:before="0" w:after="0"/>
              <w:jc w:val="right"/>
              <w:rPr>
                <w:noProof/>
                <w:color w:val="000000"/>
                <w:sz w:val="20"/>
                <w:szCs w:val="20"/>
              </w:rPr>
            </w:pPr>
            <w:r w:rsidRPr="00F66162">
              <w:rPr>
                <w:noProof/>
                <w:color w:val="000000" w:themeColor="text1"/>
                <w:sz w:val="20"/>
              </w:rPr>
              <w:t>8,740</w:t>
            </w:r>
          </w:p>
        </w:tc>
        <w:tc>
          <w:tcPr>
            <w:tcW w:w="1069" w:type="dxa"/>
            <w:tcBorders>
              <w:top w:val="nil"/>
              <w:left w:val="nil"/>
              <w:bottom w:val="single" w:sz="8" w:space="0" w:color="auto"/>
              <w:right w:val="single" w:sz="8" w:space="0" w:color="auto"/>
            </w:tcBorders>
            <w:shd w:val="clear" w:color="auto" w:fill="D9D9D9" w:themeFill="background1" w:themeFillShade="D9"/>
            <w:vAlign w:val="center"/>
            <w:hideMark/>
          </w:tcPr>
          <w:p w14:paraId="157F5989" w14:textId="77777777" w:rsidR="00FA5543" w:rsidRPr="00F66162" w:rsidRDefault="1DF26445" w:rsidP="00390489">
            <w:pPr>
              <w:spacing w:before="0" w:after="0"/>
              <w:jc w:val="right"/>
              <w:rPr>
                <w:noProof/>
                <w:color w:val="000000"/>
                <w:sz w:val="20"/>
                <w:szCs w:val="20"/>
              </w:rPr>
            </w:pPr>
            <w:r w:rsidRPr="00F66162">
              <w:rPr>
                <w:noProof/>
                <w:color w:val="000000" w:themeColor="text1"/>
                <w:sz w:val="20"/>
              </w:rPr>
              <w:t>11,700</w:t>
            </w:r>
          </w:p>
        </w:tc>
        <w:tc>
          <w:tcPr>
            <w:tcW w:w="1320" w:type="dxa"/>
            <w:tcBorders>
              <w:top w:val="nil"/>
              <w:left w:val="nil"/>
              <w:bottom w:val="single" w:sz="8" w:space="0" w:color="auto"/>
              <w:right w:val="single" w:sz="8" w:space="0" w:color="auto"/>
            </w:tcBorders>
            <w:shd w:val="clear" w:color="auto" w:fill="D9D9D9" w:themeFill="background1" w:themeFillShade="D9"/>
            <w:vAlign w:val="center"/>
            <w:hideMark/>
          </w:tcPr>
          <w:p w14:paraId="519A9C76" w14:textId="77777777" w:rsidR="00FA5543" w:rsidRPr="00F66162" w:rsidRDefault="1DF26445" w:rsidP="00390489">
            <w:pPr>
              <w:spacing w:before="0" w:after="0"/>
              <w:jc w:val="right"/>
              <w:rPr>
                <w:b/>
                <w:bCs/>
                <w:noProof/>
                <w:color w:val="000000"/>
                <w:sz w:val="20"/>
                <w:szCs w:val="20"/>
              </w:rPr>
            </w:pPr>
            <w:r w:rsidRPr="00F66162">
              <w:rPr>
                <w:b/>
                <w:noProof/>
                <w:color w:val="000000" w:themeColor="text1"/>
                <w:sz w:val="20"/>
              </w:rPr>
              <w:t>35,283</w:t>
            </w:r>
          </w:p>
        </w:tc>
      </w:tr>
      <w:tr w:rsidR="00FA5543" w:rsidRPr="00F66162" w14:paraId="77CE5FFC" w14:textId="77777777" w:rsidTr="139DF8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24"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18F735D1" w14:textId="77777777" w:rsidR="00FA5543" w:rsidRPr="00F66162" w:rsidRDefault="6C3AF1E0" w:rsidP="139DF8FE">
            <w:pPr>
              <w:spacing w:before="0" w:after="0"/>
              <w:jc w:val="left"/>
              <w:rPr>
                <w:rFonts w:ascii="Wingdings" w:hAnsi="Wingdings" w:cs="Calibri"/>
                <w:noProof/>
                <w:color w:val="000000"/>
                <w:sz w:val="22"/>
              </w:rPr>
            </w:pPr>
            <w:r w:rsidRPr="00F66162">
              <w:rPr>
                <w:rFonts w:ascii="Wingdings" w:hAnsi="Wingdings"/>
                <w:noProof/>
                <w:color w:val="000000" w:themeColor="text1"/>
                <w:sz w:val="22"/>
              </w:rPr>
              <w:t></w:t>
            </w:r>
            <w:r w:rsidRPr="00F66162">
              <w:rPr>
                <w:noProof/>
              </w:rPr>
              <w:t xml:space="preserve"> Inne wydatki administracyjne – podróże służbowe</w:t>
            </w:r>
          </w:p>
        </w:tc>
        <w:tc>
          <w:tcPr>
            <w:tcW w:w="1069" w:type="dxa"/>
            <w:tcBorders>
              <w:top w:val="nil"/>
              <w:left w:val="nil"/>
              <w:bottom w:val="single" w:sz="8" w:space="0" w:color="auto"/>
              <w:right w:val="single" w:sz="8" w:space="0" w:color="auto"/>
            </w:tcBorders>
            <w:shd w:val="clear" w:color="auto" w:fill="D9D9D9" w:themeFill="background1" w:themeFillShade="D9"/>
            <w:vAlign w:val="center"/>
            <w:hideMark/>
          </w:tcPr>
          <w:p w14:paraId="5ED85250" w14:textId="77777777" w:rsidR="00FA5543" w:rsidRPr="00F66162" w:rsidRDefault="6C3AF1E0" w:rsidP="00390489">
            <w:pPr>
              <w:spacing w:before="0" w:after="0"/>
              <w:jc w:val="right"/>
              <w:rPr>
                <w:noProof/>
                <w:color w:val="000000"/>
                <w:sz w:val="20"/>
                <w:szCs w:val="20"/>
              </w:rPr>
            </w:pPr>
            <w:r w:rsidRPr="00F66162">
              <w:rPr>
                <w:noProof/>
                <w:color w:val="000000" w:themeColor="text1"/>
                <w:sz w:val="20"/>
              </w:rPr>
              <w:t>0,600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2BDABA87" w14:textId="77777777" w:rsidR="00FA5543" w:rsidRPr="00F66162" w:rsidRDefault="6C3AF1E0" w:rsidP="00390489">
            <w:pPr>
              <w:spacing w:before="0" w:after="0"/>
              <w:jc w:val="right"/>
              <w:rPr>
                <w:noProof/>
                <w:color w:val="000000"/>
                <w:sz w:val="20"/>
                <w:szCs w:val="20"/>
              </w:rPr>
            </w:pPr>
            <w:r w:rsidRPr="00F66162">
              <w:rPr>
                <w:noProof/>
                <w:color w:val="000000" w:themeColor="text1"/>
                <w:sz w:val="20"/>
              </w:rPr>
              <w:t>0,300</w:t>
            </w:r>
          </w:p>
        </w:tc>
        <w:tc>
          <w:tcPr>
            <w:tcW w:w="1073" w:type="dxa"/>
            <w:tcBorders>
              <w:top w:val="nil"/>
              <w:left w:val="nil"/>
              <w:bottom w:val="single" w:sz="8" w:space="0" w:color="auto"/>
              <w:right w:val="single" w:sz="8" w:space="0" w:color="auto"/>
            </w:tcBorders>
            <w:shd w:val="clear" w:color="auto" w:fill="D9D9D9" w:themeFill="background1" w:themeFillShade="D9"/>
            <w:vAlign w:val="center"/>
            <w:hideMark/>
          </w:tcPr>
          <w:p w14:paraId="0132A35D" w14:textId="77777777" w:rsidR="00FA5543" w:rsidRPr="00F66162" w:rsidRDefault="6C3AF1E0" w:rsidP="00390489">
            <w:pPr>
              <w:spacing w:before="0" w:after="0"/>
              <w:jc w:val="right"/>
              <w:rPr>
                <w:noProof/>
                <w:color w:val="000000"/>
                <w:sz w:val="20"/>
                <w:szCs w:val="20"/>
              </w:rPr>
            </w:pPr>
            <w:r w:rsidRPr="00F66162">
              <w:rPr>
                <w:noProof/>
                <w:color w:val="000000" w:themeColor="text1"/>
                <w:sz w:val="20"/>
              </w:rPr>
              <w:t>0,306</w:t>
            </w:r>
          </w:p>
        </w:tc>
        <w:tc>
          <w:tcPr>
            <w:tcW w:w="1069" w:type="dxa"/>
            <w:tcBorders>
              <w:top w:val="nil"/>
              <w:left w:val="nil"/>
              <w:bottom w:val="single" w:sz="8" w:space="0" w:color="auto"/>
              <w:right w:val="single" w:sz="8" w:space="0" w:color="auto"/>
            </w:tcBorders>
            <w:shd w:val="clear" w:color="auto" w:fill="D9D9D9" w:themeFill="background1" w:themeFillShade="D9"/>
            <w:vAlign w:val="center"/>
            <w:hideMark/>
          </w:tcPr>
          <w:p w14:paraId="0EB1E3DB" w14:textId="77777777" w:rsidR="00FA5543" w:rsidRPr="00F66162" w:rsidRDefault="6C3AF1E0" w:rsidP="00390489">
            <w:pPr>
              <w:spacing w:before="0" w:after="0"/>
              <w:jc w:val="right"/>
              <w:rPr>
                <w:noProof/>
                <w:color w:val="000000"/>
                <w:sz w:val="20"/>
                <w:szCs w:val="20"/>
              </w:rPr>
            </w:pPr>
            <w:r w:rsidRPr="00F66162">
              <w:rPr>
                <w:noProof/>
                <w:color w:val="000000" w:themeColor="text1"/>
                <w:sz w:val="20"/>
              </w:rPr>
              <w:t>0,312</w:t>
            </w:r>
          </w:p>
        </w:tc>
        <w:tc>
          <w:tcPr>
            <w:tcW w:w="1320" w:type="dxa"/>
            <w:tcBorders>
              <w:top w:val="nil"/>
              <w:left w:val="nil"/>
              <w:bottom w:val="single" w:sz="8" w:space="0" w:color="auto"/>
              <w:right w:val="single" w:sz="8" w:space="0" w:color="auto"/>
            </w:tcBorders>
            <w:shd w:val="clear" w:color="auto" w:fill="D9D9D9" w:themeFill="background1" w:themeFillShade="D9"/>
            <w:vAlign w:val="center"/>
            <w:hideMark/>
          </w:tcPr>
          <w:p w14:paraId="597EFD75" w14:textId="77777777" w:rsidR="00FA5543" w:rsidRPr="00F66162" w:rsidRDefault="02ED9B49" w:rsidP="00390489">
            <w:pPr>
              <w:spacing w:before="0" w:after="0"/>
              <w:jc w:val="right"/>
              <w:rPr>
                <w:b/>
                <w:bCs/>
                <w:noProof/>
                <w:color w:val="000000"/>
                <w:sz w:val="20"/>
                <w:szCs w:val="20"/>
              </w:rPr>
            </w:pPr>
            <w:r w:rsidRPr="00F66162">
              <w:rPr>
                <w:b/>
                <w:noProof/>
                <w:color w:val="000000" w:themeColor="text1"/>
                <w:sz w:val="20"/>
              </w:rPr>
              <w:t>1,518</w:t>
            </w:r>
          </w:p>
        </w:tc>
      </w:tr>
      <w:tr w:rsidR="00FA5543" w:rsidRPr="00F66162" w14:paraId="4D738A88" w14:textId="77777777" w:rsidTr="139DF8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702" w:type="dxa"/>
            <w:tcBorders>
              <w:top w:val="nil"/>
              <w:left w:val="single" w:sz="8" w:space="0" w:color="auto"/>
              <w:bottom w:val="single" w:sz="8" w:space="0" w:color="auto"/>
              <w:right w:val="single" w:sz="8" w:space="0" w:color="auto"/>
            </w:tcBorders>
            <w:shd w:val="clear" w:color="auto" w:fill="auto"/>
            <w:vAlign w:val="center"/>
            <w:hideMark/>
          </w:tcPr>
          <w:p w14:paraId="43452D0D" w14:textId="77777777" w:rsidR="00FA5543" w:rsidRPr="00F66162" w:rsidRDefault="6C3AF1E0" w:rsidP="139DF8FE">
            <w:pPr>
              <w:spacing w:before="0" w:after="0"/>
              <w:jc w:val="center"/>
              <w:rPr>
                <w:b/>
                <w:bCs/>
                <w:noProof/>
                <w:color w:val="000000"/>
                <w:sz w:val="22"/>
              </w:rPr>
            </w:pPr>
            <w:r w:rsidRPr="00F66162">
              <w:rPr>
                <w:b/>
                <w:noProof/>
                <w:color w:val="000000" w:themeColor="text1"/>
                <w:sz w:val="22"/>
              </w:rPr>
              <w:t>OGÓŁEM DG TAXUD</w:t>
            </w:r>
          </w:p>
        </w:tc>
        <w:tc>
          <w:tcPr>
            <w:tcW w:w="3922" w:type="dxa"/>
            <w:gridSpan w:val="3"/>
            <w:tcBorders>
              <w:top w:val="single" w:sz="8" w:space="0" w:color="auto"/>
              <w:left w:val="nil"/>
              <w:bottom w:val="single" w:sz="8" w:space="0" w:color="auto"/>
              <w:right w:val="single" w:sz="8" w:space="0" w:color="auto"/>
            </w:tcBorders>
            <w:shd w:val="clear" w:color="auto" w:fill="auto"/>
            <w:vAlign w:val="center"/>
            <w:hideMark/>
          </w:tcPr>
          <w:p w14:paraId="4FDE11C8" w14:textId="77777777" w:rsidR="00FA5543" w:rsidRPr="00F66162" w:rsidRDefault="00FA5543" w:rsidP="00390489">
            <w:pPr>
              <w:spacing w:before="0" w:after="0"/>
              <w:jc w:val="left"/>
              <w:rPr>
                <w:noProof/>
                <w:color w:val="000000"/>
                <w:sz w:val="18"/>
                <w:szCs w:val="18"/>
              </w:rPr>
            </w:pPr>
            <w:r w:rsidRPr="00F66162">
              <w:rPr>
                <w:noProof/>
                <w:color w:val="000000"/>
                <w:sz w:val="18"/>
              </w:rPr>
              <w:t xml:space="preserve">Środki </w:t>
            </w:r>
          </w:p>
        </w:tc>
        <w:tc>
          <w:tcPr>
            <w:tcW w:w="1069" w:type="dxa"/>
            <w:tcBorders>
              <w:top w:val="nil"/>
              <w:left w:val="nil"/>
              <w:bottom w:val="single" w:sz="8" w:space="0" w:color="auto"/>
              <w:right w:val="single" w:sz="8" w:space="0" w:color="auto"/>
            </w:tcBorders>
            <w:shd w:val="clear" w:color="auto" w:fill="D9D9D9" w:themeFill="background1" w:themeFillShade="D9"/>
            <w:vAlign w:val="center"/>
            <w:hideMark/>
          </w:tcPr>
          <w:p w14:paraId="155CF921" w14:textId="77777777" w:rsidR="00FA5543" w:rsidRPr="00F66162" w:rsidRDefault="0305EE9A" w:rsidP="00390489">
            <w:pPr>
              <w:spacing w:before="0" w:after="0"/>
              <w:jc w:val="right"/>
              <w:rPr>
                <w:b/>
                <w:bCs/>
                <w:noProof/>
                <w:color w:val="000000"/>
                <w:sz w:val="20"/>
                <w:szCs w:val="20"/>
              </w:rPr>
            </w:pPr>
            <w:r w:rsidRPr="00F66162">
              <w:rPr>
                <w:b/>
                <w:noProof/>
                <w:color w:val="000000" w:themeColor="text1"/>
                <w:sz w:val="20"/>
              </w:rPr>
              <w:t>9,172</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2ACE27CE" w14:textId="77777777" w:rsidR="00FA5543" w:rsidRPr="00F66162" w:rsidRDefault="0305EE9A" w:rsidP="00390489">
            <w:pPr>
              <w:spacing w:before="0" w:after="0"/>
              <w:jc w:val="right"/>
              <w:rPr>
                <w:b/>
                <w:bCs/>
                <w:noProof/>
                <w:color w:val="000000"/>
                <w:sz w:val="20"/>
                <w:szCs w:val="20"/>
              </w:rPr>
            </w:pPr>
            <w:r w:rsidRPr="00F66162">
              <w:rPr>
                <w:b/>
                <w:noProof/>
                <w:color w:val="000000" w:themeColor="text1"/>
                <w:sz w:val="20"/>
              </w:rPr>
              <w:t>6,571</w:t>
            </w:r>
          </w:p>
        </w:tc>
        <w:tc>
          <w:tcPr>
            <w:tcW w:w="1073" w:type="dxa"/>
            <w:tcBorders>
              <w:top w:val="nil"/>
              <w:left w:val="nil"/>
              <w:bottom w:val="single" w:sz="8" w:space="0" w:color="auto"/>
              <w:right w:val="single" w:sz="8" w:space="0" w:color="auto"/>
            </w:tcBorders>
            <w:shd w:val="clear" w:color="auto" w:fill="D9D9D9" w:themeFill="background1" w:themeFillShade="D9"/>
            <w:vAlign w:val="center"/>
            <w:hideMark/>
          </w:tcPr>
          <w:p w14:paraId="41D9C1E2" w14:textId="77777777" w:rsidR="00FA5543" w:rsidRPr="00F66162" w:rsidRDefault="470C0AED" w:rsidP="00390489">
            <w:pPr>
              <w:spacing w:before="0" w:after="0"/>
              <w:jc w:val="right"/>
              <w:rPr>
                <w:b/>
                <w:bCs/>
                <w:noProof/>
                <w:color w:val="000000"/>
                <w:sz w:val="20"/>
                <w:szCs w:val="20"/>
              </w:rPr>
            </w:pPr>
            <w:r w:rsidRPr="00F66162">
              <w:rPr>
                <w:b/>
                <w:noProof/>
                <w:color w:val="000000" w:themeColor="text1"/>
                <w:sz w:val="20"/>
              </w:rPr>
              <w:t>9,046</w:t>
            </w:r>
          </w:p>
        </w:tc>
        <w:tc>
          <w:tcPr>
            <w:tcW w:w="1069" w:type="dxa"/>
            <w:tcBorders>
              <w:top w:val="nil"/>
              <w:left w:val="nil"/>
              <w:bottom w:val="single" w:sz="8" w:space="0" w:color="auto"/>
              <w:right w:val="single" w:sz="8" w:space="0" w:color="auto"/>
            </w:tcBorders>
            <w:shd w:val="clear" w:color="auto" w:fill="D9D9D9" w:themeFill="background1" w:themeFillShade="D9"/>
            <w:vAlign w:val="center"/>
            <w:hideMark/>
          </w:tcPr>
          <w:p w14:paraId="59EFCFD8" w14:textId="77777777" w:rsidR="00FA5543" w:rsidRPr="00F66162" w:rsidRDefault="470C0AED" w:rsidP="00390489">
            <w:pPr>
              <w:spacing w:before="0" w:after="0"/>
              <w:jc w:val="right"/>
              <w:rPr>
                <w:b/>
                <w:bCs/>
                <w:noProof/>
                <w:color w:val="000000"/>
                <w:sz w:val="20"/>
                <w:szCs w:val="20"/>
              </w:rPr>
            </w:pPr>
            <w:r w:rsidRPr="00F66162">
              <w:rPr>
                <w:b/>
                <w:noProof/>
                <w:color w:val="000000" w:themeColor="text1"/>
                <w:sz w:val="20"/>
              </w:rPr>
              <w:t>12,012</w:t>
            </w:r>
          </w:p>
        </w:tc>
        <w:tc>
          <w:tcPr>
            <w:tcW w:w="1320" w:type="dxa"/>
            <w:tcBorders>
              <w:top w:val="nil"/>
              <w:left w:val="nil"/>
              <w:bottom w:val="single" w:sz="8" w:space="0" w:color="auto"/>
              <w:right w:val="single" w:sz="8" w:space="0" w:color="auto"/>
            </w:tcBorders>
            <w:shd w:val="clear" w:color="auto" w:fill="D9D9D9" w:themeFill="background1" w:themeFillShade="D9"/>
            <w:vAlign w:val="center"/>
            <w:hideMark/>
          </w:tcPr>
          <w:p w14:paraId="60057C04" w14:textId="77777777" w:rsidR="00FA5543" w:rsidRPr="00F66162" w:rsidRDefault="470C0AED" w:rsidP="00390489">
            <w:pPr>
              <w:spacing w:before="0" w:after="0"/>
              <w:jc w:val="right"/>
              <w:rPr>
                <w:b/>
                <w:bCs/>
                <w:noProof/>
                <w:color w:val="000000"/>
                <w:sz w:val="20"/>
                <w:szCs w:val="20"/>
              </w:rPr>
            </w:pPr>
            <w:r w:rsidRPr="00F66162">
              <w:rPr>
                <w:b/>
                <w:noProof/>
                <w:color w:val="000000" w:themeColor="text1"/>
                <w:sz w:val="20"/>
              </w:rPr>
              <w:t>36,801</w:t>
            </w:r>
          </w:p>
        </w:tc>
      </w:tr>
      <w:tr w:rsidR="00FA5543" w:rsidRPr="00F66162" w14:paraId="194DE580" w14:textId="77777777" w:rsidTr="139DF8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702" w:type="dxa"/>
            <w:tcBorders>
              <w:top w:val="nil"/>
              <w:left w:val="nil"/>
              <w:bottom w:val="nil"/>
              <w:right w:val="nil"/>
            </w:tcBorders>
            <w:shd w:val="clear" w:color="auto" w:fill="auto"/>
            <w:noWrap/>
            <w:vAlign w:val="bottom"/>
            <w:hideMark/>
          </w:tcPr>
          <w:p w14:paraId="64965E84" w14:textId="77777777" w:rsidR="00FA5543" w:rsidRPr="00F66162" w:rsidRDefault="00FA5543" w:rsidP="00390489">
            <w:pPr>
              <w:spacing w:before="0" w:after="0"/>
              <w:jc w:val="right"/>
              <w:rPr>
                <w:b/>
                <w:bCs/>
                <w:noProof/>
                <w:color w:val="000000"/>
                <w:sz w:val="20"/>
                <w:szCs w:val="20"/>
                <w:lang w:eastAsia="en-IE"/>
              </w:rPr>
            </w:pPr>
          </w:p>
        </w:tc>
        <w:tc>
          <w:tcPr>
            <w:tcW w:w="2645" w:type="dxa"/>
            <w:tcBorders>
              <w:top w:val="nil"/>
              <w:left w:val="nil"/>
              <w:bottom w:val="nil"/>
              <w:right w:val="nil"/>
            </w:tcBorders>
            <w:shd w:val="clear" w:color="auto" w:fill="auto"/>
            <w:noWrap/>
            <w:vAlign w:val="bottom"/>
            <w:hideMark/>
          </w:tcPr>
          <w:p w14:paraId="77B4E95B" w14:textId="77777777" w:rsidR="00FA5543" w:rsidRPr="00F66162" w:rsidRDefault="00FA5543" w:rsidP="00390489">
            <w:pPr>
              <w:spacing w:before="0" w:after="0"/>
              <w:jc w:val="left"/>
              <w:rPr>
                <w:noProof/>
                <w:sz w:val="20"/>
                <w:szCs w:val="20"/>
                <w:lang w:eastAsia="en-IE"/>
              </w:rPr>
            </w:pPr>
          </w:p>
        </w:tc>
        <w:tc>
          <w:tcPr>
            <w:tcW w:w="637" w:type="dxa"/>
            <w:tcBorders>
              <w:top w:val="nil"/>
              <w:left w:val="nil"/>
              <w:bottom w:val="nil"/>
              <w:right w:val="nil"/>
            </w:tcBorders>
            <w:shd w:val="clear" w:color="auto" w:fill="auto"/>
            <w:noWrap/>
            <w:vAlign w:val="bottom"/>
            <w:hideMark/>
          </w:tcPr>
          <w:p w14:paraId="72694E7A" w14:textId="77777777" w:rsidR="00FA5543" w:rsidRPr="00F66162" w:rsidRDefault="00FA5543" w:rsidP="00390489">
            <w:pPr>
              <w:spacing w:before="0" w:after="0"/>
              <w:jc w:val="left"/>
              <w:rPr>
                <w:noProof/>
                <w:sz w:val="20"/>
                <w:szCs w:val="20"/>
                <w:lang w:eastAsia="en-IE"/>
              </w:rPr>
            </w:pPr>
          </w:p>
        </w:tc>
        <w:tc>
          <w:tcPr>
            <w:tcW w:w="640" w:type="dxa"/>
            <w:tcBorders>
              <w:top w:val="nil"/>
              <w:left w:val="nil"/>
              <w:bottom w:val="nil"/>
              <w:right w:val="nil"/>
            </w:tcBorders>
            <w:shd w:val="clear" w:color="auto" w:fill="auto"/>
            <w:noWrap/>
            <w:vAlign w:val="bottom"/>
            <w:hideMark/>
          </w:tcPr>
          <w:p w14:paraId="4CF4996D" w14:textId="77777777" w:rsidR="00FA5543" w:rsidRPr="00F66162" w:rsidRDefault="00FA5543" w:rsidP="00390489">
            <w:pPr>
              <w:spacing w:before="0" w:after="0"/>
              <w:jc w:val="left"/>
              <w:rPr>
                <w:noProof/>
                <w:sz w:val="20"/>
                <w:szCs w:val="20"/>
                <w:lang w:eastAsia="en-IE"/>
              </w:rPr>
            </w:pPr>
          </w:p>
        </w:tc>
        <w:tc>
          <w:tcPr>
            <w:tcW w:w="1069" w:type="dxa"/>
            <w:tcBorders>
              <w:top w:val="nil"/>
              <w:left w:val="nil"/>
              <w:bottom w:val="nil"/>
              <w:right w:val="nil"/>
            </w:tcBorders>
            <w:shd w:val="clear" w:color="auto" w:fill="auto"/>
            <w:noWrap/>
            <w:vAlign w:val="bottom"/>
            <w:hideMark/>
          </w:tcPr>
          <w:p w14:paraId="5EAED538" w14:textId="77777777" w:rsidR="00FA5543" w:rsidRPr="00F66162" w:rsidRDefault="00FA5543" w:rsidP="00390489">
            <w:pPr>
              <w:spacing w:before="0" w:after="0"/>
              <w:jc w:val="left"/>
              <w:rPr>
                <w:noProof/>
                <w:sz w:val="20"/>
                <w:szCs w:val="20"/>
                <w:lang w:eastAsia="en-IE"/>
              </w:rPr>
            </w:pPr>
          </w:p>
        </w:tc>
        <w:tc>
          <w:tcPr>
            <w:tcW w:w="1065" w:type="dxa"/>
            <w:tcBorders>
              <w:top w:val="nil"/>
              <w:left w:val="nil"/>
              <w:bottom w:val="nil"/>
              <w:right w:val="nil"/>
            </w:tcBorders>
            <w:shd w:val="clear" w:color="auto" w:fill="auto"/>
            <w:noWrap/>
            <w:vAlign w:val="bottom"/>
            <w:hideMark/>
          </w:tcPr>
          <w:p w14:paraId="7436B163" w14:textId="77777777" w:rsidR="00FA5543" w:rsidRPr="00F66162" w:rsidRDefault="00FA5543" w:rsidP="00390489">
            <w:pPr>
              <w:spacing w:before="0" w:after="0"/>
              <w:jc w:val="left"/>
              <w:rPr>
                <w:noProof/>
                <w:sz w:val="20"/>
                <w:szCs w:val="20"/>
                <w:lang w:eastAsia="en-IE"/>
              </w:rPr>
            </w:pPr>
          </w:p>
        </w:tc>
        <w:tc>
          <w:tcPr>
            <w:tcW w:w="1073" w:type="dxa"/>
            <w:tcBorders>
              <w:top w:val="nil"/>
              <w:left w:val="nil"/>
              <w:bottom w:val="nil"/>
              <w:right w:val="nil"/>
            </w:tcBorders>
            <w:shd w:val="clear" w:color="auto" w:fill="auto"/>
            <w:noWrap/>
            <w:vAlign w:val="bottom"/>
            <w:hideMark/>
          </w:tcPr>
          <w:p w14:paraId="71402051" w14:textId="77777777" w:rsidR="00FA5543" w:rsidRPr="00F66162" w:rsidRDefault="00FA5543" w:rsidP="00390489">
            <w:pPr>
              <w:spacing w:before="0" w:after="0"/>
              <w:jc w:val="left"/>
              <w:rPr>
                <w:noProof/>
                <w:sz w:val="20"/>
                <w:szCs w:val="20"/>
                <w:lang w:eastAsia="en-IE"/>
              </w:rPr>
            </w:pPr>
          </w:p>
        </w:tc>
        <w:tc>
          <w:tcPr>
            <w:tcW w:w="1069" w:type="dxa"/>
            <w:tcBorders>
              <w:top w:val="nil"/>
              <w:left w:val="nil"/>
              <w:bottom w:val="nil"/>
              <w:right w:val="nil"/>
            </w:tcBorders>
            <w:shd w:val="clear" w:color="auto" w:fill="auto"/>
            <w:noWrap/>
            <w:vAlign w:val="bottom"/>
            <w:hideMark/>
          </w:tcPr>
          <w:p w14:paraId="4424BF48" w14:textId="77777777" w:rsidR="00FA5543" w:rsidRPr="00F66162" w:rsidRDefault="00FA5543" w:rsidP="00390489">
            <w:pPr>
              <w:spacing w:before="0" w:after="0"/>
              <w:jc w:val="left"/>
              <w:rPr>
                <w:noProof/>
                <w:sz w:val="20"/>
                <w:szCs w:val="20"/>
                <w:lang w:eastAsia="en-IE"/>
              </w:rPr>
            </w:pPr>
          </w:p>
        </w:tc>
        <w:tc>
          <w:tcPr>
            <w:tcW w:w="1320" w:type="dxa"/>
            <w:tcBorders>
              <w:top w:val="nil"/>
              <w:left w:val="nil"/>
              <w:bottom w:val="nil"/>
              <w:right w:val="nil"/>
            </w:tcBorders>
            <w:shd w:val="clear" w:color="auto" w:fill="auto"/>
            <w:noWrap/>
            <w:vAlign w:val="bottom"/>
            <w:hideMark/>
          </w:tcPr>
          <w:p w14:paraId="50CB10BC" w14:textId="77777777" w:rsidR="00FA5543" w:rsidRPr="00F66162" w:rsidRDefault="00FA5543" w:rsidP="00390489">
            <w:pPr>
              <w:spacing w:before="0" w:after="0"/>
              <w:jc w:val="left"/>
              <w:rPr>
                <w:noProof/>
                <w:sz w:val="20"/>
                <w:szCs w:val="20"/>
                <w:lang w:eastAsia="en-IE"/>
              </w:rPr>
            </w:pPr>
          </w:p>
        </w:tc>
      </w:tr>
      <w:tr w:rsidR="00FA5543" w:rsidRPr="00F66162" w14:paraId="7134A182" w14:textId="77777777" w:rsidTr="139DF8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702" w:type="dxa"/>
            <w:tcBorders>
              <w:top w:val="nil"/>
              <w:left w:val="nil"/>
              <w:bottom w:val="nil"/>
              <w:right w:val="nil"/>
            </w:tcBorders>
            <w:shd w:val="clear" w:color="auto" w:fill="auto"/>
            <w:noWrap/>
            <w:vAlign w:val="bottom"/>
            <w:hideMark/>
          </w:tcPr>
          <w:p w14:paraId="5C6A13E0" w14:textId="77777777" w:rsidR="00FA5543" w:rsidRPr="00F66162" w:rsidRDefault="00FA5543" w:rsidP="00390489">
            <w:pPr>
              <w:spacing w:before="0" w:after="0"/>
              <w:jc w:val="right"/>
              <w:rPr>
                <w:b/>
                <w:bCs/>
                <w:noProof/>
                <w:color w:val="000000"/>
                <w:sz w:val="20"/>
                <w:szCs w:val="20"/>
                <w:lang w:eastAsia="en-IE"/>
              </w:rPr>
            </w:pPr>
          </w:p>
        </w:tc>
        <w:tc>
          <w:tcPr>
            <w:tcW w:w="2645" w:type="dxa"/>
            <w:tcBorders>
              <w:top w:val="nil"/>
              <w:left w:val="nil"/>
              <w:bottom w:val="nil"/>
              <w:right w:val="nil"/>
            </w:tcBorders>
            <w:shd w:val="clear" w:color="auto" w:fill="auto"/>
            <w:noWrap/>
            <w:vAlign w:val="bottom"/>
            <w:hideMark/>
          </w:tcPr>
          <w:p w14:paraId="6C8950F0" w14:textId="77777777" w:rsidR="00FA5543" w:rsidRPr="00F66162" w:rsidRDefault="00FA5543" w:rsidP="00390489">
            <w:pPr>
              <w:spacing w:before="0" w:after="0"/>
              <w:jc w:val="left"/>
              <w:rPr>
                <w:noProof/>
                <w:sz w:val="20"/>
                <w:szCs w:val="20"/>
                <w:lang w:eastAsia="en-IE"/>
              </w:rPr>
            </w:pPr>
          </w:p>
        </w:tc>
        <w:tc>
          <w:tcPr>
            <w:tcW w:w="637" w:type="dxa"/>
            <w:tcBorders>
              <w:top w:val="nil"/>
              <w:left w:val="nil"/>
              <w:bottom w:val="nil"/>
              <w:right w:val="nil"/>
            </w:tcBorders>
            <w:shd w:val="clear" w:color="auto" w:fill="auto"/>
            <w:noWrap/>
            <w:vAlign w:val="bottom"/>
            <w:hideMark/>
          </w:tcPr>
          <w:p w14:paraId="6AF2FBD9" w14:textId="77777777" w:rsidR="00FA5543" w:rsidRPr="00F66162" w:rsidRDefault="00FA5543" w:rsidP="00390489">
            <w:pPr>
              <w:spacing w:before="0" w:after="0"/>
              <w:jc w:val="left"/>
              <w:rPr>
                <w:noProof/>
                <w:sz w:val="20"/>
                <w:szCs w:val="20"/>
                <w:lang w:eastAsia="en-IE"/>
              </w:rPr>
            </w:pPr>
          </w:p>
        </w:tc>
        <w:tc>
          <w:tcPr>
            <w:tcW w:w="640" w:type="dxa"/>
            <w:tcBorders>
              <w:top w:val="nil"/>
              <w:left w:val="nil"/>
              <w:bottom w:val="nil"/>
              <w:right w:val="nil"/>
            </w:tcBorders>
            <w:shd w:val="clear" w:color="auto" w:fill="auto"/>
            <w:noWrap/>
            <w:vAlign w:val="bottom"/>
            <w:hideMark/>
          </w:tcPr>
          <w:p w14:paraId="06B4ACFF" w14:textId="77777777" w:rsidR="00FA5543" w:rsidRPr="00F66162" w:rsidRDefault="00FA5543" w:rsidP="00390489">
            <w:pPr>
              <w:spacing w:before="0" w:after="0"/>
              <w:jc w:val="left"/>
              <w:rPr>
                <w:noProof/>
                <w:sz w:val="20"/>
                <w:szCs w:val="20"/>
                <w:lang w:eastAsia="en-IE"/>
              </w:rPr>
            </w:pPr>
          </w:p>
        </w:tc>
        <w:tc>
          <w:tcPr>
            <w:tcW w:w="1069" w:type="dxa"/>
            <w:tcBorders>
              <w:top w:val="nil"/>
              <w:left w:val="nil"/>
              <w:bottom w:val="nil"/>
              <w:right w:val="nil"/>
            </w:tcBorders>
            <w:shd w:val="clear" w:color="auto" w:fill="auto"/>
            <w:noWrap/>
            <w:vAlign w:val="bottom"/>
            <w:hideMark/>
          </w:tcPr>
          <w:p w14:paraId="5C5D5B2C" w14:textId="77777777" w:rsidR="00FA5543" w:rsidRPr="00F66162" w:rsidRDefault="00FA5543" w:rsidP="00390489">
            <w:pPr>
              <w:spacing w:before="0" w:after="0"/>
              <w:jc w:val="left"/>
              <w:rPr>
                <w:noProof/>
                <w:sz w:val="20"/>
                <w:szCs w:val="20"/>
                <w:lang w:eastAsia="en-IE"/>
              </w:rPr>
            </w:pPr>
          </w:p>
        </w:tc>
        <w:tc>
          <w:tcPr>
            <w:tcW w:w="1065" w:type="dxa"/>
            <w:tcBorders>
              <w:top w:val="nil"/>
              <w:left w:val="nil"/>
              <w:bottom w:val="nil"/>
              <w:right w:val="nil"/>
            </w:tcBorders>
            <w:shd w:val="clear" w:color="auto" w:fill="auto"/>
            <w:noWrap/>
            <w:vAlign w:val="bottom"/>
            <w:hideMark/>
          </w:tcPr>
          <w:p w14:paraId="047F8B18" w14:textId="77777777" w:rsidR="00FA5543" w:rsidRPr="00F66162" w:rsidRDefault="00FA5543" w:rsidP="00390489">
            <w:pPr>
              <w:spacing w:before="0" w:after="0"/>
              <w:jc w:val="left"/>
              <w:rPr>
                <w:noProof/>
                <w:sz w:val="20"/>
                <w:szCs w:val="20"/>
                <w:lang w:eastAsia="en-IE"/>
              </w:rPr>
            </w:pPr>
          </w:p>
        </w:tc>
        <w:tc>
          <w:tcPr>
            <w:tcW w:w="1073" w:type="dxa"/>
            <w:tcBorders>
              <w:top w:val="nil"/>
              <w:left w:val="nil"/>
              <w:bottom w:val="nil"/>
              <w:right w:val="nil"/>
            </w:tcBorders>
            <w:shd w:val="clear" w:color="auto" w:fill="auto"/>
            <w:noWrap/>
            <w:vAlign w:val="bottom"/>
            <w:hideMark/>
          </w:tcPr>
          <w:p w14:paraId="2C07BE9C" w14:textId="77777777" w:rsidR="00FA5543" w:rsidRPr="00F66162" w:rsidRDefault="00FA5543" w:rsidP="00390489">
            <w:pPr>
              <w:spacing w:before="0" w:after="0"/>
              <w:jc w:val="left"/>
              <w:rPr>
                <w:noProof/>
                <w:sz w:val="20"/>
                <w:szCs w:val="20"/>
                <w:lang w:eastAsia="en-IE"/>
              </w:rPr>
            </w:pPr>
          </w:p>
        </w:tc>
        <w:tc>
          <w:tcPr>
            <w:tcW w:w="1069" w:type="dxa"/>
            <w:tcBorders>
              <w:top w:val="nil"/>
              <w:left w:val="nil"/>
              <w:bottom w:val="nil"/>
              <w:right w:val="nil"/>
            </w:tcBorders>
            <w:shd w:val="clear" w:color="auto" w:fill="auto"/>
            <w:noWrap/>
            <w:vAlign w:val="bottom"/>
            <w:hideMark/>
          </w:tcPr>
          <w:p w14:paraId="40282490" w14:textId="77777777" w:rsidR="00FA5543" w:rsidRPr="00F66162" w:rsidRDefault="00FA5543" w:rsidP="00390489">
            <w:pPr>
              <w:spacing w:before="0" w:after="0"/>
              <w:jc w:val="left"/>
              <w:rPr>
                <w:noProof/>
                <w:sz w:val="20"/>
                <w:szCs w:val="20"/>
                <w:lang w:eastAsia="en-IE"/>
              </w:rPr>
            </w:pPr>
          </w:p>
        </w:tc>
        <w:tc>
          <w:tcPr>
            <w:tcW w:w="1320" w:type="dxa"/>
            <w:tcBorders>
              <w:top w:val="nil"/>
              <w:left w:val="nil"/>
              <w:bottom w:val="nil"/>
              <w:right w:val="nil"/>
            </w:tcBorders>
            <w:shd w:val="clear" w:color="auto" w:fill="auto"/>
            <w:noWrap/>
            <w:vAlign w:val="bottom"/>
            <w:hideMark/>
          </w:tcPr>
          <w:p w14:paraId="5F0F8380" w14:textId="77777777" w:rsidR="00FA5543" w:rsidRPr="00F66162" w:rsidRDefault="00FA5543" w:rsidP="00390489">
            <w:pPr>
              <w:spacing w:before="0" w:after="0"/>
              <w:jc w:val="left"/>
              <w:rPr>
                <w:noProof/>
                <w:sz w:val="20"/>
                <w:szCs w:val="20"/>
                <w:lang w:eastAsia="en-IE"/>
              </w:rPr>
            </w:pPr>
          </w:p>
        </w:tc>
      </w:tr>
      <w:tr w:rsidR="00FA5543" w:rsidRPr="00F66162" w14:paraId="35BA7AA2" w14:textId="77777777" w:rsidTr="139DF8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7347" w:type="dxa"/>
            <w:gridSpan w:val="2"/>
            <w:tcBorders>
              <w:top w:val="single" w:sz="8" w:space="0" w:color="auto"/>
              <w:left w:val="single" w:sz="8" w:space="0" w:color="auto"/>
              <w:bottom w:val="single" w:sz="8" w:space="0" w:color="auto"/>
              <w:right w:val="single" w:sz="8" w:space="0" w:color="auto"/>
            </w:tcBorders>
            <w:shd w:val="clear" w:color="auto" w:fill="F1F1F1"/>
            <w:vAlign w:val="center"/>
            <w:hideMark/>
          </w:tcPr>
          <w:p w14:paraId="0B24FA88" w14:textId="77777777" w:rsidR="00FA5543" w:rsidRPr="00F66162" w:rsidRDefault="00FA5543" w:rsidP="00390489">
            <w:pPr>
              <w:spacing w:before="0" w:after="0"/>
              <w:jc w:val="center"/>
              <w:rPr>
                <w:b/>
                <w:bCs/>
                <w:noProof/>
                <w:color w:val="000000"/>
                <w:sz w:val="22"/>
              </w:rPr>
            </w:pPr>
            <w:r w:rsidRPr="00F66162">
              <w:rPr>
                <w:b/>
                <w:noProof/>
                <w:color w:val="000000"/>
                <w:sz w:val="22"/>
              </w:rPr>
              <w:t xml:space="preserve">OGÓŁEM środki na DZIAŁ 7 wieloletnich ram finansowych </w:t>
            </w:r>
          </w:p>
        </w:tc>
        <w:tc>
          <w:tcPr>
            <w:tcW w:w="1277" w:type="dxa"/>
            <w:gridSpan w:val="2"/>
            <w:tcBorders>
              <w:top w:val="single" w:sz="8" w:space="0" w:color="auto"/>
              <w:left w:val="nil"/>
              <w:bottom w:val="single" w:sz="8" w:space="0" w:color="auto"/>
              <w:right w:val="single" w:sz="8" w:space="0" w:color="auto"/>
            </w:tcBorders>
            <w:shd w:val="clear" w:color="auto" w:fill="auto"/>
            <w:vAlign w:val="center"/>
            <w:hideMark/>
          </w:tcPr>
          <w:p w14:paraId="24ABE217" w14:textId="77777777" w:rsidR="00FA5543" w:rsidRPr="00F66162" w:rsidRDefault="00FA5543" w:rsidP="00390489">
            <w:pPr>
              <w:spacing w:before="0" w:after="0"/>
              <w:jc w:val="center"/>
              <w:rPr>
                <w:noProof/>
                <w:color w:val="000000"/>
                <w:sz w:val="18"/>
                <w:szCs w:val="18"/>
              </w:rPr>
            </w:pPr>
            <w:r w:rsidRPr="00F66162">
              <w:rPr>
                <w:noProof/>
                <w:color w:val="000000"/>
                <w:sz w:val="18"/>
              </w:rPr>
              <w:t>(Środki na zobowiązania ogółem = środki na płatności ogółem)</w:t>
            </w:r>
          </w:p>
        </w:tc>
        <w:tc>
          <w:tcPr>
            <w:tcW w:w="106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0D460C" w14:textId="77777777" w:rsidR="00FA5543" w:rsidRPr="00F66162" w:rsidRDefault="65A0933E" w:rsidP="00390489">
            <w:pPr>
              <w:spacing w:before="0" w:after="0"/>
              <w:jc w:val="right"/>
              <w:rPr>
                <w:b/>
                <w:bCs/>
                <w:noProof/>
                <w:color w:val="000000"/>
                <w:sz w:val="20"/>
                <w:szCs w:val="20"/>
              </w:rPr>
            </w:pPr>
            <w:r w:rsidRPr="00F66162">
              <w:rPr>
                <w:b/>
                <w:noProof/>
                <w:color w:val="000000" w:themeColor="text1"/>
                <w:sz w:val="20"/>
              </w:rPr>
              <w:t>9,172</w:t>
            </w:r>
          </w:p>
        </w:tc>
        <w:tc>
          <w:tcPr>
            <w:tcW w:w="106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5453552" w14:textId="77777777" w:rsidR="00FA5543" w:rsidRPr="00F66162" w:rsidRDefault="65A0933E" w:rsidP="00390489">
            <w:pPr>
              <w:spacing w:before="0" w:after="0"/>
              <w:jc w:val="right"/>
              <w:rPr>
                <w:b/>
                <w:bCs/>
                <w:noProof/>
                <w:color w:val="000000"/>
                <w:sz w:val="20"/>
                <w:szCs w:val="20"/>
              </w:rPr>
            </w:pPr>
            <w:r w:rsidRPr="00F66162">
              <w:rPr>
                <w:b/>
                <w:noProof/>
                <w:color w:val="000000" w:themeColor="text1"/>
                <w:sz w:val="20"/>
              </w:rPr>
              <w:t>6,571</w:t>
            </w:r>
          </w:p>
        </w:tc>
        <w:tc>
          <w:tcPr>
            <w:tcW w:w="107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B1B411C" w14:textId="77777777" w:rsidR="00FA5543" w:rsidRPr="00F66162" w:rsidRDefault="65A0933E" w:rsidP="00390489">
            <w:pPr>
              <w:spacing w:before="0" w:after="0"/>
              <w:jc w:val="right"/>
              <w:rPr>
                <w:b/>
                <w:bCs/>
                <w:noProof/>
                <w:color w:val="000000"/>
                <w:sz w:val="20"/>
                <w:szCs w:val="20"/>
              </w:rPr>
            </w:pPr>
            <w:r w:rsidRPr="00F66162">
              <w:rPr>
                <w:b/>
                <w:noProof/>
                <w:color w:val="000000" w:themeColor="text1"/>
                <w:sz w:val="20"/>
              </w:rPr>
              <w:t>9,046</w:t>
            </w:r>
          </w:p>
        </w:tc>
        <w:tc>
          <w:tcPr>
            <w:tcW w:w="106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F9DC377" w14:textId="77777777" w:rsidR="00FA5543" w:rsidRPr="00F66162" w:rsidRDefault="65A0933E" w:rsidP="00390489">
            <w:pPr>
              <w:spacing w:before="0" w:after="0"/>
              <w:jc w:val="right"/>
              <w:rPr>
                <w:b/>
                <w:bCs/>
                <w:noProof/>
                <w:color w:val="000000"/>
                <w:sz w:val="20"/>
                <w:szCs w:val="20"/>
              </w:rPr>
            </w:pPr>
            <w:r w:rsidRPr="00F66162">
              <w:rPr>
                <w:b/>
                <w:noProof/>
                <w:color w:val="000000" w:themeColor="text1"/>
                <w:sz w:val="20"/>
              </w:rPr>
              <w:t>12,012</w:t>
            </w:r>
          </w:p>
        </w:tc>
        <w:tc>
          <w:tcPr>
            <w:tcW w:w="13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605C1C" w14:textId="77777777" w:rsidR="00FA5543" w:rsidRPr="00F66162" w:rsidRDefault="65A0933E" w:rsidP="00390489">
            <w:pPr>
              <w:spacing w:before="0" w:after="0"/>
              <w:jc w:val="right"/>
              <w:rPr>
                <w:b/>
                <w:bCs/>
                <w:noProof/>
                <w:color w:val="000000"/>
                <w:sz w:val="20"/>
                <w:szCs w:val="20"/>
              </w:rPr>
            </w:pPr>
            <w:r w:rsidRPr="00F66162">
              <w:rPr>
                <w:b/>
                <w:noProof/>
                <w:color w:val="000000" w:themeColor="text1"/>
                <w:sz w:val="20"/>
              </w:rPr>
              <w:t>36,801</w:t>
            </w:r>
          </w:p>
        </w:tc>
      </w:tr>
    </w:tbl>
    <w:p w14:paraId="4DFF783C" w14:textId="77777777" w:rsidR="00FA5543" w:rsidRPr="00F66162" w:rsidRDefault="00FA5543" w:rsidP="00390489">
      <w:pPr>
        <w:jc w:val="right"/>
        <w:rPr>
          <w:noProof/>
          <w:sz w:val="20"/>
        </w:rPr>
      </w:pPr>
      <w:r w:rsidRPr="00F66162">
        <w:rPr>
          <w:noProof/>
          <w:sz w:val="20"/>
        </w:rPr>
        <w:t>w mln EUR (do trzech miejsc po przecinku)</w:t>
      </w:r>
    </w:p>
    <w:tbl>
      <w:tblPr>
        <w:tblW w:w="5000" w:type="pct"/>
        <w:tblLook w:val="04A0" w:firstRow="1" w:lastRow="0" w:firstColumn="1" w:lastColumn="0" w:noHBand="0" w:noVBand="1"/>
      </w:tblPr>
      <w:tblGrid>
        <w:gridCol w:w="3946"/>
        <w:gridCol w:w="310"/>
        <w:gridCol w:w="1169"/>
        <w:gridCol w:w="87"/>
        <w:gridCol w:w="62"/>
        <w:gridCol w:w="1021"/>
        <w:gridCol w:w="207"/>
        <w:gridCol w:w="755"/>
        <w:gridCol w:w="62"/>
        <w:gridCol w:w="562"/>
        <w:gridCol w:w="610"/>
        <w:gridCol w:w="50"/>
        <w:gridCol w:w="719"/>
        <w:gridCol w:w="464"/>
        <w:gridCol w:w="39"/>
        <w:gridCol w:w="875"/>
        <w:gridCol w:w="319"/>
        <w:gridCol w:w="28"/>
        <w:gridCol w:w="1032"/>
        <w:gridCol w:w="173"/>
        <w:gridCol w:w="17"/>
        <w:gridCol w:w="1477"/>
      </w:tblGrid>
      <w:tr w:rsidR="00FA5543" w:rsidRPr="00F66162" w14:paraId="7851314F" w14:textId="77777777" w:rsidTr="139DF8FE">
        <w:trPr>
          <w:trHeight w:val="288"/>
        </w:trPr>
        <w:tc>
          <w:tcPr>
            <w:tcW w:w="2702"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CB47867" w14:textId="77777777" w:rsidR="00FA5543" w:rsidRPr="00F66162" w:rsidRDefault="00FA5543" w:rsidP="00390489">
            <w:pPr>
              <w:spacing w:before="0" w:after="0"/>
              <w:jc w:val="center"/>
              <w:rPr>
                <w:noProof/>
                <w:color w:val="000000"/>
                <w:szCs w:val="24"/>
              </w:rPr>
            </w:pPr>
            <w:r w:rsidRPr="00F66162">
              <w:rPr>
                <w:noProof/>
                <w:color w:val="000000"/>
              </w:rPr>
              <w:t xml:space="preserve"> </w:t>
            </w:r>
          </w:p>
        </w:tc>
        <w:tc>
          <w:tcPr>
            <w:tcW w:w="441" w:type="pct"/>
            <w:gridSpan w:val="3"/>
            <w:tcBorders>
              <w:top w:val="single" w:sz="8" w:space="0" w:color="auto"/>
              <w:left w:val="nil"/>
              <w:bottom w:val="nil"/>
              <w:right w:val="single" w:sz="8" w:space="0" w:color="auto"/>
            </w:tcBorders>
            <w:shd w:val="clear" w:color="auto" w:fill="auto"/>
            <w:vAlign w:val="center"/>
            <w:hideMark/>
          </w:tcPr>
          <w:p w14:paraId="127BE2C2"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41" w:type="pct"/>
            <w:gridSpan w:val="3"/>
            <w:tcBorders>
              <w:top w:val="single" w:sz="8" w:space="0" w:color="auto"/>
              <w:left w:val="nil"/>
              <w:bottom w:val="nil"/>
              <w:right w:val="single" w:sz="8" w:space="0" w:color="auto"/>
            </w:tcBorders>
            <w:shd w:val="clear" w:color="auto" w:fill="auto"/>
            <w:vAlign w:val="center"/>
            <w:hideMark/>
          </w:tcPr>
          <w:p w14:paraId="35B6F010"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41" w:type="pct"/>
            <w:gridSpan w:val="3"/>
            <w:tcBorders>
              <w:top w:val="single" w:sz="8" w:space="0" w:color="auto"/>
              <w:left w:val="nil"/>
              <w:bottom w:val="nil"/>
              <w:right w:val="single" w:sz="8" w:space="0" w:color="auto"/>
            </w:tcBorders>
            <w:shd w:val="clear" w:color="auto" w:fill="auto"/>
            <w:vAlign w:val="center"/>
            <w:hideMark/>
          </w:tcPr>
          <w:p w14:paraId="46246982"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41" w:type="pct"/>
            <w:gridSpan w:val="3"/>
            <w:tcBorders>
              <w:top w:val="single" w:sz="8" w:space="0" w:color="auto"/>
              <w:left w:val="nil"/>
              <w:bottom w:val="nil"/>
              <w:right w:val="single" w:sz="8" w:space="0" w:color="auto"/>
            </w:tcBorders>
            <w:shd w:val="clear" w:color="auto" w:fill="auto"/>
            <w:vAlign w:val="center"/>
            <w:hideMark/>
          </w:tcPr>
          <w:p w14:paraId="7DF075F1"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533" w:type="pct"/>
            <w:gridSpan w:val="2"/>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0CE996F7"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OGÓŁEM WRF 2021–2027</w:t>
            </w:r>
          </w:p>
        </w:tc>
      </w:tr>
      <w:tr w:rsidR="00FA5543" w:rsidRPr="00F66162" w14:paraId="31224B91" w14:textId="77777777" w:rsidTr="139DF8FE">
        <w:trPr>
          <w:trHeight w:val="300"/>
        </w:trPr>
        <w:tc>
          <w:tcPr>
            <w:tcW w:w="2702" w:type="pct"/>
            <w:gridSpan w:val="8"/>
            <w:vMerge/>
            <w:vAlign w:val="center"/>
            <w:hideMark/>
          </w:tcPr>
          <w:p w14:paraId="5DDD8AA6" w14:textId="77777777" w:rsidR="00FA5543" w:rsidRPr="00F66162" w:rsidRDefault="00FA5543" w:rsidP="00390489">
            <w:pPr>
              <w:spacing w:before="0" w:after="0"/>
              <w:jc w:val="left"/>
              <w:rPr>
                <w:noProof/>
                <w:color w:val="000000"/>
                <w:szCs w:val="24"/>
                <w:lang w:eastAsia="en-IE"/>
              </w:rPr>
            </w:pPr>
          </w:p>
        </w:tc>
        <w:tc>
          <w:tcPr>
            <w:tcW w:w="441" w:type="pct"/>
            <w:gridSpan w:val="3"/>
            <w:tcBorders>
              <w:top w:val="nil"/>
              <w:left w:val="nil"/>
              <w:bottom w:val="single" w:sz="8" w:space="0" w:color="auto"/>
              <w:right w:val="single" w:sz="8" w:space="0" w:color="auto"/>
            </w:tcBorders>
            <w:shd w:val="clear" w:color="auto" w:fill="auto"/>
            <w:vAlign w:val="center"/>
            <w:hideMark/>
          </w:tcPr>
          <w:p w14:paraId="171CF253"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441" w:type="pct"/>
            <w:gridSpan w:val="3"/>
            <w:tcBorders>
              <w:top w:val="nil"/>
              <w:left w:val="nil"/>
              <w:bottom w:val="single" w:sz="8" w:space="0" w:color="auto"/>
              <w:right w:val="single" w:sz="8" w:space="0" w:color="auto"/>
            </w:tcBorders>
            <w:shd w:val="clear" w:color="auto" w:fill="auto"/>
            <w:vAlign w:val="center"/>
            <w:hideMark/>
          </w:tcPr>
          <w:p w14:paraId="4C8922D5"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441" w:type="pct"/>
            <w:gridSpan w:val="3"/>
            <w:tcBorders>
              <w:top w:val="nil"/>
              <w:left w:val="nil"/>
              <w:bottom w:val="single" w:sz="8" w:space="0" w:color="auto"/>
              <w:right w:val="single" w:sz="8" w:space="0" w:color="auto"/>
            </w:tcBorders>
            <w:shd w:val="clear" w:color="auto" w:fill="auto"/>
            <w:vAlign w:val="center"/>
            <w:hideMark/>
          </w:tcPr>
          <w:p w14:paraId="440A2690"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441" w:type="pct"/>
            <w:gridSpan w:val="3"/>
            <w:tcBorders>
              <w:top w:val="nil"/>
              <w:left w:val="nil"/>
              <w:bottom w:val="single" w:sz="8" w:space="0" w:color="auto"/>
              <w:right w:val="single" w:sz="8" w:space="0" w:color="auto"/>
            </w:tcBorders>
            <w:shd w:val="clear" w:color="auto" w:fill="auto"/>
            <w:vAlign w:val="center"/>
            <w:hideMark/>
          </w:tcPr>
          <w:p w14:paraId="54762C57"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c>
          <w:tcPr>
            <w:tcW w:w="533" w:type="pct"/>
            <w:gridSpan w:val="2"/>
            <w:vMerge/>
            <w:vAlign w:val="center"/>
            <w:hideMark/>
          </w:tcPr>
          <w:p w14:paraId="548FF120" w14:textId="77777777" w:rsidR="00FA5543" w:rsidRPr="00F66162" w:rsidRDefault="00FA5543" w:rsidP="00390489">
            <w:pPr>
              <w:spacing w:before="0" w:after="0"/>
              <w:jc w:val="left"/>
              <w:rPr>
                <w:b/>
                <w:bCs/>
                <w:noProof/>
                <w:color w:val="000000"/>
                <w:sz w:val="20"/>
                <w:szCs w:val="20"/>
                <w:lang w:eastAsia="en-IE"/>
              </w:rPr>
            </w:pPr>
          </w:p>
        </w:tc>
      </w:tr>
      <w:tr w:rsidR="00FA5543" w:rsidRPr="00F66162" w14:paraId="4080E1EA" w14:textId="77777777" w:rsidTr="139DF8FE">
        <w:trPr>
          <w:trHeight w:val="564"/>
        </w:trPr>
        <w:tc>
          <w:tcPr>
            <w:tcW w:w="1971" w:type="pct"/>
            <w:gridSpan w:val="4"/>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0BB9C595" w14:textId="3A2B6F37" w:rsidR="00FA5543" w:rsidRPr="00F66162" w:rsidRDefault="00FA5543" w:rsidP="00390489">
            <w:pPr>
              <w:spacing w:before="0" w:after="0"/>
              <w:jc w:val="center"/>
              <w:rPr>
                <w:b/>
                <w:bCs/>
                <w:noProof/>
                <w:color w:val="000000"/>
                <w:sz w:val="22"/>
              </w:rPr>
            </w:pPr>
            <w:r w:rsidRPr="00F66162">
              <w:rPr>
                <w:b/>
                <w:noProof/>
                <w:color w:val="000000"/>
                <w:sz w:val="22"/>
              </w:rPr>
              <w:t xml:space="preserve">OGÓŁEM środki na DZIAŁY </w:t>
            </w:r>
            <w:r w:rsidRPr="00825614">
              <w:rPr>
                <w:b/>
                <w:noProof/>
                <w:color w:val="000000"/>
                <w:sz w:val="22"/>
              </w:rPr>
              <w:t>od</w:t>
            </w:r>
            <w:r w:rsidR="00825614" w:rsidRPr="00825614">
              <w:rPr>
                <w:b/>
                <w:noProof/>
                <w:color w:val="000000"/>
                <w:sz w:val="22"/>
              </w:rPr>
              <w:t> </w:t>
            </w:r>
            <w:r w:rsidRPr="00825614">
              <w:rPr>
                <w:b/>
                <w:noProof/>
                <w:color w:val="000000"/>
                <w:sz w:val="22"/>
              </w:rPr>
              <w:t>1</w:t>
            </w:r>
            <w:r w:rsidRPr="00F66162">
              <w:rPr>
                <w:b/>
                <w:noProof/>
                <w:color w:val="000000"/>
                <w:sz w:val="22"/>
              </w:rPr>
              <w:t xml:space="preserve"> </w:t>
            </w:r>
            <w:r w:rsidRPr="00825614">
              <w:rPr>
                <w:b/>
                <w:noProof/>
                <w:color w:val="000000"/>
                <w:sz w:val="22"/>
              </w:rPr>
              <w:t>do</w:t>
            </w:r>
            <w:r w:rsidR="00825614" w:rsidRPr="00825614">
              <w:rPr>
                <w:b/>
                <w:noProof/>
                <w:color w:val="000000"/>
                <w:sz w:val="22"/>
              </w:rPr>
              <w:t> </w:t>
            </w:r>
            <w:r w:rsidRPr="00825614">
              <w:rPr>
                <w:b/>
                <w:noProof/>
                <w:color w:val="000000"/>
                <w:sz w:val="22"/>
              </w:rPr>
              <w:t>7</w:t>
            </w:r>
          </w:p>
        </w:tc>
        <w:tc>
          <w:tcPr>
            <w:tcW w:w="731" w:type="pct"/>
            <w:gridSpan w:val="4"/>
            <w:tcBorders>
              <w:top w:val="single" w:sz="8" w:space="0" w:color="auto"/>
              <w:left w:val="nil"/>
              <w:bottom w:val="single" w:sz="8" w:space="0" w:color="auto"/>
              <w:right w:val="single" w:sz="8" w:space="0" w:color="auto"/>
            </w:tcBorders>
            <w:shd w:val="clear" w:color="auto" w:fill="auto"/>
            <w:vAlign w:val="center"/>
            <w:hideMark/>
          </w:tcPr>
          <w:p w14:paraId="70DD98AD"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441"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03723DB" w14:textId="77777777" w:rsidR="00FA5543" w:rsidRPr="00F66162" w:rsidRDefault="109411B1" w:rsidP="139DF8FE">
            <w:pPr>
              <w:spacing w:before="0" w:after="0"/>
              <w:jc w:val="right"/>
              <w:rPr>
                <w:b/>
                <w:bCs/>
                <w:noProof/>
                <w:color w:val="000000"/>
              </w:rPr>
            </w:pPr>
            <w:r w:rsidRPr="00F66162">
              <w:rPr>
                <w:b/>
                <w:noProof/>
                <w:color w:val="000000" w:themeColor="text1"/>
              </w:rPr>
              <w:t>37,262</w:t>
            </w:r>
          </w:p>
        </w:tc>
        <w:tc>
          <w:tcPr>
            <w:tcW w:w="441"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E673789" w14:textId="77777777" w:rsidR="00FA5543" w:rsidRPr="00F66162" w:rsidRDefault="109411B1" w:rsidP="139DF8FE">
            <w:pPr>
              <w:spacing w:before="0" w:after="0"/>
              <w:jc w:val="right"/>
              <w:rPr>
                <w:noProof/>
              </w:rPr>
            </w:pPr>
            <w:r w:rsidRPr="00F66162">
              <w:rPr>
                <w:b/>
                <w:noProof/>
                <w:color w:val="000000" w:themeColor="text1"/>
              </w:rPr>
              <w:t>41,321</w:t>
            </w:r>
          </w:p>
        </w:tc>
        <w:tc>
          <w:tcPr>
            <w:tcW w:w="441"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8CA7EB4" w14:textId="77777777" w:rsidR="00FA5543" w:rsidRPr="00F66162" w:rsidRDefault="109411B1" w:rsidP="139DF8FE">
            <w:pPr>
              <w:spacing w:before="0" w:after="0"/>
              <w:jc w:val="right"/>
              <w:rPr>
                <w:noProof/>
              </w:rPr>
            </w:pPr>
            <w:r w:rsidRPr="00F66162">
              <w:rPr>
                <w:b/>
                <w:noProof/>
                <w:color w:val="000000" w:themeColor="text1"/>
              </w:rPr>
              <w:t>42,746</w:t>
            </w:r>
          </w:p>
        </w:tc>
        <w:tc>
          <w:tcPr>
            <w:tcW w:w="441"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B6B91E3" w14:textId="77777777" w:rsidR="00FA5543" w:rsidRPr="00F66162" w:rsidRDefault="109411B1" w:rsidP="139DF8FE">
            <w:pPr>
              <w:spacing w:before="0" w:after="0"/>
              <w:jc w:val="right"/>
              <w:rPr>
                <w:b/>
                <w:bCs/>
                <w:noProof/>
                <w:color w:val="000000"/>
              </w:rPr>
            </w:pPr>
            <w:r w:rsidRPr="00F66162">
              <w:rPr>
                <w:b/>
                <w:noProof/>
                <w:color w:val="000000" w:themeColor="text1"/>
              </w:rPr>
              <w:t>42,162</w:t>
            </w:r>
          </w:p>
        </w:tc>
        <w:tc>
          <w:tcPr>
            <w:tcW w:w="533"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8C88AC7" w14:textId="77777777" w:rsidR="00FA5543" w:rsidRPr="00F66162" w:rsidRDefault="109411B1" w:rsidP="139DF8FE">
            <w:pPr>
              <w:spacing w:before="0" w:after="0"/>
              <w:jc w:val="right"/>
              <w:rPr>
                <w:b/>
                <w:bCs/>
                <w:noProof/>
                <w:color w:val="000000"/>
              </w:rPr>
            </w:pPr>
            <w:r w:rsidRPr="00F66162">
              <w:rPr>
                <w:b/>
                <w:noProof/>
                <w:color w:val="000000" w:themeColor="text1"/>
              </w:rPr>
              <w:t>163,491</w:t>
            </w:r>
          </w:p>
        </w:tc>
      </w:tr>
      <w:tr w:rsidR="00FA5543" w:rsidRPr="00F66162" w14:paraId="4DEE293F" w14:textId="77777777" w:rsidTr="139DF8FE">
        <w:trPr>
          <w:trHeight w:val="540"/>
        </w:trPr>
        <w:tc>
          <w:tcPr>
            <w:tcW w:w="1971" w:type="pct"/>
            <w:gridSpan w:val="4"/>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2B679DF5" w14:textId="77777777" w:rsidR="00FA5543" w:rsidRPr="00F66162" w:rsidRDefault="00FA5543" w:rsidP="00390489">
            <w:pPr>
              <w:spacing w:before="0" w:after="0"/>
              <w:jc w:val="center"/>
              <w:rPr>
                <w:noProof/>
                <w:color w:val="000000"/>
                <w:sz w:val="22"/>
              </w:rPr>
            </w:pPr>
            <w:r w:rsidRPr="00F66162">
              <w:rPr>
                <w:noProof/>
                <w:color w:val="000000"/>
                <w:sz w:val="22"/>
              </w:rPr>
              <w:t>wieloletnich ram finansowych</w:t>
            </w:r>
            <w:r w:rsidRPr="00F66162">
              <w:rPr>
                <w:b/>
                <w:noProof/>
                <w:color w:val="000000"/>
                <w:sz w:val="22"/>
              </w:rPr>
              <w:t xml:space="preserve"> </w:t>
            </w:r>
          </w:p>
        </w:tc>
        <w:tc>
          <w:tcPr>
            <w:tcW w:w="731" w:type="pct"/>
            <w:gridSpan w:val="4"/>
            <w:tcBorders>
              <w:top w:val="single" w:sz="8" w:space="0" w:color="auto"/>
              <w:left w:val="nil"/>
              <w:bottom w:val="single" w:sz="8" w:space="0" w:color="auto"/>
              <w:right w:val="single" w:sz="8" w:space="0" w:color="auto"/>
            </w:tcBorders>
            <w:shd w:val="clear" w:color="auto" w:fill="auto"/>
            <w:vAlign w:val="center"/>
            <w:hideMark/>
          </w:tcPr>
          <w:p w14:paraId="41239293"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441"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CBAF1B0" w14:textId="77777777" w:rsidR="00FA5543" w:rsidRPr="00F66162" w:rsidRDefault="7E8075C8" w:rsidP="139DF8FE">
            <w:pPr>
              <w:spacing w:before="0" w:after="0"/>
              <w:jc w:val="right"/>
              <w:rPr>
                <w:b/>
                <w:bCs/>
                <w:noProof/>
                <w:color w:val="000000"/>
              </w:rPr>
            </w:pPr>
            <w:r w:rsidRPr="00F66162">
              <w:rPr>
                <w:b/>
                <w:noProof/>
                <w:color w:val="000000" w:themeColor="text1"/>
              </w:rPr>
              <w:t>26,702</w:t>
            </w:r>
          </w:p>
        </w:tc>
        <w:tc>
          <w:tcPr>
            <w:tcW w:w="441"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AD6B012" w14:textId="77777777" w:rsidR="00FA5543" w:rsidRPr="00F66162" w:rsidRDefault="7E8075C8" w:rsidP="139DF8FE">
            <w:pPr>
              <w:spacing w:before="0" w:after="0"/>
              <w:jc w:val="right"/>
              <w:rPr>
                <w:b/>
                <w:bCs/>
                <w:noProof/>
                <w:color w:val="000000"/>
              </w:rPr>
            </w:pPr>
            <w:r w:rsidRPr="00F66162">
              <w:rPr>
                <w:b/>
                <w:noProof/>
                <w:color w:val="000000" w:themeColor="text1"/>
              </w:rPr>
              <w:t>27,728</w:t>
            </w:r>
          </w:p>
        </w:tc>
        <w:tc>
          <w:tcPr>
            <w:tcW w:w="441"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92D9927" w14:textId="77777777" w:rsidR="00FA5543" w:rsidRPr="00F66162" w:rsidRDefault="7E8075C8" w:rsidP="139DF8FE">
            <w:pPr>
              <w:spacing w:before="0" w:after="0"/>
              <w:jc w:val="right"/>
              <w:rPr>
                <w:b/>
                <w:bCs/>
                <w:noProof/>
                <w:color w:val="000000"/>
              </w:rPr>
            </w:pPr>
            <w:r w:rsidRPr="00F66162">
              <w:rPr>
                <w:b/>
                <w:noProof/>
                <w:color w:val="000000" w:themeColor="text1"/>
              </w:rPr>
              <w:t>41,136</w:t>
            </w:r>
          </w:p>
        </w:tc>
        <w:tc>
          <w:tcPr>
            <w:tcW w:w="441"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5593554" w14:textId="77777777" w:rsidR="00FA5543" w:rsidRPr="00F66162" w:rsidRDefault="7E8075C8" w:rsidP="139DF8FE">
            <w:pPr>
              <w:spacing w:before="0" w:after="0"/>
              <w:jc w:val="right"/>
              <w:rPr>
                <w:b/>
                <w:bCs/>
                <w:noProof/>
                <w:color w:val="000000"/>
              </w:rPr>
            </w:pPr>
            <w:r w:rsidRPr="00F66162">
              <w:rPr>
                <w:b/>
                <w:noProof/>
                <w:color w:val="000000" w:themeColor="text1"/>
              </w:rPr>
              <w:t>45,079</w:t>
            </w:r>
          </w:p>
        </w:tc>
        <w:tc>
          <w:tcPr>
            <w:tcW w:w="533"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A5F87EB" w14:textId="77777777" w:rsidR="00FA5543" w:rsidRPr="00F66162" w:rsidRDefault="7E8075C8" w:rsidP="139DF8FE">
            <w:pPr>
              <w:spacing w:before="0" w:after="0"/>
              <w:jc w:val="right"/>
              <w:rPr>
                <w:b/>
                <w:bCs/>
                <w:noProof/>
                <w:color w:val="000000"/>
              </w:rPr>
            </w:pPr>
            <w:r w:rsidRPr="00F66162">
              <w:rPr>
                <w:b/>
                <w:noProof/>
                <w:color w:val="000000" w:themeColor="text1"/>
              </w:rPr>
              <w:t>140,645</w:t>
            </w:r>
          </w:p>
        </w:tc>
      </w:tr>
      <w:tr w:rsidR="00FA5543" w:rsidRPr="00F66162" w14:paraId="7ED4B087" w14:textId="77777777" w:rsidTr="139DF8FE">
        <w:trPr>
          <w:trHeight w:val="300"/>
        </w:trPr>
        <w:tc>
          <w:tcPr>
            <w:tcW w:w="2432" w:type="pct"/>
            <w:gridSpan w:val="7"/>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44B13EC9" w14:textId="77777777" w:rsidR="00FA5543" w:rsidRPr="00F66162" w:rsidRDefault="00FA5543" w:rsidP="00390489">
            <w:pPr>
              <w:spacing w:before="0" w:after="0"/>
              <w:jc w:val="center"/>
              <w:rPr>
                <w:b/>
                <w:bCs/>
                <w:noProof/>
                <w:color w:val="000000"/>
                <w:sz w:val="22"/>
              </w:rPr>
            </w:pPr>
            <w:r w:rsidRPr="00F66162">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5EC28A3F"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683E7BEF"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402572FD"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77B934B7"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596"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7284466"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OGÓŁEM WRF 2021–2027</w:t>
            </w:r>
          </w:p>
        </w:tc>
      </w:tr>
      <w:tr w:rsidR="00FA5543" w:rsidRPr="00F66162" w14:paraId="00A92661" w14:textId="77777777" w:rsidTr="139DF8FE">
        <w:trPr>
          <w:trHeight w:val="300"/>
        </w:trPr>
        <w:tc>
          <w:tcPr>
            <w:tcW w:w="2432" w:type="pct"/>
            <w:gridSpan w:val="7"/>
            <w:vMerge/>
            <w:vAlign w:val="center"/>
            <w:hideMark/>
          </w:tcPr>
          <w:p w14:paraId="40852314" w14:textId="77777777" w:rsidR="00FA5543" w:rsidRPr="00F66162" w:rsidRDefault="00FA5543" w:rsidP="00390489">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14:paraId="4E9F8FCE"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14:paraId="5A5CADFF"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493" w:type="pct"/>
            <w:gridSpan w:val="3"/>
            <w:tcBorders>
              <w:top w:val="nil"/>
              <w:left w:val="nil"/>
              <w:bottom w:val="single" w:sz="8" w:space="0" w:color="auto"/>
              <w:right w:val="single" w:sz="8" w:space="0" w:color="auto"/>
            </w:tcBorders>
            <w:shd w:val="clear" w:color="auto" w:fill="auto"/>
            <w:vAlign w:val="center"/>
            <w:hideMark/>
          </w:tcPr>
          <w:p w14:paraId="308BF983"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493" w:type="pct"/>
            <w:gridSpan w:val="3"/>
            <w:tcBorders>
              <w:top w:val="nil"/>
              <w:left w:val="nil"/>
              <w:bottom w:val="single" w:sz="8" w:space="0" w:color="auto"/>
              <w:right w:val="single" w:sz="8" w:space="0" w:color="auto"/>
            </w:tcBorders>
            <w:shd w:val="clear" w:color="auto" w:fill="auto"/>
            <w:vAlign w:val="center"/>
            <w:hideMark/>
          </w:tcPr>
          <w:p w14:paraId="04EFE352"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c>
          <w:tcPr>
            <w:tcW w:w="596" w:type="pct"/>
            <w:gridSpan w:val="3"/>
            <w:vMerge/>
            <w:vAlign w:val="center"/>
            <w:hideMark/>
          </w:tcPr>
          <w:p w14:paraId="01F07445" w14:textId="77777777" w:rsidR="00FA5543" w:rsidRPr="00F66162" w:rsidRDefault="00FA5543" w:rsidP="00390489">
            <w:pPr>
              <w:spacing w:before="0" w:after="0"/>
              <w:jc w:val="left"/>
              <w:rPr>
                <w:b/>
                <w:bCs/>
                <w:noProof/>
                <w:color w:val="000000"/>
                <w:sz w:val="20"/>
                <w:szCs w:val="20"/>
                <w:lang w:eastAsia="en-IE"/>
              </w:rPr>
            </w:pPr>
          </w:p>
        </w:tc>
      </w:tr>
      <w:tr w:rsidR="00FA5543" w:rsidRPr="00F66162" w14:paraId="40245DE7" w14:textId="77777777" w:rsidTr="139DF8FE">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14:paraId="74320A44" w14:textId="2F43CE4A" w:rsidR="00FA5543" w:rsidRPr="00F66162" w:rsidRDefault="00FA5543" w:rsidP="00390489">
            <w:pPr>
              <w:spacing w:before="0" w:after="0"/>
              <w:rPr>
                <w:noProof/>
                <w:color w:val="000000"/>
                <w:sz w:val="21"/>
                <w:szCs w:val="21"/>
              </w:rPr>
            </w:pPr>
            <w:r w:rsidRPr="00F66162">
              <w:rPr>
                <w:noProof/>
                <w:color w:val="000000"/>
                <w:sz w:val="21"/>
              </w:rPr>
              <w:t>OGÓŁEM środki operacyjne</w:t>
            </w:r>
            <w:r w:rsidRPr="00F66162">
              <w:rPr>
                <w:noProof/>
              </w:rPr>
              <w:br/>
            </w:r>
          </w:p>
        </w:tc>
        <w:tc>
          <w:tcPr>
            <w:tcW w:w="529" w:type="pct"/>
            <w:gridSpan w:val="2"/>
            <w:tcBorders>
              <w:top w:val="nil"/>
              <w:left w:val="nil"/>
              <w:bottom w:val="single" w:sz="8" w:space="0" w:color="auto"/>
              <w:right w:val="single" w:sz="8" w:space="0" w:color="auto"/>
            </w:tcBorders>
            <w:shd w:val="clear" w:color="auto" w:fill="auto"/>
            <w:vAlign w:val="center"/>
            <w:hideMark/>
          </w:tcPr>
          <w:p w14:paraId="3EC0B7ED"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025CD50B" w14:textId="77777777" w:rsidR="00FA5543" w:rsidRPr="00F66162" w:rsidRDefault="00FA5543" w:rsidP="00390489">
            <w:pPr>
              <w:spacing w:before="0" w:after="0"/>
              <w:jc w:val="center"/>
              <w:rPr>
                <w:noProof/>
                <w:color w:val="000000"/>
                <w:sz w:val="14"/>
                <w:szCs w:val="14"/>
              </w:rPr>
            </w:pPr>
            <w:r w:rsidRPr="00F66162">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E65C796" w14:textId="77777777" w:rsidR="00FA5543" w:rsidRPr="00F66162" w:rsidRDefault="418D1FD4" w:rsidP="139DF8FE">
            <w:pPr>
              <w:spacing w:before="0" w:after="0"/>
              <w:jc w:val="right"/>
              <w:rPr>
                <w:rFonts w:eastAsia="Times New Roman"/>
                <w:noProof/>
                <w:sz w:val="20"/>
                <w:szCs w:val="20"/>
              </w:rPr>
            </w:pPr>
            <w:r w:rsidRPr="00F66162">
              <w:rPr>
                <w:noProof/>
                <w:color w:val="000000" w:themeColor="text1"/>
                <w:sz w:val="20"/>
              </w:rPr>
              <w:t>28,090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1A68EFF" w14:textId="77777777" w:rsidR="00FA5543" w:rsidRPr="00F66162" w:rsidRDefault="418D1FD4" w:rsidP="139DF8FE">
            <w:pPr>
              <w:spacing w:before="0" w:after="0"/>
              <w:jc w:val="right"/>
              <w:rPr>
                <w:rFonts w:eastAsia="Times New Roman"/>
                <w:noProof/>
                <w:sz w:val="20"/>
                <w:szCs w:val="20"/>
              </w:rPr>
            </w:pPr>
            <w:r w:rsidRPr="00F66162">
              <w:rPr>
                <w:noProof/>
                <w:color w:val="000000" w:themeColor="text1"/>
                <w:sz w:val="20"/>
              </w:rPr>
              <w:t>34,750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DC8C4BF" w14:textId="77777777" w:rsidR="00FA5543" w:rsidRPr="00F66162" w:rsidRDefault="7435F929" w:rsidP="139DF8FE">
            <w:pPr>
              <w:spacing w:before="0" w:after="0"/>
              <w:jc w:val="right"/>
              <w:rPr>
                <w:rFonts w:eastAsia="Times New Roman"/>
                <w:noProof/>
                <w:sz w:val="20"/>
                <w:szCs w:val="20"/>
              </w:rPr>
            </w:pPr>
            <w:r w:rsidRPr="00F66162">
              <w:rPr>
                <w:noProof/>
                <w:color w:val="000000" w:themeColor="text1"/>
                <w:sz w:val="20"/>
              </w:rPr>
              <w:t>33,700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A30B3BF" w14:textId="77777777" w:rsidR="00FA5543" w:rsidRPr="00F66162" w:rsidRDefault="7435F929" w:rsidP="139DF8FE">
            <w:pPr>
              <w:spacing w:before="0" w:after="0"/>
              <w:jc w:val="right"/>
              <w:rPr>
                <w:rFonts w:eastAsia="Times New Roman"/>
                <w:noProof/>
                <w:sz w:val="20"/>
                <w:szCs w:val="20"/>
              </w:rPr>
            </w:pPr>
            <w:r w:rsidRPr="00F66162">
              <w:rPr>
                <w:noProof/>
                <w:color w:val="000000" w:themeColor="text1"/>
                <w:sz w:val="20"/>
              </w:rPr>
              <w:t>30,150</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96C707E" w14:textId="77777777" w:rsidR="00FA5543" w:rsidRPr="00F66162" w:rsidRDefault="7435F929" w:rsidP="139DF8FE">
            <w:pPr>
              <w:spacing w:before="0" w:after="0"/>
              <w:jc w:val="right"/>
              <w:rPr>
                <w:rFonts w:eastAsia="Times New Roman"/>
                <w:noProof/>
                <w:sz w:val="20"/>
                <w:szCs w:val="20"/>
              </w:rPr>
            </w:pPr>
            <w:r w:rsidRPr="00F66162">
              <w:rPr>
                <w:b/>
                <w:noProof/>
                <w:color w:val="000000" w:themeColor="text1"/>
                <w:sz w:val="20"/>
              </w:rPr>
              <w:t>126,690</w:t>
            </w:r>
          </w:p>
        </w:tc>
      </w:tr>
      <w:tr w:rsidR="00FA5543" w:rsidRPr="00F66162" w14:paraId="482BED56" w14:textId="77777777" w:rsidTr="139DF8FE">
        <w:trPr>
          <w:trHeight w:val="456"/>
        </w:trPr>
        <w:tc>
          <w:tcPr>
            <w:tcW w:w="1411" w:type="pct"/>
            <w:vMerge/>
            <w:vAlign w:val="center"/>
            <w:hideMark/>
          </w:tcPr>
          <w:p w14:paraId="4E332F60" w14:textId="77777777" w:rsidR="00FA5543" w:rsidRPr="00F66162" w:rsidRDefault="00FA5543" w:rsidP="00390489">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14:paraId="1CAD4228"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3DCFA890" w14:textId="77777777" w:rsidR="00FA5543" w:rsidRPr="00F66162" w:rsidRDefault="00FA5543" w:rsidP="00390489">
            <w:pPr>
              <w:spacing w:before="0" w:after="0"/>
              <w:jc w:val="center"/>
              <w:rPr>
                <w:noProof/>
                <w:color w:val="000000"/>
                <w:sz w:val="14"/>
                <w:szCs w:val="14"/>
              </w:rPr>
            </w:pPr>
            <w:r w:rsidRPr="00F66162">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2826058" w14:textId="77777777" w:rsidR="00FA5543" w:rsidRPr="00F66162" w:rsidRDefault="7903490B" w:rsidP="139DF8FE">
            <w:pPr>
              <w:spacing w:before="0" w:after="0"/>
              <w:jc w:val="right"/>
              <w:rPr>
                <w:rFonts w:eastAsia="Times New Roman"/>
                <w:noProof/>
                <w:sz w:val="20"/>
                <w:szCs w:val="20"/>
              </w:rPr>
            </w:pPr>
            <w:r w:rsidRPr="00F66162">
              <w:rPr>
                <w:noProof/>
                <w:color w:val="000000" w:themeColor="text1"/>
                <w:sz w:val="20"/>
              </w:rPr>
              <w:t>17,530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EB70D79" w14:textId="77777777" w:rsidR="00FA5543" w:rsidRPr="00F66162" w:rsidRDefault="7903490B" w:rsidP="139DF8FE">
            <w:pPr>
              <w:spacing w:before="0" w:after="0"/>
              <w:jc w:val="right"/>
              <w:rPr>
                <w:rFonts w:eastAsia="Times New Roman"/>
                <w:noProof/>
                <w:sz w:val="20"/>
                <w:szCs w:val="20"/>
              </w:rPr>
            </w:pPr>
            <w:r w:rsidRPr="00F66162">
              <w:rPr>
                <w:noProof/>
                <w:color w:val="000000" w:themeColor="text1"/>
                <w:sz w:val="20"/>
              </w:rPr>
              <w:t>21,157</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F8CBE51" w14:textId="77777777" w:rsidR="00FA5543" w:rsidRPr="00F66162" w:rsidRDefault="7903490B" w:rsidP="139DF8FE">
            <w:pPr>
              <w:spacing w:before="0" w:after="0"/>
              <w:jc w:val="right"/>
              <w:rPr>
                <w:rFonts w:eastAsia="Times New Roman"/>
                <w:noProof/>
                <w:sz w:val="20"/>
                <w:szCs w:val="20"/>
              </w:rPr>
            </w:pPr>
            <w:r w:rsidRPr="00F66162">
              <w:rPr>
                <w:noProof/>
                <w:color w:val="000000" w:themeColor="text1"/>
                <w:sz w:val="20"/>
              </w:rPr>
              <w:t>3,090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56DD75C" w14:textId="77777777" w:rsidR="00FA5543" w:rsidRPr="00F66162" w:rsidRDefault="7903490B" w:rsidP="139DF8FE">
            <w:pPr>
              <w:spacing w:before="0" w:after="0"/>
              <w:jc w:val="right"/>
              <w:rPr>
                <w:rFonts w:eastAsia="Times New Roman"/>
                <w:noProof/>
                <w:sz w:val="20"/>
                <w:szCs w:val="20"/>
              </w:rPr>
            </w:pPr>
            <w:r w:rsidRPr="00F66162">
              <w:rPr>
                <w:noProof/>
                <w:color w:val="000000" w:themeColor="text1"/>
                <w:sz w:val="20"/>
              </w:rPr>
              <w:t>33,067</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1EBA52A" w14:textId="77777777" w:rsidR="00FA5543" w:rsidRPr="00F66162" w:rsidRDefault="7903490B" w:rsidP="139DF8FE">
            <w:pPr>
              <w:spacing w:before="0" w:after="0"/>
              <w:jc w:val="right"/>
              <w:rPr>
                <w:rFonts w:eastAsia="Times New Roman"/>
                <w:noProof/>
                <w:sz w:val="20"/>
                <w:szCs w:val="20"/>
              </w:rPr>
            </w:pPr>
            <w:r w:rsidRPr="00F66162">
              <w:rPr>
                <w:b/>
                <w:noProof/>
                <w:color w:val="000000" w:themeColor="text1"/>
                <w:sz w:val="20"/>
              </w:rPr>
              <w:t>103,844</w:t>
            </w:r>
          </w:p>
        </w:tc>
      </w:tr>
      <w:tr w:rsidR="00FA5543" w:rsidRPr="00F66162" w14:paraId="0E94DF8D" w14:textId="77777777" w:rsidTr="139DF8FE">
        <w:trPr>
          <w:trHeight w:val="924"/>
        </w:trPr>
        <w:tc>
          <w:tcPr>
            <w:tcW w:w="1939"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83CD51C" w14:textId="77777777" w:rsidR="00FA5543" w:rsidRPr="00F66162" w:rsidRDefault="00FA5543" w:rsidP="00390489">
            <w:pPr>
              <w:spacing w:before="0" w:after="0"/>
              <w:rPr>
                <w:noProof/>
                <w:color w:val="000000"/>
                <w:sz w:val="21"/>
                <w:szCs w:val="21"/>
              </w:rPr>
            </w:pPr>
            <w:r w:rsidRPr="00F66162">
              <w:rPr>
                <w:noProof/>
                <w:color w:val="000000"/>
                <w:sz w:val="21"/>
              </w:rPr>
              <w:t xml:space="preserve">OGÓŁEM środki administracyjne finansowane ze środków przydzielonych na określone programy </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30C86DFC" w14:textId="77777777" w:rsidR="00FA5543" w:rsidRPr="00F66162" w:rsidRDefault="00FA5543" w:rsidP="00390489">
            <w:pPr>
              <w:spacing w:before="0" w:after="0"/>
              <w:jc w:val="center"/>
              <w:rPr>
                <w:noProof/>
                <w:color w:val="000000"/>
                <w:sz w:val="14"/>
                <w:szCs w:val="14"/>
              </w:rPr>
            </w:pPr>
            <w:r w:rsidRPr="00F66162">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4303C15"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97DBBD0"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79AC74C"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7DC72F1"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F327A91"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0,000</w:t>
            </w:r>
          </w:p>
        </w:tc>
      </w:tr>
      <w:tr w:rsidR="00FA5543" w:rsidRPr="00F66162" w14:paraId="3AC427F8" w14:textId="77777777" w:rsidTr="139DF8FE">
        <w:trPr>
          <w:trHeight w:val="564"/>
        </w:trPr>
        <w:tc>
          <w:tcPr>
            <w:tcW w:w="1411" w:type="pct"/>
            <w:tcBorders>
              <w:top w:val="nil"/>
              <w:left w:val="single" w:sz="8" w:space="0" w:color="auto"/>
              <w:bottom w:val="nil"/>
              <w:right w:val="single" w:sz="8" w:space="0" w:color="auto"/>
            </w:tcBorders>
            <w:shd w:val="clear" w:color="auto" w:fill="F1F1F1"/>
            <w:vAlign w:val="center"/>
            <w:hideMark/>
          </w:tcPr>
          <w:p w14:paraId="0050D3A8" w14:textId="77777777" w:rsidR="00FA5543" w:rsidRPr="00F66162" w:rsidRDefault="6C3AF1E0" w:rsidP="139DF8FE">
            <w:pPr>
              <w:spacing w:before="0" w:after="0"/>
              <w:jc w:val="center"/>
              <w:rPr>
                <w:b/>
                <w:bCs/>
                <w:noProof/>
                <w:color w:val="000000"/>
                <w:sz w:val="22"/>
              </w:rPr>
            </w:pPr>
            <w:r w:rsidRPr="00F66162">
              <w:rPr>
                <w:b/>
                <w:noProof/>
                <w:color w:val="000000" w:themeColor="text1"/>
                <w:sz w:val="22"/>
              </w:rPr>
              <w:t>OGÓŁEM środki na DZIAŁ 3</w:t>
            </w:r>
          </w:p>
        </w:tc>
        <w:tc>
          <w:tcPr>
            <w:tcW w:w="529" w:type="pct"/>
            <w:gridSpan w:val="2"/>
            <w:tcBorders>
              <w:top w:val="nil"/>
              <w:left w:val="nil"/>
              <w:bottom w:val="single" w:sz="8" w:space="0" w:color="auto"/>
              <w:right w:val="single" w:sz="8" w:space="0" w:color="auto"/>
            </w:tcBorders>
            <w:shd w:val="clear" w:color="auto" w:fill="auto"/>
            <w:vAlign w:val="center"/>
            <w:hideMark/>
          </w:tcPr>
          <w:p w14:paraId="37D486AF"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6F3FB952" w14:textId="77777777" w:rsidR="00FA5543" w:rsidRPr="00F66162" w:rsidRDefault="00FA5543" w:rsidP="00390489">
            <w:pPr>
              <w:spacing w:before="0" w:after="0"/>
              <w:jc w:val="center"/>
              <w:rPr>
                <w:noProof/>
                <w:color w:val="000000"/>
                <w:sz w:val="14"/>
                <w:szCs w:val="14"/>
              </w:rPr>
            </w:pPr>
            <w:r w:rsidRPr="00F66162">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AB56D88" w14:textId="77777777" w:rsidR="00FA5543" w:rsidRPr="00F66162" w:rsidRDefault="4E0522C1" w:rsidP="139DF8FE">
            <w:pPr>
              <w:spacing w:before="0" w:after="0"/>
              <w:jc w:val="right"/>
              <w:rPr>
                <w:rFonts w:eastAsia="Times New Roman"/>
                <w:noProof/>
                <w:sz w:val="20"/>
                <w:szCs w:val="20"/>
              </w:rPr>
            </w:pPr>
            <w:r w:rsidRPr="00F66162">
              <w:rPr>
                <w:b/>
                <w:noProof/>
                <w:color w:val="000000" w:themeColor="text1"/>
                <w:sz w:val="20"/>
              </w:rPr>
              <w:t>28,090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D37E63B" w14:textId="77777777" w:rsidR="00FA5543" w:rsidRPr="00F66162" w:rsidRDefault="4E0522C1" w:rsidP="139DF8FE">
            <w:pPr>
              <w:spacing w:before="0" w:after="0"/>
              <w:jc w:val="right"/>
              <w:rPr>
                <w:rFonts w:eastAsia="Times New Roman"/>
                <w:noProof/>
                <w:sz w:val="20"/>
                <w:szCs w:val="20"/>
              </w:rPr>
            </w:pPr>
            <w:r w:rsidRPr="00F66162">
              <w:rPr>
                <w:b/>
                <w:noProof/>
                <w:color w:val="000000" w:themeColor="text1"/>
                <w:sz w:val="20"/>
              </w:rPr>
              <w:t>34,750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4882799" w14:textId="77777777" w:rsidR="00FA5543" w:rsidRPr="00F66162" w:rsidRDefault="4E0522C1" w:rsidP="139DF8FE">
            <w:pPr>
              <w:spacing w:before="0" w:after="0"/>
              <w:jc w:val="right"/>
              <w:rPr>
                <w:rFonts w:eastAsia="Times New Roman"/>
                <w:noProof/>
                <w:sz w:val="20"/>
                <w:szCs w:val="20"/>
              </w:rPr>
            </w:pPr>
            <w:r w:rsidRPr="00F66162">
              <w:rPr>
                <w:b/>
                <w:noProof/>
                <w:color w:val="000000" w:themeColor="text1"/>
                <w:sz w:val="20"/>
              </w:rPr>
              <w:t>33,700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663DAF7" w14:textId="77777777" w:rsidR="00FA5543" w:rsidRPr="00F66162" w:rsidRDefault="4E0522C1" w:rsidP="139DF8FE">
            <w:pPr>
              <w:spacing w:before="0" w:after="0"/>
              <w:jc w:val="right"/>
              <w:rPr>
                <w:rFonts w:eastAsia="Times New Roman"/>
                <w:noProof/>
                <w:sz w:val="20"/>
                <w:szCs w:val="20"/>
              </w:rPr>
            </w:pPr>
            <w:r w:rsidRPr="00F66162">
              <w:rPr>
                <w:b/>
                <w:noProof/>
                <w:color w:val="000000" w:themeColor="text1"/>
                <w:sz w:val="20"/>
              </w:rPr>
              <w:t>30,150</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FD43362" w14:textId="77777777" w:rsidR="00FA5543" w:rsidRPr="00F66162" w:rsidRDefault="4E0522C1" w:rsidP="139DF8FE">
            <w:pPr>
              <w:spacing w:before="0" w:after="0"/>
              <w:jc w:val="right"/>
              <w:rPr>
                <w:rFonts w:eastAsia="Times New Roman"/>
                <w:noProof/>
                <w:sz w:val="20"/>
                <w:szCs w:val="20"/>
              </w:rPr>
            </w:pPr>
            <w:r w:rsidRPr="00F66162">
              <w:rPr>
                <w:b/>
                <w:noProof/>
                <w:color w:val="000000" w:themeColor="text1"/>
                <w:sz w:val="20"/>
              </w:rPr>
              <w:t>126,690</w:t>
            </w:r>
          </w:p>
        </w:tc>
      </w:tr>
      <w:tr w:rsidR="00FA5543" w:rsidRPr="00F66162" w14:paraId="14078C29" w14:textId="77777777" w:rsidTr="139DF8FE">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14:paraId="123E2831" w14:textId="77777777" w:rsidR="00FA5543" w:rsidRPr="00F66162" w:rsidRDefault="00FA5543" w:rsidP="00390489">
            <w:pPr>
              <w:spacing w:before="0" w:after="0"/>
              <w:jc w:val="center"/>
              <w:rPr>
                <w:noProof/>
                <w:color w:val="000000"/>
                <w:sz w:val="22"/>
              </w:rPr>
            </w:pPr>
            <w:r w:rsidRPr="00F66162">
              <w:rPr>
                <w:noProof/>
                <w:color w:val="000000"/>
                <w:sz w:val="22"/>
              </w:rPr>
              <w:lastRenderedPageBreak/>
              <w:t>wieloletnich ram finansowych</w:t>
            </w:r>
          </w:p>
        </w:tc>
        <w:tc>
          <w:tcPr>
            <w:tcW w:w="529" w:type="pct"/>
            <w:gridSpan w:val="2"/>
            <w:tcBorders>
              <w:top w:val="nil"/>
              <w:left w:val="nil"/>
              <w:bottom w:val="single" w:sz="8" w:space="0" w:color="auto"/>
              <w:right w:val="single" w:sz="8" w:space="0" w:color="auto"/>
            </w:tcBorders>
            <w:shd w:val="clear" w:color="auto" w:fill="auto"/>
            <w:vAlign w:val="center"/>
            <w:hideMark/>
          </w:tcPr>
          <w:p w14:paraId="7598A422"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7BDD9F5D" w14:textId="77777777" w:rsidR="00FA5543" w:rsidRPr="00F66162" w:rsidRDefault="00FA5543" w:rsidP="00390489">
            <w:pPr>
              <w:spacing w:before="0" w:after="0"/>
              <w:jc w:val="center"/>
              <w:rPr>
                <w:noProof/>
                <w:color w:val="000000"/>
                <w:sz w:val="14"/>
                <w:szCs w:val="14"/>
              </w:rPr>
            </w:pPr>
            <w:r w:rsidRPr="00F66162">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037AC19" w14:textId="77777777" w:rsidR="00FA5543" w:rsidRPr="00F66162" w:rsidRDefault="4D1DC1C9" w:rsidP="139DF8FE">
            <w:pPr>
              <w:spacing w:before="0" w:after="0"/>
              <w:jc w:val="right"/>
              <w:rPr>
                <w:rFonts w:eastAsia="Times New Roman"/>
                <w:noProof/>
                <w:sz w:val="20"/>
                <w:szCs w:val="20"/>
              </w:rPr>
            </w:pPr>
            <w:r w:rsidRPr="00F66162">
              <w:rPr>
                <w:b/>
                <w:noProof/>
                <w:color w:val="000000" w:themeColor="text1"/>
                <w:sz w:val="20"/>
              </w:rPr>
              <w:t>17,530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2D1F18D" w14:textId="77777777" w:rsidR="00FA5543" w:rsidRPr="00F66162" w:rsidRDefault="4D1DC1C9" w:rsidP="139DF8FE">
            <w:pPr>
              <w:spacing w:before="0" w:after="0"/>
              <w:jc w:val="right"/>
              <w:rPr>
                <w:rFonts w:eastAsia="Times New Roman"/>
                <w:noProof/>
                <w:sz w:val="20"/>
                <w:szCs w:val="20"/>
              </w:rPr>
            </w:pPr>
            <w:r w:rsidRPr="00F66162">
              <w:rPr>
                <w:b/>
                <w:noProof/>
                <w:color w:val="000000" w:themeColor="text1"/>
                <w:sz w:val="20"/>
              </w:rPr>
              <w:t>21,157</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B2CB072" w14:textId="77777777" w:rsidR="00FA5543" w:rsidRPr="00F66162" w:rsidRDefault="4D1DC1C9" w:rsidP="139DF8FE">
            <w:pPr>
              <w:spacing w:before="0" w:after="0"/>
              <w:jc w:val="right"/>
              <w:rPr>
                <w:rFonts w:eastAsia="Times New Roman"/>
                <w:noProof/>
                <w:sz w:val="20"/>
                <w:szCs w:val="20"/>
              </w:rPr>
            </w:pPr>
            <w:r w:rsidRPr="00F66162">
              <w:rPr>
                <w:b/>
                <w:noProof/>
                <w:color w:val="000000" w:themeColor="text1"/>
                <w:sz w:val="20"/>
              </w:rPr>
              <w:t>32,090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C7A0829" w14:textId="77777777" w:rsidR="00FA5543" w:rsidRPr="00F66162" w:rsidRDefault="4D1DC1C9" w:rsidP="139DF8FE">
            <w:pPr>
              <w:spacing w:before="0" w:after="0"/>
              <w:jc w:val="right"/>
              <w:rPr>
                <w:rFonts w:eastAsia="Times New Roman"/>
                <w:noProof/>
                <w:sz w:val="20"/>
                <w:szCs w:val="20"/>
              </w:rPr>
            </w:pPr>
            <w:r w:rsidRPr="00F66162">
              <w:rPr>
                <w:b/>
                <w:noProof/>
                <w:color w:val="000000" w:themeColor="text1"/>
                <w:sz w:val="20"/>
              </w:rPr>
              <w:t>33,067</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0980BBF" w14:textId="77777777" w:rsidR="00FA5543" w:rsidRPr="00F66162" w:rsidRDefault="4D1DC1C9" w:rsidP="139DF8FE">
            <w:pPr>
              <w:spacing w:before="0" w:after="0"/>
              <w:jc w:val="right"/>
              <w:rPr>
                <w:rFonts w:eastAsia="Times New Roman"/>
                <w:noProof/>
                <w:sz w:val="20"/>
                <w:szCs w:val="20"/>
              </w:rPr>
            </w:pPr>
            <w:r w:rsidRPr="00F66162">
              <w:rPr>
                <w:b/>
                <w:noProof/>
                <w:color w:val="000000" w:themeColor="text1"/>
                <w:sz w:val="20"/>
              </w:rPr>
              <w:t>103,844</w:t>
            </w:r>
          </w:p>
        </w:tc>
      </w:tr>
      <w:tr w:rsidR="00FA5543" w:rsidRPr="00F66162" w14:paraId="680948AC" w14:textId="77777777" w:rsidTr="139DF8FE">
        <w:trPr>
          <w:trHeight w:val="288"/>
        </w:trPr>
        <w:tc>
          <w:tcPr>
            <w:tcW w:w="1522" w:type="pct"/>
            <w:gridSpan w:val="2"/>
            <w:tcBorders>
              <w:top w:val="nil"/>
              <w:left w:val="nil"/>
              <w:bottom w:val="nil"/>
              <w:right w:val="nil"/>
            </w:tcBorders>
            <w:shd w:val="clear" w:color="auto" w:fill="auto"/>
            <w:noWrap/>
            <w:vAlign w:val="bottom"/>
            <w:hideMark/>
          </w:tcPr>
          <w:p w14:paraId="0098B86C" w14:textId="77777777" w:rsidR="00FA5543" w:rsidRPr="00F66162" w:rsidRDefault="00FA5543" w:rsidP="00390489">
            <w:pPr>
              <w:spacing w:before="0" w:after="0"/>
              <w:jc w:val="left"/>
              <w:rPr>
                <w:noProof/>
                <w:sz w:val="20"/>
                <w:szCs w:val="24"/>
                <w:lang w:eastAsia="en-IE"/>
              </w:rPr>
            </w:pPr>
          </w:p>
        </w:tc>
        <w:tc>
          <w:tcPr>
            <w:tcW w:w="471" w:type="pct"/>
            <w:gridSpan w:val="3"/>
            <w:tcBorders>
              <w:top w:val="nil"/>
              <w:left w:val="nil"/>
              <w:bottom w:val="nil"/>
              <w:right w:val="nil"/>
            </w:tcBorders>
            <w:shd w:val="clear" w:color="auto" w:fill="auto"/>
            <w:noWrap/>
            <w:vAlign w:val="bottom"/>
            <w:hideMark/>
          </w:tcPr>
          <w:p w14:paraId="7DE7AB32" w14:textId="77777777" w:rsidR="00FA5543" w:rsidRPr="00F66162" w:rsidRDefault="00FA5543" w:rsidP="00390489">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14:paraId="3B9FA490" w14:textId="77777777" w:rsidR="00FA5543" w:rsidRPr="00F66162" w:rsidRDefault="00FA5543" w:rsidP="00390489">
            <w:pPr>
              <w:spacing w:before="0" w:after="0"/>
              <w:jc w:val="left"/>
              <w:rPr>
                <w:noProof/>
                <w:sz w:val="20"/>
                <w:szCs w:val="20"/>
                <w:lang w:eastAsia="en-IE"/>
              </w:rPr>
            </w:pPr>
          </w:p>
        </w:tc>
        <w:tc>
          <w:tcPr>
            <w:tcW w:w="366" w:type="pct"/>
            <w:gridSpan w:val="3"/>
            <w:tcBorders>
              <w:top w:val="nil"/>
              <w:left w:val="nil"/>
              <w:bottom w:val="nil"/>
              <w:right w:val="single" w:sz="4" w:space="0" w:color="auto"/>
            </w:tcBorders>
            <w:shd w:val="clear" w:color="auto" w:fill="auto"/>
            <w:noWrap/>
            <w:vAlign w:val="bottom"/>
            <w:hideMark/>
          </w:tcPr>
          <w:p w14:paraId="7678F004" w14:textId="77777777" w:rsidR="00FA5543" w:rsidRPr="00F66162" w:rsidRDefault="00FA5543" w:rsidP="00390489">
            <w:pPr>
              <w:spacing w:before="0" w:after="0"/>
              <w:jc w:val="left"/>
              <w:rPr>
                <w:noProof/>
                <w:sz w:val="20"/>
                <w:szCs w:val="20"/>
                <w:lang w:eastAsia="en-IE"/>
              </w:rPr>
            </w:pPr>
          </w:p>
        </w:tc>
        <w:tc>
          <w:tcPr>
            <w:tcW w:w="437" w:type="pct"/>
            <w:gridSpan w:val="3"/>
            <w:tcBorders>
              <w:top w:val="single" w:sz="8" w:space="0" w:color="auto"/>
              <w:left w:val="single" w:sz="4" w:space="0" w:color="auto"/>
              <w:bottom w:val="nil"/>
              <w:right w:val="single" w:sz="8" w:space="0" w:color="auto"/>
            </w:tcBorders>
            <w:shd w:val="clear" w:color="auto" w:fill="auto"/>
            <w:vAlign w:val="center"/>
            <w:hideMark/>
          </w:tcPr>
          <w:p w14:paraId="189CC324"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37" w:type="pct"/>
            <w:gridSpan w:val="3"/>
            <w:tcBorders>
              <w:top w:val="single" w:sz="8" w:space="0" w:color="auto"/>
              <w:left w:val="nil"/>
              <w:bottom w:val="nil"/>
              <w:right w:val="single" w:sz="8" w:space="0" w:color="auto"/>
            </w:tcBorders>
            <w:shd w:val="clear" w:color="auto" w:fill="auto"/>
            <w:vAlign w:val="center"/>
            <w:hideMark/>
          </w:tcPr>
          <w:p w14:paraId="50F6EEF4"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37" w:type="pct"/>
            <w:gridSpan w:val="3"/>
            <w:tcBorders>
              <w:top w:val="single" w:sz="8" w:space="0" w:color="auto"/>
              <w:left w:val="nil"/>
              <w:bottom w:val="nil"/>
              <w:right w:val="single" w:sz="8" w:space="0" w:color="auto"/>
            </w:tcBorders>
            <w:shd w:val="clear" w:color="auto" w:fill="auto"/>
            <w:vAlign w:val="center"/>
            <w:hideMark/>
          </w:tcPr>
          <w:p w14:paraId="2C39ED4B"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437" w:type="pct"/>
            <w:gridSpan w:val="3"/>
            <w:tcBorders>
              <w:top w:val="single" w:sz="8" w:space="0" w:color="auto"/>
              <w:left w:val="nil"/>
              <w:bottom w:val="nil"/>
              <w:right w:val="single" w:sz="8" w:space="0" w:color="auto"/>
            </w:tcBorders>
            <w:shd w:val="clear" w:color="auto" w:fill="auto"/>
            <w:vAlign w:val="center"/>
            <w:hideMark/>
          </w:tcPr>
          <w:p w14:paraId="45512A3E"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528" w:type="pct"/>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5CE57C0"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OGÓŁEM WRF 2021–2027</w:t>
            </w:r>
          </w:p>
        </w:tc>
      </w:tr>
      <w:tr w:rsidR="00FA5543" w:rsidRPr="00F66162" w14:paraId="39358772" w14:textId="77777777" w:rsidTr="139DF8FE">
        <w:trPr>
          <w:trHeight w:val="300"/>
        </w:trPr>
        <w:tc>
          <w:tcPr>
            <w:tcW w:w="1522" w:type="pct"/>
            <w:gridSpan w:val="2"/>
            <w:tcBorders>
              <w:top w:val="nil"/>
              <w:left w:val="nil"/>
              <w:bottom w:val="nil"/>
              <w:right w:val="nil"/>
            </w:tcBorders>
            <w:shd w:val="clear" w:color="auto" w:fill="auto"/>
            <w:noWrap/>
            <w:vAlign w:val="bottom"/>
            <w:hideMark/>
          </w:tcPr>
          <w:p w14:paraId="4735EC37" w14:textId="77777777" w:rsidR="00FA5543" w:rsidRPr="00F66162" w:rsidRDefault="00FA5543" w:rsidP="00390489">
            <w:pPr>
              <w:spacing w:before="0" w:after="0"/>
              <w:jc w:val="center"/>
              <w:rPr>
                <w:b/>
                <w:bCs/>
                <w:noProof/>
                <w:color w:val="000000"/>
                <w:sz w:val="20"/>
                <w:szCs w:val="20"/>
                <w:lang w:eastAsia="en-IE"/>
              </w:rPr>
            </w:pPr>
          </w:p>
        </w:tc>
        <w:tc>
          <w:tcPr>
            <w:tcW w:w="471" w:type="pct"/>
            <w:gridSpan w:val="3"/>
            <w:tcBorders>
              <w:top w:val="nil"/>
              <w:left w:val="nil"/>
              <w:bottom w:val="nil"/>
              <w:right w:val="nil"/>
            </w:tcBorders>
            <w:shd w:val="clear" w:color="auto" w:fill="auto"/>
            <w:noWrap/>
            <w:vAlign w:val="bottom"/>
            <w:hideMark/>
          </w:tcPr>
          <w:p w14:paraId="7AB3CBE0" w14:textId="77777777" w:rsidR="00FA5543" w:rsidRPr="00F66162" w:rsidRDefault="00FA5543" w:rsidP="00390489">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14:paraId="5EA13EAB" w14:textId="77777777" w:rsidR="00FA5543" w:rsidRPr="00F66162" w:rsidRDefault="00FA5543" w:rsidP="00390489">
            <w:pPr>
              <w:spacing w:before="0" w:after="0"/>
              <w:jc w:val="left"/>
              <w:rPr>
                <w:noProof/>
                <w:sz w:val="20"/>
                <w:szCs w:val="20"/>
                <w:lang w:eastAsia="en-IE"/>
              </w:rPr>
            </w:pPr>
          </w:p>
        </w:tc>
        <w:tc>
          <w:tcPr>
            <w:tcW w:w="366" w:type="pct"/>
            <w:gridSpan w:val="3"/>
            <w:tcBorders>
              <w:top w:val="nil"/>
              <w:left w:val="nil"/>
              <w:bottom w:val="nil"/>
              <w:right w:val="single" w:sz="4" w:space="0" w:color="auto"/>
            </w:tcBorders>
            <w:shd w:val="clear" w:color="auto" w:fill="auto"/>
            <w:noWrap/>
            <w:vAlign w:val="bottom"/>
            <w:hideMark/>
          </w:tcPr>
          <w:p w14:paraId="6AEE0E58" w14:textId="77777777" w:rsidR="00FA5543" w:rsidRPr="00F66162" w:rsidRDefault="00FA5543" w:rsidP="00390489">
            <w:pPr>
              <w:spacing w:before="0" w:after="0"/>
              <w:jc w:val="left"/>
              <w:rPr>
                <w:noProof/>
                <w:sz w:val="20"/>
                <w:szCs w:val="20"/>
                <w:lang w:eastAsia="en-IE"/>
              </w:rPr>
            </w:pPr>
          </w:p>
        </w:tc>
        <w:tc>
          <w:tcPr>
            <w:tcW w:w="437" w:type="pct"/>
            <w:gridSpan w:val="3"/>
            <w:tcBorders>
              <w:top w:val="nil"/>
              <w:left w:val="single" w:sz="4" w:space="0" w:color="auto"/>
              <w:bottom w:val="single" w:sz="8" w:space="0" w:color="auto"/>
              <w:right w:val="single" w:sz="8" w:space="0" w:color="auto"/>
            </w:tcBorders>
            <w:shd w:val="clear" w:color="auto" w:fill="auto"/>
            <w:vAlign w:val="center"/>
            <w:hideMark/>
          </w:tcPr>
          <w:p w14:paraId="49A93935"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437" w:type="pct"/>
            <w:gridSpan w:val="3"/>
            <w:tcBorders>
              <w:top w:val="nil"/>
              <w:left w:val="nil"/>
              <w:bottom w:val="single" w:sz="8" w:space="0" w:color="auto"/>
              <w:right w:val="single" w:sz="8" w:space="0" w:color="auto"/>
            </w:tcBorders>
            <w:shd w:val="clear" w:color="auto" w:fill="auto"/>
            <w:vAlign w:val="center"/>
            <w:hideMark/>
          </w:tcPr>
          <w:p w14:paraId="7C048E2D"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437" w:type="pct"/>
            <w:gridSpan w:val="3"/>
            <w:tcBorders>
              <w:top w:val="nil"/>
              <w:left w:val="nil"/>
              <w:bottom w:val="single" w:sz="8" w:space="0" w:color="auto"/>
              <w:right w:val="single" w:sz="8" w:space="0" w:color="auto"/>
            </w:tcBorders>
            <w:shd w:val="clear" w:color="auto" w:fill="auto"/>
            <w:vAlign w:val="center"/>
            <w:hideMark/>
          </w:tcPr>
          <w:p w14:paraId="55CF5214"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437" w:type="pct"/>
            <w:gridSpan w:val="3"/>
            <w:tcBorders>
              <w:top w:val="nil"/>
              <w:left w:val="nil"/>
              <w:bottom w:val="single" w:sz="8" w:space="0" w:color="auto"/>
              <w:right w:val="single" w:sz="8" w:space="0" w:color="auto"/>
            </w:tcBorders>
            <w:shd w:val="clear" w:color="auto" w:fill="auto"/>
            <w:vAlign w:val="center"/>
            <w:hideMark/>
          </w:tcPr>
          <w:p w14:paraId="0D8C9B51"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c>
          <w:tcPr>
            <w:tcW w:w="528" w:type="pct"/>
            <w:vMerge/>
            <w:vAlign w:val="center"/>
            <w:hideMark/>
          </w:tcPr>
          <w:p w14:paraId="662F21EE" w14:textId="77777777" w:rsidR="00FA5543" w:rsidRPr="00F66162" w:rsidRDefault="00FA5543" w:rsidP="00390489">
            <w:pPr>
              <w:spacing w:before="0" w:after="0"/>
              <w:jc w:val="left"/>
              <w:rPr>
                <w:b/>
                <w:bCs/>
                <w:noProof/>
                <w:color w:val="000000"/>
                <w:sz w:val="20"/>
                <w:szCs w:val="20"/>
                <w:lang w:eastAsia="en-IE"/>
              </w:rPr>
            </w:pPr>
          </w:p>
        </w:tc>
      </w:tr>
      <w:tr w:rsidR="00FA5543" w:rsidRPr="00F66162" w14:paraId="121B85A2" w14:textId="77777777" w:rsidTr="139DF8FE">
        <w:trPr>
          <w:trHeight w:val="300"/>
        </w:trPr>
        <w:tc>
          <w:tcPr>
            <w:tcW w:w="152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599EE0A" w14:textId="77777777" w:rsidR="00FA5543" w:rsidRPr="00F66162" w:rsidRDefault="00FA5543" w:rsidP="00390489">
            <w:pPr>
              <w:spacing w:before="0" w:after="0"/>
              <w:rPr>
                <w:noProof/>
                <w:color w:val="000000"/>
                <w:sz w:val="21"/>
                <w:szCs w:val="21"/>
              </w:rPr>
            </w:pPr>
            <w:r w:rsidRPr="00F66162">
              <w:rPr>
                <w:rFonts w:ascii="Calibri" w:hAnsi="Calibri"/>
                <w:noProof/>
                <w:color w:val="000000"/>
                <w:sz w:val="21"/>
              </w:rPr>
              <w:t xml:space="preserve">• </w:t>
            </w:r>
            <w:r w:rsidRPr="00F66162">
              <w:rPr>
                <w:noProof/>
                <w:color w:val="000000"/>
                <w:sz w:val="21"/>
              </w:rPr>
              <w:t>OGÓŁEM środki operacyjne (wszystkie działy operacyjne)</w:t>
            </w:r>
          </w:p>
        </w:tc>
        <w:tc>
          <w:tcPr>
            <w:tcW w:w="471" w:type="pct"/>
            <w:gridSpan w:val="3"/>
            <w:tcBorders>
              <w:top w:val="single" w:sz="8" w:space="0" w:color="auto"/>
              <w:left w:val="nil"/>
              <w:bottom w:val="single" w:sz="8" w:space="0" w:color="auto"/>
              <w:right w:val="single" w:sz="8" w:space="0" w:color="auto"/>
            </w:tcBorders>
            <w:shd w:val="clear" w:color="auto" w:fill="auto"/>
            <w:vAlign w:val="center"/>
            <w:hideMark/>
          </w:tcPr>
          <w:p w14:paraId="0D4DD65E"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7E259ABA" w14:textId="77777777" w:rsidR="00FA5543" w:rsidRPr="00F66162" w:rsidRDefault="00FA5543" w:rsidP="00390489">
            <w:pPr>
              <w:spacing w:before="0" w:after="0"/>
              <w:jc w:val="center"/>
              <w:rPr>
                <w:noProof/>
                <w:color w:val="000000"/>
                <w:sz w:val="14"/>
                <w:szCs w:val="14"/>
              </w:rPr>
            </w:pPr>
            <w:r w:rsidRPr="00F66162">
              <w:rPr>
                <w:noProof/>
                <w:color w:val="000000"/>
                <w:sz w:val="14"/>
              </w:rPr>
              <w:t>(4)</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3ADD5D3" w14:textId="77777777" w:rsidR="00FA5543" w:rsidRPr="00F66162" w:rsidRDefault="7F259003" w:rsidP="139DF8FE">
            <w:pPr>
              <w:spacing w:before="0" w:after="0"/>
              <w:jc w:val="right"/>
              <w:rPr>
                <w:rFonts w:eastAsia="Times New Roman"/>
                <w:noProof/>
                <w:sz w:val="20"/>
                <w:szCs w:val="20"/>
              </w:rPr>
            </w:pPr>
            <w:r w:rsidRPr="00F66162">
              <w:rPr>
                <w:noProof/>
                <w:color w:val="000000" w:themeColor="text1"/>
                <w:sz w:val="20"/>
              </w:rPr>
              <w:t>28,090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EF0A3B1" w14:textId="77777777" w:rsidR="00FA5543" w:rsidRPr="00F66162" w:rsidRDefault="7F259003" w:rsidP="139DF8FE">
            <w:pPr>
              <w:spacing w:before="0" w:after="0"/>
              <w:jc w:val="right"/>
              <w:rPr>
                <w:rFonts w:eastAsia="Times New Roman"/>
                <w:noProof/>
                <w:sz w:val="20"/>
                <w:szCs w:val="20"/>
              </w:rPr>
            </w:pPr>
            <w:r w:rsidRPr="00F66162">
              <w:rPr>
                <w:noProof/>
                <w:color w:val="000000" w:themeColor="text1"/>
                <w:sz w:val="20"/>
              </w:rPr>
              <w:t>34,750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0C4A54D" w14:textId="77777777" w:rsidR="00FA5543" w:rsidRPr="00F66162" w:rsidRDefault="7F259003" w:rsidP="139DF8FE">
            <w:pPr>
              <w:spacing w:before="0" w:after="0"/>
              <w:jc w:val="right"/>
              <w:rPr>
                <w:rFonts w:eastAsia="Times New Roman"/>
                <w:noProof/>
                <w:sz w:val="20"/>
                <w:szCs w:val="20"/>
              </w:rPr>
            </w:pPr>
            <w:r w:rsidRPr="00F66162">
              <w:rPr>
                <w:noProof/>
                <w:color w:val="000000" w:themeColor="text1"/>
                <w:sz w:val="20"/>
              </w:rPr>
              <w:t>33,700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3065950" w14:textId="77777777" w:rsidR="00FA5543" w:rsidRPr="00F66162" w:rsidRDefault="7F259003" w:rsidP="139DF8FE">
            <w:pPr>
              <w:spacing w:before="0" w:after="0"/>
              <w:jc w:val="right"/>
              <w:rPr>
                <w:rFonts w:eastAsia="Times New Roman"/>
                <w:noProof/>
                <w:sz w:val="20"/>
                <w:szCs w:val="20"/>
              </w:rPr>
            </w:pPr>
            <w:r w:rsidRPr="00F66162">
              <w:rPr>
                <w:noProof/>
                <w:color w:val="000000" w:themeColor="text1"/>
                <w:sz w:val="20"/>
              </w:rPr>
              <w:t>30,150</w:t>
            </w:r>
          </w:p>
        </w:tc>
        <w:tc>
          <w:tcPr>
            <w:tcW w:w="528" w:type="pct"/>
            <w:tcBorders>
              <w:top w:val="nil"/>
              <w:left w:val="nil"/>
              <w:bottom w:val="single" w:sz="8" w:space="0" w:color="auto"/>
              <w:right w:val="single" w:sz="8" w:space="0" w:color="auto"/>
            </w:tcBorders>
            <w:shd w:val="clear" w:color="auto" w:fill="D9D9D9" w:themeFill="background1" w:themeFillShade="D9"/>
            <w:vAlign w:val="center"/>
            <w:hideMark/>
          </w:tcPr>
          <w:p w14:paraId="259CF97A" w14:textId="77777777" w:rsidR="00FA5543" w:rsidRPr="00F66162" w:rsidRDefault="7F259003" w:rsidP="139DF8FE">
            <w:pPr>
              <w:spacing w:before="0" w:after="0"/>
              <w:jc w:val="right"/>
              <w:rPr>
                <w:rFonts w:eastAsia="Times New Roman"/>
                <w:noProof/>
                <w:sz w:val="20"/>
                <w:szCs w:val="20"/>
              </w:rPr>
            </w:pPr>
            <w:r w:rsidRPr="00F66162">
              <w:rPr>
                <w:b/>
                <w:noProof/>
                <w:color w:val="000000" w:themeColor="text1"/>
                <w:sz w:val="20"/>
              </w:rPr>
              <w:t>126,690</w:t>
            </w:r>
          </w:p>
        </w:tc>
      </w:tr>
      <w:tr w:rsidR="00FA5543" w:rsidRPr="00F66162" w14:paraId="56592862" w14:textId="77777777" w:rsidTr="139DF8FE">
        <w:trPr>
          <w:trHeight w:val="300"/>
        </w:trPr>
        <w:tc>
          <w:tcPr>
            <w:tcW w:w="1522" w:type="pct"/>
            <w:gridSpan w:val="2"/>
            <w:vMerge/>
            <w:vAlign w:val="center"/>
            <w:hideMark/>
          </w:tcPr>
          <w:p w14:paraId="44E246D5" w14:textId="77777777" w:rsidR="00FA5543" w:rsidRPr="00F66162" w:rsidRDefault="00FA5543" w:rsidP="00390489">
            <w:pPr>
              <w:spacing w:before="0" w:after="0"/>
              <w:jc w:val="left"/>
              <w:rPr>
                <w:noProof/>
                <w:color w:val="000000"/>
                <w:sz w:val="21"/>
                <w:szCs w:val="21"/>
                <w:lang w:eastAsia="en-IE"/>
              </w:rPr>
            </w:pPr>
          </w:p>
        </w:tc>
        <w:tc>
          <w:tcPr>
            <w:tcW w:w="471" w:type="pct"/>
            <w:gridSpan w:val="3"/>
            <w:tcBorders>
              <w:top w:val="nil"/>
              <w:left w:val="nil"/>
              <w:bottom w:val="single" w:sz="8" w:space="0" w:color="auto"/>
              <w:right w:val="single" w:sz="8" w:space="0" w:color="auto"/>
            </w:tcBorders>
            <w:shd w:val="clear" w:color="auto" w:fill="auto"/>
            <w:vAlign w:val="center"/>
            <w:hideMark/>
          </w:tcPr>
          <w:p w14:paraId="37C42EF3"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7C49E462" w14:textId="77777777" w:rsidR="00FA5543" w:rsidRPr="00F66162" w:rsidRDefault="00FA5543" w:rsidP="00390489">
            <w:pPr>
              <w:spacing w:before="0" w:after="0"/>
              <w:jc w:val="center"/>
              <w:rPr>
                <w:noProof/>
                <w:color w:val="000000"/>
                <w:sz w:val="14"/>
                <w:szCs w:val="14"/>
              </w:rPr>
            </w:pPr>
            <w:r w:rsidRPr="00F66162">
              <w:rPr>
                <w:noProof/>
                <w:color w:val="000000"/>
                <w:sz w:val="14"/>
              </w:rPr>
              <w:t>(5)</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9CB8813" w14:textId="77777777" w:rsidR="00FA5543" w:rsidRPr="00F66162" w:rsidRDefault="55C27D78" w:rsidP="139DF8FE">
            <w:pPr>
              <w:spacing w:before="0" w:after="0"/>
              <w:jc w:val="right"/>
              <w:rPr>
                <w:rFonts w:eastAsia="Times New Roman"/>
                <w:noProof/>
                <w:sz w:val="20"/>
                <w:szCs w:val="20"/>
              </w:rPr>
            </w:pPr>
            <w:r w:rsidRPr="00F66162">
              <w:rPr>
                <w:noProof/>
                <w:color w:val="000000" w:themeColor="text1"/>
                <w:sz w:val="20"/>
              </w:rPr>
              <w:t>17,530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0302023" w14:textId="77777777" w:rsidR="00FA5543" w:rsidRPr="00F66162" w:rsidRDefault="0AEB5E06" w:rsidP="139DF8FE">
            <w:pPr>
              <w:spacing w:before="0" w:after="0"/>
              <w:jc w:val="right"/>
              <w:rPr>
                <w:rFonts w:eastAsia="Times New Roman"/>
                <w:noProof/>
                <w:sz w:val="20"/>
                <w:szCs w:val="20"/>
              </w:rPr>
            </w:pPr>
            <w:r w:rsidRPr="00F66162">
              <w:rPr>
                <w:noProof/>
                <w:color w:val="000000" w:themeColor="text1"/>
                <w:sz w:val="20"/>
              </w:rPr>
              <w:t>21,157</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14DB362" w14:textId="77777777" w:rsidR="00FA5543" w:rsidRPr="00F66162" w:rsidRDefault="34336779" w:rsidP="139DF8FE">
            <w:pPr>
              <w:spacing w:before="0" w:after="0"/>
              <w:jc w:val="right"/>
              <w:rPr>
                <w:rFonts w:eastAsia="Times New Roman"/>
                <w:noProof/>
                <w:sz w:val="20"/>
                <w:szCs w:val="20"/>
              </w:rPr>
            </w:pPr>
            <w:r w:rsidRPr="00F66162">
              <w:rPr>
                <w:noProof/>
                <w:color w:val="000000" w:themeColor="text1"/>
                <w:sz w:val="20"/>
              </w:rPr>
              <w:t>32,090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CE79A2E" w14:textId="77777777" w:rsidR="00FA5543" w:rsidRPr="00F66162" w:rsidRDefault="763A6B7D" w:rsidP="139DF8FE">
            <w:pPr>
              <w:spacing w:before="0" w:after="0"/>
              <w:jc w:val="right"/>
              <w:rPr>
                <w:rFonts w:eastAsia="Times New Roman"/>
                <w:noProof/>
                <w:sz w:val="20"/>
                <w:szCs w:val="20"/>
              </w:rPr>
            </w:pPr>
            <w:r w:rsidRPr="00F66162">
              <w:rPr>
                <w:noProof/>
                <w:color w:val="000000" w:themeColor="text1"/>
                <w:sz w:val="20"/>
              </w:rPr>
              <w:t>33,067</w:t>
            </w:r>
          </w:p>
        </w:tc>
        <w:tc>
          <w:tcPr>
            <w:tcW w:w="528" w:type="pct"/>
            <w:tcBorders>
              <w:top w:val="nil"/>
              <w:left w:val="nil"/>
              <w:bottom w:val="single" w:sz="8" w:space="0" w:color="auto"/>
              <w:right w:val="single" w:sz="8" w:space="0" w:color="auto"/>
            </w:tcBorders>
            <w:shd w:val="clear" w:color="auto" w:fill="D9D9D9" w:themeFill="background1" w:themeFillShade="D9"/>
            <w:vAlign w:val="center"/>
            <w:hideMark/>
          </w:tcPr>
          <w:p w14:paraId="5C12BFE9" w14:textId="77777777" w:rsidR="00FA5543" w:rsidRPr="00F66162" w:rsidRDefault="2718C82C" w:rsidP="139DF8FE">
            <w:pPr>
              <w:spacing w:before="0" w:after="0"/>
              <w:jc w:val="right"/>
              <w:rPr>
                <w:rFonts w:eastAsia="Times New Roman"/>
                <w:noProof/>
                <w:sz w:val="20"/>
                <w:szCs w:val="20"/>
              </w:rPr>
            </w:pPr>
            <w:r w:rsidRPr="00F66162">
              <w:rPr>
                <w:b/>
                <w:noProof/>
                <w:color w:val="000000" w:themeColor="text1"/>
                <w:sz w:val="20"/>
              </w:rPr>
              <w:t>103,844</w:t>
            </w:r>
          </w:p>
        </w:tc>
      </w:tr>
      <w:tr w:rsidR="00FA5543" w:rsidRPr="00F66162" w14:paraId="122A65EB" w14:textId="77777777" w:rsidTr="139DF8FE">
        <w:trPr>
          <w:trHeight w:val="990"/>
        </w:trPr>
        <w:tc>
          <w:tcPr>
            <w:tcW w:w="1993" w:type="pct"/>
            <w:gridSpan w:val="5"/>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356F102B" w14:textId="77777777" w:rsidR="00FA5543" w:rsidRPr="00F66162" w:rsidRDefault="00FA5543" w:rsidP="00390489">
            <w:pPr>
              <w:spacing w:before="0" w:after="0"/>
              <w:rPr>
                <w:noProof/>
                <w:color w:val="000000"/>
                <w:sz w:val="21"/>
                <w:szCs w:val="21"/>
              </w:rPr>
            </w:pPr>
            <w:r w:rsidRPr="00F66162">
              <w:rPr>
                <w:rFonts w:ascii="Calibri" w:hAnsi="Calibri"/>
                <w:noProof/>
                <w:color w:val="000000"/>
                <w:sz w:val="21"/>
              </w:rPr>
              <w:t>•</w:t>
            </w:r>
            <w:r w:rsidRPr="00F66162">
              <w:rPr>
                <w:noProof/>
                <w:color w:val="000000"/>
                <w:sz w:val="21"/>
              </w:rPr>
              <w:t xml:space="preserve"> OGÓŁEM środki administracyjne finansowane ze środków przydzielonych na określone programy (wszystkie działy operacyjne)</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00CC0FED" w14:textId="77777777" w:rsidR="00FA5543" w:rsidRPr="00F66162" w:rsidRDefault="00FA5543" w:rsidP="00390489">
            <w:pPr>
              <w:spacing w:before="0" w:after="0"/>
              <w:jc w:val="center"/>
              <w:rPr>
                <w:noProof/>
                <w:color w:val="000000"/>
                <w:sz w:val="14"/>
                <w:szCs w:val="14"/>
              </w:rPr>
            </w:pPr>
            <w:r w:rsidRPr="00F66162">
              <w:rPr>
                <w:noProof/>
                <w:color w:val="000000"/>
                <w:sz w:val="14"/>
              </w:rPr>
              <w:t>(6)</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F8BA375"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B0A875D"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DF7C12D"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4BAE15C" w14:textId="77777777" w:rsidR="00FA5543" w:rsidRPr="00F66162" w:rsidRDefault="00FA5543" w:rsidP="00390489">
            <w:pPr>
              <w:spacing w:before="0" w:after="0"/>
              <w:jc w:val="right"/>
              <w:rPr>
                <w:noProof/>
                <w:color w:val="000000"/>
                <w:sz w:val="20"/>
                <w:szCs w:val="20"/>
              </w:rPr>
            </w:pPr>
            <w:r w:rsidRPr="00F66162">
              <w:rPr>
                <w:noProof/>
                <w:color w:val="000000"/>
                <w:sz w:val="20"/>
              </w:rPr>
              <w:t>0,000</w:t>
            </w:r>
          </w:p>
        </w:tc>
        <w:tc>
          <w:tcPr>
            <w:tcW w:w="528" w:type="pct"/>
            <w:tcBorders>
              <w:top w:val="nil"/>
              <w:left w:val="nil"/>
              <w:bottom w:val="single" w:sz="8" w:space="0" w:color="auto"/>
              <w:right w:val="single" w:sz="8" w:space="0" w:color="auto"/>
            </w:tcBorders>
            <w:shd w:val="clear" w:color="auto" w:fill="D9D9D9" w:themeFill="background1" w:themeFillShade="D9"/>
            <w:vAlign w:val="center"/>
            <w:hideMark/>
          </w:tcPr>
          <w:p w14:paraId="306447FC" w14:textId="77777777" w:rsidR="00FA5543" w:rsidRPr="00F66162" w:rsidRDefault="00FA5543" w:rsidP="00390489">
            <w:pPr>
              <w:spacing w:before="0" w:after="0"/>
              <w:jc w:val="right"/>
              <w:rPr>
                <w:b/>
                <w:bCs/>
                <w:noProof/>
                <w:color w:val="000000"/>
                <w:sz w:val="20"/>
                <w:szCs w:val="20"/>
              </w:rPr>
            </w:pPr>
            <w:r w:rsidRPr="00F66162">
              <w:rPr>
                <w:b/>
                <w:noProof/>
                <w:color w:val="000000"/>
                <w:sz w:val="20"/>
              </w:rPr>
              <w:t>0,000</w:t>
            </w:r>
          </w:p>
        </w:tc>
      </w:tr>
      <w:tr w:rsidR="00FA5543" w:rsidRPr="00F66162" w14:paraId="5FDBFF9B" w14:textId="77777777" w:rsidTr="139DF8FE">
        <w:trPr>
          <w:trHeight w:val="564"/>
        </w:trPr>
        <w:tc>
          <w:tcPr>
            <w:tcW w:w="1522" w:type="pct"/>
            <w:gridSpan w:val="2"/>
            <w:tcBorders>
              <w:top w:val="nil"/>
              <w:left w:val="single" w:sz="8" w:space="0" w:color="auto"/>
              <w:bottom w:val="nil"/>
              <w:right w:val="single" w:sz="8" w:space="0" w:color="auto"/>
            </w:tcBorders>
            <w:shd w:val="clear" w:color="auto" w:fill="F1F1F1"/>
            <w:vAlign w:val="center"/>
            <w:hideMark/>
          </w:tcPr>
          <w:p w14:paraId="7F9493E7" w14:textId="07CC07C5" w:rsidR="00FA5543" w:rsidRPr="00F66162" w:rsidRDefault="00FA5543" w:rsidP="00390489">
            <w:pPr>
              <w:spacing w:before="0" w:after="0"/>
              <w:jc w:val="center"/>
              <w:rPr>
                <w:b/>
                <w:bCs/>
                <w:noProof/>
                <w:color w:val="000000"/>
                <w:sz w:val="22"/>
              </w:rPr>
            </w:pPr>
            <w:r w:rsidRPr="00F66162">
              <w:rPr>
                <w:b/>
                <w:noProof/>
                <w:color w:val="000000"/>
                <w:sz w:val="22"/>
              </w:rPr>
              <w:t xml:space="preserve">OGÓŁEM środki na DZIAŁY </w:t>
            </w:r>
            <w:r w:rsidRPr="00825614">
              <w:rPr>
                <w:b/>
                <w:noProof/>
                <w:color w:val="000000"/>
                <w:sz w:val="22"/>
              </w:rPr>
              <w:t>od</w:t>
            </w:r>
            <w:r w:rsidR="00825614" w:rsidRPr="00825614">
              <w:rPr>
                <w:b/>
                <w:noProof/>
                <w:color w:val="000000"/>
                <w:sz w:val="22"/>
              </w:rPr>
              <w:t> </w:t>
            </w:r>
            <w:r w:rsidRPr="00825614">
              <w:rPr>
                <w:b/>
                <w:noProof/>
                <w:color w:val="000000"/>
                <w:sz w:val="22"/>
              </w:rPr>
              <w:t>1</w:t>
            </w:r>
            <w:r w:rsidRPr="00F66162">
              <w:rPr>
                <w:b/>
                <w:noProof/>
                <w:color w:val="000000"/>
                <w:sz w:val="22"/>
              </w:rPr>
              <w:t xml:space="preserve"> </w:t>
            </w:r>
            <w:r w:rsidRPr="00825614">
              <w:rPr>
                <w:b/>
                <w:noProof/>
                <w:color w:val="000000"/>
                <w:sz w:val="22"/>
              </w:rPr>
              <w:t>do</w:t>
            </w:r>
            <w:r w:rsidR="00825614" w:rsidRPr="00825614">
              <w:rPr>
                <w:b/>
                <w:noProof/>
                <w:color w:val="000000"/>
                <w:sz w:val="22"/>
              </w:rPr>
              <w:t> </w:t>
            </w:r>
            <w:r w:rsidRPr="00825614">
              <w:rPr>
                <w:b/>
                <w:noProof/>
                <w:color w:val="000000"/>
                <w:sz w:val="22"/>
              </w:rPr>
              <w:t>6</w:t>
            </w:r>
          </w:p>
        </w:tc>
        <w:tc>
          <w:tcPr>
            <w:tcW w:w="471" w:type="pct"/>
            <w:gridSpan w:val="3"/>
            <w:tcBorders>
              <w:top w:val="nil"/>
              <w:left w:val="nil"/>
              <w:bottom w:val="nil"/>
              <w:right w:val="single" w:sz="8" w:space="0" w:color="auto"/>
            </w:tcBorders>
            <w:shd w:val="clear" w:color="auto" w:fill="auto"/>
            <w:vAlign w:val="center"/>
            <w:hideMark/>
          </w:tcPr>
          <w:p w14:paraId="01FAF337"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731" w:type="pct"/>
            <w:gridSpan w:val="4"/>
            <w:tcBorders>
              <w:top w:val="single" w:sz="8" w:space="0" w:color="auto"/>
              <w:left w:val="nil"/>
              <w:bottom w:val="nil"/>
              <w:right w:val="single" w:sz="8" w:space="0" w:color="000000" w:themeColor="text1"/>
            </w:tcBorders>
            <w:shd w:val="clear" w:color="auto" w:fill="auto"/>
            <w:vAlign w:val="center"/>
            <w:hideMark/>
          </w:tcPr>
          <w:p w14:paraId="135146D8" w14:textId="77777777" w:rsidR="00FA5543" w:rsidRPr="00F66162" w:rsidRDefault="00FA5543" w:rsidP="00390489">
            <w:pPr>
              <w:spacing w:before="0" w:after="0"/>
              <w:jc w:val="center"/>
              <w:rPr>
                <w:noProof/>
                <w:color w:val="000000"/>
                <w:sz w:val="14"/>
                <w:szCs w:val="14"/>
              </w:rPr>
            </w:pPr>
            <w:r w:rsidRPr="00F66162">
              <w:rPr>
                <w:noProof/>
                <w:color w:val="000000"/>
                <w:sz w:val="14"/>
              </w:rPr>
              <w:t>=4+6</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0179959" w14:textId="77777777" w:rsidR="00FA5543" w:rsidRPr="00F66162" w:rsidRDefault="6C203B01" w:rsidP="139DF8FE">
            <w:pPr>
              <w:spacing w:before="0" w:after="0"/>
              <w:jc w:val="right"/>
              <w:rPr>
                <w:rFonts w:eastAsia="Times New Roman"/>
                <w:noProof/>
                <w:sz w:val="20"/>
                <w:szCs w:val="20"/>
              </w:rPr>
            </w:pPr>
            <w:r w:rsidRPr="00F66162">
              <w:rPr>
                <w:b/>
                <w:noProof/>
                <w:color w:val="000000" w:themeColor="text1"/>
                <w:sz w:val="20"/>
              </w:rPr>
              <w:t>28,090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462C3C0" w14:textId="77777777" w:rsidR="00FA5543" w:rsidRPr="00F66162" w:rsidRDefault="6C203B01" w:rsidP="139DF8FE">
            <w:pPr>
              <w:spacing w:before="0" w:after="0"/>
              <w:jc w:val="right"/>
              <w:rPr>
                <w:rFonts w:eastAsia="Times New Roman"/>
                <w:noProof/>
                <w:sz w:val="20"/>
                <w:szCs w:val="20"/>
              </w:rPr>
            </w:pPr>
            <w:r w:rsidRPr="00F66162">
              <w:rPr>
                <w:b/>
                <w:noProof/>
                <w:color w:val="000000" w:themeColor="text1"/>
                <w:sz w:val="20"/>
              </w:rPr>
              <w:t>34,750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BFC5D1D" w14:textId="77777777" w:rsidR="00FA5543" w:rsidRPr="00F66162" w:rsidRDefault="6C203B01" w:rsidP="139DF8FE">
            <w:pPr>
              <w:spacing w:before="0" w:after="0"/>
              <w:jc w:val="right"/>
              <w:rPr>
                <w:rFonts w:eastAsia="Times New Roman"/>
                <w:noProof/>
                <w:sz w:val="20"/>
                <w:szCs w:val="20"/>
              </w:rPr>
            </w:pPr>
            <w:r w:rsidRPr="00F66162">
              <w:rPr>
                <w:b/>
                <w:noProof/>
                <w:color w:val="000000" w:themeColor="text1"/>
                <w:sz w:val="20"/>
              </w:rPr>
              <w:t>33,700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B8CFC80" w14:textId="77777777" w:rsidR="00FA5543" w:rsidRPr="00F66162" w:rsidRDefault="6C203B01" w:rsidP="139DF8FE">
            <w:pPr>
              <w:spacing w:before="0" w:after="0"/>
              <w:jc w:val="right"/>
              <w:rPr>
                <w:rFonts w:eastAsia="Times New Roman"/>
                <w:noProof/>
                <w:sz w:val="20"/>
                <w:szCs w:val="20"/>
              </w:rPr>
            </w:pPr>
            <w:r w:rsidRPr="00F66162">
              <w:rPr>
                <w:b/>
                <w:noProof/>
                <w:color w:val="000000" w:themeColor="text1"/>
                <w:sz w:val="20"/>
              </w:rPr>
              <w:t>30,150</w:t>
            </w:r>
          </w:p>
        </w:tc>
        <w:tc>
          <w:tcPr>
            <w:tcW w:w="528" w:type="pct"/>
            <w:tcBorders>
              <w:top w:val="nil"/>
              <w:left w:val="nil"/>
              <w:bottom w:val="single" w:sz="8" w:space="0" w:color="auto"/>
              <w:right w:val="single" w:sz="8" w:space="0" w:color="auto"/>
            </w:tcBorders>
            <w:shd w:val="clear" w:color="auto" w:fill="D9D9D9" w:themeFill="background1" w:themeFillShade="D9"/>
            <w:vAlign w:val="center"/>
            <w:hideMark/>
          </w:tcPr>
          <w:p w14:paraId="3ABF819C" w14:textId="77777777" w:rsidR="00FA5543" w:rsidRPr="00F66162" w:rsidRDefault="6C203B01" w:rsidP="139DF8FE">
            <w:pPr>
              <w:spacing w:before="0" w:after="0"/>
              <w:jc w:val="right"/>
              <w:rPr>
                <w:rFonts w:eastAsia="Times New Roman"/>
                <w:noProof/>
                <w:sz w:val="20"/>
                <w:szCs w:val="20"/>
              </w:rPr>
            </w:pPr>
            <w:r w:rsidRPr="00F66162">
              <w:rPr>
                <w:b/>
                <w:noProof/>
                <w:color w:val="000000" w:themeColor="text1"/>
                <w:sz w:val="20"/>
              </w:rPr>
              <w:t>126,690</w:t>
            </w:r>
          </w:p>
        </w:tc>
      </w:tr>
      <w:tr w:rsidR="00FA5543" w:rsidRPr="00F66162" w14:paraId="4B88CBFC" w14:textId="77777777" w:rsidTr="139DF8FE">
        <w:trPr>
          <w:trHeight w:val="588"/>
        </w:trPr>
        <w:tc>
          <w:tcPr>
            <w:tcW w:w="1522" w:type="pct"/>
            <w:gridSpan w:val="2"/>
            <w:tcBorders>
              <w:top w:val="nil"/>
              <w:left w:val="single" w:sz="8" w:space="0" w:color="auto"/>
              <w:bottom w:val="single" w:sz="8" w:space="0" w:color="auto"/>
              <w:right w:val="single" w:sz="8" w:space="0" w:color="auto"/>
            </w:tcBorders>
            <w:shd w:val="clear" w:color="auto" w:fill="F1F1F1"/>
            <w:vAlign w:val="center"/>
            <w:hideMark/>
          </w:tcPr>
          <w:p w14:paraId="15E9D785" w14:textId="77777777" w:rsidR="00FA5543" w:rsidRPr="00F66162" w:rsidRDefault="00FA5543" w:rsidP="00390489">
            <w:pPr>
              <w:spacing w:before="0" w:after="0"/>
              <w:jc w:val="center"/>
              <w:rPr>
                <w:noProof/>
                <w:color w:val="000000"/>
                <w:sz w:val="20"/>
                <w:szCs w:val="20"/>
              </w:rPr>
            </w:pPr>
            <w:r w:rsidRPr="00F66162">
              <w:rPr>
                <w:noProof/>
                <w:color w:val="000000"/>
                <w:sz w:val="20"/>
              </w:rPr>
              <w:t>wieloletnich ram finansowych (kwota referencyjna)</w:t>
            </w:r>
          </w:p>
        </w:tc>
        <w:tc>
          <w:tcPr>
            <w:tcW w:w="471" w:type="pct"/>
            <w:gridSpan w:val="3"/>
            <w:tcBorders>
              <w:top w:val="nil"/>
              <w:left w:val="nil"/>
              <w:bottom w:val="single" w:sz="8" w:space="0" w:color="auto"/>
              <w:right w:val="single" w:sz="8" w:space="0" w:color="auto"/>
            </w:tcBorders>
            <w:shd w:val="clear" w:color="auto" w:fill="auto"/>
            <w:vAlign w:val="center"/>
            <w:hideMark/>
          </w:tcPr>
          <w:p w14:paraId="46FDC69C"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10B9187B" w14:textId="77777777" w:rsidR="00FA5543" w:rsidRPr="00F66162" w:rsidRDefault="00FA5543" w:rsidP="00390489">
            <w:pPr>
              <w:spacing w:before="0" w:after="0"/>
              <w:jc w:val="center"/>
              <w:rPr>
                <w:noProof/>
                <w:color w:val="000000"/>
                <w:sz w:val="14"/>
                <w:szCs w:val="14"/>
              </w:rPr>
            </w:pPr>
            <w:r w:rsidRPr="00F66162">
              <w:rPr>
                <w:noProof/>
                <w:color w:val="000000"/>
                <w:sz w:val="14"/>
              </w:rPr>
              <w:t>=5+6</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7ECD6F0" w14:textId="77777777" w:rsidR="00FA5543" w:rsidRPr="00F66162" w:rsidRDefault="2FC1C5EA" w:rsidP="139DF8FE">
            <w:pPr>
              <w:spacing w:before="0" w:after="0"/>
              <w:jc w:val="right"/>
              <w:rPr>
                <w:rFonts w:eastAsia="Times New Roman"/>
                <w:b/>
                <w:bCs/>
                <w:noProof/>
                <w:sz w:val="20"/>
                <w:szCs w:val="20"/>
              </w:rPr>
            </w:pPr>
            <w:r w:rsidRPr="00F66162">
              <w:rPr>
                <w:b/>
                <w:noProof/>
                <w:color w:val="000000" w:themeColor="text1"/>
                <w:sz w:val="20"/>
              </w:rPr>
              <w:t>17,530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3FE8E21" w14:textId="77777777" w:rsidR="00FA5543" w:rsidRPr="00F66162" w:rsidRDefault="01E3F7CF" w:rsidP="139DF8FE">
            <w:pPr>
              <w:spacing w:before="0" w:after="0"/>
              <w:jc w:val="right"/>
              <w:rPr>
                <w:rFonts w:eastAsia="Times New Roman"/>
                <w:b/>
                <w:bCs/>
                <w:noProof/>
                <w:sz w:val="20"/>
                <w:szCs w:val="20"/>
              </w:rPr>
            </w:pPr>
            <w:r w:rsidRPr="00F66162">
              <w:rPr>
                <w:b/>
                <w:noProof/>
                <w:color w:val="000000" w:themeColor="text1"/>
                <w:sz w:val="20"/>
              </w:rPr>
              <w:t>21,157</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79F52C5" w14:textId="77777777" w:rsidR="00FA5543" w:rsidRPr="00F66162" w:rsidRDefault="7E39895C" w:rsidP="139DF8FE">
            <w:pPr>
              <w:spacing w:before="0" w:after="0"/>
              <w:jc w:val="right"/>
              <w:rPr>
                <w:rFonts w:eastAsia="Times New Roman"/>
                <w:b/>
                <w:bCs/>
                <w:noProof/>
                <w:sz w:val="20"/>
                <w:szCs w:val="20"/>
              </w:rPr>
            </w:pPr>
            <w:r w:rsidRPr="00F66162">
              <w:rPr>
                <w:b/>
                <w:noProof/>
                <w:color w:val="000000" w:themeColor="text1"/>
                <w:sz w:val="20"/>
              </w:rPr>
              <w:t>32,090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6370DAE" w14:textId="77777777" w:rsidR="00FA5543" w:rsidRPr="00F66162" w:rsidRDefault="756DFB21" w:rsidP="139DF8FE">
            <w:pPr>
              <w:spacing w:before="0" w:after="0"/>
              <w:jc w:val="right"/>
              <w:rPr>
                <w:rFonts w:eastAsia="Times New Roman"/>
                <w:b/>
                <w:bCs/>
                <w:noProof/>
                <w:sz w:val="20"/>
                <w:szCs w:val="20"/>
              </w:rPr>
            </w:pPr>
            <w:r w:rsidRPr="00F66162">
              <w:rPr>
                <w:b/>
                <w:noProof/>
                <w:color w:val="000000" w:themeColor="text1"/>
                <w:sz w:val="20"/>
              </w:rPr>
              <w:t>33,067</w:t>
            </w:r>
          </w:p>
        </w:tc>
        <w:tc>
          <w:tcPr>
            <w:tcW w:w="528" w:type="pct"/>
            <w:tcBorders>
              <w:top w:val="nil"/>
              <w:left w:val="nil"/>
              <w:bottom w:val="single" w:sz="8" w:space="0" w:color="auto"/>
              <w:right w:val="single" w:sz="8" w:space="0" w:color="auto"/>
            </w:tcBorders>
            <w:shd w:val="clear" w:color="auto" w:fill="D9D9D9" w:themeFill="background1" w:themeFillShade="D9"/>
            <w:vAlign w:val="center"/>
            <w:hideMark/>
          </w:tcPr>
          <w:p w14:paraId="1914BC4E" w14:textId="77777777" w:rsidR="00FA5543" w:rsidRPr="00F66162" w:rsidRDefault="432C5A12" w:rsidP="139DF8FE">
            <w:pPr>
              <w:spacing w:before="0" w:after="0"/>
              <w:jc w:val="right"/>
              <w:rPr>
                <w:rFonts w:eastAsia="Times New Roman"/>
                <w:noProof/>
                <w:sz w:val="20"/>
                <w:szCs w:val="20"/>
              </w:rPr>
            </w:pPr>
            <w:r w:rsidRPr="00F66162">
              <w:rPr>
                <w:b/>
                <w:noProof/>
                <w:color w:val="000000" w:themeColor="text1"/>
                <w:sz w:val="20"/>
              </w:rPr>
              <w:t>103,844</w:t>
            </w:r>
          </w:p>
        </w:tc>
      </w:tr>
    </w:tbl>
    <w:p w14:paraId="5A065F9B" w14:textId="77777777" w:rsidR="00FA5543" w:rsidRPr="00F66162" w:rsidRDefault="00FA5543" w:rsidP="00390489">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FA5543" w:rsidRPr="00F66162" w14:paraId="5195BD63" w14:textId="77777777" w:rsidTr="139DF8FE">
        <w:trPr>
          <w:jc w:val="center"/>
        </w:trPr>
        <w:tc>
          <w:tcPr>
            <w:tcW w:w="1668" w:type="pct"/>
            <w:shd w:val="clear" w:color="auto" w:fill="auto"/>
            <w:vAlign w:val="center"/>
          </w:tcPr>
          <w:p w14:paraId="418EAE13" w14:textId="77777777" w:rsidR="00FA5543" w:rsidRPr="00F66162" w:rsidRDefault="00FA5543" w:rsidP="00390489">
            <w:pPr>
              <w:spacing w:before="60" w:after="60"/>
              <w:jc w:val="center"/>
              <w:rPr>
                <w:b/>
                <w:noProof/>
              </w:rPr>
            </w:pPr>
            <w:r w:rsidRPr="00F66162">
              <w:rPr>
                <w:noProof/>
              </w:rPr>
              <w:br w:type="page"/>
            </w:r>
            <w:r w:rsidRPr="00F66162">
              <w:rPr>
                <w:b/>
                <w:noProof/>
                <w:sz w:val="22"/>
              </w:rPr>
              <w:t xml:space="preserve">Dział wieloletnich ram finansowych </w:t>
            </w:r>
          </w:p>
        </w:tc>
        <w:tc>
          <w:tcPr>
            <w:tcW w:w="380" w:type="pct"/>
            <w:shd w:val="clear" w:color="auto" w:fill="auto"/>
            <w:vAlign w:val="center"/>
          </w:tcPr>
          <w:p w14:paraId="19B8F6E8" w14:textId="77777777" w:rsidR="00FA5543" w:rsidRPr="00F66162" w:rsidRDefault="00FA5543" w:rsidP="00390489">
            <w:pPr>
              <w:spacing w:before="60" w:after="60"/>
              <w:jc w:val="center"/>
              <w:rPr>
                <w:noProof/>
              </w:rPr>
            </w:pPr>
            <w:r w:rsidRPr="00F66162">
              <w:rPr>
                <w:b/>
                <w:noProof/>
                <w:sz w:val="22"/>
              </w:rPr>
              <w:t>7</w:t>
            </w:r>
          </w:p>
        </w:tc>
        <w:tc>
          <w:tcPr>
            <w:tcW w:w="2749" w:type="pct"/>
            <w:vAlign w:val="center"/>
          </w:tcPr>
          <w:p w14:paraId="67E4DA40" w14:textId="77777777" w:rsidR="00FA5543" w:rsidRPr="00F66162" w:rsidRDefault="6C3AF1E0" w:rsidP="00390489">
            <w:pPr>
              <w:spacing w:before="60" w:after="60"/>
              <w:rPr>
                <w:noProof/>
              </w:rPr>
            </w:pPr>
            <w:r w:rsidRPr="00F66162">
              <w:rPr>
                <w:noProof/>
                <w:sz w:val="22"/>
              </w:rPr>
              <w:t>„Wydatki administracyjne”</w:t>
            </w:r>
            <w:r w:rsidRPr="00F66162">
              <w:rPr>
                <w:rStyle w:val="Odwoanieprzypisudolnego"/>
                <w:noProof/>
                <w:sz w:val="22"/>
              </w:rPr>
              <w:footnoteReference w:id="26"/>
            </w:r>
          </w:p>
        </w:tc>
      </w:tr>
    </w:tbl>
    <w:p w14:paraId="788F6DA1" w14:textId="77777777" w:rsidR="00FA5543" w:rsidRPr="00F66162" w:rsidRDefault="00FA5543" w:rsidP="00390489">
      <w:pPr>
        <w:jc w:val="right"/>
        <w:rPr>
          <w:noProof/>
          <w:sz w:val="20"/>
        </w:rPr>
      </w:pPr>
      <w:r w:rsidRPr="00F66162">
        <w:rPr>
          <w:noProof/>
          <w:sz w:val="20"/>
        </w:rPr>
        <w:t>w mln EUR (do trzech miejsc po przecinku)</w:t>
      </w:r>
    </w:p>
    <w:tbl>
      <w:tblPr>
        <w:tblW w:w="13140" w:type="dxa"/>
        <w:tblInd w:w="118" w:type="dxa"/>
        <w:tblLook w:val="04A0" w:firstRow="1" w:lastRow="0" w:firstColumn="1" w:lastColumn="0" w:noHBand="0" w:noVBand="1"/>
      </w:tblPr>
      <w:tblGrid>
        <w:gridCol w:w="4405"/>
        <w:gridCol w:w="2477"/>
        <w:gridCol w:w="603"/>
        <w:gridCol w:w="603"/>
        <w:gridCol w:w="1001"/>
        <w:gridCol w:w="1001"/>
        <w:gridCol w:w="1001"/>
        <w:gridCol w:w="1001"/>
        <w:gridCol w:w="1244"/>
      </w:tblGrid>
      <w:tr w:rsidR="00FA5543" w:rsidRPr="00F66162" w14:paraId="621FD0ED" w14:textId="77777777" w:rsidTr="139DF8FE">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16DC48E" w14:textId="77777777" w:rsidR="00FA5543" w:rsidRPr="00F66162" w:rsidRDefault="6C3AF1E0" w:rsidP="139DF8FE">
            <w:pPr>
              <w:spacing w:before="0" w:after="0"/>
              <w:jc w:val="center"/>
              <w:rPr>
                <w:noProof/>
                <w:color w:val="000000"/>
              </w:rPr>
            </w:pPr>
            <w:r w:rsidRPr="00F66162">
              <w:rPr>
                <w:noProof/>
                <w:color w:val="000000" w:themeColor="text1"/>
              </w:rPr>
              <w:t>Dyrekcja Generalna: TAXUD</w:t>
            </w:r>
          </w:p>
        </w:tc>
        <w:tc>
          <w:tcPr>
            <w:tcW w:w="1001" w:type="dxa"/>
            <w:tcBorders>
              <w:top w:val="single" w:sz="8" w:space="0" w:color="auto"/>
              <w:left w:val="nil"/>
              <w:bottom w:val="nil"/>
              <w:right w:val="single" w:sz="8" w:space="0" w:color="auto"/>
            </w:tcBorders>
            <w:shd w:val="clear" w:color="auto" w:fill="auto"/>
            <w:vAlign w:val="center"/>
            <w:hideMark/>
          </w:tcPr>
          <w:p w14:paraId="5B1A5A38"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14:paraId="1D03FFFF"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14:paraId="3D809175"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14:paraId="08591BB6"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244"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D88BF4D"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OGÓŁEM WRF 2021–2027</w:t>
            </w:r>
          </w:p>
        </w:tc>
      </w:tr>
      <w:tr w:rsidR="00FA5543" w:rsidRPr="00F66162" w14:paraId="5EB6B0DE" w14:textId="77777777" w:rsidTr="139DF8FE">
        <w:trPr>
          <w:trHeight w:val="300"/>
        </w:trPr>
        <w:tc>
          <w:tcPr>
            <w:tcW w:w="7892" w:type="dxa"/>
            <w:gridSpan w:val="4"/>
            <w:vMerge/>
            <w:vAlign w:val="center"/>
            <w:hideMark/>
          </w:tcPr>
          <w:p w14:paraId="799EF9C6" w14:textId="77777777" w:rsidR="00FA5543" w:rsidRPr="00F66162" w:rsidRDefault="00FA5543" w:rsidP="00390489">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14:paraId="62E10D6D"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14:paraId="6ECCE909"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14:paraId="4614E153"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14:paraId="2A150C17"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c>
          <w:tcPr>
            <w:tcW w:w="1244" w:type="dxa"/>
            <w:vMerge/>
            <w:vAlign w:val="center"/>
            <w:hideMark/>
          </w:tcPr>
          <w:p w14:paraId="047D8728" w14:textId="77777777" w:rsidR="00FA5543" w:rsidRPr="00F66162" w:rsidRDefault="00FA5543" w:rsidP="00390489">
            <w:pPr>
              <w:spacing w:before="0" w:after="0"/>
              <w:jc w:val="left"/>
              <w:rPr>
                <w:b/>
                <w:bCs/>
                <w:noProof/>
                <w:color w:val="000000"/>
                <w:sz w:val="20"/>
                <w:szCs w:val="20"/>
                <w:lang w:eastAsia="en-IE"/>
              </w:rPr>
            </w:pPr>
          </w:p>
        </w:tc>
      </w:tr>
      <w:tr w:rsidR="00FA5543" w:rsidRPr="00F66162" w14:paraId="5655DF07" w14:textId="77777777" w:rsidTr="139DF8FE">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21AC1C5A" w14:textId="77777777" w:rsidR="00FA5543" w:rsidRPr="00F66162" w:rsidRDefault="00FA5543" w:rsidP="00390489">
            <w:pPr>
              <w:spacing w:before="0" w:after="0"/>
              <w:jc w:val="left"/>
              <w:rPr>
                <w:rFonts w:ascii="Wingdings" w:hAnsi="Wingdings" w:cs="Calibri"/>
                <w:noProof/>
                <w:color w:val="000000"/>
                <w:sz w:val="22"/>
              </w:rPr>
            </w:pPr>
            <w:r w:rsidRPr="00F66162">
              <w:rPr>
                <w:rFonts w:ascii="Wingdings" w:hAnsi="Wingdings"/>
                <w:noProof/>
                <w:color w:val="000000"/>
                <w:sz w:val="22"/>
              </w:rPr>
              <w:t></w:t>
            </w:r>
            <w:r w:rsidRPr="00F66162">
              <w:rPr>
                <w:noProof/>
              </w:rPr>
              <w:t xml:space="preserve"> Zasoby ludzkie</w:t>
            </w:r>
            <w:r w:rsidRPr="00F66162">
              <w:rPr>
                <w:noProof/>
                <w:color w:val="000000"/>
                <w:sz w:val="22"/>
              </w:rPr>
              <w:t xml:space="preserve"> </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62C86B28" w14:textId="77777777" w:rsidR="00FA5543" w:rsidRPr="00F66162" w:rsidRDefault="7433F688" w:rsidP="139DF8FE">
            <w:pPr>
              <w:spacing w:before="0" w:after="0"/>
              <w:jc w:val="right"/>
              <w:rPr>
                <w:rFonts w:eastAsia="Times New Roman"/>
                <w:noProof/>
                <w:sz w:val="20"/>
                <w:szCs w:val="20"/>
              </w:rPr>
            </w:pPr>
            <w:r w:rsidRPr="00F66162">
              <w:rPr>
                <w:noProof/>
                <w:color w:val="000000" w:themeColor="text1"/>
                <w:sz w:val="20"/>
              </w:rPr>
              <w:t>8,572</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3DC3BBCB" w14:textId="77777777" w:rsidR="00FA5543" w:rsidRPr="00F66162" w:rsidRDefault="7433F688" w:rsidP="139DF8FE">
            <w:pPr>
              <w:spacing w:before="0" w:after="0"/>
              <w:jc w:val="right"/>
              <w:rPr>
                <w:rFonts w:eastAsia="Times New Roman"/>
                <w:noProof/>
                <w:sz w:val="20"/>
                <w:szCs w:val="20"/>
              </w:rPr>
            </w:pPr>
            <w:r w:rsidRPr="00F66162">
              <w:rPr>
                <w:noProof/>
                <w:color w:val="000000" w:themeColor="text1"/>
                <w:sz w:val="20"/>
              </w:rPr>
              <w:t>6,271</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1908218E" w14:textId="77777777" w:rsidR="00FA5543" w:rsidRPr="00F66162" w:rsidRDefault="7433F688" w:rsidP="139DF8FE">
            <w:pPr>
              <w:spacing w:before="0" w:after="0"/>
              <w:jc w:val="right"/>
              <w:rPr>
                <w:rFonts w:eastAsia="Times New Roman"/>
                <w:noProof/>
                <w:sz w:val="20"/>
                <w:szCs w:val="20"/>
              </w:rPr>
            </w:pPr>
            <w:r w:rsidRPr="00F66162">
              <w:rPr>
                <w:noProof/>
                <w:color w:val="000000" w:themeColor="text1"/>
                <w:sz w:val="20"/>
              </w:rPr>
              <w:t>8,740</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67FC1103" w14:textId="77777777" w:rsidR="00FA5543" w:rsidRPr="00F66162" w:rsidRDefault="7433F688" w:rsidP="139DF8FE">
            <w:pPr>
              <w:spacing w:before="0" w:after="0"/>
              <w:jc w:val="right"/>
              <w:rPr>
                <w:rFonts w:eastAsia="Times New Roman"/>
                <w:noProof/>
                <w:sz w:val="20"/>
                <w:szCs w:val="20"/>
              </w:rPr>
            </w:pPr>
            <w:r w:rsidRPr="00F66162">
              <w:rPr>
                <w:noProof/>
                <w:color w:val="000000" w:themeColor="text1"/>
                <w:sz w:val="20"/>
              </w:rPr>
              <w:t>11,700</w:t>
            </w:r>
          </w:p>
        </w:tc>
        <w:tc>
          <w:tcPr>
            <w:tcW w:w="1244" w:type="dxa"/>
            <w:tcBorders>
              <w:top w:val="nil"/>
              <w:left w:val="nil"/>
              <w:bottom w:val="single" w:sz="8" w:space="0" w:color="auto"/>
              <w:right w:val="single" w:sz="8" w:space="0" w:color="auto"/>
            </w:tcBorders>
            <w:shd w:val="clear" w:color="auto" w:fill="D9D9D9" w:themeFill="background1" w:themeFillShade="D9"/>
            <w:vAlign w:val="center"/>
            <w:hideMark/>
          </w:tcPr>
          <w:p w14:paraId="4C25846B" w14:textId="77777777" w:rsidR="00FA5543" w:rsidRPr="00F66162" w:rsidRDefault="2FC99411" w:rsidP="139DF8FE">
            <w:pPr>
              <w:spacing w:before="0" w:after="0"/>
              <w:jc w:val="right"/>
              <w:rPr>
                <w:rFonts w:eastAsia="Times New Roman"/>
                <w:noProof/>
                <w:sz w:val="20"/>
                <w:szCs w:val="20"/>
              </w:rPr>
            </w:pPr>
            <w:r w:rsidRPr="00F66162">
              <w:rPr>
                <w:b/>
                <w:noProof/>
                <w:color w:val="000000" w:themeColor="text1"/>
                <w:sz w:val="20"/>
              </w:rPr>
              <w:t>35,283</w:t>
            </w:r>
          </w:p>
        </w:tc>
      </w:tr>
      <w:tr w:rsidR="00FA5543" w:rsidRPr="00F66162" w14:paraId="7908EECC" w14:textId="77777777" w:rsidTr="139DF8FE">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3759E76F" w14:textId="77777777" w:rsidR="00FA5543" w:rsidRPr="00F66162" w:rsidRDefault="00FA5543" w:rsidP="00390489">
            <w:pPr>
              <w:spacing w:before="0" w:after="0"/>
              <w:jc w:val="left"/>
              <w:rPr>
                <w:rFonts w:ascii="Wingdings" w:hAnsi="Wingdings" w:cs="Calibri"/>
                <w:noProof/>
                <w:color w:val="000000"/>
                <w:sz w:val="22"/>
              </w:rPr>
            </w:pPr>
            <w:r w:rsidRPr="00F66162">
              <w:rPr>
                <w:rFonts w:ascii="Wingdings" w:hAnsi="Wingdings"/>
                <w:noProof/>
                <w:color w:val="000000"/>
                <w:sz w:val="22"/>
              </w:rPr>
              <w:t></w:t>
            </w:r>
            <w:r w:rsidRPr="00F66162">
              <w:rPr>
                <w:noProof/>
              </w:rPr>
              <w:t xml:space="preserve"> Pozostałe wydatki administracyjne</w:t>
            </w:r>
            <w:r w:rsidRPr="00F66162">
              <w:rPr>
                <w:noProof/>
                <w:color w:val="000000"/>
                <w:sz w:val="22"/>
              </w:rPr>
              <w:t xml:space="preserve"> </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0F1069A4" w14:textId="77777777" w:rsidR="00FA5543" w:rsidRPr="00F66162" w:rsidRDefault="604F9413" w:rsidP="139DF8FE">
            <w:pPr>
              <w:spacing w:before="0" w:after="0"/>
              <w:jc w:val="right"/>
              <w:rPr>
                <w:rFonts w:eastAsia="Times New Roman"/>
                <w:noProof/>
                <w:sz w:val="20"/>
                <w:szCs w:val="20"/>
              </w:rPr>
            </w:pPr>
            <w:r w:rsidRPr="00F66162">
              <w:rPr>
                <w:noProof/>
                <w:color w:val="000000" w:themeColor="text1"/>
                <w:sz w:val="20"/>
              </w:rPr>
              <w:t>0,600</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03B163AA" w14:textId="77777777" w:rsidR="00FA5543" w:rsidRPr="00F66162" w:rsidRDefault="604F9413" w:rsidP="139DF8FE">
            <w:pPr>
              <w:spacing w:before="0" w:after="0"/>
              <w:jc w:val="right"/>
              <w:rPr>
                <w:rFonts w:eastAsia="Times New Roman"/>
                <w:noProof/>
                <w:sz w:val="20"/>
                <w:szCs w:val="20"/>
              </w:rPr>
            </w:pPr>
            <w:r w:rsidRPr="00F66162">
              <w:rPr>
                <w:noProof/>
                <w:color w:val="000000" w:themeColor="text1"/>
                <w:sz w:val="20"/>
              </w:rPr>
              <w:t>0,300</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4749353E" w14:textId="77777777" w:rsidR="00FA5543" w:rsidRPr="00F66162" w:rsidRDefault="604F9413" w:rsidP="139DF8FE">
            <w:pPr>
              <w:spacing w:before="0" w:after="0"/>
              <w:jc w:val="right"/>
              <w:rPr>
                <w:rFonts w:eastAsia="Times New Roman"/>
                <w:noProof/>
                <w:sz w:val="20"/>
                <w:szCs w:val="20"/>
              </w:rPr>
            </w:pPr>
            <w:r w:rsidRPr="00F66162">
              <w:rPr>
                <w:noProof/>
                <w:color w:val="000000" w:themeColor="text1"/>
                <w:sz w:val="20"/>
              </w:rPr>
              <w:t>0,306</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5E8C661C" w14:textId="77777777" w:rsidR="00FA5543" w:rsidRPr="00F66162" w:rsidRDefault="604F9413" w:rsidP="139DF8FE">
            <w:pPr>
              <w:spacing w:before="0" w:after="0"/>
              <w:jc w:val="right"/>
              <w:rPr>
                <w:rFonts w:eastAsia="Times New Roman"/>
                <w:noProof/>
                <w:sz w:val="20"/>
                <w:szCs w:val="20"/>
              </w:rPr>
            </w:pPr>
            <w:r w:rsidRPr="00F66162">
              <w:rPr>
                <w:noProof/>
                <w:color w:val="000000" w:themeColor="text1"/>
                <w:sz w:val="20"/>
              </w:rPr>
              <w:t>0,312</w:t>
            </w:r>
          </w:p>
        </w:tc>
        <w:tc>
          <w:tcPr>
            <w:tcW w:w="1244" w:type="dxa"/>
            <w:tcBorders>
              <w:top w:val="nil"/>
              <w:left w:val="nil"/>
              <w:bottom w:val="single" w:sz="8" w:space="0" w:color="auto"/>
              <w:right w:val="single" w:sz="8" w:space="0" w:color="auto"/>
            </w:tcBorders>
            <w:shd w:val="clear" w:color="auto" w:fill="D9D9D9" w:themeFill="background1" w:themeFillShade="D9"/>
            <w:vAlign w:val="center"/>
            <w:hideMark/>
          </w:tcPr>
          <w:p w14:paraId="4B36312A" w14:textId="77777777" w:rsidR="00FA5543" w:rsidRPr="00F66162" w:rsidRDefault="604F9413" w:rsidP="139DF8FE">
            <w:pPr>
              <w:spacing w:before="0" w:after="0"/>
              <w:jc w:val="right"/>
              <w:rPr>
                <w:rFonts w:eastAsia="Times New Roman"/>
                <w:noProof/>
                <w:sz w:val="20"/>
                <w:szCs w:val="20"/>
              </w:rPr>
            </w:pPr>
            <w:r w:rsidRPr="00F66162">
              <w:rPr>
                <w:b/>
                <w:noProof/>
                <w:color w:val="000000" w:themeColor="text1"/>
                <w:sz w:val="20"/>
              </w:rPr>
              <w:t>1,518</w:t>
            </w:r>
          </w:p>
        </w:tc>
      </w:tr>
      <w:tr w:rsidR="00FA5543" w:rsidRPr="00F66162" w14:paraId="10D5FF3A" w14:textId="77777777" w:rsidTr="139DF8FE">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14:paraId="66BE0071" w14:textId="77777777" w:rsidR="00FA5543" w:rsidRPr="00F66162" w:rsidRDefault="6C3AF1E0" w:rsidP="139DF8FE">
            <w:pPr>
              <w:spacing w:before="0" w:after="0"/>
              <w:jc w:val="center"/>
              <w:rPr>
                <w:b/>
                <w:bCs/>
                <w:noProof/>
                <w:color w:val="000000"/>
                <w:sz w:val="22"/>
              </w:rPr>
            </w:pPr>
            <w:r w:rsidRPr="00F66162">
              <w:rPr>
                <w:b/>
                <w:noProof/>
                <w:color w:val="000000" w:themeColor="text1"/>
                <w:sz w:val="22"/>
              </w:rPr>
              <w:t>OGÓŁEM DG TAXUD</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14:paraId="2223E477" w14:textId="77777777" w:rsidR="00FA5543" w:rsidRPr="00F66162" w:rsidRDefault="00FA5543" w:rsidP="00390489">
            <w:pPr>
              <w:spacing w:before="0" w:after="0"/>
              <w:jc w:val="left"/>
              <w:rPr>
                <w:noProof/>
                <w:color w:val="000000"/>
                <w:sz w:val="18"/>
                <w:szCs w:val="18"/>
              </w:rPr>
            </w:pPr>
            <w:r w:rsidRPr="00F66162">
              <w:rPr>
                <w:noProof/>
                <w:color w:val="000000"/>
                <w:sz w:val="18"/>
              </w:rPr>
              <w:t xml:space="preserve">Środki </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560074E8" w14:textId="77777777" w:rsidR="139DF8FE" w:rsidRPr="00F66162" w:rsidRDefault="139DF8FE" w:rsidP="139DF8FE">
            <w:pPr>
              <w:spacing w:before="0" w:after="0"/>
              <w:jc w:val="right"/>
              <w:rPr>
                <w:noProof/>
              </w:rPr>
            </w:pPr>
            <w:r w:rsidRPr="00F66162">
              <w:rPr>
                <w:b/>
                <w:noProof/>
                <w:color w:val="000000" w:themeColor="text1"/>
                <w:sz w:val="20"/>
              </w:rPr>
              <w:t>9,172</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6A91D3A7" w14:textId="77777777" w:rsidR="00FA5543" w:rsidRPr="00F66162" w:rsidRDefault="26B5E3D3" w:rsidP="139DF8FE">
            <w:pPr>
              <w:spacing w:before="0" w:after="0"/>
              <w:jc w:val="right"/>
              <w:rPr>
                <w:rFonts w:eastAsia="Times New Roman"/>
                <w:noProof/>
                <w:sz w:val="20"/>
                <w:szCs w:val="20"/>
              </w:rPr>
            </w:pPr>
            <w:r w:rsidRPr="00F66162">
              <w:rPr>
                <w:b/>
                <w:noProof/>
                <w:color w:val="000000" w:themeColor="text1"/>
                <w:sz w:val="20"/>
              </w:rPr>
              <w:t>6,571</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777192AB" w14:textId="77777777" w:rsidR="139DF8FE" w:rsidRPr="00F66162" w:rsidRDefault="139DF8FE" w:rsidP="139DF8FE">
            <w:pPr>
              <w:spacing w:before="0" w:after="0"/>
              <w:jc w:val="right"/>
              <w:rPr>
                <w:noProof/>
              </w:rPr>
            </w:pPr>
            <w:r w:rsidRPr="00F66162">
              <w:rPr>
                <w:b/>
                <w:noProof/>
                <w:color w:val="000000" w:themeColor="text1"/>
                <w:sz w:val="20"/>
              </w:rPr>
              <w:t>9,046</w:t>
            </w:r>
          </w:p>
        </w:tc>
        <w:tc>
          <w:tcPr>
            <w:tcW w:w="1001" w:type="dxa"/>
            <w:tcBorders>
              <w:top w:val="nil"/>
              <w:left w:val="nil"/>
              <w:bottom w:val="single" w:sz="8" w:space="0" w:color="auto"/>
              <w:right w:val="single" w:sz="8" w:space="0" w:color="auto"/>
            </w:tcBorders>
            <w:shd w:val="clear" w:color="auto" w:fill="D9D9D9" w:themeFill="background1" w:themeFillShade="D9"/>
            <w:vAlign w:val="center"/>
            <w:hideMark/>
          </w:tcPr>
          <w:p w14:paraId="5B14A4A1" w14:textId="77777777" w:rsidR="00FA5543" w:rsidRPr="00F66162" w:rsidRDefault="0C1439CB" w:rsidP="00390489">
            <w:pPr>
              <w:spacing w:before="0" w:after="0"/>
              <w:jc w:val="right"/>
              <w:rPr>
                <w:b/>
                <w:bCs/>
                <w:noProof/>
                <w:color w:val="000000"/>
                <w:sz w:val="20"/>
                <w:szCs w:val="20"/>
              </w:rPr>
            </w:pPr>
            <w:r w:rsidRPr="00F66162">
              <w:rPr>
                <w:b/>
                <w:noProof/>
                <w:color w:val="000000" w:themeColor="text1"/>
                <w:sz w:val="20"/>
              </w:rPr>
              <w:t>12,012</w:t>
            </w:r>
          </w:p>
        </w:tc>
        <w:tc>
          <w:tcPr>
            <w:tcW w:w="1244" w:type="dxa"/>
            <w:tcBorders>
              <w:top w:val="nil"/>
              <w:left w:val="nil"/>
              <w:bottom w:val="single" w:sz="8" w:space="0" w:color="auto"/>
              <w:right w:val="single" w:sz="8" w:space="0" w:color="auto"/>
            </w:tcBorders>
            <w:shd w:val="clear" w:color="auto" w:fill="D9D9D9" w:themeFill="background1" w:themeFillShade="D9"/>
            <w:vAlign w:val="center"/>
            <w:hideMark/>
          </w:tcPr>
          <w:p w14:paraId="41FC8DBA" w14:textId="77777777" w:rsidR="00FA5543" w:rsidRPr="00F66162" w:rsidRDefault="0C1439CB" w:rsidP="139DF8FE">
            <w:pPr>
              <w:spacing w:before="0" w:after="0"/>
              <w:jc w:val="right"/>
              <w:rPr>
                <w:rFonts w:eastAsia="Times New Roman"/>
                <w:noProof/>
                <w:sz w:val="20"/>
                <w:szCs w:val="20"/>
              </w:rPr>
            </w:pPr>
            <w:r w:rsidRPr="00F66162">
              <w:rPr>
                <w:b/>
                <w:noProof/>
                <w:color w:val="000000" w:themeColor="text1"/>
                <w:sz w:val="20"/>
              </w:rPr>
              <w:t>36,801</w:t>
            </w:r>
          </w:p>
        </w:tc>
      </w:tr>
      <w:tr w:rsidR="00FA5543" w:rsidRPr="00F66162" w14:paraId="746840D7" w14:textId="77777777" w:rsidTr="139DF8FE">
        <w:trPr>
          <w:trHeight w:val="300"/>
        </w:trPr>
        <w:tc>
          <w:tcPr>
            <w:tcW w:w="4405" w:type="dxa"/>
            <w:tcBorders>
              <w:top w:val="nil"/>
              <w:left w:val="nil"/>
              <w:bottom w:val="nil"/>
              <w:right w:val="nil"/>
            </w:tcBorders>
            <w:shd w:val="clear" w:color="auto" w:fill="auto"/>
            <w:noWrap/>
            <w:vAlign w:val="bottom"/>
            <w:hideMark/>
          </w:tcPr>
          <w:p w14:paraId="7CAD01B3" w14:textId="77777777" w:rsidR="00FA5543" w:rsidRPr="00F66162" w:rsidRDefault="00FA5543" w:rsidP="00390489">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14:paraId="1427219F" w14:textId="77777777" w:rsidR="00FA5543" w:rsidRPr="00F66162" w:rsidRDefault="00FA5543" w:rsidP="00390489">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14:paraId="3C419253" w14:textId="77777777" w:rsidR="00FA5543" w:rsidRPr="00F66162" w:rsidRDefault="00FA5543" w:rsidP="00390489">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14:paraId="3A975185" w14:textId="77777777" w:rsidR="00FA5543" w:rsidRPr="00F66162" w:rsidRDefault="00FA5543" w:rsidP="00390489">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5A1F2D36" w14:textId="77777777" w:rsidR="00FA5543" w:rsidRPr="00F66162" w:rsidRDefault="00FA5543" w:rsidP="00390489">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79165EE9" w14:textId="77777777" w:rsidR="00FA5543" w:rsidRPr="00F66162" w:rsidRDefault="00FA5543" w:rsidP="00390489">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6A43F8DE" w14:textId="77777777" w:rsidR="00FA5543" w:rsidRPr="00F66162" w:rsidRDefault="00FA5543" w:rsidP="00390489">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4CAF4FF6" w14:textId="77777777" w:rsidR="00FA5543" w:rsidRPr="00F66162" w:rsidRDefault="00FA5543" w:rsidP="00390489">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14:paraId="7C9B7F1C" w14:textId="77777777" w:rsidR="00FA5543" w:rsidRPr="00F66162" w:rsidRDefault="00FA5543" w:rsidP="00390489">
            <w:pPr>
              <w:spacing w:before="0" w:after="0"/>
              <w:jc w:val="left"/>
              <w:rPr>
                <w:noProof/>
                <w:sz w:val="20"/>
                <w:szCs w:val="20"/>
                <w:lang w:eastAsia="en-IE"/>
              </w:rPr>
            </w:pPr>
          </w:p>
        </w:tc>
      </w:tr>
      <w:tr w:rsidR="00FA5543" w:rsidRPr="00F66162" w14:paraId="3CBBDDCD" w14:textId="77777777" w:rsidTr="139DF8FE">
        <w:trPr>
          <w:trHeight w:val="300"/>
        </w:trPr>
        <w:tc>
          <w:tcPr>
            <w:tcW w:w="4405" w:type="dxa"/>
            <w:tcBorders>
              <w:top w:val="nil"/>
              <w:left w:val="nil"/>
              <w:bottom w:val="nil"/>
              <w:right w:val="nil"/>
            </w:tcBorders>
            <w:shd w:val="clear" w:color="auto" w:fill="auto"/>
            <w:noWrap/>
            <w:vAlign w:val="bottom"/>
            <w:hideMark/>
          </w:tcPr>
          <w:p w14:paraId="5E8C790E" w14:textId="77777777" w:rsidR="00FA5543" w:rsidRPr="00F66162" w:rsidRDefault="00FA5543" w:rsidP="00390489">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14:paraId="4E0CFF27" w14:textId="77777777" w:rsidR="00FA5543" w:rsidRPr="00F66162" w:rsidRDefault="00FA5543" w:rsidP="00390489">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14:paraId="63A558AD" w14:textId="77777777" w:rsidR="00FA5543" w:rsidRPr="00F66162" w:rsidRDefault="00FA5543" w:rsidP="00390489">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14:paraId="5947D90F" w14:textId="77777777" w:rsidR="00FA5543" w:rsidRPr="00F66162" w:rsidRDefault="00FA5543" w:rsidP="00390489">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345F0A16" w14:textId="77777777" w:rsidR="00FA5543" w:rsidRPr="00F66162" w:rsidRDefault="00FA5543" w:rsidP="00390489">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3D12CE93" w14:textId="77777777" w:rsidR="00FA5543" w:rsidRPr="00F66162" w:rsidRDefault="00FA5543" w:rsidP="00390489">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158BBC6A" w14:textId="77777777" w:rsidR="00FA5543" w:rsidRPr="00F66162" w:rsidRDefault="00FA5543" w:rsidP="00390489">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14:paraId="2CC7EE46" w14:textId="77777777" w:rsidR="00FA5543" w:rsidRPr="00F66162" w:rsidRDefault="00FA5543" w:rsidP="00390489">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14:paraId="0D0CBD03" w14:textId="77777777" w:rsidR="00FA5543" w:rsidRPr="00F66162" w:rsidRDefault="00FA5543" w:rsidP="00390489">
            <w:pPr>
              <w:spacing w:before="0" w:after="0"/>
              <w:jc w:val="left"/>
              <w:rPr>
                <w:noProof/>
                <w:sz w:val="20"/>
                <w:szCs w:val="20"/>
                <w:lang w:eastAsia="en-IE"/>
              </w:rPr>
            </w:pPr>
          </w:p>
        </w:tc>
      </w:tr>
      <w:tr w:rsidR="00FA5543" w:rsidRPr="00F66162" w14:paraId="64A6345A" w14:textId="77777777" w:rsidTr="139DF8FE">
        <w:trPr>
          <w:trHeight w:val="900"/>
        </w:trPr>
        <w:tc>
          <w:tcPr>
            <w:tcW w:w="6882" w:type="dxa"/>
            <w:gridSpan w:val="2"/>
            <w:tcBorders>
              <w:top w:val="single" w:sz="8" w:space="0" w:color="auto"/>
              <w:left w:val="single" w:sz="8" w:space="0" w:color="auto"/>
              <w:bottom w:val="single" w:sz="8" w:space="0" w:color="auto"/>
              <w:right w:val="single" w:sz="8" w:space="0" w:color="auto"/>
            </w:tcBorders>
            <w:shd w:val="clear" w:color="auto" w:fill="F1F1F1"/>
            <w:vAlign w:val="center"/>
            <w:hideMark/>
          </w:tcPr>
          <w:p w14:paraId="0E38E6C7" w14:textId="77777777" w:rsidR="00FA5543" w:rsidRPr="00F66162" w:rsidRDefault="00FA5543" w:rsidP="00390489">
            <w:pPr>
              <w:spacing w:before="0" w:after="0"/>
              <w:jc w:val="center"/>
              <w:rPr>
                <w:b/>
                <w:bCs/>
                <w:noProof/>
                <w:color w:val="000000"/>
                <w:sz w:val="22"/>
              </w:rPr>
            </w:pPr>
            <w:r w:rsidRPr="00F66162">
              <w:rPr>
                <w:b/>
                <w:noProof/>
                <w:color w:val="000000"/>
                <w:sz w:val="22"/>
              </w:rPr>
              <w:lastRenderedPageBreak/>
              <w:t xml:space="preserve">OGÓŁEM środki na DZIAŁ 7 wieloletnich ram finansowych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14:paraId="37FA29F3" w14:textId="77777777" w:rsidR="00FA5543" w:rsidRPr="00F66162" w:rsidRDefault="00FA5543" w:rsidP="00390489">
            <w:pPr>
              <w:spacing w:before="0" w:after="0"/>
              <w:jc w:val="center"/>
              <w:rPr>
                <w:noProof/>
                <w:color w:val="000000"/>
                <w:sz w:val="18"/>
                <w:szCs w:val="18"/>
              </w:rPr>
            </w:pPr>
            <w:r w:rsidRPr="00F66162">
              <w:rPr>
                <w:noProof/>
                <w:color w:val="000000"/>
                <w:sz w:val="18"/>
              </w:rPr>
              <w:t>(Środki na zobowiązania ogółem = środki na płatności ogółem)</w:t>
            </w:r>
          </w:p>
        </w:tc>
        <w:tc>
          <w:tcPr>
            <w:tcW w:w="10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2817F6" w14:textId="77777777" w:rsidR="00FA5543" w:rsidRPr="00F66162" w:rsidRDefault="4E6ECF0C" w:rsidP="139DF8FE">
            <w:pPr>
              <w:spacing w:before="0" w:after="0"/>
              <w:jc w:val="right"/>
              <w:rPr>
                <w:noProof/>
              </w:rPr>
            </w:pPr>
            <w:r w:rsidRPr="00F66162">
              <w:rPr>
                <w:b/>
                <w:noProof/>
                <w:color w:val="000000" w:themeColor="text1"/>
                <w:sz w:val="20"/>
              </w:rPr>
              <w:t>9,172</w:t>
            </w:r>
          </w:p>
        </w:tc>
        <w:tc>
          <w:tcPr>
            <w:tcW w:w="10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2BF331" w14:textId="77777777" w:rsidR="00FA5543" w:rsidRPr="00F66162" w:rsidRDefault="4E6ECF0C" w:rsidP="139DF8FE">
            <w:pPr>
              <w:spacing w:before="0" w:after="0"/>
              <w:jc w:val="right"/>
              <w:rPr>
                <w:rFonts w:eastAsia="Times New Roman"/>
                <w:noProof/>
                <w:sz w:val="20"/>
                <w:szCs w:val="20"/>
              </w:rPr>
            </w:pPr>
            <w:r w:rsidRPr="00F66162">
              <w:rPr>
                <w:b/>
                <w:noProof/>
                <w:color w:val="000000" w:themeColor="text1"/>
                <w:sz w:val="20"/>
              </w:rPr>
              <w:t>6,571</w:t>
            </w:r>
          </w:p>
        </w:tc>
        <w:tc>
          <w:tcPr>
            <w:tcW w:w="10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51D4278" w14:textId="77777777" w:rsidR="00FA5543" w:rsidRPr="00F66162" w:rsidRDefault="4E6ECF0C" w:rsidP="139DF8FE">
            <w:pPr>
              <w:spacing w:before="0" w:after="0"/>
              <w:jc w:val="right"/>
              <w:rPr>
                <w:noProof/>
              </w:rPr>
            </w:pPr>
            <w:r w:rsidRPr="00F66162">
              <w:rPr>
                <w:b/>
                <w:noProof/>
                <w:color w:val="000000" w:themeColor="text1"/>
                <w:sz w:val="20"/>
              </w:rPr>
              <w:t>9,046</w:t>
            </w:r>
          </w:p>
        </w:tc>
        <w:tc>
          <w:tcPr>
            <w:tcW w:w="10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8BBAC0" w14:textId="77777777" w:rsidR="00FA5543" w:rsidRPr="00F66162" w:rsidRDefault="4E6ECF0C" w:rsidP="00390489">
            <w:pPr>
              <w:spacing w:before="0" w:after="0"/>
              <w:jc w:val="right"/>
              <w:rPr>
                <w:b/>
                <w:bCs/>
                <w:noProof/>
                <w:color w:val="000000"/>
                <w:sz w:val="20"/>
                <w:szCs w:val="20"/>
              </w:rPr>
            </w:pPr>
            <w:r w:rsidRPr="00F66162">
              <w:rPr>
                <w:b/>
                <w:noProof/>
                <w:color w:val="000000" w:themeColor="text1"/>
                <w:sz w:val="20"/>
              </w:rPr>
              <w:t>12,012</w:t>
            </w:r>
          </w:p>
        </w:tc>
        <w:tc>
          <w:tcPr>
            <w:tcW w:w="124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1884AB2" w14:textId="77777777" w:rsidR="00FA5543" w:rsidRPr="00F66162" w:rsidRDefault="4E6ECF0C" w:rsidP="139DF8FE">
            <w:pPr>
              <w:spacing w:before="0" w:after="0"/>
              <w:jc w:val="right"/>
              <w:rPr>
                <w:rFonts w:eastAsia="Times New Roman"/>
                <w:noProof/>
                <w:sz w:val="20"/>
                <w:szCs w:val="20"/>
              </w:rPr>
            </w:pPr>
            <w:r w:rsidRPr="00F66162">
              <w:rPr>
                <w:b/>
                <w:noProof/>
                <w:color w:val="000000" w:themeColor="text1"/>
                <w:sz w:val="20"/>
              </w:rPr>
              <w:t>36,801</w:t>
            </w:r>
          </w:p>
        </w:tc>
      </w:tr>
    </w:tbl>
    <w:p w14:paraId="5733488C" w14:textId="77777777" w:rsidR="00FA5543" w:rsidRPr="00F66162" w:rsidRDefault="00FA5543" w:rsidP="00390489">
      <w:pPr>
        <w:jc w:val="right"/>
        <w:rPr>
          <w:noProof/>
          <w:sz w:val="20"/>
        </w:rPr>
      </w:pPr>
      <w:r w:rsidRPr="00F66162">
        <w:rPr>
          <w:noProof/>
          <w:sz w:val="20"/>
        </w:rPr>
        <w:t>w mln EUR (do trzech miejsc po przecinku)</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FA5543" w:rsidRPr="00F66162" w14:paraId="698E69E5" w14:textId="77777777" w:rsidTr="139DF8FE">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572FEB8" w14:textId="77777777" w:rsidR="00FA5543" w:rsidRPr="00F66162" w:rsidRDefault="00FA5543" w:rsidP="00390489">
            <w:pPr>
              <w:spacing w:before="0" w:after="0"/>
              <w:jc w:val="center"/>
              <w:rPr>
                <w:noProof/>
                <w:color w:val="000000"/>
                <w:szCs w:val="24"/>
              </w:rPr>
            </w:pPr>
            <w:r w:rsidRPr="00F66162">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14:paraId="07A2CD36"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14:paraId="0BA74778"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14:paraId="2B6D7893"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14:paraId="21B758CD"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1400"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11D66932"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OGÓŁEM WRF 2021–2027</w:t>
            </w:r>
          </w:p>
        </w:tc>
      </w:tr>
      <w:tr w:rsidR="00FA5543" w:rsidRPr="00F66162" w14:paraId="6388F664" w14:textId="77777777" w:rsidTr="139DF8FE">
        <w:trPr>
          <w:trHeight w:val="300"/>
        </w:trPr>
        <w:tc>
          <w:tcPr>
            <w:tcW w:w="7100" w:type="dxa"/>
            <w:gridSpan w:val="2"/>
            <w:vMerge/>
            <w:vAlign w:val="center"/>
            <w:hideMark/>
          </w:tcPr>
          <w:p w14:paraId="17816204" w14:textId="77777777" w:rsidR="00FA5543" w:rsidRPr="00F66162" w:rsidRDefault="00FA5543" w:rsidP="00390489">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14:paraId="5999F58A"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14:paraId="026D90EB"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14:paraId="405D3C6C"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14:paraId="53E3C5CA"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c>
          <w:tcPr>
            <w:tcW w:w="1400" w:type="dxa"/>
            <w:vMerge/>
            <w:vAlign w:val="center"/>
            <w:hideMark/>
          </w:tcPr>
          <w:p w14:paraId="6427BCF5" w14:textId="77777777" w:rsidR="00FA5543" w:rsidRPr="00F66162" w:rsidRDefault="00FA5543" w:rsidP="00390489">
            <w:pPr>
              <w:spacing w:before="0" w:after="0"/>
              <w:jc w:val="left"/>
              <w:rPr>
                <w:b/>
                <w:bCs/>
                <w:noProof/>
                <w:color w:val="000000"/>
                <w:sz w:val="20"/>
                <w:szCs w:val="20"/>
                <w:lang w:eastAsia="en-IE"/>
              </w:rPr>
            </w:pPr>
          </w:p>
        </w:tc>
      </w:tr>
      <w:tr w:rsidR="00FA5543" w:rsidRPr="00F66162" w14:paraId="644A0153" w14:textId="77777777" w:rsidTr="139DF8FE">
        <w:trPr>
          <w:trHeight w:val="564"/>
        </w:trPr>
        <w:tc>
          <w:tcPr>
            <w:tcW w:w="5180" w:type="dxa"/>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1861500B" w14:textId="1749F59B" w:rsidR="00FA5543" w:rsidRPr="00F66162" w:rsidRDefault="00FA5543" w:rsidP="00390489">
            <w:pPr>
              <w:spacing w:before="0" w:after="0"/>
              <w:jc w:val="center"/>
              <w:rPr>
                <w:b/>
                <w:bCs/>
                <w:noProof/>
                <w:color w:val="000000"/>
                <w:sz w:val="22"/>
              </w:rPr>
            </w:pPr>
            <w:r w:rsidRPr="00F66162">
              <w:rPr>
                <w:b/>
                <w:noProof/>
                <w:color w:val="000000"/>
                <w:sz w:val="22"/>
              </w:rPr>
              <w:t xml:space="preserve">OGÓŁEM środki na DZIAŁY </w:t>
            </w:r>
            <w:r w:rsidRPr="00825614">
              <w:rPr>
                <w:b/>
                <w:noProof/>
                <w:color w:val="000000"/>
                <w:sz w:val="22"/>
              </w:rPr>
              <w:t>od</w:t>
            </w:r>
            <w:r w:rsidR="00825614" w:rsidRPr="00825614">
              <w:rPr>
                <w:b/>
                <w:noProof/>
                <w:color w:val="000000"/>
                <w:sz w:val="22"/>
              </w:rPr>
              <w:t> </w:t>
            </w:r>
            <w:r w:rsidRPr="00825614">
              <w:rPr>
                <w:b/>
                <w:noProof/>
                <w:color w:val="000000"/>
                <w:sz w:val="22"/>
              </w:rPr>
              <w:t>1</w:t>
            </w:r>
            <w:r w:rsidRPr="00F66162">
              <w:rPr>
                <w:b/>
                <w:noProof/>
                <w:color w:val="000000"/>
                <w:sz w:val="22"/>
              </w:rPr>
              <w:t xml:space="preserve"> </w:t>
            </w:r>
            <w:r w:rsidRPr="00825614">
              <w:rPr>
                <w:b/>
                <w:noProof/>
                <w:color w:val="000000"/>
                <w:sz w:val="22"/>
              </w:rPr>
              <w:t>do</w:t>
            </w:r>
            <w:r w:rsidR="00825614" w:rsidRPr="00825614">
              <w:rPr>
                <w:b/>
                <w:noProof/>
                <w:color w:val="000000"/>
                <w:sz w:val="22"/>
              </w:rPr>
              <w:t> </w:t>
            </w:r>
            <w:r w:rsidRPr="00825614">
              <w:rPr>
                <w:b/>
                <w:noProof/>
                <w:color w:val="000000"/>
                <w:sz w:val="22"/>
              </w:rPr>
              <w:t>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6848772E" w14:textId="77777777" w:rsidR="00FA5543" w:rsidRPr="00F66162" w:rsidRDefault="00FA5543" w:rsidP="00390489">
            <w:pPr>
              <w:spacing w:before="0" w:after="0"/>
              <w:rPr>
                <w:noProof/>
                <w:color w:val="000000"/>
                <w:sz w:val="18"/>
                <w:szCs w:val="18"/>
              </w:rPr>
            </w:pPr>
            <w:r w:rsidRPr="00F66162">
              <w:rPr>
                <w:noProof/>
                <w:color w:val="000000"/>
                <w:sz w:val="18"/>
              </w:rPr>
              <w:t>Środki na zobowiązania</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3F1120F6" w14:textId="77777777" w:rsidR="00FA5543" w:rsidRPr="00F66162" w:rsidRDefault="78F6DEF2" w:rsidP="139DF8FE">
            <w:pPr>
              <w:spacing w:before="0" w:after="0"/>
              <w:jc w:val="right"/>
              <w:rPr>
                <w:rFonts w:eastAsia="Times New Roman"/>
                <w:noProof/>
                <w:szCs w:val="24"/>
              </w:rPr>
            </w:pPr>
            <w:r w:rsidRPr="00F66162">
              <w:rPr>
                <w:b/>
                <w:noProof/>
                <w:color w:val="000000" w:themeColor="text1"/>
              </w:rPr>
              <w:t>37,262</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0F2A63DF" w14:textId="77777777" w:rsidR="00FA5543" w:rsidRPr="00F66162" w:rsidRDefault="78F6DEF2" w:rsidP="139DF8FE">
            <w:pPr>
              <w:spacing w:before="0" w:after="0"/>
              <w:jc w:val="right"/>
              <w:rPr>
                <w:rFonts w:eastAsia="Times New Roman"/>
                <w:noProof/>
                <w:szCs w:val="24"/>
              </w:rPr>
            </w:pPr>
            <w:r w:rsidRPr="00F66162">
              <w:rPr>
                <w:b/>
                <w:noProof/>
                <w:color w:val="000000" w:themeColor="text1"/>
              </w:rPr>
              <w:t>41,321</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68462811" w14:textId="77777777" w:rsidR="00FA5543" w:rsidRPr="00F66162" w:rsidRDefault="78F6DEF2" w:rsidP="139DF8FE">
            <w:pPr>
              <w:spacing w:before="0" w:after="0"/>
              <w:jc w:val="right"/>
              <w:rPr>
                <w:rFonts w:eastAsia="Times New Roman"/>
                <w:noProof/>
                <w:szCs w:val="24"/>
              </w:rPr>
            </w:pPr>
            <w:r w:rsidRPr="00F66162">
              <w:rPr>
                <w:b/>
                <w:noProof/>
                <w:color w:val="000000" w:themeColor="text1"/>
              </w:rPr>
              <w:t>42,746</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667C0E02" w14:textId="77777777" w:rsidR="00FA5543" w:rsidRPr="00F66162" w:rsidRDefault="78F6DEF2" w:rsidP="139DF8FE">
            <w:pPr>
              <w:spacing w:before="0" w:after="0"/>
              <w:jc w:val="right"/>
              <w:rPr>
                <w:rFonts w:eastAsia="Times New Roman"/>
                <w:noProof/>
                <w:szCs w:val="24"/>
              </w:rPr>
            </w:pPr>
            <w:r w:rsidRPr="00F66162">
              <w:rPr>
                <w:b/>
                <w:noProof/>
                <w:color w:val="000000" w:themeColor="text1"/>
              </w:rPr>
              <w:t>42,162</w:t>
            </w:r>
          </w:p>
        </w:tc>
        <w:tc>
          <w:tcPr>
            <w:tcW w:w="1400" w:type="dxa"/>
            <w:tcBorders>
              <w:top w:val="nil"/>
              <w:left w:val="nil"/>
              <w:bottom w:val="single" w:sz="8" w:space="0" w:color="auto"/>
              <w:right w:val="single" w:sz="8" w:space="0" w:color="auto"/>
            </w:tcBorders>
            <w:shd w:val="clear" w:color="auto" w:fill="D9D9D9" w:themeFill="background1" w:themeFillShade="D9"/>
            <w:vAlign w:val="center"/>
            <w:hideMark/>
          </w:tcPr>
          <w:p w14:paraId="403249E7" w14:textId="77777777" w:rsidR="00FA5543" w:rsidRPr="00F66162" w:rsidRDefault="78F6DEF2" w:rsidP="139DF8FE">
            <w:pPr>
              <w:spacing w:before="0" w:after="0"/>
              <w:jc w:val="right"/>
              <w:rPr>
                <w:rFonts w:eastAsia="Times New Roman"/>
                <w:noProof/>
                <w:szCs w:val="24"/>
              </w:rPr>
            </w:pPr>
            <w:r w:rsidRPr="00F66162">
              <w:rPr>
                <w:b/>
                <w:noProof/>
                <w:color w:val="000000" w:themeColor="text1"/>
              </w:rPr>
              <w:t>163,491</w:t>
            </w:r>
          </w:p>
        </w:tc>
      </w:tr>
      <w:tr w:rsidR="00FA5543" w:rsidRPr="00F66162" w14:paraId="1CDDA466" w14:textId="77777777" w:rsidTr="139DF8FE">
        <w:trPr>
          <w:trHeight w:val="540"/>
        </w:trPr>
        <w:tc>
          <w:tcPr>
            <w:tcW w:w="5180" w:type="dxa"/>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0621C843" w14:textId="77777777" w:rsidR="00FA5543" w:rsidRPr="00F66162" w:rsidRDefault="00FA5543" w:rsidP="00390489">
            <w:pPr>
              <w:spacing w:before="0" w:after="0"/>
              <w:jc w:val="center"/>
              <w:rPr>
                <w:noProof/>
                <w:color w:val="000000"/>
                <w:sz w:val="22"/>
              </w:rPr>
            </w:pPr>
            <w:r w:rsidRPr="00F66162">
              <w:rPr>
                <w:noProof/>
                <w:color w:val="000000"/>
                <w:sz w:val="22"/>
              </w:rPr>
              <w:t>wieloletnich ram finansowych</w:t>
            </w:r>
            <w:r w:rsidRPr="00F66162">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590C7686" w14:textId="77777777" w:rsidR="00FA5543" w:rsidRPr="00F66162" w:rsidRDefault="00FA5543" w:rsidP="00390489">
            <w:pPr>
              <w:spacing w:before="0" w:after="0"/>
              <w:rPr>
                <w:noProof/>
                <w:color w:val="000000"/>
                <w:sz w:val="18"/>
                <w:szCs w:val="18"/>
              </w:rPr>
            </w:pPr>
            <w:r w:rsidRPr="00F66162">
              <w:rPr>
                <w:noProof/>
                <w:color w:val="000000"/>
                <w:sz w:val="18"/>
              </w:rPr>
              <w:t>Środki na płatności</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4E2BD7C2" w14:textId="77777777" w:rsidR="00FA5543" w:rsidRPr="00F66162" w:rsidRDefault="140E2038" w:rsidP="139DF8FE">
            <w:pPr>
              <w:spacing w:before="0" w:after="0"/>
              <w:jc w:val="right"/>
              <w:rPr>
                <w:rFonts w:eastAsia="Times New Roman"/>
                <w:noProof/>
                <w:szCs w:val="24"/>
              </w:rPr>
            </w:pPr>
            <w:r w:rsidRPr="00F66162">
              <w:rPr>
                <w:b/>
                <w:noProof/>
                <w:color w:val="000000" w:themeColor="text1"/>
              </w:rPr>
              <w:t>26,702</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03010898" w14:textId="77777777" w:rsidR="00FA5543" w:rsidRPr="00F66162" w:rsidRDefault="140E2038" w:rsidP="139DF8FE">
            <w:pPr>
              <w:spacing w:before="0" w:after="0"/>
              <w:jc w:val="right"/>
              <w:rPr>
                <w:rFonts w:eastAsia="Times New Roman"/>
                <w:noProof/>
                <w:szCs w:val="24"/>
              </w:rPr>
            </w:pPr>
            <w:r w:rsidRPr="00F66162">
              <w:rPr>
                <w:b/>
                <w:noProof/>
                <w:color w:val="000000" w:themeColor="text1"/>
              </w:rPr>
              <w:t>27,728</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59B35DE6" w14:textId="77777777" w:rsidR="00FA5543" w:rsidRPr="00F66162" w:rsidRDefault="140E2038" w:rsidP="139DF8FE">
            <w:pPr>
              <w:spacing w:before="0" w:after="0"/>
              <w:jc w:val="right"/>
              <w:rPr>
                <w:rFonts w:eastAsia="Times New Roman"/>
                <w:noProof/>
                <w:szCs w:val="24"/>
              </w:rPr>
            </w:pPr>
            <w:r w:rsidRPr="00F66162">
              <w:rPr>
                <w:b/>
                <w:noProof/>
                <w:color w:val="000000" w:themeColor="text1"/>
              </w:rPr>
              <w:t>41,136</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5126209D" w14:textId="77777777" w:rsidR="00FA5543" w:rsidRPr="00F66162" w:rsidRDefault="140E2038" w:rsidP="139DF8FE">
            <w:pPr>
              <w:spacing w:before="0" w:after="0"/>
              <w:jc w:val="right"/>
              <w:rPr>
                <w:rFonts w:eastAsia="Times New Roman"/>
                <w:noProof/>
                <w:szCs w:val="24"/>
              </w:rPr>
            </w:pPr>
            <w:r w:rsidRPr="00F66162">
              <w:rPr>
                <w:b/>
                <w:noProof/>
                <w:color w:val="000000" w:themeColor="text1"/>
              </w:rPr>
              <w:t>45,079</w:t>
            </w:r>
          </w:p>
        </w:tc>
        <w:tc>
          <w:tcPr>
            <w:tcW w:w="1400" w:type="dxa"/>
            <w:tcBorders>
              <w:top w:val="nil"/>
              <w:left w:val="nil"/>
              <w:bottom w:val="single" w:sz="8" w:space="0" w:color="auto"/>
              <w:right w:val="single" w:sz="8" w:space="0" w:color="auto"/>
            </w:tcBorders>
            <w:shd w:val="clear" w:color="auto" w:fill="D9D9D9" w:themeFill="background1" w:themeFillShade="D9"/>
            <w:vAlign w:val="center"/>
            <w:hideMark/>
          </w:tcPr>
          <w:p w14:paraId="3EBE12A2" w14:textId="77777777" w:rsidR="00FA5543" w:rsidRPr="00F66162" w:rsidRDefault="140E2038" w:rsidP="139DF8FE">
            <w:pPr>
              <w:spacing w:before="0" w:after="0"/>
              <w:jc w:val="right"/>
              <w:rPr>
                <w:rFonts w:eastAsia="Times New Roman"/>
                <w:noProof/>
                <w:szCs w:val="24"/>
              </w:rPr>
            </w:pPr>
            <w:r w:rsidRPr="00F66162">
              <w:rPr>
                <w:b/>
                <w:noProof/>
                <w:color w:val="000000" w:themeColor="text1"/>
              </w:rPr>
              <w:t>140,645</w:t>
            </w:r>
          </w:p>
        </w:tc>
      </w:tr>
    </w:tbl>
    <w:p w14:paraId="7DF8A4D5" w14:textId="035FD5EE" w:rsidR="00FA5543" w:rsidRPr="00F66162" w:rsidRDefault="00FA5543" w:rsidP="00390489">
      <w:pPr>
        <w:pStyle w:val="ManualHeading3"/>
        <w:rPr>
          <w:bCs/>
          <w:noProof/>
          <w:szCs w:val="24"/>
        </w:rPr>
      </w:pPr>
      <w:r w:rsidRPr="00F66162">
        <w:rPr>
          <w:noProof/>
        </w:rPr>
        <w:t>3.2.2.</w:t>
      </w:r>
      <w:r w:rsidRPr="00F66162">
        <w:rPr>
          <w:noProof/>
        </w:rPr>
        <w:tab/>
        <w:t>Szacowany produkt finansowany ze środków operacyjnych (nie wypełniać</w:t>
      </w:r>
      <w:r w:rsidR="00825614" w:rsidRPr="00F66162">
        <w:rPr>
          <w:noProof/>
        </w:rPr>
        <w:t xml:space="preserve"> w</w:t>
      </w:r>
      <w:r w:rsidR="00825614">
        <w:rPr>
          <w:noProof/>
        </w:rPr>
        <w:t> </w:t>
      </w:r>
      <w:r w:rsidR="00825614" w:rsidRPr="00F66162">
        <w:rPr>
          <w:noProof/>
        </w:rPr>
        <w:t>prz</w:t>
      </w:r>
      <w:r w:rsidRPr="00F66162">
        <w:rPr>
          <w:noProof/>
        </w:rPr>
        <w:t>ypadku agencji zdecentralizowanych)</w:t>
      </w:r>
    </w:p>
    <w:p w14:paraId="46D88008" w14:textId="3B292014" w:rsidR="00FA5543" w:rsidRPr="00F66162" w:rsidRDefault="00FA5543" w:rsidP="00390489">
      <w:pPr>
        <w:jc w:val="right"/>
        <w:rPr>
          <w:noProof/>
          <w:sz w:val="20"/>
        </w:rPr>
      </w:pPr>
      <w:r w:rsidRPr="00F66162">
        <w:rPr>
          <w:noProof/>
          <w:sz w:val="20"/>
        </w:rPr>
        <w:t>Środki na zobowiązania</w:t>
      </w:r>
      <w:r w:rsidR="00825614" w:rsidRPr="00F66162">
        <w:rPr>
          <w:noProof/>
          <w:sz w:val="20"/>
        </w:rPr>
        <w:t xml:space="preserve"> w</w:t>
      </w:r>
      <w:r w:rsidR="00825614">
        <w:rPr>
          <w:noProof/>
          <w:sz w:val="20"/>
        </w:rPr>
        <w:t> </w:t>
      </w:r>
      <w:r w:rsidR="00825614" w:rsidRPr="00F66162">
        <w:rPr>
          <w:noProof/>
          <w:sz w:val="20"/>
        </w:rPr>
        <w:t>mln</w:t>
      </w:r>
      <w:r w:rsidRPr="00F66162">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FA5543" w:rsidRPr="00F66162" w14:paraId="7FB24BA7" w14:textId="77777777" w:rsidTr="139DF8FE">
        <w:trPr>
          <w:jc w:val="center"/>
        </w:trPr>
        <w:tc>
          <w:tcPr>
            <w:tcW w:w="1423" w:type="dxa"/>
            <w:vMerge w:val="restart"/>
            <w:vAlign w:val="center"/>
          </w:tcPr>
          <w:p w14:paraId="7AB48819" w14:textId="52D968D8" w:rsidR="00FA5543" w:rsidRPr="00F66162" w:rsidRDefault="00FA5543" w:rsidP="00390489">
            <w:pPr>
              <w:ind w:right="-29"/>
              <w:jc w:val="center"/>
              <w:rPr>
                <w:b/>
                <w:noProof/>
                <w:sz w:val="18"/>
                <w:szCs w:val="18"/>
              </w:rPr>
            </w:pPr>
            <w:r w:rsidRPr="00F66162">
              <w:rPr>
                <w:b/>
                <w:noProof/>
                <w:sz w:val="18"/>
              </w:rPr>
              <w:t>Określić cele</w:t>
            </w:r>
            <w:r w:rsidR="00825614" w:rsidRPr="00F66162">
              <w:rPr>
                <w:b/>
                <w:noProof/>
                <w:sz w:val="18"/>
              </w:rPr>
              <w:t xml:space="preserve"> i</w:t>
            </w:r>
            <w:r w:rsidR="00825614">
              <w:rPr>
                <w:b/>
                <w:noProof/>
                <w:sz w:val="18"/>
              </w:rPr>
              <w:t> </w:t>
            </w:r>
            <w:r w:rsidR="00825614" w:rsidRPr="00F66162">
              <w:rPr>
                <w:b/>
                <w:noProof/>
                <w:sz w:val="18"/>
              </w:rPr>
              <w:t>pro</w:t>
            </w:r>
            <w:r w:rsidRPr="00F66162">
              <w:rPr>
                <w:b/>
                <w:noProof/>
                <w:sz w:val="18"/>
              </w:rPr>
              <w:t xml:space="preserve">dukty </w:t>
            </w:r>
          </w:p>
          <w:p w14:paraId="7AD61513" w14:textId="77777777" w:rsidR="00FA5543" w:rsidRPr="00F66162" w:rsidRDefault="00FA5543" w:rsidP="00390489">
            <w:pPr>
              <w:ind w:right="-29"/>
              <w:jc w:val="center"/>
              <w:rPr>
                <w:b/>
                <w:noProof/>
                <w:sz w:val="18"/>
                <w:szCs w:val="18"/>
              </w:rPr>
            </w:pPr>
          </w:p>
          <w:p w14:paraId="01F36C9F" w14:textId="77777777" w:rsidR="00FA5543" w:rsidRPr="00F66162" w:rsidRDefault="00FA5543" w:rsidP="00390489">
            <w:pPr>
              <w:ind w:right="-29"/>
              <w:jc w:val="center"/>
              <w:rPr>
                <w:noProof/>
                <w:sz w:val="18"/>
                <w:szCs w:val="18"/>
              </w:rPr>
            </w:pPr>
            <w:r w:rsidRPr="00F66162">
              <w:rPr>
                <w:rFonts w:ascii="Wingdings" w:hAnsi="Wingdings"/>
                <w:noProof/>
                <w:sz w:val="18"/>
              </w:rPr>
              <w:t></w:t>
            </w:r>
          </w:p>
        </w:tc>
        <w:tc>
          <w:tcPr>
            <w:tcW w:w="720" w:type="dxa"/>
            <w:vAlign w:val="center"/>
          </w:tcPr>
          <w:p w14:paraId="729AC6D5" w14:textId="77777777" w:rsidR="00FA5543" w:rsidRPr="00F66162" w:rsidRDefault="00FA5543" w:rsidP="00390489">
            <w:pPr>
              <w:ind w:right="-29"/>
              <w:jc w:val="center"/>
              <w:rPr>
                <w:noProof/>
                <w:sz w:val="18"/>
                <w:szCs w:val="18"/>
              </w:rPr>
            </w:pPr>
          </w:p>
        </w:tc>
        <w:tc>
          <w:tcPr>
            <w:tcW w:w="701" w:type="dxa"/>
            <w:vAlign w:val="center"/>
          </w:tcPr>
          <w:p w14:paraId="36CAC6A1" w14:textId="77777777" w:rsidR="00FA5543" w:rsidRPr="00F66162" w:rsidRDefault="00FA5543" w:rsidP="00390489">
            <w:pPr>
              <w:ind w:right="-29"/>
              <w:jc w:val="center"/>
              <w:rPr>
                <w:noProof/>
                <w:sz w:val="18"/>
                <w:szCs w:val="18"/>
              </w:rPr>
            </w:pPr>
          </w:p>
        </w:tc>
        <w:tc>
          <w:tcPr>
            <w:tcW w:w="1224" w:type="dxa"/>
            <w:gridSpan w:val="2"/>
            <w:tcBorders>
              <w:left w:val="nil"/>
            </w:tcBorders>
            <w:vAlign w:val="center"/>
          </w:tcPr>
          <w:p w14:paraId="1C32D29A" w14:textId="574DBCAE" w:rsidR="00FA5543" w:rsidRPr="00F66162" w:rsidRDefault="00FA5543" w:rsidP="00390489">
            <w:pPr>
              <w:ind w:right="-29"/>
              <w:jc w:val="center"/>
              <w:rPr>
                <w:noProof/>
                <w:sz w:val="18"/>
                <w:szCs w:val="18"/>
              </w:rPr>
            </w:pPr>
            <w:r w:rsidRPr="00F66162">
              <w:rPr>
                <w:noProof/>
                <w:sz w:val="18"/>
              </w:rPr>
              <w:t xml:space="preserve">Rok </w:t>
            </w:r>
            <w:r w:rsidRPr="00F66162">
              <w:rPr>
                <w:noProof/>
              </w:rPr>
              <w:br/>
            </w:r>
            <w:r w:rsidRPr="00F66162">
              <w:rPr>
                <w:b/>
                <w:noProof/>
                <w:sz w:val="18"/>
              </w:rPr>
              <w:t>2024</w:t>
            </w:r>
          </w:p>
        </w:tc>
        <w:tc>
          <w:tcPr>
            <w:tcW w:w="1260" w:type="dxa"/>
            <w:gridSpan w:val="2"/>
            <w:vAlign w:val="center"/>
          </w:tcPr>
          <w:p w14:paraId="64C615B1" w14:textId="5C4C4A35" w:rsidR="00FA5543" w:rsidRPr="00F66162" w:rsidRDefault="00FA5543" w:rsidP="00390489">
            <w:pPr>
              <w:ind w:right="-29"/>
              <w:jc w:val="center"/>
              <w:rPr>
                <w:noProof/>
                <w:sz w:val="18"/>
                <w:szCs w:val="18"/>
              </w:rPr>
            </w:pPr>
            <w:r w:rsidRPr="00F66162">
              <w:rPr>
                <w:noProof/>
                <w:sz w:val="18"/>
              </w:rPr>
              <w:t xml:space="preserve">Rok </w:t>
            </w:r>
            <w:r w:rsidRPr="00F66162">
              <w:rPr>
                <w:noProof/>
              </w:rPr>
              <w:br/>
            </w:r>
            <w:r w:rsidRPr="00F66162">
              <w:rPr>
                <w:b/>
                <w:noProof/>
                <w:sz w:val="18"/>
              </w:rPr>
              <w:t>2025</w:t>
            </w:r>
          </w:p>
        </w:tc>
        <w:tc>
          <w:tcPr>
            <w:tcW w:w="1440" w:type="dxa"/>
            <w:gridSpan w:val="2"/>
            <w:vAlign w:val="center"/>
          </w:tcPr>
          <w:p w14:paraId="1E3B0689" w14:textId="75C7BBC7" w:rsidR="00FA5543" w:rsidRPr="00F66162" w:rsidRDefault="00FA5543" w:rsidP="00390489">
            <w:pPr>
              <w:ind w:right="-29"/>
              <w:jc w:val="center"/>
              <w:rPr>
                <w:noProof/>
                <w:sz w:val="18"/>
                <w:szCs w:val="18"/>
              </w:rPr>
            </w:pPr>
            <w:r w:rsidRPr="00F66162">
              <w:rPr>
                <w:noProof/>
                <w:sz w:val="18"/>
              </w:rPr>
              <w:t xml:space="preserve">Rok </w:t>
            </w:r>
            <w:r w:rsidRPr="00F66162">
              <w:rPr>
                <w:noProof/>
              </w:rPr>
              <w:br/>
            </w:r>
            <w:r w:rsidRPr="00F66162">
              <w:rPr>
                <w:b/>
                <w:noProof/>
                <w:sz w:val="18"/>
              </w:rPr>
              <w:t>2026</w:t>
            </w:r>
          </w:p>
        </w:tc>
        <w:tc>
          <w:tcPr>
            <w:tcW w:w="1620" w:type="dxa"/>
            <w:gridSpan w:val="3"/>
            <w:vAlign w:val="center"/>
          </w:tcPr>
          <w:p w14:paraId="59768A70" w14:textId="0A7BAA0C" w:rsidR="00FA5543" w:rsidRPr="00F66162" w:rsidRDefault="00FA5543" w:rsidP="00390489">
            <w:pPr>
              <w:ind w:right="-29"/>
              <w:jc w:val="center"/>
              <w:rPr>
                <w:noProof/>
                <w:sz w:val="18"/>
                <w:szCs w:val="18"/>
              </w:rPr>
            </w:pPr>
            <w:r w:rsidRPr="00F66162">
              <w:rPr>
                <w:noProof/>
                <w:sz w:val="18"/>
              </w:rPr>
              <w:t xml:space="preserve">Rok </w:t>
            </w:r>
            <w:r w:rsidRPr="00F66162">
              <w:rPr>
                <w:noProof/>
              </w:rPr>
              <w:br/>
            </w:r>
            <w:r w:rsidRPr="00F66162">
              <w:rPr>
                <w:b/>
                <w:noProof/>
                <w:sz w:val="18"/>
              </w:rPr>
              <w:t>2027</w:t>
            </w:r>
          </w:p>
        </w:tc>
        <w:tc>
          <w:tcPr>
            <w:tcW w:w="3600" w:type="dxa"/>
            <w:gridSpan w:val="6"/>
            <w:vAlign w:val="center"/>
          </w:tcPr>
          <w:p w14:paraId="33A9CE45" w14:textId="77777777" w:rsidR="00FA5543" w:rsidRPr="00F66162" w:rsidRDefault="00FA5543" w:rsidP="00390489">
            <w:pPr>
              <w:jc w:val="center"/>
              <w:rPr>
                <w:noProof/>
                <w:sz w:val="18"/>
                <w:szCs w:val="18"/>
              </w:rPr>
            </w:pPr>
            <w:r w:rsidRPr="00F66162">
              <w:rPr>
                <w:noProof/>
                <w:sz w:val="18"/>
              </w:rPr>
              <w:t>Wprowadzić taką liczbę kolumn dla poszczególnych lat, jaka jest niezbędna, by odzwierciedlić cały okres wpływu (por. sekcja 1.6)</w:t>
            </w:r>
          </w:p>
        </w:tc>
        <w:tc>
          <w:tcPr>
            <w:tcW w:w="1620" w:type="dxa"/>
            <w:gridSpan w:val="2"/>
            <w:tcBorders>
              <w:left w:val="nil"/>
              <w:bottom w:val="nil"/>
            </w:tcBorders>
            <w:vAlign w:val="center"/>
          </w:tcPr>
          <w:p w14:paraId="145AEFE8" w14:textId="77777777" w:rsidR="00FA5543" w:rsidRPr="00F66162" w:rsidRDefault="00FA5543" w:rsidP="00390489">
            <w:pPr>
              <w:ind w:right="-29"/>
              <w:jc w:val="center"/>
              <w:rPr>
                <w:noProof/>
                <w:sz w:val="18"/>
                <w:szCs w:val="18"/>
              </w:rPr>
            </w:pPr>
            <w:r w:rsidRPr="00F66162">
              <w:rPr>
                <w:b/>
                <w:noProof/>
                <w:sz w:val="18"/>
              </w:rPr>
              <w:t>OGÓŁEM</w:t>
            </w:r>
          </w:p>
        </w:tc>
      </w:tr>
      <w:tr w:rsidR="00FA5543" w:rsidRPr="00F66162" w14:paraId="7C8FC3A3" w14:textId="77777777" w:rsidTr="139DF8FE">
        <w:trPr>
          <w:jc w:val="center"/>
        </w:trPr>
        <w:tc>
          <w:tcPr>
            <w:tcW w:w="1423" w:type="dxa"/>
            <w:vMerge/>
            <w:vAlign w:val="center"/>
          </w:tcPr>
          <w:p w14:paraId="760D4498" w14:textId="77777777" w:rsidR="00FA5543" w:rsidRPr="00F66162" w:rsidRDefault="00FA5543" w:rsidP="00390489">
            <w:pPr>
              <w:ind w:right="-29"/>
              <w:jc w:val="center"/>
              <w:rPr>
                <w:noProof/>
                <w:sz w:val="18"/>
                <w:szCs w:val="18"/>
              </w:rPr>
            </w:pPr>
          </w:p>
        </w:tc>
        <w:tc>
          <w:tcPr>
            <w:tcW w:w="12185" w:type="dxa"/>
            <w:gridSpan w:val="19"/>
            <w:vAlign w:val="center"/>
          </w:tcPr>
          <w:p w14:paraId="760D7007" w14:textId="77777777" w:rsidR="00FA5543" w:rsidRPr="00F66162" w:rsidRDefault="00FA5543" w:rsidP="00390489">
            <w:pPr>
              <w:spacing w:before="60" w:after="60"/>
              <w:ind w:right="-29"/>
              <w:jc w:val="center"/>
              <w:rPr>
                <w:noProof/>
                <w:sz w:val="18"/>
                <w:szCs w:val="18"/>
              </w:rPr>
            </w:pPr>
            <w:r w:rsidRPr="00F66162">
              <w:rPr>
                <w:b/>
                <w:noProof/>
                <w:sz w:val="18"/>
              </w:rPr>
              <w:t>PRODUKT</w:t>
            </w:r>
          </w:p>
        </w:tc>
      </w:tr>
      <w:tr w:rsidR="00FA5543" w:rsidRPr="00F66162" w14:paraId="70EF9DC7" w14:textId="77777777" w:rsidTr="139DF8FE">
        <w:trPr>
          <w:cantSplit/>
          <w:trHeight w:val="1134"/>
          <w:jc w:val="center"/>
        </w:trPr>
        <w:tc>
          <w:tcPr>
            <w:tcW w:w="1423" w:type="dxa"/>
            <w:vMerge/>
            <w:vAlign w:val="center"/>
          </w:tcPr>
          <w:p w14:paraId="3251313D" w14:textId="77777777" w:rsidR="00FA5543" w:rsidRPr="00F66162" w:rsidRDefault="00FA5543" w:rsidP="00390489">
            <w:pPr>
              <w:rPr>
                <w:noProof/>
                <w:sz w:val="18"/>
                <w:szCs w:val="18"/>
              </w:rPr>
            </w:pPr>
          </w:p>
        </w:tc>
        <w:tc>
          <w:tcPr>
            <w:tcW w:w="720" w:type="dxa"/>
            <w:vAlign w:val="center"/>
          </w:tcPr>
          <w:p w14:paraId="6FDAAFB9" w14:textId="77777777" w:rsidR="00FA5543" w:rsidRPr="00F66162" w:rsidRDefault="6C3AF1E0" w:rsidP="00390489">
            <w:pPr>
              <w:jc w:val="center"/>
              <w:rPr>
                <w:noProof/>
                <w:sz w:val="18"/>
                <w:szCs w:val="18"/>
              </w:rPr>
            </w:pPr>
            <w:r w:rsidRPr="00F66162">
              <w:rPr>
                <w:noProof/>
                <w:sz w:val="18"/>
              </w:rPr>
              <w:t>Rodzaj</w:t>
            </w:r>
            <w:r w:rsidRPr="00F66162">
              <w:rPr>
                <w:rStyle w:val="Odwoanieprzypisudolnego"/>
                <w:noProof/>
                <w:sz w:val="18"/>
                <w:szCs w:val="18"/>
              </w:rPr>
              <w:footnoteReference w:id="27"/>
            </w:r>
          </w:p>
          <w:p w14:paraId="33943FBF" w14:textId="77777777" w:rsidR="00FA5543" w:rsidRPr="00F66162" w:rsidRDefault="00FA5543" w:rsidP="00390489">
            <w:pPr>
              <w:spacing w:before="0" w:after="0"/>
              <w:jc w:val="center"/>
              <w:rPr>
                <w:noProof/>
                <w:sz w:val="18"/>
                <w:szCs w:val="18"/>
              </w:rPr>
            </w:pPr>
          </w:p>
        </w:tc>
        <w:tc>
          <w:tcPr>
            <w:tcW w:w="701" w:type="dxa"/>
            <w:vAlign w:val="center"/>
          </w:tcPr>
          <w:p w14:paraId="595E5FD2" w14:textId="77777777" w:rsidR="00FA5543" w:rsidRPr="00F66162" w:rsidRDefault="00FA5543" w:rsidP="00390489">
            <w:pPr>
              <w:jc w:val="center"/>
              <w:rPr>
                <w:noProof/>
                <w:sz w:val="18"/>
                <w:szCs w:val="18"/>
              </w:rPr>
            </w:pPr>
            <w:r w:rsidRPr="00F66162">
              <w:rPr>
                <w:noProof/>
                <w:sz w:val="18"/>
              </w:rPr>
              <w:t>Średni koszt</w:t>
            </w:r>
          </w:p>
        </w:tc>
        <w:tc>
          <w:tcPr>
            <w:tcW w:w="504" w:type="dxa"/>
            <w:tcBorders>
              <w:left w:val="nil"/>
              <w:right w:val="dashSmallGap" w:sz="4" w:space="0" w:color="auto"/>
            </w:tcBorders>
            <w:shd w:val="clear" w:color="auto" w:fill="auto"/>
            <w:textDirection w:val="btLr"/>
            <w:vAlign w:val="center"/>
          </w:tcPr>
          <w:p w14:paraId="148EE88A" w14:textId="77777777" w:rsidR="00FA5543" w:rsidRPr="00F66162" w:rsidRDefault="00FA5543" w:rsidP="00390489">
            <w:pPr>
              <w:ind w:left="113" w:right="113"/>
              <w:jc w:val="center"/>
              <w:rPr>
                <w:noProof/>
                <w:sz w:val="18"/>
                <w:szCs w:val="18"/>
              </w:rPr>
            </w:pPr>
            <w:r w:rsidRPr="00F66162">
              <w:rPr>
                <w:noProof/>
                <w:sz w:val="18"/>
              </w:rPr>
              <w:t>Liczba</w:t>
            </w:r>
          </w:p>
        </w:tc>
        <w:tc>
          <w:tcPr>
            <w:tcW w:w="720" w:type="dxa"/>
            <w:tcBorders>
              <w:left w:val="dashSmallGap" w:sz="4" w:space="0" w:color="auto"/>
            </w:tcBorders>
            <w:shd w:val="clear" w:color="auto" w:fill="auto"/>
            <w:vAlign w:val="center"/>
          </w:tcPr>
          <w:p w14:paraId="497BA32A" w14:textId="77777777" w:rsidR="00FA5543" w:rsidRPr="00F66162" w:rsidRDefault="00FA5543" w:rsidP="00390489">
            <w:pPr>
              <w:jc w:val="center"/>
              <w:rPr>
                <w:noProof/>
                <w:sz w:val="18"/>
                <w:szCs w:val="18"/>
              </w:rPr>
            </w:pPr>
            <w:r w:rsidRPr="00F66162">
              <w:rPr>
                <w:noProof/>
                <w:sz w:val="18"/>
              </w:rPr>
              <w:t>Koszt</w:t>
            </w:r>
          </w:p>
        </w:tc>
        <w:tc>
          <w:tcPr>
            <w:tcW w:w="540" w:type="dxa"/>
            <w:tcBorders>
              <w:right w:val="dashSmallGap" w:sz="4" w:space="0" w:color="auto"/>
            </w:tcBorders>
            <w:shd w:val="clear" w:color="auto" w:fill="auto"/>
            <w:textDirection w:val="btLr"/>
            <w:vAlign w:val="center"/>
          </w:tcPr>
          <w:p w14:paraId="272F6278" w14:textId="77777777" w:rsidR="00FA5543" w:rsidRPr="00F66162" w:rsidRDefault="00FA5543" w:rsidP="00390489">
            <w:pPr>
              <w:ind w:left="113" w:right="113"/>
              <w:jc w:val="center"/>
              <w:rPr>
                <w:noProof/>
                <w:sz w:val="18"/>
                <w:szCs w:val="18"/>
              </w:rPr>
            </w:pPr>
            <w:r w:rsidRPr="00F66162">
              <w:rPr>
                <w:noProof/>
                <w:sz w:val="18"/>
              </w:rPr>
              <w:t>Liczba</w:t>
            </w:r>
          </w:p>
        </w:tc>
        <w:tc>
          <w:tcPr>
            <w:tcW w:w="720" w:type="dxa"/>
            <w:tcBorders>
              <w:left w:val="dashSmallGap" w:sz="4" w:space="0" w:color="auto"/>
            </w:tcBorders>
            <w:shd w:val="clear" w:color="auto" w:fill="auto"/>
            <w:vAlign w:val="center"/>
          </w:tcPr>
          <w:p w14:paraId="5FE151C2" w14:textId="77777777" w:rsidR="00FA5543" w:rsidRPr="00F66162" w:rsidRDefault="00FA5543" w:rsidP="00390489">
            <w:pPr>
              <w:jc w:val="center"/>
              <w:rPr>
                <w:noProof/>
                <w:sz w:val="18"/>
                <w:szCs w:val="18"/>
              </w:rPr>
            </w:pPr>
            <w:r w:rsidRPr="00F66162">
              <w:rPr>
                <w:noProof/>
                <w:sz w:val="18"/>
              </w:rPr>
              <w:t>Koszt</w:t>
            </w:r>
          </w:p>
        </w:tc>
        <w:tc>
          <w:tcPr>
            <w:tcW w:w="720" w:type="dxa"/>
            <w:tcBorders>
              <w:right w:val="dashSmallGap" w:sz="4" w:space="0" w:color="auto"/>
            </w:tcBorders>
            <w:shd w:val="clear" w:color="auto" w:fill="auto"/>
            <w:textDirection w:val="btLr"/>
            <w:vAlign w:val="center"/>
          </w:tcPr>
          <w:p w14:paraId="620A7A35" w14:textId="77777777" w:rsidR="00FA5543" w:rsidRPr="00F66162" w:rsidRDefault="00FA5543" w:rsidP="00390489">
            <w:pPr>
              <w:ind w:left="113" w:right="113"/>
              <w:jc w:val="center"/>
              <w:rPr>
                <w:noProof/>
                <w:sz w:val="18"/>
                <w:szCs w:val="18"/>
              </w:rPr>
            </w:pPr>
            <w:r w:rsidRPr="00F66162">
              <w:rPr>
                <w:noProof/>
                <w:sz w:val="18"/>
              </w:rPr>
              <w:t>Liczba</w:t>
            </w:r>
          </w:p>
        </w:tc>
        <w:tc>
          <w:tcPr>
            <w:tcW w:w="720" w:type="dxa"/>
            <w:tcBorders>
              <w:left w:val="dashSmallGap" w:sz="4" w:space="0" w:color="auto"/>
            </w:tcBorders>
            <w:shd w:val="clear" w:color="auto" w:fill="auto"/>
            <w:vAlign w:val="center"/>
          </w:tcPr>
          <w:p w14:paraId="46FF3153" w14:textId="77777777" w:rsidR="00FA5543" w:rsidRPr="00F66162" w:rsidRDefault="00FA5543" w:rsidP="00390489">
            <w:pPr>
              <w:jc w:val="center"/>
              <w:rPr>
                <w:noProof/>
                <w:sz w:val="18"/>
                <w:szCs w:val="18"/>
              </w:rPr>
            </w:pPr>
            <w:r w:rsidRPr="00F66162">
              <w:rPr>
                <w:noProof/>
                <w:sz w:val="18"/>
              </w:rPr>
              <w:t>Koszt</w:t>
            </w:r>
          </w:p>
        </w:tc>
        <w:tc>
          <w:tcPr>
            <w:tcW w:w="900" w:type="dxa"/>
            <w:tcBorders>
              <w:right w:val="dashSmallGap" w:sz="4" w:space="0" w:color="auto"/>
            </w:tcBorders>
            <w:shd w:val="clear" w:color="auto" w:fill="auto"/>
            <w:textDirection w:val="btLr"/>
            <w:vAlign w:val="center"/>
          </w:tcPr>
          <w:p w14:paraId="47141079" w14:textId="77777777" w:rsidR="00FA5543" w:rsidRPr="00F66162" w:rsidRDefault="00FA5543" w:rsidP="00390489">
            <w:pPr>
              <w:ind w:left="113" w:right="113"/>
              <w:jc w:val="center"/>
              <w:rPr>
                <w:noProof/>
                <w:sz w:val="18"/>
                <w:szCs w:val="18"/>
              </w:rPr>
            </w:pPr>
            <w:r w:rsidRPr="00F66162">
              <w:rPr>
                <w:noProof/>
                <w:sz w:val="18"/>
              </w:rPr>
              <w:t>Liczba</w:t>
            </w:r>
          </w:p>
        </w:tc>
        <w:tc>
          <w:tcPr>
            <w:tcW w:w="720" w:type="dxa"/>
            <w:gridSpan w:val="2"/>
            <w:tcBorders>
              <w:left w:val="dashSmallGap" w:sz="4" w:space="0" w:color="auto"/>
            </w:tcBorders>
            <w:shd w:val="clear" w:color="auto" w:fill="auto"/>
            <w:vAlign w:val="center"/>
          </w:tcPr>
          <w:p w14:paraId="67C8CB32" w14:textId="77777777" w:rsidR="00FA5543" w:rsidRPr="00F66162" w:rsidRDefault="00FA5543" w:rsidP="00390489">
            <w:pPr>
              <w:jc w:val="center"/>
              <w:rPr>
                <w:noProof/>
                <w:sz w:val="18"/>
                <w:szCs w:val="18"/>
              </w:rPr>
            </w:pPr>
            <w:r w:rsidRPr="00F66162">
              <w:rPr>
                <w:noProof/>
                <w:sz w:val="18"/>
              </w:rPr>
              <w:t>Koszt</w:t>
            </w:r>
          </w:p>
        </w:tc>
        <w:tc>
          <w:tcPr>
            <w:tcW w:w="540" w:type="dxa"/>
            <w:tcBorders>
              <w:right w:val="dashSmallGap" w:sz="4" w:space="0" w:color="auto"/>
            </w:tcBorders>
            <w:shd w:val="clear" w:color="auto" w:fill="auto"/>
            <w:textDirection w:val="btLr"/>
            <w:vAlign w:val="center"/>
          </w:tcPr>
          <w:p w14:paraId="1D2823D1" w14:textId="77777777" w:rsidR="00FA5543" w:rsidRPr="00F66162" w:rsidRDefault="00FA5543" w:rsidP="00390489">
            <w:pPr>
              <w:ind w:left="113" w:right="113"/>
              <w:jc w:val="center"/>
              <w:rPr>
                <w:noProof/>
                <w:sz w:val="18"/>
                <w:szCs w:val="18"/>
              </w:rPr>
            </w:pPr>
            <w:r w:rsidRPr="00F66162">
              <w:rPr>
                <w:noProof/>
                <w:sz w:val="18"/>
              </w:rPr>
              <w:t>Liczba</w:t>
            </w:r>
          </w:p>
        </w:tc>
        <w:tc>
          <w:tcPr>
            <w:tcW w:w="648" w:type="dxa"/>
            <w:tcBorders>
              <w:left w:val="dashSmallGap" w:sz="4" w:space="0" w:color="auto"/>
            </w:tcBorders>
            <w:shd w:val="clear" w:color="auto" w:fill="auto"/>
            <w:vAlign w:val="center"/>
          </w:tcPr>
          <w:p w14:paraId="27F2DCEC" w14:textId="77777777" w:rsidR="00FA5543" w:rsidRPr="00F66162" w:rsidRDefault="00FA5543" w:rsidP="00390489">
            <w:pPr>
              <w:jc w:val="center"/>
              <w:rPr>
                <w:noProof/>
                <w:sz w:val="18"/>
                <w:szCs w:val="18"/>
              </w:rPr>
            </w:pPr>
            <w:r w:rsidRPr="00F66162">
              <w:rPr>
                <w:noProof/>
                <w:sz w:val="18"/>
              </w:rPr>
              <w:t>Koszt</w:t>
            </w:r>
          </w:p>
        </w:tc>
        <w:tc>
          <w:tcPr>
            <w:tcW w:w="432" w:type="dxa"/>
            <w:tcBorders>
              <w:right w:val="dashSmallGap" w:sz="4" w:space="0" w:color="auto"/>
            </w:tcBorders>
            <w:shd w:val="clear" w:color="auto" w:fill="auto"/>
            <w:textDirection w:val="btLr"/>
            <w:vAlign w:val="center"/>
          </w:tcPr>
          <w:p w14:paraId="2B1214F7" w14:textId="77777777" w:rsidR="00FA5543" w:rsidRPr="00F66162" w:rsidRDefault="00FA5543" w:rsidP="00390489">
            <w:pPr>
              <w:ind w:left="113" w:right="113"/>
              <w:jc w:val="center"/>
              <w:rPr>
                <w:noProof/>
                <w:sz w:val="18"/>
                <w:szCs w:val="18"/>
              </w:rPr>
            </w:pPr>
            <w:r w:rsidRPr="00F66162">
              <w:rPr>
                <w:noProof/>
                <w:sz w:val="18"/>
              </w:rPr>
              <w:t>Liczba</w:t>
            </w:r>
          </w:p>
        </w:tc>
        <w:tc>
          <w:tcPr>
            <w:tcW w:w="720" w:type="dxa"/>
            <w:tcBorders>
              <w:left w:val="dashSmallGap" w:sz="4" w:space="0" w:color="auto"/>
            </w:tcBorders>
            <w:shd w:val="clear" w:color="auto" w:fill="auto"/>
            <w:vAlign w:val="center"/>
          </w:tcPr>
          <w:p w14:paraId="6FBB094A" w14:textId="77777777" w:rsidR="00FA5543" w:rsidRPr="00F66162" w:rsidRDefault="00FA5543" w:rsidP="00390489">
            <w:pPr>
              <w:jc w:val="center"/>
              <w:rPr>
                <w:noProof/>
                <w:sz w:val="18"/>
                <w:szCs w:val="18"/>
              </w:rPr>
            </w:pPr>
            <w:r w:rsidRPr="00F66162">
              <w:rPr>
                <w:noProof/>
                <w:sz w:val="18"/>
              </w:rPr>
              <w:t>Koszt</w:t>
            </w:r>
          </w:p>
        </w:tc>
        <w:tc>
          <w:tcPr>
            <w:tcW w:w="540" w:type="dxa"/>
            <w:tcBorders>
              <w:right w:val="dashSmallGap" w:sz="4" w:space="0" w:color="auto"/>
            </w:tcBorders>
            <w:shd w:val="clear" w:color="auto" w:fill="auto"/>
            <w:textDirection w:val="btLr"/>
            <w:vAlign w:val="center"/>
          </w:tcPr>
          <w:p w14:paraId="7560599C" w14:textId="77777777" w:rsidR="00FA5543" w:rsidRPr="00F66162" w:rsidRDefault="00FA5543" w:rsidP="00390489">
            <w:pPr>
              <w:ind w:left="113" w:right="113"/>
              <w:jc w:val="center"/>
              <w:rPr>
                <w:noProof/>
                <w:sz w:val="18"/>
                <w:szCs w:val="18"/>
              </w:rPr>
            </w:pPr>
            <w:r w:rsidRPr="00F66162">
              <w:rPr>
                <w:noProof/>
                <w:sz w:val="18"/>
              </w:rPr>
              <w:t>Liczba</w:t>
            </w:r>
          </w:p>
        </w:tc>
        <w:tc>
          <w:tcPr>
            <w:tcW w:w="720" w:type="dxa"/>
            <w:tcBorders>
              <w:left w:val="dashSmallGap" w:sz="4" w:space="0" w:color="auto"/>
            </w:tcBorders>
            <w:shd w:val="clear" w:color="auto" w:fill="auto"/>
            <w:vAlign w:val="center"/>
          </w:tcPr>
          <w:p w14:paraId="0C5AAE16" w14:textId="77777777" w:rsidR="00FA5543" w:rsidRPr="00F66162" w:rsidRDefault="00FA5543" w:rsidP="00390489">
            <w:pPr>
              <w:jc w:val="center"/>
              <w:rPr>
                <w:noProof/>
                <w:sz w:val="18"/>
                <w:szCs w:val="18"/>
              </w:rPr>
            </w:pPr>
            <w:r w:rsidRPr="00F66162">
              <w:rPr>
                <w:noProof/>
                <w:sz w:val="18"/>
              </w:rPr>
              <w:t>Koszt</w:t>
            </w:r>
          </w:p>
        </w:tc>
        <w:tc>
          <w:tcPr>
            <w:tcW w:w="720" w:type="dxa"/>
            <w:tcBorders>
              <w:right w:val="dashSmallGap" w:sz="4" w:space="0" w:color="auto"/>
            </w:tcBorders>
            <w:shd w:val="clear" w:color="auto" w:fill="auto"/>
            <w:vAlign w:val="center"/>
          </w:tcPr>
          <w:p w14:paraId="0DD53193" w14:textId="77777777" w:rsidR="00FA5543" w:rsidRPr="00F66162" w:rsidRDefault="00FA5543" w:rsidP="00390489">
            <w:pPr>
              <w:jc w:val="center"/>
              <w:rPr>
                <w:noProof/>
                <w:sz w:val="18"/>
                <w:szCs w:val="18"/>
              </w:rPr>
            </w:pPr>
            <w:r w:rsidRPr="00F66162">
              <w:rPr>
                <w:noProof/>
                <w:sz w:val="18"/>
              </w:rPr>
              <w:t>Liczba ogółem</w:t>
            </w:r>
          </w:p>
        </w:tc>
        <w:tc>
          <w:tcPr>
            <w:tcW w:w="900" w:type="dxa"/>
            <w:tcBorders>
              <w:left w:val="dashSmallGap" w:sz="4" w:space="0" w:color="auto"/>
            </w:tcBorders>
            <w:shd w:val="clear" w:color="auto" w:fill="auto"/>
            <w:vAlign w:val="center"/>
          </w:tcPr>
          <w:p w14:paraId="46DB94FE" w14:textId="77777777" w:rsidR="00FA5543" w:rsidRPr="00F66162" w:rsidRDefault="00FA5543" w:rsidP="00390489">
            <w:pPr>
              <w:jc w:val="center"/>
              <w:rPr>
                <w:noProof/>
                <w:sz w:val="18"/>
                <w:szCs w:val="18"/>
              </w:rPr>
            </w:pPr>
            <w:r w:rsidRPr="00F66162">
              <w:rPr>
                <w:noProof/>
                <w:sz w:val="18"/>
              </w:rPr>
              <w:t>Koszt całkowity</w:t>
            </w:r>
          </w:p>
        </w:tc>
      </w:tr>
      <w:tr w:rsidR="00FA5543" w:rsidRPr="00F66162" w14:paraId="61140A70" w14:textId="77777777" w:rsidTr="139DF8FE">
        <w:trPr>
          <w:jc w:val="center"/>
        </w:trPr>
        <w:tc>
          <w:tcPr>
            <w:tcW w:w="2844" w:type="dxa"/>
            <w:gridSpan w:val="3"/>
            <w:vAlign w:val="center"/>
          </w:tcPr>
          <w:p w14:paraId="3384BC67" w14:textId="7C974CD3" w:rsidR="00FA5543" w:rsidRPr="00F66162" w:rsidRDefault="6C3AF1E0" w:rsidP="00390489">
            <w:pPr>
              <w:spacing w:before="60" w:after="60"/>
              <w:ind w:right="-29"/>
              <w:jc w:val="center"/>
              <w:rPr>
                <w:noProof/>
                <w:sz w:val="18"/>
                <w:szCs w:val="18"/>
              </w:rPr>
            </w:pPr>
            <w:r w:rsidRPr="00F66162">
              <w:rPr>
                <w:noProof/>
                <w:sz w:val="18"/>
              </w:rPr>
              <w:t xml:space="preserve">CEL SZCZEGÓŁOWY </w:t>
            </w:r>
            <w:r w:rsidRPr="00825614">
              <w:rPr>
                <w:noProof/>
                <w:sz w:val="18"/>
              </w:rPr>
              <w:t>nr</w:t>
            </w:r>
            <w:r w:rsidR="00825614" w:rsidRPr="00825614">
              <w:rPr>
                <w:noProof/>
                <w:sz w:val="18"/>
              </w:rPr>
              <w:t> </w:t>
            </w:r>
            <w:r w:rsidRPr="00825614">
              <w:rPr>
                <w:noProof/>
                <w:sz w:val="18"/>
              </w:rPr>
              <w:t>1</w:t>
            </w:r>
            <w:r w:rsidRPr="00F66162">
              <w:rPr>
                <w:rStyle w:val="Odwoanieprzypisudolnego"/>
                <w:noProof/>
                <w:sz w:val="18"/>
                <w:szCs w:val="18"/>
              </w:rPr>
              <w:footnoteReference w:id="28"/>
            </w:r>
          </w:p>
        </w:tc>
        <w:tc>
          <w:tcPr>
            <w:tcW w:w="504" w:type="dxa"/>
            <w:tcBorders>
              <w:top w:val="nil"/>
              <w:left w:val="nil"/>
              <w:bottom w:val="nil"/>
              <w:right w:val="nil"/>
            </w:tcBorders>
          </w:tcPr>
          <w:p w14:paraId="063C7E7C"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59CCFDF6" w14:textId="77777777" w:rsidR="00FA5543" w:rsidRPr="00F66162" w:rsidRDefault="00FA5543" w:rsidP="00390489">
            <w:pPr>
              <w:spacing w:before="60" w:after="60"/>
              <w:ind w:right="-29"/>
              <w:jc w:val="center"/>
              <w:rPr>
                <w:noProof/>
                <w:sz w:val="18"/>
                <w:szCs w:val="18"/>
              </w:rPr>
            </w:pPr>
          </w:p>
        </w:tc>
        <w:tc>
          <w:tcPr>
            <w:tcW w:w="540" w:type="dxa"/>
            <w:tcBorders>
              <w:top w:val="nil"/>
              <w:left w:val="nil"/>
              <w:bottom w:val="nil"/>
              <w:right w:val="nil"/>
            </w:tcBorders>
          </w:tcPr>
          <w:p w14:paraId="2837B8EF"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7CBE783F"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3217F768"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5C7B279F" w14:textId="77777777" w:rsidR="00FA5543" w:rsidRPr="00F66162" w:rsidRDefault="00FA5543" w:rsidP="00390489">
            <w:pPr>
              <w:spacing w:before="60" w:after="60"/>
              <w:ind w:right="-29"/>
              <w:jc w:val="center"/>
              <w:rPr>
                <w:noProof/>
                <w:sz w:val="18"/>
                <w:szCs w:val="18"/>
              </w:rPr>
            </w:pPr>
          </w:p>
        </w:tc>
        <w:tc>
          <w:tcPr>
            <w:tcW w:w="900" w:type="dxa"/>
            <w:tcBorders>
              <w:top w:val="nil"/>
              <w:left w:val="nil"/>
              <w:bottom w:val="nil"/>
              <w:right w:val="nil"/>
            </w:tcBorders>
          </w:tcPr>
          <w:p w14:paraId="7BABEC9A" w14:textId="77777777" w:rsidR="00FA5543" w:rsidRPr="00F66162" w:rsidRDefault="00FA5543" w:rsidP="00390489">
            <w:pPr>
              <w:spacing w:before="60" w:after="60"/>
              <w:ind w:right="-29"/>
              <w:jc w:val="center"/>
              <w:rPr>
                <w:noProof/>
                <w:sz w:val="18"/>
                <w:szCs w:val="18"/>
              </w:rPr>
            </w:pPr>
          </w:p>
        </w:tc>
        <w:tc>
          <w:tcPr>
            <w:tcW w:w="720" w:type="dxa"/>
            <w:gridSpan w:val="2"/>
            <w:tcBorders>
              <w:top w:val="nil"/>
              <w:left w:val="nil"/>
              <w:bottom w:val="nil"/>
              <w:right w:val="nil"/>
            </w:tcBorders>
          </w:tcPr>
          <w:p w14:paraId="0DA0DB17" w14:textId="77777777" w:rsidR="00FA5543" w:rsidRPr="00F66162" w:rsidRDefault="00FA5543" w:rsidP="00390489">
            <w:pPr>
              <w:spacing w:before="60" w:after="60"/>
              <w:ind w:right="-29"/>
              <w:jc w:val="center"/>
              <w:rPr>
                <w:noProof/>
                <w:sz w:val="18"/>
                <w:szCs w:val="18"/>
              </w:rPr>
            </w:pPr>
          </w:p>
        </w:tc>
        <w:tc>
          <w:tcPr>
            <w:tcW w:w="540" w:type="dxa"/>
            <w:tcBorders>
              <w:top w:val="nil"/>
              <w:left w:val="nil"/>
              <w:bottom w:val="nil"/>
              <w:right w:val="nil"/>
            </w:tcBorders>
          </w:tcPr>
          <w:p w14:paraId="6F01C0AB" w14:textId="77777777" w:rsidR="00FA5543" w:rsidRPr="00F66162" w:rsidRDefault="00FA5543" w:rsidP="00390489">
            <w:pPr>
              <w:spacing w:before="60" w:after="60"/>
              <w:ind w:right="-29"/>
              <w:jc w:val="center"/>
              <w:rPr>
                <w:noProof/>
                <w:sz w:val="18"/>
                <w:szCs w:val="18"/>
              </w:rPr>
            </w:pPr>
          </w:p>
        </w:tc>
        <w:tc>
          <w:tcPr>
            <w:tcW w:w="648" w:type="dxa"/>
            <w:tcBorders>
              <w:top w:val="nil"/>
              <w:left w:val="nil"/>
              <w:bottom w:val="nil"/>
              <w:right w:val="nil"/>
            </w:tcBorders>
          </w:tcPr>
          <w:p w14:paraId="31494C9E" w14:textId="77777777" w:rsidR="00FA5543" w:rsidRPr="00F66162" w:rsidRDefault="00FA5543" w:rsidP="00390489">
            <w:pPr>
              <w:spacing w:before="60" w:after="60"/>
              <w:ind w:right="-29"/>
              <w:jc w:val="center"/>
              <w:rPr>
                <w:noProof/>
                <w:sz w:val="18"/>
                <w:szCs w:val="18"/>
              </w:rPr>
            </w:pPr>
          </w:p>
        </w:tc>
        <w:tc>
          <w:tcPr>
            <w:tcW w:w="432" w:type="dxa"/>
            <w:tcBorders>
              <w:top w:val="nil"/>
              <w:left w:val="nil"/>
              <w:bottom w:val="nil"/>
              <w:right w:val="nil"/>
            </w:tcBorders>
          </w:tcPr>
          <w:p w14:paraId="640D23D6"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6724ABCC" w14:textId="77777777" w:rsidR="00FA5543" w:rsidRPr="00F66162" w:rsidRDefault="00FA5543" w:rsidP="00390489">
            <w:pPr>
              <w:spacing w:before="60" w:after="60"/>
              <w:ind w:right="-29"/>
              <w:jc w:val="center"/>
              <w:rPr>
                <w:noProof/>
                <w:sz w:val="18"/>
                <w:szCs w:val="18"/>
              </w:rPr>
            </w:pPr>
          </w:p>
        </w:tc>
        <w:tc>
          <w:tcPr>
            <w:tcW w:w="540" w:type="dxa"/>
            <w:tcBorders>
              <w:top w:val="nil"/>
              <w:left w:val="nil"/>
              <w:bottom w:val="nil"/>
              <w:right w:val="nil"/>
            </w:tcBorders>
          </w:tcPr>
          <w:p w14:paraId="04DF8FE6"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0FA0156B"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0B625974" w14:textId="77777777" w:rsidR="00FA5543" w:rsidRPr="00F66162" w:rsidRDefault="00FA5543" w:rsidP="00390489">
            <w:pPr>
              <w:spacing w:before="60" w:after="60"/>
              <w:ind w:right="-29"/>
              <w:jc w:val="center"/>
              <w:rPr>
                <w:noProof/>
                <w:sz w:val="18"/>
                <w:szCs w:val="18"/>
              </w:rPr>
            </w:pPr>
          </w:p>
        </w:tc>
        <w:tc>
          <w:tcPr>
            <w:tcW w:w="900" w:type="dxa"/>
            <w:tcBorders>
              <w:top w:val="nil"/>
              <w:left w:val="nil"/>
              <w:bottom w:val="nil"/>
              <w:right w:val="nil"/>
            </w:tcBorders>
          </w:tcPr>
          <w:p w14:paraId="570E77BA" w14:textId="77777777" w:rsidR="00FA5543" w:rsidRPr="00F66162" w:rsidRDefault="00FA5543" w:rsidP="00390489">
            <w:pPr>
              <w:spacing w:before="60" w:after="60"/>
              <w:ind w:right="-29"/>
              <w:jc w:val="center"/>
              <w:rPr>
                <w:noProof/>
                <w:sz w:val="18"/>
                <w:szCs w:val="18"/>
              </w:rPr>
            </w:pPr>
          </w:p>
        </w:tc>
      </w:tr>
      <w:tr w:rsidR="00FA5543" w:rsidRPr="00F66162" w14:paraId="7028DE73" w14:textId="77777777" w:rsidTr="139DF8FE">
        <w:trPr>
          <w:trHeight w:hRule="exact" w:val="369"/>
          <w:jc w:val="center"/>
        </w:trPr>
        <w:tc>
          <w:tcPr>
            <w:tcW w:w="1423" w:type="dxa"/>
          </w:tcPr>
          <w:p w14:paraId="58E14BCB" w14:textId="77777777" w:rsidR="00FA5543" w:rsidRPr="00F66162" w:rsidRDefault="00FA5543" w:rsidP="00390489">
            <w:pPr>
              <w:ind w:right="-29"/>
              <w:jc w:val="center"/>
              <w:rPr>
                <w:noProof/>
                <w:sz w:val="18"/>
                <w:szCs w:val="18"/>
              </w:rPr>
            </w:pPr>
            <w:r w:rsidRPr="00F66162">
              <w:rPr>
                <w:noProof/>
                <w:sz w:val="18"/>
              </w:rPr>
              <w:t>- Produkt</w:t>
            </w:r>
          </w:p>
        </w:tc>
        <w:tc>
          <w:tcPr>
            <w:tcW w:w="720" w:type="dxa"/>
          </w:tcPr>
          <w:p w14:paraId="5625942B" w14:textId="77777777" w:rsidR="00FA5543" w:rsidRPr="00F66162" w:rsidRDefault="00FA5543" w:rsidP="00390489">
            <w:pPr>
              <w:ind w:right="-29"/>
              <w:jc w:val="center"/>
              <w:rPr>
                <w:noProof/>
                <w:sz w:val="18"/>
                <w:szCs w:val="18"/>
              </w:rPr>
            </w:pPr>
          </w:p>
        </w:tc>
        <w:tc>
          <w:tcPr>
            <w:tcW w:w="701" w:type="dxa"/>
          </w:tcPr>
          <w:p w14:paraId="7AB22543" w14:textId="77777777" w:rsidR="00FA5543" w:rsidRPr="00F66162" w:rsidRDefault="00FA5543" w:rsidP="00390489">
            <w:pPr>
              <w:ind w:right="-29"/>
              <w:jc w:val="center"/>
              <w:rPr>
                <w:noProof/>
                <w:sz w:val="18"/>
                <w:szCs w:val="18"/>
              </w:rPr>
            </w:pPr>
          </w:p>
        </w:tc>
        <w:tc>
          <w:tcPr>
            <w:tcW w:w="504" w:type="dxa"/>
            <w:tcBorders>
              <w:right w:val="dashSmallGap" w:sz="4" w:space="0" w:color="auto"/>
            </w:tcBorders>
          </w:tcPr>
          <w:p w14:paraId="1F4C6DE8"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52212CC8" w14:textId="77777777" w:rsidR="00FA5543" w:rsidRPr="00F66162" w:rsidRDefault="00FA5543" w:rsidP="00390489">
            <w:pPr>
              <w:ind w:right="-29"/>
              <w:jc w:val="center"/>
              <w:rPr>
                <w:noProof/>
                <w:sz w:val="18"/>
                <w:szCs w:val="18"/>
              </w:rPr>
            </w:pPr>
          </w:p>
        </w:tc>
        <w:tc>
          <w:tcPr>
            <w:tcW w:w="540" w:type="dxa"/>
            <w:tcBorders>
              <w:right w:val="dashSmallGap" w:sz="4" w:space="0" w:color="auto"/>
            </w:tcBorders>
          </w:tcPr>
          <w:p w14:paraId="5DBFC3C7"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20C6A24E" w14:textId="77777777" w:rsidR="00FA5543" w:rsidRPr="00F66162" w:rsidRDefault="00FA5543" w:rsidP="00390489">
            <w:pPr>
              <w:ind w:right="-29"/>
              <w:jc w:val="center"/>
              <w:rPr>
                <w:noProof/>
                <w:sz w:val="18"/>
                <w:szCs w:val="18"/>
              </w:rPr>
            </w:pPr>
          </w:p>
        </w:tc>
        <w:tc>
          <w:tcPr>
            <w:tcW w:w="720" w:type="dxa"/>
            <w:tcBorders>
              <w:right w:val="dashSmallGap" w:sz="4" w:space="0" w:color="auto"/>
            </w:tcBorders>
          </w:tcPr>
          <w:p w14:paraId="7F4D4B38"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534BAF16" w14:textId="77777777" w:rsidR="00FA5543" w:rsidRPr="00F66162" w:rsidRDefault="00FA5543" w:rsidP="00390489">
            <w:pPr>
              <w:ind w:right="-29"/>
              <w:jc w:val="center"/>
              <w:rPr>
                <w:noProof/>
                <w:sz w:val="18"/>
                <w:szCs w:val="18"/>
              </w:rPr>
            </w:pPr>
          </w:p>
        </w:tc>
        <w:tc>
          <w:tcPr>
            <w:tcW w:w="900" w:type="dxa"/>
            <w:tcBorders>
              <w:right w:val="dashSmallGap" w:sz="4" w:space="0" w:color="auto"/>
            </w:tcBorders>
          </w:tcPr>
          <w:p w14:paraId="1988AFB1" w14:textId="77777777" w:rsidR="00FA5543" w:rsidRPr="00F66162" w:rsidRDefault="00FA5543" w:rsidP="00390489">
            <w:pPr>
              <w:ind w:right="-29"/>
              <w:jc w:val="center"/>
              <w:rPr>
                <w:noProof/>
                <w:sz w:val="18"/>
                <w:szCs w:val="18"/>
              </w:rPr>
            </w:pPr>
          </w:p>
        </w:tc>
        <w:tc>
          <w:tcPr>
            <w:tcW w:w="720" w:type="dxa"/>
            <w:gridSpan w:val="2"/>
            <w:tcBorders>
              <w:left w:val="dashSmallGap" w:sz="4" w:space="0" w:color="auto"/>
            </w:tcBorders>
          </w:tcPr>
          <w:p w14:paraId="2BC8E4D4" w14:textId="77777777" w:rsidR="00FA5543" w:rsidRPr="00F66162" w:rsidRDefault="00FA5543" w:rsidP="00390489">
            <w:pPr>
              <w:ind w:right="-29"/>
              <w:jc w:val="center"/>
              <w:rPr>
                <w:noProof/>
                <w:sz w:val="18"/>
                <w:szCs w:val="18"/>
              </w:rPr>
            </w:pPr>
          </w:p>
        </w:tc>
        <w:tc>
          <w:tcPr>
            <w:tcW w:w="540" w:type="dxa"/>
            <w:tcBorders>
              <w:right w:val="dashSmallGap" w:sz="4" w:space="0" w:color="auto"/>
            </w:tcBorders>
          </w:tcPr>
          <w:p w14:paraId="54FF7673" w14:textId="77777777" w:rsidR="00FA5543" w:rsidRPr="00F66162" w:rsidRDefault="00FA5543" w:rsidP="00390489">
            <w:pPr>
              <w:ind w:right="-29"/>
              <w:jc w:val="center"/>
              <w:rPr>
                <w:noProof/>
                <w:sz w:val="18"/>
                <w:szCs w:val="18"/>
              </w:rPr>
            </w:pPr>
          </w:p>
        </w:tc>
        <w:tc>
          <w:tcPr>
            <w:tcW w:w="648" w:type="dxa"/>
            <w:tcBorders>
              <w:left w:val="dashSmallGap" w:sz="4" w:space="0" w:color="auto"/>
            </w:tcBorders>
          </w:tcPr>
          <w:p w14:paraId="67700705" w14:textId="77777777" w:rsidR="00FA5543" w:rsidRPr="00F66162" w:rsidRDefault="00FA5543" w:rsidP="00390489">
            <w:pPr>
              <w:ind w:right="-29"/>
              <w:jc w:val="center"/>
              <w:rPr>
                <w:noProof/>
                <w:sz w:val="18"/>
                <w:szCs w:val="18"/>
              </w:rPr>
            </w:pPr>
          </w:p>
        </w:tc>
        <w:tc>
          <w:tcPr>
            <w:tcW w:w="432" w:type="dxa"/>
            <w:tcBorders>
              <w:right w:val="dashSmallGap" w:sz="4" w:space="0" w:color="auto"/>
            </w:tcBorders>
          </w:tcPr>
          <w:p w14:paraId="4FCA4493"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1DB59B9D" w14:textId="77777777" w:rsidR="00FA5543" w:rsidRPr="00F66162" w:rsidRDefault="00FA5543" w:rsidP="00390489">
            <w:pPr>
              <w:ind w:right="-29"/>
              <w:jc w:val="center"/>
              <w:rPr>
                <w:noProof/>
                <w:sz w:val="18"/>
                <w:szCs w:val="18"/>
              </w:rPr>
            </w:pPr>
          </w:p>
        </w:tc>
        <w:tc>
          <w:tcPr>
            <w:tcW w:w="540" w:type="dxa"/>
            <w:tcBorders>
              <w:right w:val="dashSmallGap" w:sz="4" w:space="0" w:color="auto"/>
            </w:tcBorders>
          </w:tcPr>
          <w:p w14:paraId="5B1F9234"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6538A942" w14:textId="77777777" w:rsidR="00FA5543" w:rsidRPr="00F66162" w:rsidRDefault="00FA5543" w:rsidP="00390489">
            <w:pPr>
              <w:ind w:right="-29"/>
              <w:jc w:val="center"/>
              <w:rPr>
                <w:noProof/>
                <w:sz w:val="18"/>
                <w:szCs w:val="18"/>
              </w:rPr>
            </w:pPr>
          </w:p>
        </w:tc>
        <w:tc>
          <w:tcPr>
            <w:tcW w:w="720" w:type="dxa"/>
          </w:tcPr>
          <w:p w14:paraId="49C2370C" w14:textId="77777777" w:rsidR="00FA5543" w:rsidRPr="00F66162" w:rsidRDefault="00FA5543" w:rsidP="00390489">
            <w:pPr>
              <w:ind w:right="-29"/>
              <w:jc w:val="center"/>
              <w:rPr>
                <w:noProof/>
                <w:sz w:val="18"/>
                <w:szCs w:val="18"/>
              </w:rPr>
            </w:pPr>
          </w:p>
        </w:tc>
        <w:tc>
          <w:tcPr>
            <w:tcW w:w="900" w:type="dxa"/>
          </w:tcPr>
          <w:p w14:paraId="3AC69AAE" w14:textId="77777777" w:rsidR="00FA5543" w:rsidRPr="00F66162" w:rsidRDefault="00FA5543" w:rsidP="00390489">
            <w:pPr>
              <w:ind w:right="-29"/>
              <w:jc w:val="center"/>
              <w:rPr>
                <w:noProof/>
                <w:sz w:val="18"/>
                <w:szCs w:val="18"/>
              </w:rPr>
            </w:pPr>
          </w:p>
        </w:tc>
      </w:tr>
      <w:tr w:rsidR="00FA5543" w:rsidRPr="00F66162" w14:paraId="64209ADC" w14:textId="77777777" w:rsidTr="139DF8FE">
        <w:trPr>
          <w:trHeight w:hRule="exact" w:val="369"/>
          <w:jc w:val="center"/>
        </w:trPr>
        <w:tc>
          <w:tcPr>
            <w:tcW w:w="1423" w:type="dxa"/>
          </w:tcPr>
          <w:p w14:paraId="6AEAC86D" w14:textId="77777777" w:rsidR="00FA5543" w:rsidRPr="00F66162" w:rsidRDefault="00FA5543" w:rsidP="00390489">
            <w:pPr>
              <w:ind w:right="-29"/>
              <w:jc w:val="center"/>
              <w:rPr>
                <w:noProof/>
                <w:sz w:val="18"/>
                <w:szCs w:val="18"/>
              </w:rPr>
            </w:pPr>
            <w:r w:rsidRPr="00F66162">
              <w:rPr>
                <w:noProof/>
                <w:sz w:val="18"/>
              </w:rPr>
              <w:lastRenderedPageBreak/>
              <w:t>- Produkt</w:t>
            </w:r>
          </w:p>
        </w:tc>
        <w:tc>
          <w:tcPr>
            <w:tcW w:w="720" w:type="dxa"/>
          </w:tcPr>
          <w:p w14:paraId="4C17F81B" w14:textId="77777777" w:rsidR="00FA5543" w:rsidRPr="00F66162" w:rsidRDefault="00FA5543" w:rsidP="00390489">
            <w:pPr>
              <w:ind w:right="-29"/>
              <w:jc w:val="center"/>
              <w:rPr>
                <w:noProof/>
                <w:sz w:val="18"/>
                <w:szCs w:val="18"/>
              </w:rPr>
            </w:pPr>
          </w:p>
        </w:tc>
        <w:tc>
          <w:tcPr>
            <w:tcW w:w="701" w:type="dxa"/>
          </w:tcPr>
          <w:p w14:paraId="4E95FD0C" w14:textId="77777777" w:rsidR="00FA5543" w:rsidRPr="00F66162" w:rsidRDefault="00FA5543" w:rsidP="00390489">
            <w:pPr>
              <w:ind w:right="-29"/>
              <w:jc w:val="center"/>
              <w:rPr>
                <w:noProof/>
                <w:sz w:val="18"/>
                <w:szCs w:val="18"/>
              </w:rPr>
            </w:pPr>
          </w:p>
        </w:tc>
        <w:tc>
          <w:tcPr>
            <w:tcW w:w="504" w:type="dxa"/>
            <w:tcBorders>
              <w:right w:val="dashSmallGap" w:sz="4" w:space="0" w:color="auto"/>
            </w:tcBorders>
          </w:tcPr>
          <w:p w14:paraId="6B199C02"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5082F315" w14:textId="77777777" w:rsidR="00FA5543" w:rsidRPr="00F66162" w:rsidRDefault="00FA5543" w:rsidP="00390489">
            <w:pPr>
              <w:ind w:right="-29"/>
              <w:jc w:val="center"/>
              <w:rPr>
                <w:noProof/>
                <w:sz w:val="18"/>
                <w:szCs w:val="18"/>
              </w:rPr>
            </w:pPr>
          </w:p>
        </w:tc>
        <w:tc>
          <w:tcPr>
            <w:tcW w:w="540" w:type="dxa"/>
            <w:tcBorders>
              <w:right w:val="dashSmallGap" w:sz="4" w:space="0" w:color="auto"/>
            </w:tcBorders>
          </w:tcPr>
          <w:p w14:paraId="4AB45E4B"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04925225" w14:textId="77777777" w:rsidR="00FA5543" w:rsidRPr="00F66162" w:rsidRDefault="00FA5543" w:rsidP="00390489">
            <w:pPr>
              <w:ind w:right="-29"/>
              <w:jc w:val="center"/>
              <w:rPr>
                <w:noProof/>
                <w:sz w:val="18"/>
                <w:szCs w:val="18"/>
              </w:rPr>
            </w:pPr>
          </w:p>
        </w:tc>
        <w:tc>
          <w:tcPr>
            <w:tcW w:w="720" w:type="dxa"/>
            <w:tcBorders>
              <w:right w:val="dashSmallGap" w:sz="4" w:space="0" w:color="auto"/>
            </w:tcBorders>
          </w:tcPr>
          <w:p w14:paraId="7C660252"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7073FC6C" w14:textId="77777777" w:rsidR="00FA5543" w:rsidRPr="00F66162" w:rsidRDefault="00FA5543" w:rsidP="00390489">
            <w:pPr>
              <w:ind w:right="-29"/>
              <w:jc w:val="center"/>
              <w:rPr>
                <w:noProof/>
                <w:sz w:val="18"/>
                <w:szCs w:val="18"/>
              </w:rPr>
            </w:pPr>
          </w:p>
        </w:tc>
        <w:tc>
          <w:tcPr>
            <w:tcW w:w="900" w:type="dxa"/>
            <w:tcBorders>
              <w:right w:val="dashSmallGap" w:sz="4" w:space="0" w:color="auto"/>
            </w:tcBorders>
          </w:tcPr>
          <w:p w14:paraId="2CA7A629" w14:textId="77777777" w:rsidR="00FA5543" w:rsidRPr="00F66162" w:rsidRDefault="00FA5543" w:rsidP="00390489">
            <w:pPr>
              <w:ind w:right="-29"/>
              <w:jc w:val="center"/>
              <w:rPr>
                <w:noProof/>
                <w:sz w:val="18"/>
                <w:szCs w:val="18"/>
              </w:rPr>
            </w:pPr>
          </w:p>
        </w:tc>
        <w:tc>
          <w:tcPr>
            <w:tcW w:w="720" w:type="dxa"/>
            <w:gridSpan w:val="2"/>
            <w:tcBorders>
              <w:left w:val="dashSmallGap" w:sz="4" w:space="0" w:color="auto"/>
            </w:tcBorders>
          </w:tcPr>
          <w:p w14:paraId="369E2E2A" w14:textId="77777777" w:rsidR="00FA5543" w:rsidRPr="00F66162" w:rsidRDefault="00FA5543" w:rsidP="00390489">
            <w:pPr>
              <w:ind w:right="-29"/>
              <w:jc w:val="center"/>
              <w:rPr>
                <w:noProof/>
                <w:sz w:val="18"/>
                <w:szCs w:val="18"/>
              </w:rPr>
            </w:pPr>
          </w:p>
        </w:tc>
        <w:tc>
          <w:tcPr>
            <w:tcW w:w="540" w:type="dxa"/>
            <w:tcBorders>
              <w:right w:val="dashSmallGap" w:sz="4" w:space="0" w:color="auto"/>
            </w:tcBorders>
          </w:tcPr>
          <w:p w14:paraId="6D5DCEBB" w14:textId="77777777" w:rsidR="00FA5543" w:rsidRPr="00F66162" w:rsidRDefault="00FA5543" w:rsidP="00390489">
            <w:pPr>
              <w:ind w:right="-29"/>
              <w:jc w:val="center"/>
              <w:rPr>
                <w:noProof/>
                <w:sz w:val="18"/>
                <w:szCs w:val="18"/>
              </w:rPr>
            </w:pPr>
          </w:p>
        </w:tc>
        <w:tc>
          <w:tcPr>
            <w:tcW w:w="648" w:type="dxa"/>
            <w:tcBorders>
              <w:left w:val="dashSmallGap" w:sz="4" w:space="0" w:color="auto"/>
            </w:tcBorders>
          </w:tcPr>
          <w:p w14:paraId="42D0D518" w14:textId="77777777" w:rsidR="00FA5543" w:rsidRPr="00F66162" w:rsidRDefault="00FA5543" w:rsidP="00390489">
            <w:pPr>
              <w:ind w:right="-29"/>
              <w:jc w:val="center"/>
              <w:rPr>
                <w:noProof/>
                <w:sz w:val="18"/>
                <w:szCs w:val="18"/>
              </w:rPr>
            </w:pPr>
          </w:p>
        </w:tc>
        <w:tc>
          <w:tcPr>
            <w:tcW w:w="432" w:type="dxa"/>
            <w:tcBorders>
              <w:right w:val="dashSmallGap" w:sz="4" w:space="0" w:color="auto"/>
            </w:tcBorders>
          </w:tcPr>
          <w:p w14:paraId="608BC89E"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6D9C3980" w14:textId="77777777" w:rsidR="00FA5543" w:rsidRPr="00F66162" w:rsidRDefault="00FA5543" w:rsidP="00390489">
            <w:pPr>
              <w:ind w:right="-29"/>
              <w:jc w:val="center"/>
              <w:rPr>
                <w:noProof/>
                <w:sz w:val="18"/>
                <w:szCs w:val="18"/>
              </w:rPr>
            </w:pPr>
          </w:p>
        </w:tc>
        <w:tc>
          <w:tcPr>
            <w:tcW w:w="540" w:type="dxa"/>
            <w:tcBorders>
              <w:right w:val="dashSmallGap" w:sz="4" w:space="0" w:color="auto"/>
            </w:tcBorders>
          </w:tcPr>
          <w:p w14:paraId="1D56D71E" w14:textId="77777777" w:rsidR="00FA5543" w:rsidRPr="00F66162" w:rsidRDefault="00FA5543" w:rsidP="00390489">
            <w:pPr>
              <w:ind w:right="-29"/>
              <w:jc w:val="center"/>
              <w:rPr>
                <w:noProof/>
                <w:sz w:val="18"/>
                <w:szCs w:val="18"/>
              </w:rPr>
            </w:pPr>
          </w:p>
        </w:tc>
        <w:tc>
          <w:tcPr>
            <w:tcW w:w="720" w:type="dxa"/>
            <w:tcBorders>
              <w:left w:val="dashSmallGap" w:sz="4" w:space="0" w:color="auto"/>
            </w:tcBorders>
          </w:tcPr>
          <w:p w14:paraId="278757DE" w14:textId="77777777" w:rsidR="00FA5543" w:rsidRPr="00F66162" w:rsidRDefault="00FA5543" w:rsidP="00390489">
            <w:pPr>
              <w:ind w:right="-29"/>
              <w:jc w:val="center"/>
              <w:rPr>
                <w:noProof/>
                <w:sz w:val="18"/>
                <w:szCs w:val="18"/>
              </w:rPr>
            </w:pPr>
          </w:p>
        </w:tc>
        <w:tc>
          <w:tcPr>
            <w:tcW w:w="720" w:type="dxa"/>
          </w:tcPr>
          <w:p w14:paraId="0E429B72" w14:textId="77777777" w:rsidR="00FA5543" w:rsidRPr="00F66162" w:rsidRDefault="00FA5543" w:rsidP="00390489">
            <w:pPr>
              <w:ind w:right="-29"/>
              <w:jc w:val="center"/>
              <w:rPr>
                <w:noProof/>
                <w:sz w:val="18"/>
                <w:szCs w:val="18"/>
              </w:rPr>
            </w:pPr>
          </w:p>
        </w:tc>
        <w:tc>
          <w:tcPr>
            <w:tcW w:w="900" w:type="dxa"/>
          </w:tcPr>
          <w:p w14:paraId="2C5215F1" w14:textId="77777777" w:rsidR="00FA5543" w:rsidRPr="00F66162" w:rsidRDefault="00FA5543" w:rsidP="00390489">
            <w:pPr>
              <w:ind w:right="-29"/>
              <w:jc w:val="center"/>
              <w:rPr>
                <w:noProof/>
                <w:sz w:val="18"/>
                <w:szCs w:val="18"/>
              </w:rPr>
            </w:pPr>
          </w:p>
        </w:tc>
      </w:tr>
      <w:tr w:rsidR="00FA5543" w:rsidRPr="00F66162" w14:paraId="183442E2" w14:textId="77777777" w:rsidTr="139DF8FE">
        <w:trPr>
          <w:trHeight w:hRule="exact" w:val="369"/>
          <w:jc w:val="center"/>
        </w:trPr>
        <w:tc>
          <w:tcPr>
            <w:tcW w:w="1423" w:type="dxa"/>
          </w:tcPr>
          <w:p w14:paraId="51E1E1BB" w14:textId="77777777" w:rsidR="00FA5543" w:rsidRPr="00F66162" w:rsidRDefault="00FA5543" w:rsidP="00390489">
            <w:pPr>
              <w:ind w:right="-29"/>
              <w:jc w:val="center"/>
              <w:rPr>
                <w:noProof/>
                <w:sz w:val="18"/>
                <w:szCs w:val="18"/>
              </w:rPr>
            </w:pPr>
            <w:r w:rsidRPr="00F66162">
              <w:rPr>
                <w:noProof/>
                <w:sz w:val="18"/>
              </w:rPr>
              <w:t>- Produkt</w:t>
            </w:r>
          </w:p>
        </w:tc>
        <w:tc>
          <w:tcPr>
            <w:tcW w:w="720" w:type="dxa"/>
          </w:tcPr>
          <w:p w14:paraId="619DADC8" w14:textId="77777777" w:rsidR="00FA5543" w:rsidRPr="00F66162" w:rsidRDefault="00FA5543" w:rsidP="00390489">
            <w:pPr>
              <w:ind w:right="-29"/>
              <w:jc w:val="center"/>
              <w:rPr>
                <w:noProof/>
                <w:sz w:val="18"/>
                <w:szCs w:val="18"/>
              </w:rPr>
            </w:pPr>
          </w:p>
        </w:tc>
        <w:tc>
          <w:tcPr>
            <w:tcW w:w="701" w:type="dxa"/>
          </w:tcPr>
          <w:p w14:paraId="7920AC3E" w14:textId="77777777" w:rsidR="00FA5543" w:rsidRPr="00F66162" w:rsidRDefault="00FA5543" w:rsidP="00390489">
            <w:pPr>
              <w:ind w:right="-29"/>
              <w:jc w:val="center"/>
              <w:rPr>
                <w:noProof/>
                <w:sz w:val="18"/>
                <w:szCs w:val="18"/>
              </w:rPr>
            </w:pPr>
          </w:p>
        </w:tc>
        <w:tc>
          <w:tcPr>
            <w:tcW w:w="504" w:type="dxa"/>
          </w:tcPr>
          <w:p w14:paraId="757CB783" w14:textId="77777777" w:rsidR="00FA5543" w:rsidRPr="00F66162" w:rsidRDefault="00FA5543" w:rsidP="00390489">
            <w:pPr>
              <w:ind w:right="-29"/>
              <w:jc w:val="center"/>
              <w:rPr>
                <w:noProof/>
                <w:sz w:val="18"/>
                <w:szCs w:val="18"/>
              </w:rPr>
            </w:pPr>
          </w:p>
        </w:tc>
        <w:tc>
          <w:tcPr>
            <w:tcW w:w="720" w:type="dxa"/>
          </w:tcPr>
          <w:p w14:paraId="4C99197F" w14:textId="77777777" w:rsidR="00FA5543" w:rsidRPr="00F66162" w:rsidRDefault="00FA5543" w:rsidP="00390489">
            <w:pPr>
              <w:ind w:right="-29"/>
              <w:jc w:val="center"/>
              <w:rPr>
                <w:noProof/>
                <w:sz w:val="18"/>
                <w:szCs w:val="18"/>
              </w:rPr>
            </w:pPr>
          </w:p>
        </w:tc>
        <w:tc>
          <w:tcPr>
            <w:tcW w:w="540" w:type="dxa"/>
          </w:tcPr>
          <w:p w14:paraId="2873EF2F" w14:textId="77777777" w:rsidR="00FA5543" w:rsidRPr="00F66162" w:rsidRDefault="00FA5543" w:rsidP="00390489">
            <w:pPr>
              <w:ind w:right="-29"/>
              <w:jc w:val="center"/>
              <w:rPr>
                <w:noProof/>
                <w:sz w:val="18"/>
                <w:szCs w:val="18"/>
              </w:rPr>
            </w:pPr>
          </w:p>
        </w:tc>
        <w:tc>
          <w:tcPr>
            <w:tcW w:w="720" w:type="dxa"/>
          </w:tcPr>
          <w:p w14:paraId="02ABB3F2" w14:textId="77777777" w:rsidR="00FA5543" w:rsidRPr="00F66162" w:rsidRDefault="00FA5543" w:rsidP="00390489">
            <w:pPr>
              <w:ind w:right="-29"/>
              <w:jc w:val="center"/>
              <w:rPr>
                <w:noProof/>
                <w:sz w:val="18"/>
                <w:szCs w:val="18"/>
              </w:rPr>
            </w:pPr>
          </w:p>
        </w:tc>
        <w:tc>
          <w:tcPr>
            <w:tcW w:w="720" w:type="dxa"/>
          </w:tcPr>
          <w:p w14:paraId="1023048A" w14:textId="77777777" w:rsidR="00FA5543" w:rsidRPr="00F66162" w:rsidRDefault="00FA5543" w:rsidP="00390489">
            <w:pPr>
              <w:ind w:right="-29"/>
              <w:jc w:val="center"/>
              <w:rPr>
                <w:noProof/>
                <w:sz w:val="18"/>
                <w:szCs w:val="18"/>
              </w:rPr>
            </w:pPr>
          </w:p>
        </w:tc>
        <w:tc>
          <w:tcPr>
            <w:tcW w:w="720" w:type="dxa"/>
          </w:tcPr>
          <w:p w14:paraId="2A71C966" w14:textId="77777777" w:rsidR="00FA5543" w:rsidRPr="00F66162" w:rsidRDefault="00FA5543" w:rsidP="00390489">
            <w:pPr>
              <w:ind w:right="-29"/>
              <w:jc w:val="center"/>
              <w:rPr>
                <w:noProof/>
                <w:sz w:val="18"/>
                <w:szCs w:val="18"/>
              </w:rPr>
            </w:pPr>
          </w:p>
        </w:tc>
        <w:tc>
          <w:tcPr>
            <w:tcW w:w="900" w:type="dxa"/>
          </w:tcPr>
          <w:p w14:paraId="6A481F6D" w14:textId="77777777" w:rsidR="00FA5543" w:rsidRPr="00F66162" w:rsidRDefault="00FA5543" w:rsidP="00390489">
            <w:pPr>
              <w:ind w:right="-29"/>
              <w:jc w:val="center"/>
              <w:rPr>
                <w:noProof/>
                <w:sz w:val="18"/>
                <w:szCs w:val="18"/>
              </w:rPr>
            </w:pPr>
          </w:p>
        </w:tc>
        <w:tc>
          <w:tcPr>
            <w:tcW w:w="720" w:type="dxa"/>
            <w:gridSpan w:val="2"/>
          </w:tcPr>
          <w:p w14:paraId="6BEA7C7A" w14:textId="77777777" w:rsidR="00FA5543" w:rsidRPr="00F66162" w:rsidRDefault="00FA5543" w:rsidP="00390489">
            <w:pPr>
              <w:ind w:right="-29"/>
              <w:jc w:val="center"/>
              <w:rPr>
                <w:noProof/>
                <w:sz w:val="18"/>
                <w:szCs w:val="18"/>
              </w:rPr>
            </w:pPr>
          </w:p>
        </w:tc>
        <w:tc>
          <w:tcPr>
            <w:tcW w:w="540" w:type="dxa"/>
          </w:tcPr>
          <w:p w14:paraId="1DB63308" w14:textId="77777777" w:rsidR="00FA5543" w:rsidRPr="00F66162" w:rsidRDefault="00FA5543" w:rsidP="00390489">
            <w:pPr>
              <w:ind w:right="-29"/>
              <w:jc w:val="center"/>
              <w:rPr>
                <w:noProof/>
                <w:sz w:val="18"/>
                <w:szCs w:val="18"/>
              </w:rPr>
            </w:pPr>
          </w:p>
        </w:tc>
        <w:tc>
          <w:tcPr>
            <w:tcW w:w="648" w:type="dxa"/>
          </w:tcPr>
          <w:p w14:paraId="71D08428" w14:textId="77777777" w:rsidR="00FA5543" w:rsidRPr="00F66162" w:rsidRDefault="00FA5543" w:rsidP="00390489">
            <w:pPr>
              <w:ind w:right="-29"/>
              <w:jc w:val="center"/>
              <w:rPr>
                <w:noProof/>
                <w:sz w:val="18"/>
                <w:szCs w:val="18"/>
              </w:rPr>
            </w:pPr>
          </w:p>
        </w:tc>
        <w:tc>
          <w:tcPr>
            <w:tcW w:w="432" w:type="dxa"/>
          </w:tcPr>
          <w:p w14:paraId="676AF2F5" w14:textId="77777777" w:rsidR="00FA5543" w:rsidRPr="00F66162" w:rsidRDefault="00FA5543" w:rsidP="00390489">
            <w:pPr>
              <w:ind w:right="-29"/>
              <w:jc w:val="center"/>
              <w:rPr>
                <w:noProof/>
                <w:sz w:val="18"/>
                <w:szCs w:val="18"/>
              </w:rPr>
            </w:pPr>
          </w:p>
        </w:tc>
        <w:tc>
          <w:tcPr>
            <w:tcW w:w="720" w:type="dxa"/>
          </w:tcPr>
          <w:p w14:paraId="0CF787BC" w14:textId="77777777" w:rsidR="00FA5543" w:rsidRPr="00F66162" w:rsidRDefault="00FA5543" w:rsidP="00390489">
            <w:pPr>
              <w:ind w:right="-29"/>
              <w:jc w:val="center"/>
              <w:rPr>
                <w:noProof/>
                <w:sz w:val="18"/>
                <w:szCs w:val="18"/>
              </w:rPr>
            </w:pPr>
          </w:p>
        </w:tc>
        <w:tc>
          <w:tcPr>
            <w:tcW w:w="540" w:type="dxa"/>
          </w:tcPr>
          <w:p w14:paraId="0F1EEBE6" w14:textId="77777777" w:rsidR="00FA5543" w:rsidRPr="00F66162" w:rsidRDefault="00FA5543" w:rsidP="00390489">
            <w:pPr>
              <w:ind w:right="-29"/>
              <w:jc w:val="center"/>
              <w:rPr>
                <w:noProof/>
                <w:sz w:val="18"/>
                <w:szCs w:val="18"/>
              </w:rPr>
            </w:pPr>
          </w:p>
        </w:tc>
        <w:tc>
          <w:tcPr>
            <w:tcW w:w="720" w:type="dxa"/>
          </w:tcPr>
          <w:p w14:paraId="304C9DAA" w14:textId="77777777" w:rsidR="00FA5543" w:rsidRPr="00F66162" w:rsidRDefault="00FA5543" w:rsidP="00390489">
            <w:pPr>
              <w:ind w:right="-29"/>
              <w:jc w:val="center"/>
              <w:rPr>
                <w:noProof/>
                <w:sz w:val="18"/>
                <w:szCs w:val="18"/>
              </w:rPr>
            </w:pPr>
          </w:p>
        </w:tc>
        <w:tc>
          <w:tcPr>
            <w:tcW w:w="720" w:type="dxa"/>
          </w:tcPr>
          <w:p w14:paraId="064944B3" w14:textId="77777777" w:rsidR="00FA5543" w:rsidRPr="00F66162" w:rsidRDefault="00FA5543" w:rsidP="00390489">
            <w:pPr>
              <w:ind w:right="-29"/>
              <w:jc w:val="center"/>
              <w:rPr>
                <w:noProof/>
                <w:sz w:val="18"/>
                <w:szCs w:val="18"/>
              </w:rPr>
            </w:pPr>
          </w:p>
        </w:tc>
        <w:tc>
          <w:tcPr>
            <w:tcW w:w="900" w:type="dxa"/>
          </w:tcPr>
          <w:p w14:paraId="43DD3482" w14:textId="77777777" w:rsidR="00FA5543" w:rsidRPr="00F66162" w:rsidRDefault="00FA5543" w:rsidP="00390489">
            <w:pPr>
              <w:ind w:right="-29"/>
              <w:jc w:val="center"/>
              <w:rPr>
                <w:noProof/>
                <w:sz w:val="18"/>
                <w:szCs w:val="18"/>
              </w:rPr>
            </w:pPr>
          </w:p>
        </w:tc>
      </w:tr>
      <w:tr w:rsidR="00FA5543" w:rsidRPr="00F66162" w14:paraId="4F3F8853" w14:textId="77777777" w:rsidTr="139DF8FE">
        <w:trPr>
          <w:trHeight w:val="77"/>
          <w:jc w:val="center"/>
        </w:trPr>
        <w:tc>
          <w:tcPr>
            <w:tcW w:w="2844" w:type="dxa"/>
            <w:gridSpan w:val="3"/>
            <w:tcBorders>
              <w:bottom w:val="single" w:sz="12" w:space="0" w:color="auto"/>
            </w:tcBorders>
            <w:vAlign w:val="center"/>
          </w:tcPr>
          <w:p w14:paraId="27F6A1E8" w14:textId="50E39627" w:rsidR="00FA5543" w:rsidRPr="00F66162" w:rsidRDefault="00FA5543" w:rsidP="00390489">
            <w:pPr>
              <w:ind w:right="-29"/>
              <w:jc w:val="center"/>
              <w:rPr>
                <w:noProof/>
                <w:sz w:val="18"/>
                <w:szCs w:val="18"/>
              </w:rPr>
            </w:pPr>
            <w:r w:rsidRPr="00F66162">
              <w:rPr>
                <w:noProof/>
                <w:sz w:val="18"/>
              </w:rPr>
              <w:t xml:space="preserve">Cel szczegółowy </w:t>
            </w:r>
            <w:r w:rsidRPr="00825614">
              <w:rPr>
                <w:noProof/>
                <w:sz w:val="18"/>
              </w:rPr>
              <w:t>nr</w:t>
            </w:r>
            <w:r w:rsidR="00825614" w:rsidRPr="00825614">
              <w:rPr>
                <w:noProof/>
                <w:sz w:val="18"/>
              </w:rPr>
              <w:t> </w:t>
            </w:r>
            <w:r w:rsidRPr="00825614">
              <w:rPr>
                <w:noProof/>
                <w:sz w:val="18"/>
              </w:rPr>
              <w:t>1</w:t>
            </w:r>
            <w:r w:rsidRPr="00F66162">
              <w:rPr>
                <w:noProof/>
                <w:sz w:val="18"/>
              </w:rPr>
              <w:t xml:space="preserve"> – suma cząstkowa</w:t>
            </w:r>
          </w:p>
        </w:tc>
        <w:tc>
          <w:tcPr>
            <w:tcW w:w="504" w:type="dxa"/>
            <w:tcBorders>
              <w:bottom w:val="single" w:sz="12" w:space="0" w:color="auto"/>
            </w:tcBorders>
          </w:tcPr>
          <w:p w14:paraId="3BAE17E6"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20D7AB7F" w14:textId="77777777" w:rsidR="00FA5543" w:rsidRPr="00F66162" w:rsidRDefault="00FA5543" w:rsidP="00390489">
            <w:pPr>
              <w:ind w:right="-29"/>
              <w:jc w:val="center"/>
              <w:rPr>
                <w:noProof/>
                <w:sz w:val="18"/>
                <w:szCs w:val="18"/>
              </w:rPr>
            </w:pPr>
          </w:p>
        </w:tc>
        <w:tc>
          <w:tcPr>
            <w:tcW w:w="540" w:type="dxa"/>
            <w:tcBorders>
              <w:bottom w:val="single" w:sz="12" w:space="0" w:color="auto"/>
            </w:tcBorders>
          </w:tcPr>
          <w:p w14:paraId="0CDAF1EB"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467F827D"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24BDBF24"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1E5A97BB" w14:textId="77777777" w:rsidR="00FA5543" w:rsidRPr="00F66162" w:rsidRDefault="00FA5543" w:rsidP="00390489">
            <w:pPr>
              <w:ind w:right="-29"/>
              <w:jc w:val="center"/>
              <w:rPr>
                <w:noProof/>
                <w:sz w:val="18"/>
                <w:szCs w:val="18"/>
              </w:rPr>
            </w:pPr>
          </w:p>
        </w:tc>
        <w:tc>
          <w:tcPr>
            <w:tcW w:w="900" w:type="dxa"/>
            <w:tcBorders>
              <w:bottom w:val="single" w:sz="12" w:space="0" w:color="auto"/>
            </w:tcBorders>
          </w:tcPr>
          <w:p w14:paraId="147B97A2" w14:textId="77777777" w:rsidR="00FA5543" w:rsidRPr="00F66162" w:rsidRDefault="00FA5543" w:rsidP="00390489">
            <w:pPr>
              <w:ind w:right="-29"/>
              <w:jc w:val="center"/>
              <w:rPr>
                <w:noProof/>
                <w:sz w:val="18"/>
                <w:szCs w:val="18"/>
              </w:rPr>
            </w:pPr>
          </w:p>
        </w:tc>
        <w:tc>
          <w:tcPr>
            <w:tcW w:w="720" w:type="dxa"/>
            <w:gridSpan w:val="2"/>
            <w:tcBorders>
              <w:bottom w:val="single" w:sz="12" w:space="0" w:color="auto"/>
            </w:tcBorders>
          </w:tcPr>
          <w:p w14:paraId="6474EC41" w14:textId="77777777" w:rsidR="00FA5543" w:rsidRPr="00F66162" w:rsidRDefault="00FA5543" w:rsidP="00390489">
            <w:pPr>
              <w:ind w:right="-29"/>
              <w:jc w:val="center"/>
              <w:rPr>
                <w:noProof/>
                <w:sz w:val="18"/>
                <w:szCs w:val="18"/>
              </w:rPr>
            </w:pPr>
          </w:p>
        </w:tc>
        <w:tc>
          <w:tcPr>
            <w:tcW w:w="540" w:type="dxa"/>
            <w:tcBorders>
              <w:bottom w:val="single" w:sz="12" w:space="0" w:color="auto"/>
            </w:tcBorders>
          </w:tcPr>
          <w:p w14:paraId="7498619C" w14:textId="77777777" w:rsidR="00FA5543" w:rsidRPr="00F66162" w:rsidRDefault="00FA5543" w:rsidP="00390489">
            <w:pPr>
              <w:ind w:right="-29"/>
              <w:jc w:val="center"/>
              <w:rPr>
                <w:noProof/>
                <w:sz w:val="18"/>
                <w:szCs w:val="18"/>
              </w:rPr>
            </w:pPr>
          </w:p>
        </w:tc>
        <w:tc>
          <w:tcPr>
            <w:tcW w:w="648" w:type="dxa"/>
            <w:tcBorders>
              <w:bottom w:val="single" w:sz="12" w:space="0" w:color="auto"/>
            </w:tcBorders>
          </w:tcPr>
          <w:p w14:paraId="14E5A25F" w14:textId="77777777" w:rsidR="00FA5543" w:rsidRPr="00F66162" w:rsidRDefault="00FA5543" w:rsidP="00390489">
            <w:pPr>
              <w:ind w:right="-29"/>
              <w:jc w:val="center"/>
              <w:rPr>
                <w:noProof/>
                <w:sz w:val="18"/>
                <w:szCs w:val="18"/>
              </w:rPr>
            </w:pPr>
          </w:p>
        </w:tc>
        <w:tc>
          <w:tcPr>
            <w:tcW w:w="432" w:type="dxa"/>
            <w:tcBorders>
              <w:bottom w:val="single" w:sz="12" w:space="0" w:color="auto"/>
            </w:tcBorders>
          </w:tcPr>
          <w:p w14:paraId="4892E45D"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464F930F" w14:textId="77777777" w:rsidR="00FA5543" w:rsidRPr="00F66162" w:rsidRDefault="00FA5543" w:rsidP="00390489">
            <w:pPr>
              <w:ind w:right="-29"/>
              <w:jc w:val="center"/>
              <w:rPr>
                <w:noProof/>
                <w:sz w:val="18"/>
                <w:szCs w:val="18"/>
              </w:rPr>
            </w:pPr>
          </w:p>
        </w:tc>
        <w:tc>
          <w:tcPr>
            <w:tcW w:w="540" w:type="dxa"/>
            <w:tcBorders>
              <w:bottom w:val="single" w:sz="12" w:space="0" w:color="auto"/>
            </w:tcBorders>
          </w:tcPr>
          <w:p w14:paraId="75C98707"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4F4E1CEA"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02B82324" w14:textId="77777777" w:rsidR="00FA5543" w:rsidRPr="00F66162" w:rsidRDefault="00FA5543" w:rsidP="00390489">
            <w:pPr>
              <w:ind w:right="-29"/>
              <w:jc w:val="center"/>
              <w:rPr>
                <w:noProof/>
                <w:sz w:val="18"/>
                <w:szCs w:val="18"/>
              </w:rPr>
            </w:pPr>
          </w:p>
        </w:tc>
        <w:tc>
          <w:tcPr>
            <w:tcW w:w="900" w:type="dxa"/>
            <w:tcBorders>
              <w:bottom w:val="single" w:sz="12" w:space="0" w:color="auto"/>
            </w:tcBorders>
          </w:tcPr>
          <w:p w14:paraId="6D28BF4B" w14:textId="77777777" w:rsidR="00FA5543" w:rsidRPr="00F66162" w:rsidRDefault="00FA5543" w:rsidP="00390489">
            <w:pPr>
              <w:ind w:right="-29"/>
              <w:jc w:val="center"/>
              <w:rPr>
                <w:noProof/>
                <w:sz w:val="18"/>
                <w:szCs w:val="18"/>
              </w:rPr>
            </w:pPr>
          </w:p>
        </w:tc>
      </w:tr>
      <w:tr w:rsidR="00FA5543" w:rsidRPr="00F66162" w14:paraId="0DD53F0C" w14:textId="77777777" w:rsidTr="139DF8FE">
        <w:trPr>
          <w:jc w:val="center"/>
        </w:trPr>
        <w:tc>
          <w:tcPr>
            <w:tcW w:w="2844" w:type="dxa"/>
            <w:gridSpan w:val="3"/>
            <w:vAlign w:val="center"/>
          </w:tcPr>
          <w:p w14:paraId="535DAE18" w14:textId="2C505044" w:rsidR="00FA5543" w:rsidRPr="00F66162" w:rsidRDefault="00FA5543" w:rsidP="00390489">
            <w:pPr>
              <w:spacing w:before="60" w:after="60"/>
              <w:ind w:right="-29"/>
              <w:jc w:val="center"/>
              <w:rPr>
                <w:noProof/>
                <w:sz w:val="18"/>
                <w:szCs w:val="18"/>
              </w:rPr>
            </w:pPr>
            <w:r w:rsidRPr="00F66162">
              <w:rPr>
                <w:noProof/>
                <w:sz w:val="18"/>
              </w:rPr>
              <w:t xml:space="preserve">CEL SZCZEGÓŁOWY </w:t>
            </w:r>
            <w:r w:rsidRPr="00825614">
              <w:rPr>
                <w:noProof/>
                <w:sz w:val="18"/>
              </w:rPr>
              <w:t>nr</w:t>
            </w:r>
            <w:r w:rsidR="00825614" w:rsidRPr="00825614">
              <w:rPr>
                <w:noProof/>
                <w:sz w:val="18"/>
              </w:rPr>
              <w:t> </w:t>
            </w:r>
            <w:r w:rsidRPr="00825614">
              <w:rPr>
                <w:noProof/>
                <w:sz w:val="18"/>
              </w:rPr>
              <w:t>2</w:t>
            </w:r>
          </w:p>
        </w:tc>
        <w:tc>
          <w:tcPr>
            <w:tcW w:w="504" w:type="dxa"/>
            <w:tcBorders>
              <w:top w:val="nil"/>
              <w:left w:val="nil"/>
              <w:bottom w:val="nil"/>
              <w:right w:val="nil"/>
            </w:tcBorders>
          </w:tcPr>
          <w:p w14:paraId="4BECB5AB"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530250FD" w14:textId="77777777" w:rsidR="00FA5543" w:rsidRPr="00F66162" w:rsidRDefault="00FA5543" w:rsidP="00390489">
            <w:pPr>
              <w:spacing w:before="60" w:after="60"/>
              <w:ind w:right="-29"/>
              <w:jc w:val="center"/>
              <w:rPr>
                <w:noProof/>
                <w:sz w:val="18"/>
                <w:szCs w:val="18"/>
              </w:rPr>
            </w:pPr>
          </w:p>
        </w:tc>
        <w:tc>
          <w:tcPr>
            <w:tcW w:w="540" w:type="dxa"/>
            <w:tcBorders>
              <w:top w:val="nil"/>
              <w:left w:val="nil"/>
              <w:bottom w:val="nil"/>
              <w:right w:val="nil"/>
            </w:tcBorders>
          </w:tcPr>
          <w:p w14:paraId="1AE9DB05"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188411E1"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1DAEAE05"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5156C205" w14:textId="77777777" w:rsidR="00FA5543" w:rsidRPr="00F66162" w:rsidRDefault="00FA5543" w:rsidP="00390489">
            <w:pPr>
              <w:spacing w:before="60" w:after="60"/>
              <w:ind w:right="-29"/>
              <w:jc w:val="center"/>
              <w:rPr>
                <w:noProof/>
                <w:sz w:val="18"/>
                <w:szCs w:val="18"/>
              </w:rPr>
            </w:pPr>
          </w:p>
        </w:tc>
        <w:tc>
          <w:tcPr>
            <w:tcW w:w="900" w:type="dxa"/>
            <w:tcBorders>
              <w:top w:val="nil"/>
              <w:left w:val="nil"/>
              <w:bottom w:val="nil"/>
              <w:right w:val="nil"/>
            </w:tcBorders>
          </w:tcPr>
          <w:p w14:paraId="085E093E" w14:textId="77777777" w:rsidR="00FA5543" w:rsidRPr="00F66162" w:rsidRDefault="00FA5543" w:rsidP="00390489">
            <w:pPr>
              <w:spacing w:before="60" w:after="60"/>
              <w:ind w:right="-29"/>
              <w:jc w:val="center"/>
              <w:rPr>
                <w:noProof/>
                <w:sz w:val="18"/>
                <w:szCs w:val="18"/>
              </w:rPr>
            </w:pPr>
          </w:p>
        </w:tc>
        <w:tc>
          <w:tcPr>
            <w:tcW w:w="720" w:type="dxa"/>
            <w:gridSpan w:val="2"/>
            <w:tcBorders>
              <w:top w:val="nil"/>
              <w:left w:val="nil"/>
              <w:bottom w:val="nil"/>
              <w:right w:val="nil"/>
            </w:tcBorders>
          </w:tcPr>
          <w:p w14:paraId="1A9557AF" w14:textId="77777777" w:rsidR="00FA5543" w:rsidRPr="00F66162" w:rsidRDefault="00FA5543" w:rsidP="00390489">
            <w:pPr>
              <w:spacing w:before="60" w:after="60"/>
              <w:ind w:right="-29"/>
              <w:jc w:val="center"/>
              <w:rPr>
                <w:noProof/>
                <w:sz w:val="18"/>
                <w:szCs w:val="18"/>
              </w:rPr>
            </w:pPr>
          </w:p>
        </w:tc>
        <w:tc>
          <w:tcPr>
            <w:tcW w:w="540" w:type="dxa"/>
            <w:tcBorders>
              <w:top w:val="nil"/>
              <w:left w:val="nil"/>
              <w:bottom w:val="nil"/>
              <w:right w:val="nil"/>
            </w:tcBorders>
          </w:tcPr>
          <w:p w14:paraId="6E5184FA" w14:textId="77777777" w:rsidR="00FA5543" w:rsidRPr="00F66162" w:rsidRDefault="00FA5543" w:rsidP="00390489">
            <w:pPr>
              <w:spacing w:before="60" w:after="60"/>
              <w:ind w:right="-29"/>
              <w:jc w:val="center"/>
              <w:rPr>
                <w:noProof/>
                <w:sz w:val="18"/>
                <w:szCs w:val="18"/>
              </w:rPr>
            </w:pPr>
          </w:p>
        </w:tc>
        <w:tc>
          <w:tcPr>
            <w:tcW w:w="648" w:type="dxa"/>
            <w:tcBorders>
              <w:top w:val="nil"/>
              <w:left w:val="nil"/>
              <w:bottom w:val="nil"/>
              <w:right w:val="nil"/>
            </w:tcBorders>
          </w:tcPr>
          <w:p w14:paraId="486751B2" w14:textId="77777777" w:rsidR="00FA5543" w:rsidRPr="00F66162" w:rsidRDefault="00FA5543" w:rsidP="00390489">
            <w:pPr>
              <w:spacing w:before="60" w:after="60"/>
              <w:ind w:right="-29"/>
              <w:jc w:val="center"/>
              <w:rPr>
                <w:noProof/>
                <w:sz w:val="18"/>
                <w:szCs w:val="18"/>
              </w:rPr>
            </w:pPr>
          </w:p>
        </w:tc>
        <w:tc>
          <w:tcPr>
            <w:tcW w:w="432" w:type="dxa"/>
            <w:tcBorders>
              <w:top w:val="nil"/>
              <w:left w:val="nil"/>
              <w:bottom w:val="nil"/>
              <w:right w:val="nil"/>
            </w:tcBorders>
          </w:tcPr>
          <w:p w14:paraId="3EB602A4"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67901369" w14:textId="77777777" w:rsidR="00FA5543" w:rsidRPr="00F66162" w:rsidRDefault="00FA5543" w:rsidP="00390489">
            <w:pPr>
              <w:spacing w:before="60" w:after="60"/>
              <w:ind w:right="-29"/>
              <w:jc w:val="center"/>
              <w:rPr>
                <w:noProof/>
                <w:sz w:val="18"/>
                <w:szCs w:val="18"/>
              </w:rPr>
            </w:pPr>
          </w:p>
        </w:tc>
        <w:tc>
          <w:tcPr>
            <w:tcW w:w="540" w:type="dxa"/>
            <w:tcBorders>
              <w:top w:val="nil"/>
              <w:left w:val="nil"/>
              <w:bottom w:val="nil"/>
              <w:right w:val="nil"/>
            </w:tcBorders>
          </w:tcPr>
          <w:p w14:paraId="1D458813"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0F820E15" w14:textId="77777777" w:rsidR="00FA5543" w:rsidRPr="00F66162" w:rsidRDefault="00FA5543" w:rsidP="00390489">
            <w:pPr>
              <w:spacing w:before="60" w:after="60"/>
              <w:ind w:right="-29"/>
              <w:jc w:val="center"/>
              <w:rPr>
                <w:noProof/>
                <w:sz w:val="18"/>
                <w:szCs w:val="18"/>
              </w:rPr>
            </w:pPr>
          </w:p>
        </w:tc>
        <w:tc>
          <w:tcPr>
            <w:tcW w:w="720" w:type="dxa"/>
            <w:tcBorders>
              <w:top w:val="nil"/>
              <w:left w:val="nil"/>
              <w:bottom w:val="nil"/>
              <w:right w:val="nil"/>
            </w:tcBorders>
          </w:tcPr>
          <w:p w14:paraId="0B62F28E" w14:textId="77777777" w:rsidR="00FA5543" w:rsidRPr="00F66162" w:rsidRDefault="00FA5543" w:rsidP="00390489">
            <w:pPr>
              <w:spacing w:before="60" w:after="60"/>
              <w:ind w:right="-29"/>
              <w:jc w:val="center"/>
              <w:rPr>
                <w:noProof/>
                <w:sz w:val="18"/>
                <w:szCs w:val="18"/>
              </w:rPr>
            </w:pPr>
          </w:p>
        </w:tc>
        <w:tc>
          <w:tcPr>
            <w:tcW w:w="900" w:type="dxa"/>
            <w:tcBorders>
              <w:top w:val="nil"/>
              <w:left w:val="nil"/>
              <w:bottom w:val="nil"/>
              <w:right w:val="nil"/>
            </w:tcBorders>
          </w:tcPr>
          <w:p w14:paraId="6DFFEA87" w14:textId="77777777" w:rsidR="00FA5543" w:rsidRPr="00F66162" w:rsidRDefault="00FA5543" w:rsidP="00390489">
            <w:pPr>
              <w:spacing w:before="60" w:after="60"/>
              <w:ind w:right="-29"/>
              <w:jc w:val="center"/>
              <w:rPr>
                <w:noProof/>
                <w:sz w:val="18"/>
                <w:szCs w:val="18"/>
              </w:rPr>
            </w:pPr>
          </w:p>
        </w:tc>
      </w:tr>
      <w:tr w:rsidR="00FA5543" w:rsidRPr="00F66162" w14:paraId="3048E825" w14:textId="77777777" w:rsidTr="139DF8FE">
        <w:trPr>
          <w:trHeight w:hRule="exact" w:val="369"/>
          <w:jc w:val="center"/>
        </w:trPr>
        <w:tc>
          <w:tcPr>
            <w:tcW w:w="1423" w:type="dxa"/>
          </w:tcPr>
          <w:p w14:paraId="48E06888" w14:textId="77777777" w:rsidR="00FA5543" w:rsidRPr="00F66162" w:rsidRDefault="00FA5543" w:rsidP="00390489">
            <w:pPr>
              <w:ind w:right="-29"/>
              <w:jc w:val="center"/>
              <w:rPr>
                <w:noProof/>
                <w:sz w:val="18"/>
                <w:szCs w:val="18"/>
              </w:rPr>
            </w:pPr>
            <w:r w:rsidRPr="00F66162">
              <w:rPr>
                <w:noProof/>
                <w:sz w:val="18"/>
              </w:rPr>
              <w:t>- Produkt</w:t>
            </w:r>
          </w:p>
        </w:tc>
        <w:tc>
          <w:tcPr>
            <w:tcW w:w="720" w:type="dxa"/>
          </w:tcPr>
          <w:p w14:paraId="6416F395" w14:textId="77777777" w:rsidR="00FA5543" w:rsidRPr="00F66162" w:rsidRDefault="00FA5543" w:rsidP="00390489">
            <w:pPr>
              <w:ind w:right="-29"/>
              <w:jc w:val="center"/>
              <w:rPr>
                <w:noProof/>
                <w:sz w:val="18"/>
                <w:szCs w:val="18"/>
              </w:rPr>
            </w:pPr>
          </w:p>
        </w:tc>
        <w:tc>
          <w:tcPr>
            <w:tcW w:w="701" w:type="dxa"/>
          </w:tcPr>
          <w:p w14:paraId="5F8B9496" w14:textId="77777777" w:rsidR="00FA5543" w:rsidRPr="00F66162" w:rsidRDefault="00FA5543" w:rsidP="00390489">
            <w:pPr>
              <w:ind w:right="-29"/>
              <w:jc w:val="center"/>
              <w:rPr>
                <w:noProof/>
                <w:sz w:val="18"/>
                <w:szCs w:val="18"/>
              </w:rPr>
            </w:pPr>
          </w:p>
        </w:tc>
        <w:tc>
          <w:tcPr>
            <w:tcW w:w="504" w:type="dxa"/>
          </w:tcPr>
          <w:p w14:paraId="08D02932" w14:textId="77777777" w:rsidR="00FA5543" w:rsidRPr="00F66162" w:rsidRDefault="00FA5543" w:rsidP="00390489">
            <w:pPr>
              <w:ind w:right="-29"/>
              <w:jc w:val="center"/>
              <w:rPr>
                <w:noProof/>
                <w:sz w:val="18"/>
                <w:szCs w:val="18"/>
              </w:rPr>
            </w:pPr>
          </w:p>
        </w:tc>
        <w:tc>
          <w:tcPr>
            <w:tcW w:w="720" w:type="dxa"/>
          </w:tcPr>
          <w:p w14:paraId="34C90974" w14:textId="77777777" w:rsidR="00FA5543" w:rsidRPr="00F66162" w:rsidRDefault="00FA5543" w:rsidP="00390489">
            <w:pPr>
              <w:ind w:right="-29"/>
              <w:jc w:val="center"/>
              <w:rPr>
                <w:noProof/>
                <w:sz w:val="18"/>
                <w:szCs w:val="18"/>
              </w:rPr>
            </w:pPr>
          </w:p>
        </w:tc>
        <w:tc>
          <w:tcPr>
            <w:tcW w:w="540" w:type="dxa"/>
          </w:tcPr>
          <w:p w14:paraId="1F7C7A03" w14:textId="77777777" w:rsidR="00FA5543" w:rsidRPr="00F66162" w:rsidRDefault="00FA5543" w:rsidP="00390489">
            <w:pPr>
              <w:ind w:right="-29"/>
              <w:jc w:val="center"/>
              <w:rPr>
                <w:noProof/>
                <w:sz w:val="18"/>
                <w:szCs w:val="18"/>
              </w:rPr>
            </w:pPr>
          </w:p>
        </w:tc>
        <w:tc>
          <w:tcPr>
            <w:tcW w:w="720" w:type="dxa"/>
          </w:tcPr>
          <w:p w14:paraId="05619AE3" w14:textId="77777777" w:rsidR="00FA5543" w:rsidRPr="00F66162" w:rsidRDefault="00FA5543" w:rsidP="00390489">
            <w:pPr>
              <w:ind w:right="-29"/>
              <w:jc w:val="center"/>
              <w:rPr>
                <w:noProof/>
                <w:sz w:val="18"/>
                <w:szCs w:val="18"/>
              </w:rPr>
            </w:pPr>
          </w:p>
        </w:tc>
        <w:tc>
          <w:tcPr>
            <w:tcW w:w="720" w:type="dxa"/>
          </w:tcPr>
          <w:p w14:paraId="0C7FA91F" w14:textId="77777777" w:rsidR="00FA5543" w:rsidRPr="00F66162" w:rsidRDefault="00FA5543" w:rsidP="00390489">
            <w:pPr>
              <w:ind w:right="-29"/>
              <w:jc w:val="center"/>
              <w:rPr>
                <w:noProof/>
                <w:sz w:val="18"/>
                <w:szCs w:val="18"/>
              </w:rPr>
            </w:pPr>
          </w:p>
        </w:tc>
        <w:tc>
          <w:tcPr>
            <w:tcW w:w="720" w:type="dxa"/>
          </w:tcPr>
          <w:p w14:paraId="1887B5A6" w14:textId="77777777" w:rsidR="00FA5543" w:rsidRPr="00F66162" w:rsidRDefault="00FA5543" w:rsidP="00390489">
            <w:pPr>
              <w:ind w:right="-29"/>
              <w:jc w:val="center"/>
              <w:rPr>
                <w:noProof/>
                <w:sz w:val="18"/>
                <w:szCs w:val="18"/>
              </w:rPr>
            </w:pPr>
          </w:p>
        </w:tc>
        <w:tc>
          <w:tcPr>
            <w:tcW w:w="900" w:type="dxa"/>
          </w:tcPr>
          <w:p w14:paraId="29505B4D" w14:textId="77777777" w:rsidR="00FA5543" w:rsidRPr="00F66162" w:rsidRDefault="00FA5543" w:rsidP="00390489">
            <w:pPr>
              <w:ind w:right="-29"/>
              <w:jc w:val="center"/>
              <w:rPr>
                <w:noProof/>
                <w:sz w:val="18"/>
                <w:szCs w:val="18"/>
              </w:rPr>
            </w:pPr>
          </w:p>
        </w:tc>
        <w:tc>
          <w:tcPr>
            <w:tcW w:w="720" w:type="dxa"/>
            <w:gridSpan w:val="2"/>
          </w:tcPr>
          <w:p w14:paraId="0ACB6315" w14:textId="77777777" w:rsidR="00FA5543" w:rsidRPr="00F66162" w:rsidRDefault="00FA5543" w:rsidP="00390489">
            <w:pPr>
              <w:ind w:right="-29"/>
              <w:jc w:val="center"/>
              <w:rPr>
                <w:noProof/>
                <w:sz w:val="18"/>
                <w:szCs w:val="18"/>
              </w:rPr>
            </w:pPr>
          </w:p>
        </w:tc>
        <w:tc>
          <w:tcPr>
            <w:tcW w:w="540" w:type="dxa"/>
          </w:tcPr>
          <w:p w14:paraId="37A4C265" w14:textId="77777777" w:rsidR="00FA5543" w:rsidRPr="00F66162" w:rsidRDefault="00FA5543" w:rsidP="00390489">
            <w:pPr>
              <w:ind w:right="-29"/>
              <w:jc w:val="center"/>
              <w:rPr>
                <w:noProof/>
                <w:sz w:val="18"/>
                <w:szCs w:val="18"/>
              </w:rPr>
            </w:pPr>
          </w:p>
        </w:tc>
        <w:tc>
          <w:tcPr>
            <w:tcW w:w="648" w:type="dxa"/>
          </w:tcPr>
          <w:p w14:paraId="46C26526" w14:textId="77777777" w:rsidR="00FA5543" w:rsidRPr="00F66162" w:rsidRDefault="00FA5543" w:rsidP="00390489">
            <w:pPr>
              <w:ind w:right="-29"/>
              <w:jc w:val="center"/>
              <w:rPr>
                <w:noProof/>
                <w:sz w:val="18"/>
                <w:szCs w:val="18"/>
              </w:rPr>
            </w:pPr>
          </w:p>
        </w:tc>
        <w:tc>
          <w:tcPr>
            <w:tcW w:w="432" w:type="dxa"/>
          </w:tcPr>
          <w:p w14:paraId="2AAF2F15" w14:textId="77777777" w:rsidR="00FA5543" w:rsidRPr="00F66162" w:rsidRDefault="00FA5543" w:rsidP="00390489">
            <w:pPr>
              <w:ind w:right="-29"/>
              <w:jc w:val="center"/>
              <w:rPr>
                <w:noProof/>
                <w:sz w:val="18"/>
                <w:szCs w:val="18"/>
              </w:rPr>
            </w:pPr>
          </w:p>
        </w:tc>
        <w:tc>
          <w:tcPr>
            <w:tcW w:w="720" w:type="dxa"/>
          </w:tcPr>
          <w:p w14:paraId="1DAE0F06" w14:textId="77777777" w:rsidR="00FA5543" w:rsidRPr="00F66162" w:rsidRDefault="00FA5543" w:rsidP="00390489">
            <w:pPr>
              <w:ind w:right="-29"/>
              <w:jc w:val="center"/>
              <w:rPr>
                <w:noProof/>
                <w:sz w:val="18"/>
                <w:szCs w:val="18"/>
              </w:rPr>
            </w:pPr>
          </w:p>
        </w:tc>
        <w:tc>
          <w:tcPr>
            <w:tcW w:w="540" w:type="dxa"/>
          </w:tcPr>
          <w:p w14:paraId="39831D37" w14:textId="77777777" w:rsidR="00FA5543" w:rsidRPr="00F66162" w:rsidRDefault="00FA5543" w:rsidP="00390489">
            <w:pPr>
              <w:ind w:right="-29"/>
              <w:jc w:val="center"/>
              <w:rPr>
                <w:noProof/>
                <w:sz w:val="18"/>
                <w:szCs w:val="18"/>
              </w:rPr>
            </w:pPr>
          </w:p>
        </w:tc>
        <w:tc>
          <w:tcPr>
            <w:tcW w:w="720" w:type="dxa"/>
          </w:tcPr>
          <w:p w14:paraId="76049E1E" w14:textId="77777777" w:rsidR="00FA5543" w:rsidRPr="00F66162" w:rsidRDefault="00FA5543" w:rsidP="00390489">
            <w:pPr>
              <w:ind w:right="-29"/>
              <w:jc w:val="center"/>
              <w:rPr>
                <w:noProof/>
                <w:sz w:val="18"/>
                <w:szCs w:val="18"/>
              </w:rPr>
            </w:pPr>
          </w:p>
        </w:tc>
        <w:tc>
          <w:tcPr>
            <w:tcW w:w="720" w:type="dxa"/>
          </w:tcPr>
          <w:p w14:paraId="2A32EE9E" w14:textId="77777777" w:rsidR="00FA5543" w:rsidRPr="00F66162" w:rsidRDefault="00FA5543" w:rsidP="00390489">
            <w:pPr>
              <w:ind w:right="-29"/>
              <w:jc w:val="center"/>
              <w:rPr>
                <w:noProof/>
                <w:sz w:val="18"/>
                <w:szCs w:val="18"/>
              </w:rPr>
            </w:pPr>
          </w:p>
        </w:tc>
        <w:tc>
          <w:tcPr>
            <w:tcW w:w="900" w:type="dxa"/>
          </w:tcPr>
          <w:p w14:paraId="7EF8F7D7" w14:textId="77777777" w:rsidR="00FA5543" w:rsidRPr="00F66162" w:rsidRDefault="00FA5543" w:rsidP="00390489">
            <w:pPr>
              <w:ind w:right="-29"/>
              <w:jc w:val="center"/>
              <w:rPr>
                <w:noProof/>
                <w:sz w:val="18"/>
                <w:szCs w:val="18"/>
              </w:rPr>
            </w:pPr>
          </w:p>
        </w:tc>
      </w:tr>
      <w:tr w:rsidR="00FA5543" w:rsidRPr="00F66162" w14:paraId="4EEE66D3" w14:textId="77777777" w:rsidTr="139DF8FE">
        <w:trPr>
          <w:jc w:val="center"/>
        </w:trPr>
        <w:tc>
          <w:tcPr>
            <w:tcW w:w="2844" w:type="dxa"/>
            <w:gridSpan w:val="3"/>
            <w:tcBorders>
              <w:bottom w:val="single" w:sz="12" w:space="0" w:color="auto"/>
            </w:tcBorders>
            <w:vAlign w:val="center"/>
          </w:tcPr>
          <w:p w14:paraId="77FEA2CA" w14:textId="23DEBAE3" w:rsidR="00FA5543" w:rsidRPr="00F66162" w:rsidRDefault="00FA5543" w:rsidP="00390489">
            <w:pPr>
              <w:jc w:val="center"/>
              <w:rPr>
                <w:noProof/>
                <w:sz w:val="18"/>
                <w:szCs w:val="18"/>
              </w:rPr>
            </w:pPr>
            <w:r w:rsidRPr="00F66162">
              <w:rPr>
                <w:noProof/>
                <w:sz w:val="18"/>
              </w:rPr>
              <w:t xml:space="preserve">Cel szczegółowy </w:t>
            </w:r>
            <w:r w:rsidRPr="00825614">
              <w:rPr>
                <w:noProof/>
                <w:sz w:val="18"/>
              </w:rPr>
              <w:t>nr</w:t>
            </w:r>
            <w:r w:rsidR="00825614" w:rsidRPr="00825614">
              <w:rPr>
                <w:noProof/>
                <w:sz w:val="18"/>
              </w:rPr>
              <w:t> </w:t>
            </w:r>
            <w:r w:rsidRPr="00825614">
              <w:rPr>
                <w:noProof/>
                <w:sz w:val="18"/>
              </w:rPr>
              <w:t>2</w:t>
            </w:r>
            <w:r w:rsidRPr="00F66162">
              <w:rPr>
                <w:noProof/>
                <w:sz w:val="18"/>
              </w:rPr>
              <w:t xml:space="preserve"> – suma cząstkowa</w:t>
            </w:r>
          </w:p>
        </w:tc>
        <w:tc>
          <w:tcPr>
            <w:tcW w:w="504" w:type="dxa"/>
            <w:tcBorders>
              <w:bottom w:val="single" w:sz="12" w:space="0" w:color="auto"/>
            </w:tcBorders>
          </w:tcPr>
          <w:p w14:paraId="7EB806EE"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74EED9DC" w14:textId="77777777" w:rsidR="00FA5543" w:rsidRPr="00F66162" w:rsidRDefault="00FA5543" w:rsidP="00390489">
            <w:pPr>
              <w:ind w:right="-29"/>
              <w:jc w:val="center"/>
              <w:rPr>
                <w:noProof/>
                <w:sz w:val="18"/>
                <w:szCs w:val="18"/>
              </w:rPr>
            </w:pPr>
          </w:p>
        </w:tc>
        <w:tc>
          <w:tcPr>
            <w:tcW w:w="540" w:type="dxa"/>
            <w:tcBorders>
              <w:bottom w:val="single" w:sz="12" w:space="0" w:color="auto"/>
            </w:tcBorders>
          </w:tcPr>
          <w:p w14:paraId="0A28C170"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5891AA8C"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674893ED"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665FC77B" w14:textId="77777777" w:rsidR="00FA5543" w:rsidRPr="00F66162" w:rsidRDefault="00FA5543" w:rsidP="00390489">
            <w:pPr>
              <w:ind w:right="-29"/>
              <w:jc w:val="center"/>
              <w:rPr>
                <w:noProof/>
                <w:sz w:val="18"/>
                <w:szCs w:val="18"/>
              </w:rPr>
            </w:pPr>
          </w:p>
        </w:tc>
        <w:tc>
          <w:tcPr>
            <w:tcW w:w="951" w:type="dxa"/>
            <w:gridSpan w:val="2"/>
            <w:tcBorders>
              <w:bottom w:val="single" w:sz="12" w:space="0" w:color="auto"/>
            </w:tcBorders>
          </w:tcPr>
          <w:p w14:paraId="0374B877" w14:textId="77777777" w:rsidR="00FA5543" w:rsidRPr="00F66162" w:rsidRDefault="00FA5543" w:rsidP="00390489">
            <w:pPr>
              <w:ind w:right="-29"/>
              <w:jc w:val="center"/>
              <w:rPr>
                <w:noProof/>
                <w:sz w:val="18"/>
                <w:szCs w:val="18"/>
              </w:rPr>
            </w:pPr>
          </w:p>
        </w:tc>
        <w:tc>
          <w:tcPr>
            <w:tcW w:w="669" w:type="dxa"/>
            <w:tcBorders>
              <w:bottom w:val="single" w:sz="12" w:space="0" w:color="auto"/>
            </w:tcBorders>
          </w:tcPr>
          <w:p w14:paraId="2FD56D98" w14:textId="77777777" w:rsidR="00FA5543" w:rsidRPr="00F66162" w:rsidRDefault="00FA5543" w:rsidP="00390489">
            <w:pPr>
              <w:ind w:right="-29"/>
              <w:jc w:val="center"/>
              <w:rPr>
                <w:noProof/>
                <w:sz w:val="18"/>
                <w:szCs w:val="18"/>
              </w:rPr>
            </w:pPr>
          </w:p>
        </w:tc>
        <w:tc>
          <w:tcPr>
            <w:tcW w:w="540" w:type="dxa"/>
            <w:tcBorders>
              <w:bottom w:val="single" w:sz="12" w:space="0" w:color="auto"/>
            </w:tcBorders>
          </w:tcPr>
          <w:p w14:paraId="29DA3B2F" w14:textId="77777777" w:rsidR="00FA5543" w:rsidRPr="00F66162" w:rsidRDefault="00FA5543" w:rsidP="00390489">
            <w:pPr>
              <w:ind w:right="-29"/>
              <w:jc w:val="center"/>
              <w:rPr>
                <w:noProof/>
                <w:sz w:val="18"/>
                <w:szCs w:val="18"/>
              </w:rPr>
            </w:pPr>
          </w:p>
        </w:tc>
        <w:tc>
          <w:tcPr>
            <w:tcW w:w="648" w:type="dxa"/>
            <w:tcBorders>
              <w:bottom w:val="single" w:sz="12" w:space="0" w:color="auto"/>
            </w:tcBorders>
          </w:tcPr>
          <w:p w14:paraId="341D412F" w14:textId="77777777" w:rsidR="00FA5543" w:rsidRPr="00F66162" w:rsidRDefault="00FA5543" w:rsidP="00390489">
            <w:pPr>
              <w:ind w:right="-29"/>
              <w:jc w:val="center"/>
              <w:rPr>
                <w:noProof/>
                <w:sz w:val="18"/>
                <w:szCs w:val="18"/>
              </w:rPr>
            </w:pPr>
          </w:p>
        </w:tc>
        <w:tc>
          <w:tcPr>
            <w:tcW w:w="432" w:type="dxa"/>
            <w:tcBorders>
              <w:bottom w:val="single" w:sz="12" w:space="0" w:color="auto"/>
            </w:tcBorders>
          </w:tcPr>
          <w:p w14:paraId="615A6A02"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64A1C8EF" w14:textId="77777777" w:rsidR="00FA5543" w:rsidRPr="00F66162" w:rsidRDefault="00FA5543" w:rsidP="00390489">
            <w:pPr>
              <w:ind w:right="-29"/>
              <w:jc w:val="center"/>
              <w:rPr>
                <w:noProof/>
                <w:sz w:val="18"/>
                <w:szCs w:val="18"/>
              </w:rPr>
            </w:pPr>
          </w:p>
        </w:tc>
        <w:tc>
          <w:tcPr>
            <w:tcW w:w="540" w:type="dxa"/>
            <w:tcBorders>
              <w:bottom w:val="single" w:sz="12" w:space="0" w:color="auto"/>
            </w:tcBorders>
          </w:tcPr>
          <w:p w14:paraId="2DA65C7B"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6236A47C" w14:textId="77777777" w:rsidR="00FA5543" w:rsidRPr="00F66162" w:rsidRDefault="00FA5543" w:rsidP="00390489">
            <w:pPr>
              <w:ind w:right="-29"/>
              <w:jc w:val="center"/>
              <w:rPr>
                <w:noProof/>
                <w:sz w:val="18"/>
                <w:szCs w:val="18"/>
              </w:rPr>
            </w:pPr>
          </w:p>
        </w:tc>
        <w:tc>
          <w:tcPr>
            <w:tcW w:w="720" w:type="dxa"/>
            <w:tcBorders>
              <w:bottom w:val="single" w:sz="12" w:space="0" w:color="auto"/>
            </w:tcBorders>
          </w:tcPr>
          <w:p w14:paraId="65512606" w14:textId="77777777" w:rsidR="00FA5543" w:rsidRPr="00F66162" w:rsidRDefault="00FA5543" w:rsidP="00390489">
            <w:pPr>
              <w:ind w:right="-29"/>
              <w:jc w:val="center"/>
              <w:rPr>
                <w:noProof/>
                <w:sz w:val="18"/>
                <w:szCs w:val="18"/>
              </w:rPr>
            </w:pPr>
          </w:p>
        </w:tc>
        <w:tc>
          <w:tcPr>
            <w:tcW w:w="900" w:type="dxa"/>
            <w:tcBorders>
              <w:bottom w:val="single" w:sz="12" w:space="0" w:color="auto"/>
            </w:tcBorders>
          </w:tcPr>
          <w:p w14:paraId="752CB37B" w14:textId="77777777" w:rsidR="00FA5543" w:rsidRPr="00F66162" w:rsidRDefault="00FA5543" w:rsidP="00390489">
            <w:pPr>
              <w:ind w:right="-29"/>
              <w:jc w:val="center"/>
              <w:rPr>
                <w:noProof/>
                <w:sz w:val="18"/>
                <w:szCs w:val="18"/>
              </w:rPr>
            </w:pPr>
          </w:p>
        </w:tc>
      </w:tr>
      <w:tr w:rsidR="00FA5543" w:rsidRPr="00F66162" w14:paraId="2940AF16" w14:textId="77777777" w:rsidTr="139DF8FE">
        <w:trPr>
          <w:jc w:val="center"/>
        </w:trPr>
        <w:tc>
          <w:tcPr>
            <w:tcW w:w="2844" w:type="dxa"/>
            <w:gridSpan w:val="3"/>
            <w:tcBorders>
              <w:top w:val="single" w:sz="12" w:space="0" w:color="auto"/>
              <w:left w:val="single" w:sz="12" w:space="0" w:color="auto"/>
              <w:bottom w:val="single" w:sz="12" w:space="0" w:color="auto"/>
            </w:tcBorders>
            <w:vAlign w:val="center"/>
          </w:tcPr>
          <w:p w14:paraId="2AEB9148" w14:textId="77777777" w:rsidR="00FA5543" w:rsidRPr="00F66162" w:rsidRDefault="00FA5543" w:rsidP="00390489">
            <w:pPr>
              <w:ind w:right="-29"/>
              <w:jc w:val="center"/>
              <w:rPr>
                <w:noProof/>
                <w:sz w:val="18"/>
                <w:szCs w:val="18"/>
              </w:rPr>
            </w:pPr>
            <w:r w:rsidRPr="00F66162">
              <w:rPr>
                <w:b/>
                <w:noProof/>
                <w:sz w:val="18"/>
              </w:rPr>
              <w:t>OGÓŁEM</w:t>
            </w:r>
          </w:p>
        </w:tc>
        <w:tc>
          <w:tcPr>
            <w:tcW w:w="504" w:type="dxa"/>
            <w:tcBorders>
              <w:top w:val="single" w:sz="12" w:space="0" w:color="auto"/>
              <w:bottom w:val="single" w:sz="12" w:space="0" w:color="auto"/>
            </w:tcBorders>
          </w:tcPr>
          <w:p w14:paraId="2A314ED3" w14:textId="77777777" w:rsidR="00FA5543" w:rsidRPr="00F66162" w:rsidRDefault="00FA5543" w:rsidP="00390489">
            <w:pPr>
              <w:spacing w:before="180" w:after="180"/>
              <w:ind w:right="-29"/>
              <w:jc w:val="center"/>
              <w:rPr>
                <w:noProof/>
                <w:sz w:val="18"/>
                <w:szCs w:val="18"/>
              </w:rPr>
            </w:pPr>
          </w:p>
        </w:tc>
        <w:tc>
          <w:tcPr>
            <w:tcW w:w="720" w:type="dxa"/>
            <w:tcBorders>
              <w:top w:val="single" w:sz="12" w:space="0" w:color="auto"/>
              <w:bottom w:val="single" w:sz="12" w:space="0" w:color="auto"/>
            </w:tcBorders>
          </w:tcPr>
          <w:p w14:paraId="40A9BC0F" w14:textId="77777777" w:rsidR="00FA5543" w:rsidRPr="00F66162" w:rsidRDefault="00FA5543" w:rsidP="00390489">
            <w:pPr>
              <w:spacing w:before="180" w:after="180"/>
              <w:ind w:right="-29"/>
              <w:jc w:val="center"/>
              <w:rPr>
                <w:noProof/>
                <w:sz w:val="18"/>
                <w:szCs w:val="18"/>
              </w:rPr>
            </w:pPr>
          </w:p>
        </w:tc>
        <w:tc>
          <w:tcPr>
            <w:tcW w:w="540" w:type="dxa"/>
            <w:tcBorders>
              <w:top w:val="single" w:sz="12" w:space="0" w:color="auto"/>
              <w:bottom w:val="single" w:sz="12" w:space="0" w:color="auto"/>
            </w:tcBorders>
          </w:tcPr>
          <w:p w14:paraId="4AA06942" w14:textId="77777777" w:rsidR="00FA5543" w:rsidRPr="00F66162" w:rsidRDefault="00FA5543" w:rsidP="00390489">
            <w:pPr>
              <w:spacing w:before="180" w:after="180"/>
              <w:ind w:right="-29"/>
              <w:jc w:val="center"/>
              <w:rPr>
                <w:noProof/>
                <w:sz w:val="18"/>
                <w:szCs w:val="18"/>
              </w:rPr>
            </w:pPr>
          </w:p>
        </w:tc>
        <w:tc>
          <w:tcPr>
            <w:tcW w:w="720" w:type="dxa"/>
            <w:tcBorders>
              <w:top w:val="single" w:sz="12" w:space="0" w:color="auto"/>
              <w:bottom w:val="single" w:sz="12" w:space="0" w:color="auto"/>
            </w:tcBorders>
          </w:tcPr>
          <w:p w14:paraId="06F2F2B4" w14:textId="77777777" w:rsidR="00FA5543" w:rsidRPr="00F66162" w:rsidRDefault="00FA5543" w:rsidP="00390489">
            <w:pPr>
              <w:spacing w:before="180" w:after="180"/>
              <w:ind w:right="-29"/>
              <w:jc w:val="center"/>
              <w:rPr>
                <w:noProof/>
                <w:sz w:val="18"/>
                <w:szCs w:val="18"/>
              </w:rPr>
            </w:pPr>
          </w:p>
        </w:tc>
        <w:tc>
          <w:tcPr>
            <w:tcW w:w="720" w:type="dxa"/>
            <w:tcBorders>
              <w:top w:val="single" w:sz="12" w:space="0" w:color="auto"/>
              <w:bottom w:val="single" w:sz="12" w:space="0" w:color="auto"/>
            </w:tcBorders>
          </w:tcPr>
          <w:p w14:paraId="3155A22F" w14:textId="77777777" w:rsidR="00FA5543" w:rsidRPr="00F66162" w:rsidRDefault="00FA5543" w:rsidP="00390489">
            <w:pPr>
              <w:spacing w:before="180" w:after="180"/>
              <w:ind w:right="-29"/>
              <w:jc w:val="center"/>
              <w:rPr>
                <w:noProof/>
                <w:sz w:val="18"/>
                <w:szCs w:val="18"/>
              </w:rPr>
            </w:pPr>
          </w:p>
        </w:tc>
        <w:tc>
          <w:tcPr>
            <w:tcW w:w="720" w:type="dxa"/>
            <w:tcBorders>
              <w:top w:val="single" w:sz="12" w:space="0" w:color="auto"/>
              <w:bottom w:val="single" w:sz="12" w:space="0" w:color="auto"/>
            </w:tcBorders>
          </w:tcPr>
          <w:p w14:paraId="3D3BA0CB" w14:textId="77777777" w:rsidR="00FA5543" w:rsidRPr="00F66162" w:rsidRDefault="00FA5543" w:rsidP="00390489">
            <w:pPr>
              <w:spacing w:before="180" w:after="180"/>
              <w:ind w:right="-29"/>
              <w:jc w:val="center"/>
              <w:rPr>
                <w:noProof/>
                <w:sz w:val="18"/>
                <w:szCs w:val="18"/>
              </w:rPr>
            </w:pPr>
          </w:p>
        </w:tc>
        <w:tc>
          <w:tcPr>
            <w:tcW w:w="900" w:type="dxa"/>
            <w:tcBorders>
              <w:top w:val="single" w:sz="12" w:space="0" w:color="auto"/>
              <w:bottom w:val="single" w:sz="12" w:space="0" w:color="auto"/>
            </w:tcBorders>
          </w:tcPr>
          <w:p w14:paraId="33945CAB" w14:textId="77777777" w:rsidR="00FA5543" w:rsidRPr="00F66162" w:rsidRDefault="00FA5543" w:rsidP="00390489">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5DB3EC8D" w14:textId="77777777" w:rsidR="00FA5543" w:rsidRPr="00F66162" w:rsidRDefault="00FA5543" w:rsidP="00390489">
            <w:pPr>
              <w:spacing w:before="180" w:after="180"/>
              <w:ind w:right="-29"/>
              <w:jc w:val="center"/>
              <w:rPr>
                <w:noProof/>
                <w:sz w:val="18"/>
                <w:szCs w:val="18"/>
              </w:rPr>
            </w:pPr>
          </w:p>
        </w:tc>
        <w:tc>
          <w:tcPr>
            <w:tcW w:w="540" w:type="dxa"/>
            <w:tcBorders>
              <w:top w:val="single" w:sz="12" w:space="0" w:color="auto"/>
              <w:bottom w:val="single" w:sz="12" w:space="0" w:color="auto"/>
            </w:tcBorders>
          </w:tcPr>
          <w:p w14:paraId="5A86D4A8" w14:textId="77777777" w:rsidR="00FA5543" w:rsidRPr="00F66162" w:rsidRDefault="00FA5543" w:rsidP="00390489">
            <w:pPr>
              <w:spacing w:before="180" w:after="180"/>
              <w:ind w:right="-29"/>
              <w:jc w:val="center"/>
              <w:rPr>
                <w:noProof/>
                <w:sz w:val="18"/>
                <w:szCs w:val="18"/>
              </w:rPr>
            </w:pPr>
          </w:p>
        </w:tc>
        <w:tc>
          <w:tcPr>
            <w:tcW w:w="648" w:type="dxa"/>
            <w:tcBorders>
              <w:top w:val="single" w:sz="12" w:space="0" w:color="auto"/>
              <w:bottom w:val="single" w:sz="12" w:space="0" w:color="auto"/>
            </w:tcBorders>
          </w:tcPr>
          <w:p w14:paraId="01991F68" w14:textId="77777777" w:rsidR="00FA5543" w:rsidRPr="00F66162" w:rsidRDefault="00FA5543" w:rsidP="00390489">
            <w:pPr>
              <w:spacing w:before="180" w:after="180"/>
              <w:ind w:right="-29"/>
              <w:jc w:val="center"/>
              <w:rPr>
                <w:noProof/>
                <w:sz w:val="18"/>
                <w:szCs w:val="18"/>
              </w:rPr>
            </w:pPr>
          </w:p>
        </w:tc>
        <w:tc>
          <w:tcPr>
            <w:tcW w:w="432" w:type="dxa"/>
            <w:tcBorders>
              <w:top w:val="single" w:sz="12" w:space="0" w:color="auto"/>
              <w:bottom w:val="single" w:sz="12" w:space="0" w:color="auto"/>
            </w:tcBorders>
          </w:tcPr>
          <w:p w14:paraId="6A567B3F" w14:textId="77777777" w:rsidR="00FA5543" w:rsidRPr="00F66162" w:rsidRDefault="00FA5543" w:rsidP="00390489">
            <w:pPr>
              <w:spacing w:before="180" w:after="180"/>
              <w:ind w:right="-29"/>
              <w:jc w:val="center"/>
              <w:rPr>
                <w:noProof/>
                <w:sz w:val="18"/>
                <w:szCs w:val="18"/>
              </w:rPr>
            </w:pPr>
          </w:p>
        </w:tc>
        <w:tc>
          <w:tcPr>
            <w:tcW w:w="720" w:type="dxa"/>
            <w:tcBorders>
              <w:top w:val="single" w:sz="12" w:space="0" w:color="auto"/>
              <w:bottom w:val="single" w:sz="12" w:space="0" w:color="auto"/>
            </w:tcBorders>
          </w:tcPr>
          <w:p w14:paraId="12C30F02" w14:textId="77777777" w:rsidR="00FA5543" w:rsidRPr="00F66162" w:rsidRDefault="00FA5543" w:rsidP="00390489">
            <w:pPr>
              <w:spacing w:before="180" w:after="180"/>
              <w:ind w:right="-29"/>
              <w:jc w:val="center"/>
              <w:rPr>
                <w:noProof/>
                <w:sz w:val="18"/>
                <w:szCs w:val="18"/>
              </w:rPr>
            </w:pPr>
          </w:p>
        </w:tc>
        <w:tc>
          <w:tcPr>
            <w:tcW w:w="540" w:type="dxa"/>
            <w:tcBorders>
              <w:top w:val="single" w:sz="12" w:space="0" w:color="auto"/>
              <w:bottom w:val="single" w:sz="12" w:space="0" w:color="auto"/>
            </w:tcBorders>
          </w:tcPr>
          <w:p w14:paraId="60238CFA" w14:textId="77777777" w:rsidR="00FA5543" w:rsidRPr="00F66162" w:rsidRDefault="00FA5543" w:rsidP="00390489">
            <w:pPr>
              <w:spacing w:before="180" w:after="180"/>
              <w:ind w:right="-29"/>
              <w:jc w:val="center"/>
              <w:rPr>
                <w:noProof/>
                <w:sz w:val="18"/>
                <w:szCs w:val="18"/>
              </w:rPr>
            </w:pPr>
          </w:p>
        </w:tc>
        <w:tc>
          <w:tcPr>
            <w:tcW w:w="720" w:type="dxa"/>
            <w:tcBorders>
              <w:top w:val="single" w:sz="12" w:space="0" w:color="auto"/>
              <w:bottom w:val="single" w:sz="12" w:space="0" w:color="auto"/>
            </w:tcBorders>
          </w:tcPr>
          <w:p w14:paraId="4EE43713" w14:textId="77777777" w:rsidR="00FA5543" w:rsidRPr="00F66162" w:rsidRDefault="00FA5543" w:rsidP="00390489">
            <w:pPr>
              <w:spacing w:before="180" w:after="180"/>
              <w:ind w:right="-29"/>
              <w:jc w:val="center"/>
              <w:rPr>
                <w:noProof/>
                <w:sz w:val="18"/>
                <w:szCs w:val="18"/>
              </w:rPr>
            </w:pPr>
          </w:p>
        </w:tc>
        <w:tc>
          <w:tcPr>
            <w:tcW w:w="720" w:type="dxa"/>
            <w:tcBorders>
              <w:top w:val="single" w:sz="12" w:space="0" w:color="auto"/>
              <w:bottom w:val="single" w:sz="12" w:space="0" w:color="auto"/>
            </w:tcBorders>
          </w:tcPr>
          <w:p w14:paraId="2421AF18" w14:textId="77777777" w:rsidR="00FA5543" w:rsidRPr="00F66162" w:rsidRDefault="00FA5543" w:rsidP="00390489">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3B46E15E" w14:textId="77777777" w:rsidR="00FA5543" w:rsidRPr="00F66162" w:rsidRDefault="00FA5543" w:rsidP="00390489">
            <w:pPr>
              <w:spacing w:before="180" w:after="180"/>
              <w:ind w:right="-29"/>
              <w:jc w:val="center"/>
              <w:rPr>
                <w:noProof/>
                <w:sz w:val="18"/>
                <w:szCs w:val="18"/>
              </w:rPr>
            </w:pPr>
          </w:p>
        </w:tc>
      </w:tr>
    </w:tbl>
    <w:p w14:paraId="3189B3F6" w14:textId="77777777" w:rsidR="00FA5543" w:rsidRPr="00F66162" w:rsidRDefault="00FA5543" w:rsidP="00390489">
      <w:pPr>
        <w:rPr>
          <w:noProof/>
        </w:rPr>
        <w:sectPr w:rsidR="00FA5543" w:rsidRPr="00F66162" w:rsidSect="00AB396E">
          <w:headerReference w:type="default" r:id="rId23"/>
          <w:footerReference w:type="default" r:id="rId24"/>
          <w:pgSz w:w="16840" w:h="11907" w:orient="landscape" w:code="9"/>
          <w:pgMar w:top="1134" w:right="1418" w:bottom="567" w:left="1418" w:header="709" w:footer="709" w:gutter="0"/>
          <w:cols w:space="708"/>
          <w:docGrid w:linePitch="360"/>
        </w:sectPr>
      </w:pPr>
    </w:p>
    <w:p w14:paraId="0AC9BD76" w14:textId="77777777" w:rsidR="00FA5543" w:rsidRPr="00F66162" w:rsidRDefault="00FA5543" w:rsidP="00390489">
      <w:pPr>
        <w:pStyle w:val="ManualHeading3"/>
        <w:rPr>
          <w:bCs/>
          <w:noProof/>
          <w:szCs w:val="24"/>
        </w:rPr>
      </w:pPr>
      <w:r w:rsidRPr="00F66162">
        <w:rPr>
          <w:noProof/>
        </w:rPr>
        <w:lastRenderedPageBreak/>
        <w:t>3.2.3.</w:t>
      </w:r>
      <w:r w:rsidRPr="00F66162">
        <w:rPr>
          <w:noProof/>
        </w:rPr>
        <w:tab/>
        <w:t xml:space="preserve">Podsumowanie szacunkowego wpływu na środki administracyjne </w:t>
      </w:r>
    </w:p>
    <w:p w14:paraId="78760A37" w14:textId="38FFD6EC" w:rsidR="00FA5543" w:rsidRPr="00F66162" w:rsidRDefault="6C3AF1E0" w:rsidP="00390489">
      <w:pPr>
        <w:pStyle w:val="ListDash1"/>
        <w:rPr>
          <w:noProof/>
        </w:rPr>
      </w:pPr>
      <w:r w:rsidRPr="00F66162">
        <w:rPr>
          <w:rFonts w:ascii="Wingdings" w:hAnsi="Wingdings"/>
          <w:noProof/>
        </w:rPr>
        <w:t></w:t>
      </w:r>
      <w:r w:rsidRPr="00F66162">
        <w:rPr>
          <w:noProof/>
        </w:rPr>
        <w:tab/>
        <w:t>Wniosek/inicjatywa nie wiąże się</w:t>
      </w:r>
      <w:r w:rsidR="00825614" w:rsidRPr="00F66162">
        <w:rPr>
          <w:noProof/>
        </w:rPr>
        <w:t xml:space="preserve"> z</w:t>
      </w:r>
      <w:r w:rsidR="00825614">
        <w:rPr>
          <w:noProof/>
        </w:rPr>
        <w:t> </w:t>
      </w:r>
      <w:r w:rsidR="00825614" w:rsidRPr="00F66162">
        <w:rPr>
          <w:noProof/>
        </w:rPr>
        <w:t>kon</w:t>
      </w:r>
      <w:r w:rsidRPr="00F66162">
        <w:rPr>
          <w:noProof/>
        </w:rPr>
        <w:t xml:space="preserve">iecznością wykorzystania środków administracyjnych </w:t>
      </w:r>
    </w:p>
    <w:p w14:paraId="6372E294" w14:textId="4DE98957" w:rsidR="00FA5543" w:rsidRPr="00F66162" w:rsidRDefault="19E9A19A" w:rsidP="00390489">
      <w:pPr>
        <w:pStyle w:val="ListDash1"/>
        <w:rPr>
          <w:noProof/>
        </w:rPr>
      </w:pPr>
      <w:r w:rsidRPr="00F66162">
        <w:rPr>
          <w:rFonts w:ascii="Wingdings" w:hAnsi="Wingdings"/>
          <w:noProof/>
        </w:rPr>
        <w:t></w:t>
      </w:r>
      <w:r w:rsidRPr="00F66162">
        <w:rPr>
          <w:noProof/>
        </w:rPr>
        <w:tab/>
        <w:t>Wniosek/inicjatywa wiąże się</w:t>
      </w:r>
      <w:r w:rsidR="00825614" w:rsidRPr="00F66162">
        <w:rPr>
          <w:noProof/>
        </w:rPr>
        <w:t xml:space="preserve"> z</w:t>
      </w:r>
      <w:r w:rsidR="00825614">
        <w:rPr>
          <w:noProof/>
        </w:rPr>
        <w:t> </w:t>
      </w:r>
      <w:r w:rsidR="00825614" w:rsidRPr="00F66162">
        <w:rPr>
          <w:noProof/>
        </w:rPr>
        <w:t>kon</w:t>
      </w:r>
      <w:r w:rsidRPr="00F66162">
        <w:rPr>
          <w:noProof/>
        </w:rPr>
        <w:t>iecznością wykorzystania środków administracyjnych, jak określono poniżej</w:t>
      </w:r>
    </w:p>
    <w:p w14:paraId="496B38AF" w14:textId="00792CAC" w:rsidR="00FA5543" w:rsidRPr="00F66162" w:rsidRDefault="00FA5543" w:rsidP="00390489">
      <w:pPr>
        <w:pStyle w:val="ManualHeading3"/>
        <w:rPr>
          <w:noProof/>
        </w:rPr>
      </w:pPr>
      <w:r w:rsidRPr="00F66162">
        <w:rPr>
          <w:noProof/>
        </w:rPr>
        <w:t>3.2.3.1. Środki</w:t>
      </w:r>
      <w:r w:rsidR="00825614" w:rsidRPr="00F66162">
        <w:rPr>
          <w:noProof/>
        </w:rPr>
        <w:t xml:space="preserve"> z</w:t>
      </w:r>
      <w:r w:rsidR="00825614">
        <w:rPr>
          <w:noProof/>
        </w:rPr>
        <w:t> </w:t>
      </w:r>
      <w:r w:rsidR="00825614" w:rsidRPr="00F66162">
        <w:rPr>
          <w:noProof/>
        </w:rPr>
        <w:t>uch</w:t>
      </w:r>
      <w:r w:rsidRPr="00F66162">
        <w:rPr>
          <w:noProof/>
        </w:rPr>
        <w:t>walonego budżetu</w:t>
      </w:r>
    </w:p>
    <w:tbl>
      <w:tblPr>
        <w:tblW w:w="9289" w:type="dxa"/>
        <w:tblLook w:val="04A0" w:firstRow="1" w:lastRow="0" w:firstColumn="1" w:lastColumn="0" w:noHBand="0" w:noVBand="1"/>
      </w:tblPr>
      <w:tblGrid>
        <w:gridCol w:w="4027"/>
        <w:gridCol w:w="1027"/>
        <w:gridCol w:w="1027"/>
        <w:gridCol w:w="1027"/>
        <w:gridCol w:w="930"/>
        <w:gridCol w:w="1251"/>
      </w:tblGrid>
      <w:tr w:rsidR="00FA5543" w:rsidRPr="00F66162" w14:paraId="5E74D06F" w14:textId="77777777" w:rsidTr="139DF8FE">
        <w:trPr>
          <w:trHeight w:val="300"/>
        </w:trPr>
        <w:tc>
          <w:tcPr>
            <w:tcW w:w="40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16A6126" w14:textId="77777777" w:rsidR="00FA5543" w:rsidRPr="00F66162" w:rsidRDefault="00FA5543" w:rsidP="00390489">
            <w:pPr>
              <w:spacing w:before="0" w:after="0"/>
              <w:jc w:val="center"/>
              <w:rPr>
                <w:b/>
                <w:bCs/>
                <w:noProof/>
                <w:color w:val="000000"/>
                <w:sz w:val="18"/>
                <w:szCs w:val="18"/>
              </w:rPr>
            </w:pPr>
            <w:r w:rsidRPr="00F66162">
              <w:rPr>
                <w:b/>
                <w:noProof/>
                <w:color w:val="000000"/>
                <w:sz w:val="18"/>
              </w:rPr>
              <w:t>ZATWIERDZONE ŚRODKI</w:t>
            </w:r>
          </w:p>
        </w:tc>
        <w:tc>
          <w:tcPr>
            <w:tcW w:w="1027" w:type="dxa"/>
            <w:tcBorders>
              <w:top w:val="single" w:sz="8" w:space="0" w:color="auto"/>
              <w:left w:val="nil"/>
              <w:bottom w:val="single" w:sz="8" w:space="0" w:color="auto"/>
              <w:right w:val="single" w:sz="8" w:space="0" w:color="auto"/>
            </w:tcBorders>
            <w:shd w:val="clear" w:color="auto" w:fill="auto"/>
            <w:vAlign w:val="center"/>
            <w:hideMark/>
          </w:tcPr>
          <w:p w14:paraId="591DC4E5" w14:textId="77777777" w:rsidR="00FA5543" w:rsidRPr="00F66162" w:rsidRDefault="00FA5543" w:rsidP="00390489">
            <w:pPr>
              <w:spacing w:before="0" w:after="0"/>
              <w:jc w:val="center"/>
              <w:rPr>
                <w:noProof/>
                <w:color w:val="000000"/>
                <w:sz w:val="18"/>
                <w:szCs w:val="18"/>
              </w:rPr>
            </w:pPr>
            <w:r w:rsidRPr="00F66162">
              <w:rPr>
                <w:noProof/>
                <w:color w:val="000000"/>
                <w:sz w:val="18"/>
              </w:rPr>
              <w:t>Rok</w:t>
            </w:r>
          </w:p>
        </w:tc>
        <w:tc>
          <w:tcPr>
            <w:tcW w:w="1027" w:type="dxa"/>
            <w:tcBorders>
              <w:top w:val="single" w:sz="8" w:space="0" w:color="auto"/>
              <w:left w:val="nil"/>
              <w:bottom w:val="single" w:sz="8" w:space="0" w:color="auto"/>
              <w:right w:val="single" w:sz="8" w:space="0" w:color="auto"/>
            </w:tcBorders>
            <w:shd w:val="clear" w:color="auto" w:fill="auto"/>
            <w:vAlign w:val="center"/>
            <w:hideMark/>
          </w:tcPr>
          <w:p w14:paraId="66177A14" w14:textId="77777777" w:rsidR="00FA5543" w:rsidRPr="00F66162" w:rsidRDefault="00FA5543" w:rsidP="00390489">
            <w:pPr>
              <w:spacing w:before="0" w:after="0"/>
              <w:jc w:val="center"/>
              <w:rPr>
                <w:noProof/>
                <w:color w:val="000000"/>
                <w:sz w:val="18"/>
                <w:szCs w:val="18"/>
              </w:rPr>
            </w:pPr>
            <w:r w:rsidRPr="00F66162">
              <w:rPr>
                <w:noProof/>
                <w:color w:val="000000"/>
                <w:sz w:val="18"/>
              </w:rPr>
              <w:t>Rok</w:t>
            </w:r>
          </w:p>
        </w:tc>
        <w:tc>
          <w:tcPr>
            <w:tcW w:w="1027" w:type="dxa"/>
            <w:tcBorders>
              <w:top w:val="single" w:sz="8" w:space="0" w:color="auto"/>
              <w:left w:val="nil"/>
              <w:bottom w:val="single" w:sz="8" w:space="0" w:color="auto"/>
              <w:right w:val="single" w:sz="8" w:space="0" w:color="auto"/>
            </w:tcBorders>
            <w:shd w:val="clear" w:color="auto" w:fill="auto"/>
            <w:vAlign w:val="center"/>
            <w:hideMark/>
          </w:tcPr>
          <w:p w14:paraId="2DB338E5" w14:textId="77777777" w:rsidR="00FA5543" w:rsidRPr="00F66162" w:rsidRDefault="00FA5543" w:rsidP="00390489">
            <w:pPr>
              <w:spacing w:before="0" w:after="0"/>
              <w:jc w:val="center"/>
              <w:rPr>
                <w:noProof/>
                <w:color w:val="000000"/>
                <w:sz w:val="18"/>
                <w:szCs w:val="18"/>
              </w:rPr>
            </w:pPr>
            <w:r w:rsidRPr="00F66162">
              <w:rPr>
                <w:noProof/>
                <w:color w:val="000000"/>
                <w:sz w:val="18"/>
              </w:rPr>
              <w:t>Rok</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4F9A64AF" w14:textId="77777777" w:rsidR="00FA5543" w:rsidRPr="00F66162" w:rsidRDefault="00FA5543" w:rsidP="00390489">
            <w:pPr>
              <w:spacing w:before="0" w:after="0"/>
              <w:jc w:val="center"/>
              <w:rPr>
                <w:noProof/>
                <w:color w:val="000000"/>
                <w:sz w:val="18"/>
                <w:szCs w:val="18"/>
              </w:rPr>
            </w:pPr>
            <w:r w:rsidRPr="00F66162">
              <w:rPr>
                <w:noProof/>
                <w:color w:val="000000"/>
                <w:sz w:val="18"/>
              </w:rPr>
              <w:t>Rok</w:t>
            </w:r>
          </w:p>
        </w:tc>
        <w:tc>
          <w:tcPr>
            <w:tcW w:w="125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1156FF4" w14:textId="77777777" w:rsidR="00FA5543" w:rsidRPr="00F66162" w:rsidRDefault="00FA5543" w:rsidP="00390489">
            <w:pPr>
              <w:spacing w:before="0" w:after="0"/>
              <w:jc w:val="center"/>
              <w:rPr>
                <w:b/>
                <w:bCs/>
                <w:noProof/>
                <w:color w:val="000000"/>
                <w:sz w:val="18"/>
                <w:szCs w:val="18"/>
              </w:rPr>
            </w:pPr>
            <w:r w:rsidRPr="00F66162">
              <w:rPr>
                <w:b/>
                <w:noProof/>
                <w:color w:val="000000"/>
                <w:sz w:val="18"/>
              </w:rPr>
              <w:t>OGÓŁEM 2021–2027</w:t>
            </w:r>
          </w:p>
        </w:tc>
      </w:tr>
      <w:tr w:rsidR="00FA5543" w:rsidRPr="00F66162" w14:paraId="4246E33E" w14:textId="77777777" w:rsidTr="139DF8FE">
        <w:trPr>
          <w:trHeight w:val="300"/>
        </w:trPr>
        <w:tc>
          <w:tcPr>
            <w:tcW w:w="4027" w:type="dxa"/>
            <w:vMerge/>
            <w:vAlign w:val="center"/>
            <w:hideMark/>
          </w:tcPr>
          <w:p w14:paraId="426D28A3" w14:textId="77777777" w:rsidR="00FA5543" w:rsidRPr="00F66162" w:rsidRDefault="00FA5543" w:rsidP="00390489">
            <w:pPr>
              <w:spacing w:before="0" w:after="0"/>
              <w:jc w:val="left"/>
              <w:rPr>
                <w:b/>
                <w:bCs/>
                <w:noProof/>
                <w:color w:val="000000"/>
                <w:sz w:val="18"/>
                <w:szCs w:val="18"/>
                <w:lang w:eastAsia="en-IE"/>
              </w:rPr>
            </w:pPr>
          </w:p>
        </w:tc>
        <w:tc>
          <w:tcPr>
            <w:tcW w:w="1027" w:type="dxa"/>
            <w:tcBorders>
              <w:top w:val="nil"/>
              <w:left w:val="nil"/>
              <w:bottom w:val="single" w:sz="8" w:space="0" w:color="auto"/>
              <w:right w:val="single" w:sz="8" w:space="0" w:color="auto"/>
            </w:tcBorders>
            <w:shd w:val="clear" w:color="auto" w:fill="auto"/>
            <w:vAlign w:val="center"/>
            <w:hideMark/>
          </w:tcPr>
          <w:p w14:paraId="70BCC7C8" w14:textId="77777777" w:rsidR="00FA5543" w:rsidRPr="00F66162" w:rsidRDefault="00FA5543" w:rsidP="00390489">
            <w:pPr>
              <w:spacing w:before="0" w:after="0"/>
              <w:jc w:val="center"/>
              <w:rPr>
                <w:b/>
                <w:bCs/>
                <w:noProof/>
                <w:color w:val="000000"/>
                <w:sz w:val="18"/>
                <w:szCs w:val="18"/>
              </w:rPr>
            </w:pPr>
            <w:r w:rsidRPr="00F66162">
              <w:rPr>
                <w:b/>
                <w:noProof/>
                <w:color w:val="000000"/>
                <w:sz w:val="18"/>
              </w:rPr>
              <w:t>2024</w:t>
            </w:r>
          </w:p>
        </w:tc>
        <w:tc>
          <w:tcPr>
            <w:tcW w:w="1027" w:type="dxa"/>
            <w:tcBorders>
              <w:top w:val="nil"/>
              <w:left w:val="nil"/>
              <w:bottom w:val="single" w:sz="8" w:space="0" w:color="auto"/>
              <w:right w:val="single" w:sz="8" w:space="0" w:color="auto"/>
            </w:tcBorders>
            <w:shd w:val="clear" w:color="auto" w:fill="auto"/>
            <w:vAlign w:val="center"/>
            <w:hideMark/>
          </w:tcPr>
          <w:p w14:paraId="15494A4E" w14:textId="77777777" w:rsidR="00FA5543" w:rsidRPr="00F66162" w:rsidRDefault="00FA5543" w:rsidP="00390489">
            <w:pPr>
              <w:spacing w:before="0" w:after="0"/>
              <w:jc w:val="center"/>
              <w:rPr>
                <w:b/>
                <w:bCs/>
                <w:noProof/>
                <w:color w:val="000000"/>
                <w:sz w:val="18"/>
                <w:szCs w:val="18"/>
              </w:rPr>
            </w:pPr>
            <w:r w:rsidRPr="00F66162">
              <w:rPr>
                <w:b/>
                <w:noProof/>
                <w:color w:val="000000"/>
                <w:sz w:val="18"/>
              </w:rPr>
              <w:t>2025</w:t>
            </w:r>
          </w:p>
        </w:tc>
        <w:tc>
          <w:tcPr>
            <w:tcW w:w="1027" w:type="dxa"/>
            <w:tcBorders>
              <w:top w:val="nil"/>
              <w:left w:val="nil"/>
              <w:bottom w:val="single" w:sz="8" w:space="0" w:color="auto"/>
              <w:right w:val="single" w:sz="8" w:space="0" w:color="auto"/>
            </w:tcBorders>
            <w:shd w:val="clear" w:color="auto" w:fill="auto"/>
            <w:vAlign w:val="center"/>
            <w:hideMark/>
          </w:tcPr>
          <w:p w14:paraId="37B4558C" w14:textId="77777777" w:rsidR="00FA5543" w:rsidRPr="00F66162" w:rsidRDefault="00FA5543" w:rsidP="00390489">
            <w:pPr>
              <w:spacing w:before="0" w:after="0"/>
              <w:jc w:val="center"/>
              <w:rPr>
                <w:b/>
                <w:bCs/>
                <w:noProof/>
                <w:color w:val="000000"/>
                <w:sz w:val="18"/>
                <w:szCs w:val="18"/>
              </w:rPr>
            </w:pPr>
            <w:r w:rsidRPr="00F66162">
              <w:rPr>
                <w:b/>
                <w:noProof/>
                <w:color w:val="000000"/>
                <w:sz w:val="18"/>
              </w:rPr>
              <w:t>2026</w:t>
            </w:r>
          </w:p>
        </w:tc>
        <w:tc>
          <w:tcPr>
            <w:tcW w:w="930" w:type="dxa"/>
            <w:tcBorders>
              <w:top w:val="nil"/>
              <w:left w:val="nil"/>
              <w:bottom w:val="single" w:sz="8" w:space="0" w:color="auto"/>
              <w:right w:val="single" w:sz="8" w:space="0" w:color="auto"/>
            </w:tcBorders>
            <w:shd w:val="clear" w:color="auto" w:fill="auto"/>
            <w:vAlign w:val="center"/>
            <w:hideMark/>
          </w:tcPr>
          <w:p w14:paraId="1C42B314" w14:textId="77777777" w:rsidR="00FA5543" w:rsidRPr="00F66162" w:rsidRDefault="00FA5543" w:rsidP="00390489">
            <w:pPr>
              <w:spacing w:before="0" w:after="0"/>
              <w:jc w:val="center"/>
              <w:rPr>
                <w:b/>
                <w:bCs/>
                <w:noProof/>
                <w:color w:val="000000"/>
                <w:sz w:val="18"/>
                <w:szCs w:val="18"/>
              </w:rPr>
            </w:pPr>
            <w:r w:rsidRPr="00F66162">
              <w:rPr>
                <w:b/>
                <w:noProof/>
                <w:color w:val="000000"/>
                <w:sz w:val="18"/>
              </w:rPr>
              <w:t>2027</w:t>
            </w:r>
          </w:p>
        </w:tc>
        <w:tc>
          <w:tcPr>
            <w:tcW w:w="1251" w:type="dxa"/>
            <w:vMerge/>
            <w:vAlign w:val="center"/>
            <w:hideMark/>
          </w:tcPr>
          <w:p w14:paraId="45DCCA3A" w14:textId="77777777" w:rsidR="00FA5543" w:rsidRPr="00F66162" w:rsidRDefault="00FA5543" w:rsidP="00390489">
            <w:pPr>
              <w:spacing w:before="0" w:after="0"/>
              <w:jc w:val="left"/>
              <w:rPr>
                <w:b/>
                <w:bCs/>
                <w:noProof/>
                <w:color w:val="000000"/>
                <w:sz w:val="18"/>
                <w:szCs w:val="18"/>
                <w:lang w:eastAsia="en-IE"/>
              </w:rPr>
            </w:pPr>
          </w:p>
        </w:tc>
      </w:tr>
      <w:tr w:rsidR="00FA5543" w:rsidRPr="00F66162" w14:paraId="79C838EB" w14:textId="77777777" w:rsidTr="139DF8FE">
        <w:trPr>
          <w:trHeight w:val="300"/>
        </w:trPr>
        <w:tc>
          <w:tcPr>
            <w:tcW w:w="9289"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3488A900" w14:textId="77777777" w:rsidR="00FA5543" w:rsidRPr="00F66162" w:rsidRDefault="00FA5543" w:rsidP="00390489">
            <w:pPr>
              <w:spacing w:before="0" w:after="0"/>
              <w:jc w:val="left"/>
              <w:rPr>
                <w:b/>
                <w:bCs/>
                <w:noProof/>
                <w:sz w:val="16"/>
                <w:szCs w:val="16"/>
              </w:rPr>
            </w:pPr>
            <w:r w:rsidRPr="00F66162">
              <w:rPr>
                <w:b/>
                <w:noProof/>
                <w:sz w:val="16"/>
              </w:rPr>
              <w:t>DZIAŁ 7</w:t>
            </w:r>
          </w:p>
        </w:tc>
      </w:tr>
      <w:tr w:rsidR="00FA5543" w:rsidRPr="00F66162" w14:paraId="1F46EC32" w14:textId="77777777" w:rsidTr="139DF8FE">
        <w:trPr>
          <w:trHeight w:val="300"/>
        </w:trPr>
        <w:tc>
          <w:tcPr>
            <w:tcW w:w="4027" w:type="dxa"/>
            <w:tcBorders>
              <w:top w:val="nil"/>
              <w:left w:val="single" w:sz="8" w:space="0" w:color="auto"/>
              <w:bottom w:val="single" w:sz="8" w:space="0" w:color="auto"/>
              <w:right w:val="single" w:sz="8" w:space="0" w:color="auto"/>
            </w:tcBorders>
            <w:shd w:val="clear" w:color="auto" w:fill="auto"/>
            <w:vAlign w:val="center"/>
            <w:hideMark/>
          </w:tcPr>
          <w:p w14:paraId="113C79FF" w14:textId="77777777" w:rsidR="00FA5543" w:rsidRPr="00F66162" w:rsidRDefault="6C3AF1E0" w:rsidP="139DF8FE">
            <w:pPr>
              <w:spacing w:before="0" w:after="0"/>
              <w:jc w:val="left"/>
              <w:rPr>
                <w:noProof/>
                <w:color w:val="000000"/>
                <w:sz w:val="16"/>
                <w:szCs w:val="16"/>
              </w:rPr>
            </w:pPr>
            <w:r w:rsidRPr="00F66162">
              <w:rPr>
                <w:noProof/>
                <w:color w:val="000000" w:themeColor="text1"/>
                <w:sz w:val="16"/>
              </w:rPr>
              <w:t xml:space="preserve">Zasoby ludzkie </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820F165" w14:textId="77777777" w:rsidR="00FA5543" w:rsidRPr="00F66162" w:rsidRDefault="33E0B663" w:rsidP="139DF8FE">
            <w:pPr>
              <w:spacing w:before="0" w:after="0"/>
              <w:jc w:val="right"/>
              <w:rPr>
                <w:rFonts w:eastAsia="Times New Roman"/>
                <w:noProof/>
                <w:sz w:val="16"/>
                <w:szCs w:val="16"/>
              </w:rPr>
            </w:pPr>
            <w:r w:rsidRPr="00F66162">
              <w:rPr>
                <w:noProof/>
                <w:color w:val="000000" w:themeColor="text1"/>
                <w:sz w:val="16"/>
              </w:rPr>
              <w:t>8,572</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02D98DA8" w14:textId="77777777" w:rsidR="00FA5543" w:rsidRPr="00F66162" w:rsidRDefault="41CE3102" w:rsidP="139DF8FE">
            <w:pPr>
              <w:spacing w:before="0" w:after="0"/>
              <w:jc w:val="right"/>
              <w:rPr>
                <w:rFonts w:eastAsia="Times New Roman"/>
                <w:noProof/>
                <w:sz w:val="16"/>
                <w:szCs w:val="16"/>
              </w:rPr>
            </w:pPr>
            <w:r w:rsidRPr="00F66162">
              <w:rPr>
                <w:noProof/>
                <w:color w:val="000000" w:themeColor="text1"/>
                <w:sz w:val="16"/>
              </w:rPr>
              <w:t>6,271</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6F1C10F6" w14:textId="77777777" w:rsidR="00FA5543" w:rsidRPr="00F66162" w:rsidRDefault="41CE3102" w:rsidP="139DF8FE">
            <w:pPr>
              <w:spacing w:before="0" w:after="0"/>
              <w:jc w:val="right"/>
              <w:rPr>
                <w:rFonts w:eastAsia="Times New Roman"/>
                <w:noProof/>
                <w:sz w:val="16"/>
                <w:szCs w:val="16"/>
              </w:rPr>
            </w:pPr>
            <w:r w:rsidRPr="00F66162">
              <w:rPr>
                <w:noProof/>
                <w:color w:val="000000" w:themeColor="text1"/>
                <w:sz w:val="16"/>
              </w:rPr>
              <w:t>8,740</w:t>
            </w:r>
          </w:p>
        </w:tc>
        <w:tc>
          <w:tcPr>
            <w:tcW w:w="930" w:type="dxa"/>
            <w:tcBorders>
              <w:top w:val="nil"/>
              <w:left w:val="nil"/>
              <w:bottom w:val="single" w:sz="8" w:space="0" w:color="auto"/>
              <w:right w:val="single" w:sz="8" w:space="0" w:color="auto"/>
            </w:tcBorders>
            <w:shd w:val="clear" w:color="auto" w:fill="D9D9D9" w:themeFill="background1" w:themeFillShade="D9"/>
            <w:vAlign w:val="center"/>
            <w:hideMark/>
          </w:tcPr>
          <w:p w14:paraId="22C3B0A5" w14:textId="77777777" w:rsidR="00FA5543" w:rsidRPr="00F66162" w:rsidRDefault="41CE3102" w:rsidP="139DF8FE">
            <w:pPr>
              <w:spacing w:before="0" w:after="0"/>
              <w:jc w:val="right"/>
              <w:rPr>
                <w:rFonts w:eastAsia="Times New Roman"/>
                <w:noProof/>
                <w:sz w:val="16"/>
                <w:szCs w:val="16"/>
              </w:rPr>
            </w:pPr>
            <w:r w:rsidRPr="00F66162">
              <w:rPr>
                <w:noProof/>
                <w:color w:val="000000" w:themeColor="text1"/>
                <w:sz w:val="16"/>
              </w:rPr>
              <w:t>11,700</w:t>
            </w:r>
          </w:p>
        </w:tc>
        <w:tc>
          <w:tcPr>
            <w:tcW w:w="1251" w:type="dxa"/>
            <w:tcBorders>
              <w:top w:val="nil"/>
              <w:left w:val="nil"/>
              <w:bottom w:val="single" w:sz="8" w:space="0" w:color="auto"/>
              <w:right w:val="single" w:sz="8" w:space="0" w:color="auto"/>
            </w:tcBorders>
            <w:shd w:val="clear" w:color="auto" w:fill="D9D9D9" w:themeFill="background1" w:themeFillShade="D9"/>
            <w:vAlign w:val="center"/>
            <w:hideMark/>
          </w:tcPr>
          <w:p w14:paraId="485C7D7C" w14:textId="77777777" w:rsidR="00FA5543" w:rsidRPr="00F66162" w:rsidRDefault="41CE3102" w:rsidP="139DF8FE">
            <w:pPr>
              <w:spacing w:before="0" w:after="0"/>
              <w:jc w:val="right"/>
              <w:rPr>
                <w:rFonts w:eastAsia="Times New Roman"/>
                <w:noProof/>
                <w:sz w:val="16"/>
                <w:szCs w:val="16"/>
              </w:rPr>
            </w:pPr>
            <w:r w:rsidRPr="00F66162">
              <w:rPr>
                <w:b/>
                <w:noProof/>
                <w:color w:val="000000" w:themeColor="text1"/>
                <w:sz w:val="16"/>
              </w:rPr>
              <w:t>35,283</w:t>
            </w:r>
          </w:p>
        </w:tc>
      </w:tr>
      <w:tr w:rsidR="00FA5543" w:rsidRPr="00F66162" w14:paraId="0CC34E65" w14:textId="77777777" w:rsidTr="139DF8FE">
        <w:trPr>
          <w:trHeight w:val="300"/>
        </w:trPr>
        <w:tc>
          <w:tcPr>
            <w:tcW w:w="4027" w:type="dxa"/>
            <w:tcBorders>
              <w:top w:val="nil"/>
              <w:left w:val="single" w:sz="8" w:space="0" w:color="auto"/>
              <w:bottom w:val="single" w:sz="8" w:space="0" w:color="auto"/>
              <w:right w:val="single" w:sz="8" w:space="0" w:color="auto"/>
            </w:tcBorders>
            <w:shd w:val="clear" w:color="auto" w:fill="auto"/>
            <w:vAlign w:val="center"/>
            <w:hideMark/>
          </w:tcPr>
          <w:p w14:paraId="7EDFEE16" w14:textId="77777777" w:rsidR="00FA5543" w:rsidRPr="00F66162" w:rsidRDefault="00FA5543" w:rsidP="00390489">
            <w:pPr>
              <w:spacing w:before="0" w:after="0"/>
              <w:jc w:val="left"/>
              <w:rPr>
                <w:noProof/>
                <w:color w:val="000000"/>
                <w:sz w:val="16"/>
                <w:szCs w:val="16"/>
              </w:rPr>
            </w:pPr>
            <w:r w:rsidRPr="00F66162">
              <w:rPr>
                <w:noProof/>
                <w:color w:val="000000"/>
                <w:sz w:val="16"/>
              </w:rPr>
              <w:t xml:space="preserve">Pozostałe wydatki administracyjne </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6FBDBD79" w14:textId="77777777" w:rsidR="00FA5543" w:rsidRPr="00F66162" w:rsidRDefault="131AFCED" w:rsidP="139DF8FE">
            <w:pPr>
              <w:spacing w:before="0" w:after="0"/>
              <w:jc w:val="right"/>
              <w:rPr>
                <w:rFonts w:eastAsia="Times New Roman"/>
                <w:noProof/>
                <w:sz w:val="16"/>
                <w:szCs w:val="16"/>
              </w:rPr>
            </w:pPr>
            <w:r w:rsidRPr="00F66162">
              <w:rPr>
                <w:noProof/>
                <w:color w:val="000000" w:themeColor="text1"/>
                <w:sz w:val="16"/>
              </w:rPr>
              <w:t>0,600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D1AB1FB" w14:textId="77777777" w:rsidR="00FA5543" w:rsidRPr="00F66162" w:rsidRDefault="131AFCED" w:rsidP="139DF8FE">
            <w:pPr>
              <w:spacing w:before="0" w:after="0"/>
              <w:jc w:val="right"/>
              <w:rPr>
                <w:rFonts w:eastAsia="Times New Roman"/>
                <w:noProof/>
                <w:sz w:val="16"/>
                <w:szCs w:val="16"/>
              </w:rPr>
            </w:pPr>
            <w:r w:rsidRPr="00F66162">
              <w:rPr>
                <w:noProof/>
                <w:color w:val="000000" w:themeColor="text1"/>
                <w:sz w:val="16"/>
              </w:rPr>
              <w:t>0,300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642AE118" w14:textId="77777777" w:rsidR="00FA5543" w:rsidRPr="00F66162" w:rsidRDefault="131AFCED" w:rsidP="139DF8FE">
            <w:pPr>
              <w:spacing w:before="0" w:after="0"/>
              <w:jc w:val="right"/>
              <w:rPr>
                <w:rFonts w:eastAsia="Times New Roman"/>
                <w:noProof/>
                <w:sz w:val="16"/>
                <w:szCs w:val="16"/>
              </w:rPr>
            </w:pPr>
            <w:r w:rsidRPr="00F66162">
              <w:rPr>
                <w:noProof/>
                <w:color w:val="000000" w:themeColor="text1"/>
                <w:sz w:val="16"/>
              </w:rPr>
              <w:t>0,306</w:t>
            </w:r>
          </w:p>
        </w:tc>
        <w:tc>
          <w:tcPr>
            <w:tcW w:w="930" w:type="dxa"/>
            <w:tcBorders>
              <w:top w:val="nil"/>
              <w:left w:val="nil"/>
              <w:bottom w:val="single" w:sz="8" w:space="0" w:color="auto"/>
              <w:right w:val="single" w:sz="8" w:space="0" w:color="auto"/>
            </w:tcBorders>
            <w:shd w:val="clear" w:color="auto" w:fill="D9D9D9" w:themeFill="background1" w:themeFillShade="D9"/>
            <w:vAlign w:val="center"/>
            <w:hideMark/>
          </w:tcPr>
          <w:p w14:paraId="5C0A39AC" w14:textId="77777777" w:rsidR="00FA5543" w:rsidRPr="00F66162" w:rsidRDefault="131AFCED" w:rsidP="139DF8FE">
            <w:pPr>
              <w:spacing w:before="0" w:after="0"/>
              <w:jc w:val="right"/>
              <w:rPr>
                <w:rFonts w:eastAsia="Times New Roman"/>
                <w:noProof/>
                <w:sz w:val="16"/>
                <w:szCs w:val="16"/>
              </w:rPr>
            </w:pPr>
            <w:r w:rsidRPr="00F66162">
              <w:rPr>
                <w:noProof/>
                <w:color w:val="000000" w:themeColor="text1"/>
                <w:sz w:val="16"/>
              </w:rPr>
              <w:t>0,312</w:t>
            </w:r>
          </w:p>
        </w:tc>
        <w:tc>
          <w:tcPr>
            <w:tcW w:w="1251" w:type="dxa"/>
            <w:tcBorders>
              <w:top w:val="nil"/>
              <w:left w:val="nil"/>
              <w:bottom w:val="single" w:sz="8" w:space="0" w:color="auto"/>
              <w:right w:val="single" w:sz="8" w:space="0" w:color="auto"/>
            </w:tcBorders>
            <w:shd w:val="clear" w:color="auto" w:fill="D9D9D9" w:themeFill="background1" w:themeFillShade="D9"/>
            <w:vAlign w:val="center"/>
            <w:hideMark/>
          </w:tcPr>
          <w:p w14:paraId="0F53612A" w14:textId="77777777" w:rsidR="00FA5543" w:rsidRPr="00F66162" w:rsidRDefault="131AFCED" w:rsidP="139DF8FE">
            <w:pPr>
              <w:spacing w:before="0" w:after="0"/>
              <w:jc w:val="right"/>
              <w:rPr>
                <w:rFonts w:eastAsia="Times New Roman"/>
                <w:noProof/>
                <w:sz w:val="16"/>
                <w:szCs w:val="16"/>
              </w:rPr>
            </w:pPr>
            <w:r w:rsidRPr="00F66162">
              <w:rPr>
                <w:b/>
                <w:noProof/>
                <w:color w:val="000000" w:themeColor="text1"/>
                <w:sz w:val="16"/>
              </w:rPr>
              <w:t>1,518</w:t>
            </w:r>
          </w:p>
        </w:tc>
      </w:tr>
      <w:tr w:rsidR="00FA5543" w:rsidRPr="00F66162" w14:paraId="24EEA559" w14:textId="77777777" w:rsidTr="139DF8FE">
        <w:trPr>
          <w:trHeight w:val="300"/>
        </w:trPr>
        <w:tc>
          <w:tcPr>
            <w:tcW w:w="4027" w:type="dxa"/>
            <w:tcBorders>
              <w:top w:val="nil"/>
              <w:left w:val="single" w:sz="8" w:space="0" w:color="auto"/>
              <w:bottom w:val="single" w:sz="8" w:space="0" w:color="auto"/>
              <w:right w:val="single" w:sz="8" w:space="0" w:color="auto"/>
            </w:tcBorders>
            <w:shd w:val="clear" w:color="auto" w:fill="CCCCCC"/>
            <w:vAlign w:val="center"/>
            <w:hideMark/>
          </w:tcPr>
          <w:p w14:paraId="3BA32CC4" w14:textId="77777777" w:rsidR="00FA5543" w:rsidRPr="00F66162" w:rsidRDefault="00FA5543" w:rsidP="00390489">
            <w:pPr>
              <w:spacing w:before="0" w:after="0"/>
              <w:jc w:val="center"/>
              <w:rPr>
                <w:b/>
                <w:bCs/>
                <w:noProof/>
                <w:color w:val="000000"/>
                <w:sz w:val="16"/>
                <w:szCs w:val="16"/>
              </w:rPr>
            </w:pPr>
            <w:r w:rsidRPr="00F66162">
              <w:rPr>
                <w:b/>
                <w:noProof/>
                <w:color w:val="000000"/>
                <w:sz w:val="16"/>
              </w:rPr>
              <w:t>Suma cząstkowa DZIAŁ 7</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7DF93E41" w14:textId="77777777" w:rsidR="00FA5543" w:rsidRPr="00F66162" w:rsidRDefault="60D565DF" w:rsidP="139DF8FE">
            <w:pPr>
              <w:spacing w:before="0" w:after="0"/>
              <w:jc w:val="right"/>
              <w:rPr>
                <w:rFonts w:eastAsia="Times New Roman"/>
                <w:noProof/>
                <w:sz w:val="16"/>
                <w:szCs w:val="16"/>
              </w:rPr>
            </w:pPr>
            <w:r w:rsidRPr="00F66162">
              <w:rPr>
                <w:b/>
                <w:noProof/>
                <w:color w:val="000000" w:themeColor="text1"/>
                <w:sz w:val="16"/>
              </w:rPr>
              <w:t>9,576</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DD648C2" w14:textId="77777777" w:rsidR="00FA5543" w:rsidRPr="00F66162" w:rsidRDefault="60D565DF" w:rsidP="139DF8FE">
            <w:pPr>
              <w:spacing w:before="0" w:after="0"/>
              <w:jc w:val="right"/>
              <w:rPr>
                <w:rFonts w:eastAsia="Times New Roman"/>
                <w:noProof/>
                <w:sz w:val="16"/>
                <w:szCs w:val="16"/>
              </w:rPr>
            </w:pPr>
            <w:r w:rsidRPr="00F66162">
              <w:rPr>
                <w:b/>
                <w:noProof/>
                <w:color w:val="000000" w:themeColor="text1"/>
                <w:sz w:val="16"/>
              </w:rPr>
              <w:t>6,571</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00B23224" w14:textId="77777777" w:rsidR="00FA5543" w:rsidRPr="00F66162" w:rsidRDefault="60D565DF" w:rsidP="139DF8FE">
            <w:pPr>
              <w:spacing w:before="0" w:after="0"/>
              <w:jc w:val="right"/>
              <w:rPr>
                <w:rFonts w:eastAsia="Times New Roman"/>
                <w:noProof/>
                <w:sz w:val="16"/>
                <w:szCs w:val="16"/>
              </w:rPr>
            </w:pPr>
            <w:r w:rsidRPr="00F66162">
              <w:rPr>
                <w:b/>
                <w:noProof/>
                <w:color w:val="000000" w:themeColor="text1"/>
                <w:sz w:val="16"/>
              </w:rPr>
              <w:t>9,046</w:t>
            </w:r>
          </w:p>
        </w:tc>
        <w:tc>
          <w:tcPr>
            <w:tcW w:w="930" w:type="dxa"/>
            <w:tcBorders>
              <w:top w:val="nil"/>
              <w:left w:val="nil"/>
              <w:bottom w:val="single" w:sz="8" w:space="0" w:color="auto"/>
              <w:right w:val="single" w:sz="8" w:space="0" w:color="auto"/>
            </w:tcBorders>
            <w:shd w:val="clear" w:color="auto" w:fill="D9D9D9" w:themeFill="background1" w:themeFillShade="D9"/>
            <w:vAlign w:val="center"/>
            <w:hideMark/>
          </w:tcPr>
          <w:p w14:paraId="4F3A45A0" w14:textId="77777777" w:rsidR="00FA5543" w:rsidRPr="00F66162" w:rsidRDefault="60D565DF" w:rsidP="139DF8FE">
            <w:pPr>
              <w:spacing w:before="0" w:after="0"/>
              <w:jc w:val="right"/>
              <w:rPr>
                <w:rFonts w:eastAsia="Times New Roman"/>
                <w:noProof/>
                <w:sz w:val="16"/>
                <w:szCs w:val="16"/>
              </w:rPr>
            </w:pPr>
            <w:r w:rsidRPr="00F66162">
              <w:rPr>
                <w:b/>
                <w:noProof/>
                <w:color w:val="000000" w:themeColor="text1"/>
                <w:sz w:val="16"/>
              </w:rPr>
              <w:t>12,012</w:t>
            </w:r>
          </w:p>
        </w:tc>
        <w:tc>
          <w:tcPr>
            <w:tcW w:w="1251" w:type="dxa"/>
            <w:tcBorders>
              <w:top w:val="nil"/>
              <w:left w:val="nil"/>
              <w:bottom w:val="single" w:sz="8" w:space="0" w:color="auto"/>
              <w:right w:val="single" w:sz="8" w:space="0" w:color="auto"/>
            </w:tcBorders>
            <w:shd w:val="clear" w:color="auto" w:fill="D9D9D9" w:themeFill="background1" w:themeFillShade="D9"/>
            <w:vAlign w:val="center"/>
            <w:hideMark/>
          </w:tcPr>
          <w:p w14:paraId="098DEDF6" w14:textId="77777777" w:rsidR="00FA5543" w:rsidRPr="00F66162" w:rsidRDefault="60D565DF" w:rsidP="139DF8FE">
            <w:pPr>
              <w:spacing w:before="0" w:after="0"/>
              <w:jc w:val="right"/>
              <w:rPr>
                <w:rFonts w:eastAsia="Times New Roman"/>
                <w:noProof/>
                <w:sz w:val="16"/>
                <w:szCs w:val="16"/>
              </w:rPr>
            </w:pPr>
            <w:r w:rsidRPr="00F66162">
              <w:rPr>
                <w:b/>
                <w:noProof/>
                <w:color w:val="000000" w:themeColor="text1"/>
                <w:sz w:val="16"/>
              </w:rPr>
              <w:t>36,801</w:t>
            </w:r>
          </w:p>
        </w:tc>
      </w:tr>
      <w:tr w:rsidR="00FA5543" w:rsidRPr="00F66162" w14:paraId="20438E08" w14:textId="77777777" w:rsidTr="139DF8FE">
        <w:trPr>
          <w:trHeight w:val="300"/>
        </w:trPr>
        <w:tc>
          <w:tcPr>
            <w:tcW w:w="9289"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724A1CE6" w14:textId="77777777" w:rsidR="00FA5543" w:rsidRPr="00F66162" w:rsidRDefault="00FA5543" w:rsidP="00390489">
            <w:pPr>
              <w:spacing w:before="0" w:after="0"/>
              <w:jc w:val="left"/>
              <w:rPr>
                <w:b/>
                <w:bCs/>
                <w:noProof/>
                <w:sz w:val="16"/>
                <w:szCs w:val="16"/>
              </w:rPr>
            </w:pPr>
            <w:r w:rsidRPr="00F66162">
              <w:rPr>
                <w:b/>
                <w:noProof/>
                <w:sz w:val="16"/>
              </w:rPr>
              <w:t>Poza DZIAŁEM 7</w:t>
            </w:r>
          </w:p>
        </w:tc>
      </w:tr>
      <w:tr w:rsidR="00FA5543" w:rsidRPr="00F66162" w14:paraId="455856C6" w14:textId="77777777" w:rsidTr="139DF8FE">
        <w:trPr>
          <w:trHeight w:val="300"/>
        </w:trPr>
        <w:tc>
          <w:tcPr>
            <w:tcW w:w="4027" w:type="dxa"/>
            <w:tcBorders>
              <w:top w:val="nil"/>
              <w:left w:val="single" w:sz="8" w:space="0" w:color="auto"/>
              <w:bottom w:val="single" w:sz="8" w:space="0" w:color="auto"/>
              <w:right w:val="single" w:sz="8" w:space="0" w:color="auto"/>
            </w:tcBorders>
            <w:shd w:val="clear" w:color="auto" w:fill="auto"/>
            <w:vAlign w:val="center"/>
            <w:hideMark/>
          </w:tcPr>
          <w:p w14:paraId="5AAC80BA" w14:textId="77777777" w:rsidR="00FA5543" w:rsidRPr="00F66162" w:rsidRDefault="00FA5543" w:rsidP="00390489">
            <w:pPr>
              <w:spacing w:before="0" w:after="0"/>
              <w:jc w:val="left"/>
              <w:rPr>
                <w:noProof/>
                <w:color w:val="000000"/>
                <w:sz w:val="16"/>
                <w:szCs w:val="16"/>
              </w:rPr>
            </w:pPr>
            <w:r w:rsidRPr="00F66162">
              <w:rPr>
                <w:noProof/>
                <w:color w:val="000000"/>
                <w:sz w:val="16"/>
              </w:rPr>
              <w:t xml:space="preserve">Zasoby ludzkie </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6D345C6" w14:textId="77777777" w:rsidR="00FA5543" w:rsidRPr="00F66162" w:rsidRDefault="00FA5543" w:rsidP="00390489">
            <w:pPr>
              <w:spacing w:before="0" w:after="0"/>
              <w:jc w:val="right"/>
              <w:rPr>
                <w:noProof/>
                <w:color w:val="000000"/>
                <w:sz w:val="16"/>
                <w:szCs w:val="16"/>
              </w:rPr>
            </w:pPr>
            <w:r w:rsidRPr="00F66162">
              <w:rPr>
                <w:noProof/>
                <w:color w:val="000000"/>
                <w:sz w:val="16"/>
              </w:rPr>
              <w:t>0,000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12288D7B" w14:textId="77777777" w:rsidR="00FA5543" w:rsidRPr="00F66162" w:rsidRDefault="00FA5543" w:rsidP="00390489">
            <w:pPr>
              <w:spacing w:before="0" w:after="0"/>
              <w:jc w:val="right"/>
              <w:rPr>
                <w:noProof/>
                <w:color w:val="000000"/>
                <w:sz w:val="16"/>
                <w:szCs w:val="16"/>
              </w:rPr>
            </w:pPr>
            <w:r w:rsidRPr="00F66162">
              <w:rPr>
                <w:noProof/>
                <w:color w:val="000000"/>
                <w:sz w:val="16"/>
              </w:rPr>
              <w:t>0,000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8C86547" w14:textId="77777777" w:rsidR="00FA5543" w:rsidRPr="00F66162" w:rsidRDefault="00FA5543" w:rsidP="00390489">
            <w:pPr>
              <w:spacing w:before="0" w:after="0"/>
              <w:jc w:val="right"/>
              <w:rPr>
                <w:noProof/>
                <w:color w:val="000000"/>
                <w:sz w:val="16"/>
                <w:szCs w:val="16"/>
              </w:rPr>
            </w:pPr>
            <w:r w:rsidRPr="00F66162">
              <w:rPr>
                <w:noProof/>
                <w:color w:val="000000"/>
                <w:sz w:val="16"/>
              </w:rPr>
              <w:t>0,000</w:t>
            </w:r>
          </w:p>
        </w:tc>
        <w:tc>
          <w:tcPr>
            <w:tcW w:w="930" w:type="dxa"/>
            <w:tcBorders>
              <w:top w:val="nil"/>
              <w:left w:val="nil"/>
              <w:bottom w:val="single" w:sz="8" w:space="0" w:color="auto"/>
              <w:right w:val="single" w:sz="8" w:space="0" w:color="auto"/>
            </w:tcBorders>
            <w:shd w:val="clear" w:color="auto" w:fill="D9D9D9" w:themeFill="background1" w:themeFillShade="D9"/>
            <w:vAlign w:val="center"/>
            <w:hideMark/>
          </w:tcPr>
          <w:p w14:paraId="7AE2141B" w14:textId="77777777" w:rsidR="00FA5543" w:rsidRPr="00F66162" w:rsidRDefault="00FA5543" w:rsidP="00390489">
            <w:pPr>
              <w:spacing w:before="0" w:after="0"/>
              <w:jc w:val="right"/>
              <w:rPr>
                <w:noProof/>
                <w:color w:val="000000"/>
                <w:sz w:val="16"/>
                <w:szCs w:val="16"/>
              </w:rPr>
            </w:pPr>
            <w:r w:rsidRPr="00F66162">
              <w:rPr>
                <w:noProof/>
                <w:color w:val="000000"/>
                <w:sz w:val="16"/>
              </w:rPr>
              <w:t>0,000</w:t>
            </w:r>
          </w:p>
        </w:tc>
        <w:tc>
          <w:tcPr>
            <w:tcW w:w="1251" w:type="dxa"/>
            <w:tcBorders>
              <w:top w:val="nil"/>
              <w:left w:val="nil"/>
              <w:bottom w:val="single" w:sz="8" w:space="0" w:color="auto"/>
              <w:right w:val="single" w:sz="8" w:space="0" w:color="auto"/>
            </w:tcBorders>
            <w:shd w:val="clear" w:color="auto" w:fill="D9D9D9" w:themeFill="background1" w:themeFillShade="D9"/>
            <w:vAlign w:val="center"/>
            <w:hideMark/>
          </w:tcPr>
          <w:p w14:paraId="4E2A3C4E" w14:textId="77777777" w:rsidR="00FA5543" w:rsidRPr="00F66162" w:rsidRDefault="00FA5543" w:rsidP="00390489">
            <w:pPr>
              <w:spacing w:before="0" w:after="0"/>
              <w:jc w:val="right"/>
              <w:rPr>
                <w:b/>
                <w:bCs/>
                <w:noProof/>
                <w:color w:val="000000"/>
                <w:sz w:val="16"/>
                <w:szCs w:val="16"/>
              </w:rPr>
            </w:pPr>
            <w:r w:rsidRPr="00F66162">
              <w:rPr>
                <w:b/>
                <w:noProof/>
                <w:color w:val="000000"/>
                <w:sz w:val="16"/>
              </w:rPr>
              <w:t>0,000</w:t>
            </w:r>
          </w:p>
        </w:tc>
      </w:tr>
      <w:tr w:rsidR="00FA5543" w:rsidRPr="00F66162" w14:paraId="5F0AF35F" w14:textId="77777777" w:rsidTr="139DF8FE">
        <w:trPr>
          <w:trHeight w:val="300"/>
        </w:trPr>
        <w:tc>
          <w:tcPr>
            <w:tcW w:w="4027" w:type="dxa"/>
            <w:tcBorders>
              <w:top w:val="nil"/>
              <w:left w:val="single" w:sz="8" w:space="0" w:color="auto"/>
              <w:bottom w:val="single" w:sz="8" w:space="0" w:color="auto"/>
              <w:right w:val="single" w:sz="8" w:space="0" w:color="auto"/>
            </w:tcBorders>
            <w:shd w:val="clear" w:color="auto" w:fill="auto"/>
            <w:vAlign w:val="center"/>
            <w:hideMark/>
          </w:tcPr>
          <w:p w14:paraId="6905CCFC" w14:textId="4E27B24C" w:rsidR="00FA5543" w:rsidRPr="00F66162" w:rsidRDefault="00FA5543" w:rsidP="00390489">
            <w:pPr>
              <w:spacing w:before="0" w:after="0"/>
              <w:jc w:val="left"/>
              <w:rPr>
                <w:noProof/>
                <w:color w:val="000000"/>
                <w:sz w:val="16"/>
                <w:szCs w:val="16"/>
              </w:rPr>
            </w:pPr>
            <w:r w:rsidRPr="00F66162">
              <w:rPr>
                <w:noProof/>
                <w:color w:val="000000"/>
                <w:sz w:val="16"/>
              </w:rPr>
              <w:t>Pozostałe wydatki</w:t>
            </w:r>
            <w:r w:rsidR="00825614" w:rsidRPr="00F66162">
              <w:rPr>
                <w:noProof/>
                <w:color w:val="000000"/>
                <w:sz w:val="16"/>
              </w:rPr>
              <w:t xml:space="preserve"> o</w:t>
            </w:r>
            <w:r w:rsidR="00825614">
              <w:rPr>
                <w:noProof/>
                <w:color w:val="000000"/>
                <w:sz w:val="16"/>
              </w:rPr>
              <w:t> </w:t>
            </w:r>
            <w:r w:rsidR="00825614" w:rsidRPr="00F66162">
              <w:rPr>
                <w:noProof/>
                <w:color w:val="000000"/>
                <w:sz w:val="16"/>
              </w:rPr>
              <w:t>cha</w:t>
            </w:r>
            <w:r w:rsidRPr="00F66162">
              <w:rPr>
                <w:noProof/>
                <w:color w:val="000000"/>
                <w:sz w:val="16"/>
              </w:rPr>
              <w:t>rakterze administracyjnym</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1E95BE55" w14:textId="77777777" w:rsidR="00FA5543" w:rsidRPr="00F66162" w:rsidRDefault="00FA5543" w:rsidP="00390489">
            <w:pPr>
              <w:spacing w:before="0" w:after="0"/>
              <w:jc w:val="right"/>
              <w:rPr>
                <w:noProof/>
                <w:color w:val="000000"/>
                <w:sz w:val="16"/>
                <w:szCs w:val="16"/>
              </w:rPr>
            </w:pPr>
            <w:r w:rsidRPr="00F66162">
              <w:rPr>
                <w:noProof/>
                <w:color w:val="000000"/>
                <w:sz w:val="16"/>
              </w:rPr>
              <w:t>0,000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71B39419" w14:textId="77777777" w:rsidR="00FA5543" w:rsidRPr="00F66162" w:rsidRDefault="00FA5543" w:rsidP="00390489">
            <w:pPr>
              <w:spacing w:before="0" w:after="0"/>
              <w:jc w:val="right"/>
              <w:rPr>
                <w:noProof/>
                <w:color w:val="000000"/>
                <w:sz w:val="16"/>
                <w:szCs w:val="16"/>
              </w:rPr>
            </w:pPr>
            <w:r w:rsidRPr="00F66162">
              <w:rPr>
                <w:noProof/>
                <w:color w:val="000000"/>
                <w:sz w:val="16"/>
              </w:rPr>
              <w:t>0,000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11457F64" w14:textId="77777777" w:rsidR="00FA5543" w:rsidRPr="00F66162" w:rsidRDefault="00FA5543" w:rsidP="00390489">
            <w:pPr>
              <w:spacing w:before="0" w:after="0"/>
              <w:jc w:val="right"/>
              <w:rPr>
                <w:noProof/>
                <w:color w:val="000000"/>
                <w:sz w:val="16"/>
                <w:szCs w:val="16"/>
              </w:rPr>
            </w:pPr>
            <w:r w:rsidRPr="00F66162">
              <w:rPr>
                <w:noProof/>
                <w:color w:val="000000"/>
                <w:sz w:val="16"/>
              </w:rPr>
              <w:t>0,000</w:t>
            </w:r>
          </w:p>
        </w:tc>
        <w:tc>
          <w:tcPr>
            <w:tcW w:w="930" w:type="dxa"/>
            <w:tcBorders>
              <w:top w:val="nil"/>
              <w:left w:val="nil"/>
              <w:bottom w:val="single" w:sz="8" w:space="0" w:color="auto"/>
              <w:right w:val="single" w:sz="8" w:space="0" w:color="auto"/>
            </w:tcBorders>
            <w:shd w:val="clear" w:color="auto" w:fill="D9D9D9" w:themeFill="background1" w:themeFillShade="D9"/>
            <w:vAlign w:val="center"/>
            <w:hideMark/>
          </w:tcPr>
          <w:p w14:paraId="3234DFFE" w14:textId="77777777" w:rsidR="00FA5543" w:rsidRPr="00F66162" w:rsidRDefault="00FA5543" w:rsidP="00390489">
            <w:pPr>
              <w:spacing w:before="0" w:after="0"/>
              <w:jc w:val="right"/>
              <w:rPr>
                <w:noProof/>
                <w:color w:val="000000"/>
                <w:sz w:val="16"/>
                <w:szCs w:val="16"/>
              </w:rPr>
            </w:pPr>
            <w:r w:rsidRPr="00F66162">
              <w:rPr>
                <w:noProof/>
                <w:color w:val="000000"/>
                <w:sz w:val="16"/>
              </w:rPr>
              <w:t>0,000</w:t>
            </w:r>
          </w:p>
        </w:tc>
        <w:tc>
          <w:tcPr>
            <w:tcW w:w="1251" w:type="dxa"/>
            <w:tcBorders>
              <w:top w:val="nil"/>
              <w:left w:val="nil"/>
              <w:bottom w:val="single" w:sz="8" w:space="0" w:color="auto"/>
              <w:right w:val="single" w:sz="8" w:space="0" w:color="auto"/>
            </w:tcBorders>
            <w:shd w:val="clear" w:color="auto" w:fill="D9D9D9" w:themeFill="background1" w:themeFillShade="D9"/>
            <w:vAlign w:val="center"/>
            <w:hideMark/>
          </w:tcPr>
          <w:p w14:paraId="3181E3BF" w14:textId="77777777" w:rsidR="00FA5543" w:rsidRPr="00F66162" w:rsidRDefault="00FA5543" w:rsidP="00390489">
            <w:pPr>
              <w:spacing w:before="0" w:after="0"/>
              <w:jc w:val="right"/>
              <w:rPr>
                <w:b/>
                <w:bCs/>
                <w:noProof/>
                <w:color w:val="000000"/>
                <w:sz w:val="16"/>
                <w:szCs w:val="16"/>
              </w:rPr>
            </w:pPr>
            <w:r w:rsidRPr="00F66162">
              <w:rPr>
                <w:b/>
                <w:noProof/>
                <w:color w:val="000000"/>
                <w:sz w:val="16"/>
              </w:rPr>
              <w:t>0,000</w:t>
            </w:r>
          </w:p>
        </w:tc>
      </w:tr>
      <w:tr w:rsidR="00FA5543" w:rsidRPr="00F66162" w14:paraId="3269313B" w14:textId="77777777" w:rsidTr="139DF8FE">
        <w:trPr>
          <w:trHeight w:val="300"/>
        </w:trPr>
        <w:tc>
          <w:tcPr>
            <w:tcW w:w="4027" w:type="dxa"/>
            <w:tcBorders>
              <w:top w:val="nil"/>
              <w:left w:val="single" w:sz="8" w:space="0" w:color="auto"/>
              <w:bottom w:val="single" w:sz="8" w:space="0" w:color="auto"/>
              <w:right w:val="single" w:sz="8" w:space="0" w:color="auto"/>
            </w:tcBorders>
            <w:shd w:val="clear" w:color="auto" w:fill="CCCCCC"/>
            <w:vAlign w:val="center"/>
            <w:hideMark/>
          </w:tcPr>
          <w:p w14:paraId="42276D50" w14:textId="77777777" w:rsidR="00FA5543" w:rsidRPr="00F66162" w:rsidRDefault="00FA5543" w:rsidP="00390489">
            <w:pPr>
              <w:spacing w:before="0" w:after="0"/>
              <w:jc w:val="center"/>
              <w:rPr>
                <w:b/>
                <w:bCs/>
                <w:noProof/>
                <w:color w:val="000000"/>
                <w:sz w:val="16"/>
                <w:szCs w:val="16"/>
              </w:rPr>
            </w:pPr>
            <w:r w:rsidRPr="00F66162">
              <w:rPr>
                <w:b/>
                <w:noProof/>
                <w:color w:val="000000"/>
                <w:sz w:val="16"/>
              </w:rPr>
              <w:t>Suma cząstkowa poza DZIAŁEM 7</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7D995BD1" w14:textId="77777777" w:rsidR="00FA5543" w:rsidRPr="00F66162" w:rsidRDefault="00FA5543" w:rsidP="00390489">
            <w:pPr>
              <w:spacing w:before="0" w:after="0"/>
              <w:jc w:val="right"/>
              <w:rPr>
                <w:b/>
                <w:bCs/>
                <w:noProof/>
                <w:color w:val="000000"/>
                <w:sz w:val="16"/>
                <w:szCs w:val="16"/>
              </w:rPr>
            </w:pPr>
            <w:r w:rsidRPr="00F66162">
              <w:rPr>
                <w:b/>
                <w:noProof/>
                <w:color w:val="000000"/>
                <w:sz w:val="16"/>
              </w:rPr>
              <w:t>0,000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7F64653F" w14:textId="77777777" w:rsidR="00FA5543" w:rsidRPr="00F66162" w:rsidRDefault="00FA5543" w:rsidP="00390489">
            <w:pPr>
              <w:spacing w:before="0" w:after="0"/>
              <w:jc w:val="right"/>
              <w:rPr>
                <w:b/>
                <w:bCs/>
                <w:noProof/>
                <w:color w:val="000000"/>
                <w:sz w:val="16"/>
                <w:szCs w:val="16"/>
              </w:rPr>
            </w:pPr>
            <w:r w:rsidRPr="00F66162">
              <w:rPr>
                <w:b/>
                <w:noProof/>
                <w:color w:val="000000"/>
                <w:sz w:val="16"/>
              </w:rPr>
              <w:t>0,000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498D19B2" w14:textId="77777777" w:rsidR="00FA5543" w:rsidRPr="00F66162" w:rsidRDefault="00FA5543" w:rsidP="00390489">
            <w:pPr>
              <w:spacing w:before="0" w:after="0"/>
              <w:jc w:val="right"/>
              <w:rPr>
                <w:b/>
                <w:bCs/>
                <w:noProof/>
                <w:color w:val="000000"/>
                <w:sz w:val="16"/>
                <w:szCs w:val="16"/>
              </w:rPr>
            </w:pPr>
            <w:r w:rsidRPr="00F66162">
              <w:rPr>
                <w:b/>
                <w:noProof/>
                <w:color w:val="000000"/>
                <w:sz w:val="16"/>
              </w:rPr>
              <w:t>0,000</w:t>
            </w:r>
          </w:p>
        </w:tc>
        <w:tc>
          <w:tcPr>
            <w:tcW w:w="930" w:type="dxa"/>
            <w:tcBorders>
              <w:top w:val="nil"/>
              <w:left w:val="nil"/>
              <w:bottom w:val="single" w:sz="8" w:space="0" w:color="auto"/>
              <w:right w:val="single" w:sz="8" w:space="0" w:color="auto"/>
            </w:tcBorders>
            <w:shd w:val="clear" w:color="auto" w:fill="D9D9D9" w:themeFill="background1" w:themeFillShade="D9"/>
            <w:vAlign w:val="center"/>
            <w:hideMark/>
          </w:tcPr>
          <w:p w14:paraId="451FAC96" w14:textId="77777777" w:rsidR="00FA5543" w:rsidRPr="00F66162" w:rsidRDefault="00FA5543" w:rsidP="00390489">
            <w:pPr>
              <w:spacing w:before="0" w:after="0"/>
              <w:jc w:val="right"/>
              <w:rPr>
                <w:b/>
                <w:bCs/>
                <w:noProof/>
                <w:color w:val="000000"/>
                <w:sz w:val="16"/>
                <w:szCs w:val="16"/>
              </w:rPr>
            </w:pPr>
            <w:r w:rsidRPr="00F66162">
              <w:rPr>
                <w:b/>
                <w:noProof/>
                <w:color w:val="000000"/>
                <w:sz w:val="16"/>
              </w:rPr>
              <w:t>0,000</w:t>
            </w:r>
          </w:p>
        </w:tc>
        <w:tc>
          <w:tcPr>
            <w:tcW w:w="1251" w:type="dxa"/>
            <w:tcBorders>
              <w:top w:val="nil"/>
              <w:left w:val="nil"/>
              <w:bottom w:val="single" w:sz="8" w:space="0" w:color="auto"/>
              <w:right w:val="single" w:sz="8" w:space="0" w:color="auto"/>
            </w:tcBorders>
            <w:shd w:val="clear" w:color="auto" w:fill="D9D9D9" w:themeFill="background1" w:themeFillShade="D9"/>
            <w:vAlign w:val="center"/>
            <w:hideMark/>
          </w:tcPr>
          <w:p w14:paraId="6B2CD80C" w14:textId="77777777" w:rsidR="00FA5543" w:rsidRPr="00F66162" w:rsidRDefault="00FA5543" w:rsidP="00390489">
            <w:pPr>
              <w:spacing w:before="0" w:after="0"/>
              <w:jc w:val="right"/>
              <w:rPr>
                <w:b/>
                <w:bCs/>
                <w:noProof/>
                <w:color w:val="000000"/>
                <w:sz w:val="16"/>
                <w:szCs w:val="16"/>
              </w:rPr>
            </w:pPr>
            <w:r w:rsidRPr="00F66162">
              <w:rPr>
                <w:b/>
                <w:noProof/>
                <w:color w:val="000000"/>
                <w:sz w:val="16"/>
              </w:rPr>
              <w:t>0,000</w:t>
            </w:r>
          </w:p>
        </w:tc>
      </w:tr>
      <w:tr w:rsidR="00FA5543" w:rsidRPr="00F66162" w14:paraId="7695DA03" w14:textId="77777777" w:rsidTr="139DF8FE">
        <w:trPr>
          <w:trHeight w:val="300"/>
        </w:trPr>
        <w:tc>
          <w:tcPr>
            <w:tcW w:w="9289"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8927B6E" w14:textId="77777777" w:rsidR="00FA5543" w:rsidRPr="00F66162" w:rsidRDefault="00FA5543" w:rsidP="00390489">
            <w:pPr>
              <w:spacing w:before="0" w:after="0"/>
              <w:jc w:val="center"/>
              <w:rPr>
                <w:noProof/>
                <w:color w:val="000000"/>
                <w:sz w:val="16"/>
                <w:szCs w:val="16"/>
              </w:rPr>
            </w:pPr>
            <w:r w:rsidRPr="00F66162">
              <w:rPr>
                <w:noProof/>
                <w:color w:val="000000"/>
                <w:sz w:val="16"/>
              </w:rPr>
              <w:t xml:space="preserve"> </w:t>
            </w:r>
          </w:p>
        </w:tc>
      </w:tr>
      <w:tr w:rsidR="00FA5543" w:rsidRPr="00F66162" w14:paraId="7E4A3C67" w14:textId="77777777" w:rsidTr="139DF8FE">
        <w:trPr>
          <w:trHeight w:val="300"/>
        </w:trPr>
        <w:tc>
          <w:tcPr>
            <w:tcW w:w="4027" w:type="dxa"/>
            <w:tcBorders>
              <w:top w:val="nil"/>
              <w:left w:val="single" w:sz="8" w:space="0" w:color="auto"/>
              <w:bottom w:val="single" w:sz="8" w:space="0" w:color="auto"/>
              <w:right w:val="single" w:sz="8" w:space="0" w:color="auto"/>
            </w:tcBorders>
            <w:shd w:val="clear" w:color="auto" w:fill="auto"/>
            <w:vAlign w:val="center"/>
            <w:hideMark/>
          </w:tcPr>
          <w:p w14:paraId="6DD9A7FD" w14:textId="77777777" w:rsidR="00FA5543" w:rsidRPr="00F66162" w:rsidRDefault="00FA5543" w:rsidP="00390489">
            <w:pPr>
              <w:spacing w:before="0" w:after="0"/>
              <w:jc w:val="center"/>
              <w:rPr>
                <w:b/>
                <w:bCs/>
                <w:noProof/>
                <w:color w:val="000000"/>
                <w:sz w:val="16"/>
                <w:szCs w:val="16"/>
              </w:rPr>
            </w:pPr>
            <w:r w:rsidRPr="00F66162">
              <w:rPr>
                <w:b/>
                <w:noProof/>
                <w:color w:val="000000"/>
                <w:sz w:val="16"/>
              </w:rPr>
              <w:t>OGÓŁEM</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20E7B56" w14:textId="77777777" w:rsidR="00FA5543" w:rsidRPr="00F66162" w:rsidRDefault="00D40C57" w:rsidP="139DF8FE">
            <w:pPr>
              <w:spacing w:before="0" w:after="0"/>
              <w:jc w:val="right"/>
              <w:rPr>
                <w:rFonts w:eastAsia="Times New Roman"/>
                <w:noProof/>
                <w:sz w:val="16"/>
                <w:szCs w:val="16"/>
              </w:rPr>
            </w:pPr>
            <w:r w:rsidRPr="00F66162">
              <w:rPr>
                <w:b/>
                <w:noProof/>
                <w:color w:val="000000" w:themeColor="text1"/>
                <w:sz w:val="16"/>
              </w:rPr>
              <w:t>9,576</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109E77C6" w14:textId="77777777" w:rsidR="00FA5543" w:rsidRPr="00F66162" w:rsidRDefault="00D40C57" w:rsidP="139DF8FE">
            <w:pPr>
              <w:spacing w:before="0" w:after="0"/>
              <w:jc w:val="right"/>
              <w:rPr>
                <w:rFonts w:eastAsia="Times New Roman"/>
                <w:noProof/>
                <w:sz w:val="16"/>
                <w:szCs w:val="16"/>
              </w:rPr>
            </w:pPr>
            <w:r w:rsidRPr="00F66162">
              <w:rPr>
                <w:b/>
                <w:noProof/>
                <w:color w:val="000000" w:themeColor="text1"/>
                <w:sz w:val="16"/>
              </w:rPr>
              <w:t>6,571</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A659F21" w14:textId="77777777" w:rsidR="00FA5543" w:rsidRPr="00F66162" w:rsidRDefault="00D40C57" w:rsidP="139DF8FE">
            <w:pPr>
              <w:spacing w:before="0" w:after="0"/>
              <w:jc w:val="right"/>
              <w:rPr>
                <w:rFonts w:eastAsia="Times New Roman"/>
                <w:noProof/>
                <w:sz w:val="16"/>
                <w:szCs w:val="16"/>
              </w:rPr>
            </w:pPr>
            <w:r w:rsidRPr="00F66162">
              <w:rPr>
                <w:b/>
                <w:noProof/>
                <w:color w:val="000000" w:themeColor="text1"/>
                <w:sz w:val="16"/>
              </w:rPr>
              <w:t>9,046</w:t>
            </w:r>
          </w:p>
        </w:tc>
        <w:tc>
          <w:tcPr>
            <w:tcW w:w="930" w:type="dxa"/>
            <w:tcBorders>
              <w:top w:val="nil"/>
              <w:left w:val="nil"/>
              <w:bottom w:val="single" w:sz="8" w:space="0" w:color="auto"/>
              <w:right w:val="single" w:sz="8" w:space="0" w:color="auto"/>
            </w:tcBorders>
            <w:shd w:val="clear" w:color="auto" w:fill="D9D9D9" w:themeFill="background1" w:themeFillShade="D9"/>
            <w:vAlign w:val="center"/>
            <w:hideMark/>
          </w:tcPr>
          <w:p w14:paraId="1796714F" w14:textId="77777777" w:rsidR="00FA5543" w:rsidRPr="00F66162" w:rsidRDefault="00D40C57" w:rsidP="139DF8FE">
            <w:pPr>
              <w:spacing w:before="0" w:after="0"/>
              <w:jc w:val="right"/>
              <w:rPr>
                <w:rFonts w:eastAsia="Times New Roman"/>
                <w:noProof/>
                <w:sz w:val="16"/>
                <w:szCs w:val="16"/>
              </w:rPr>
            </w:pPr>
            <w:r w:rsidRPr="00F66162">
              <w:rPr>
                <w:b/>
                <w:noProof/>
                <w:color w:val="000000" w:themeColor="text1"/>
                <w:sz w:val="16"/>
              </w:rPr>
              <w:t>12,012</w:t>
            </w:r>
          </w:p>
        </w:tc>
        <w:tc>
          <w:tcPr>
            <w:tcW w:w="1251" w:type="dxa"/>
            <w:tcBorders>
              <w:top w:val="nil"/>
              <w:left w:val="nil"/>
              <w:bottom w:val="single" w:sz="8" w:space="0" w:color="auto"/>
              <w:right w:val="single" w:sz="8" w:space="0" w:color="auto"/>
            </w:tcBorders>
            <w:shd w:val="clear" w:color="auto" w:fill="D9D9D9" w:themeFill="background1" w:themeFillShade="D9"/>
            <w:vAlign w:val="center"/>
            <w:hideMark/>
          </w:tcPr>
          <w:p w14:paraId="01859FA5" w14:textId="77777777" w:rsidR="00FA5543" w:rsidRPr="00F66162" w:rsidRDefault="69F3AE27" w:rsidP="139DF8FE">
            <w:pPr>
              <w:spacing w:before="0" w:after="0"/>
              <w:jc w:val="right"/>
              <w:rPr>
                <w:rFonts w:eastAsia="Times New Roman"/>
                <w:noProof/>
                <w:sz w:val="16"/>
                <w:szCs w:val="16"/>
              </w:rPr>
            </w:pPr>
            <w:r w:rsidRPr="00F66162">
              <w:rPr>
                <w:b/>
                <w:noProof/>
                <w:color w:val="000000" w:themeColor="text1"/>
                <w:sz w:val="16"/>
              </w:rPr>
              <w:t>36,801</w:t>
            </w:r>
          </w:p>
        </w:tc>
      </w:tr>
    </w:tbl>
    <w:p w14:paraId="00FC35DB" w14:textId="5D4C25E4" w:rsidR="00FA5543" w:rsidRPr="00F66162" w:rsidRDefault="00FA5543" w:rsidP="00390489">
      <w:pPr>
        <w:rPr>
          <w:noProof/>
          <w:sz w:val="22"/>
          <w:szCs w:val="28"/>
        </w:rPr>
      </w:pPr>
      <w:r w:rsidRPr="00F66162">
        <w:rPr>
          <w:noProof/>
          <w:sz w:val="22"/>
        </w:rPr>
        <w:t>Potrzeby</w:t>
      </w:r>
      <w:r w:rsidR="00825614" w:rsidRPr="00F66162">
        <w:rPr>
          <w:noProof/>
          <w:sz w:val="22"/>
        </w:rPr>
        <w:t xml:space="preserve"> w</w:t>
      </w:r>
      <w:r w:rsidR="00825614">
        <w:rPr>
          <w:noProof/>
          <w:sz w:val="22"/>
        </w:rPr>
        <w:t> </w:t>
      </w:r>
      <w:r w:rsidR="00825614" w:rsidRPr="00F66162">
        <w:rPr>
          <w:noProof/>
          <w:sz w:val="22"/>
        </w:rPr>
        <w:t>zak</w:t>
      </w:r>
      <w:r w:rsidRPr="00F66162">
        <w:rPr>
          <w:noProof/>
          <w:sz w:val="22"/>
        </w:rPr>
        <w:t>resie środków na zasoby ludzkie</w:t>
      </w:r>
      <w:r w:rsidR="00825614" w:rsidRPr="00F66162">
        <w:rPr>
          <w:noProof/>
          <w:sz w:val="22"/>
        </w:rPr>
        <w:t xml:space="preserve"> i</w:t>
      </w:r>
      <w:r w:rsidR="00825614">
        <w:rPr>
          <w:noProof/>
          <w:sz w:val="22"/>
        </w:rPr>
        <w:t> </w:t>
      </w:r>
      <w:r w:rsidR="00825614" w:rsidRPr="00F66162">
        <w:rPr>
          <w:noProof/>
          <w:sz w:val="22"/>
        </w:rPr>
        <w:t>inn</w:t>
      </w:r>
      <w:r w:rsidRPr="00F66162">
        <w:rPr>
          <w:noProof/>
          <w:sz w:val="22"/>
        </w:rPr>
        <w:t>e wydatki</w:t>
      </w:r>
      <w:r w:rsidR="00825614" w:rsidRPr="00F66162">
        <w:rPr>
          <w:noProof/>
          <w:sz w:val="22"/>
        </w:rPr>
        <w:t xml:space="preserve"> o</w:t>
      </w:r>
      <w:r w:rsidR="00825614">
        <w:rPr>
          <w:noProof/>
          <w:sz w:val="22"/>
        </w:rPr>
        <w:t> </w:t>
      </w:r>
      <w:r w:rsidR="00825614" w:rsidRPr="00F66162">
        <w:rPr>
          <w:noProof/>
          <w:sz w:val="22"/>
        </w:rPr>
        <w:t>cha</w:t>
      </w:r>
      <w:r w:rsidRPr="00F66162">
        <w:rPr>
          <w:noProof/>
          <w:sz w:val="22"/>
        </w:rPr>
        <w:t>rakterze administracyjnym zostaną pokryte ze środków dyrekcji generalnej już przydzielonych na zarządzanie tym działaniem lub przesuniętych</w:t>
      </w:r>
      <w:r w:rsidR="00825614" w:rsidRPr="00F66162">
        <w:rPr>
          <w:noProof/>
          <w:sz w:val="22"/>
        </w:rPr>
        <w:t xml:space="preserve"> w</w:t>
      </w:r>
      <w:r w:rsidR="00825614">
        <w:rPr>
          <w:noProof/>
          <w:sz w:val="22"/>
        </w:rPr>
        <w:t> </w:t>
      </w:r>
      <w:r w:rsidR="00825614" w:rsidRPr="00F66162">
        <w:rPr>
          <w:noProof/>
          <w:sz w:val="22"/>
        </w:rPr>
        <w:t>ram</w:t>
      </w:r>
      <w:r w:rsidRPr="00F66162">
        <w:rPr>
          <w:noProof/>
          <w:sz w:val="22"/>
        </w:rPr>
        <w:t>ach dyrekcji generalnej, uzupełnionych</w:t>
      </w:r>
      <w:r w:rsidR="00825614" w:rsidRPr="00F66162">
        <w:rPr>
          <w:noProof/>
          <w:sz w:val="22"/>
        </w:rPr>
        <w:t xml:space="preserve"> w</w:t>
      </w:r>
      <w:r w:rsidR="00825614">
        <w:rPr>
          <w:noProof/>
          <w:sz w:val="22"/>
        </w:rPr>
        <w:t> </w:t>
      </w:r>
      <w:r w:rsidR="00825614" w:rsidRPr="00F66162">
        <w:rPr>
          <w:noProof/>
          <w:sz w:val="22"/>
        </w:rPr>
        <w:t>raz</w:t>
      </w:r>
      <w:r w:rsidRPr="00F66162">
        <w:rPr>
          <w:noProof/>
          <w:sz w:val="22"/>
        </w:rPr>
        <w:t>ie potrzeby wszelkimi dodatkowymi zasobami, które mogą zostać przydzielone zarządzającej dyrekcji generalnej</w:t>
      </w:r>
      <w:r w:rsidR="00825614" w:rsidRPr="00F66162">
        <w:rPr>
          <w:noProof/>
          <w:sz w:val="22"/>
        </w:rPr>
        <w:t xml:space="preserve"> w</w:t>
      </w:r>
      <w:r w:rsidR="00825614">
        <w:rPr>
          <w:noProof/>
          <w:sz w:val="22"/>
        </w:rPr>
        <w:t> </w:t>
      </w:r>
      <w:r w:rsidR="00825614" w:rsidRPr="00F66162">
        <w:rPr>
          <w:noProof/>
          <w:sz w:val="22"/>
        </w:rPr>
        <w:t>ram</w:t>
      </w:r>
      <w:r w:rsidRPr="00F66162">
        <w:rPr>
          <w:noProof/>
          <w:sz w:val="22"/>
        </w:rPr>
        <w:t>ach procedury rocznego przydziału środków oraz</w:t>
      </w:r>
      <w:r w:rsidR="00825614" w:rsidRPr="00F66162">
        <w:rPr>
          <w:noProof/>
          <w:sz w:val="22"/>
        </w:rPr>
        <w:t xml:space="preserve"> w</w:t>
      </w:r>
      <w:r w:rsidR="00825614">
        <w:rPr>
          <w:noProof/>
          <w:sz w:val="22"/>
        </w:rPr>
        <w:t> </w:t>
      </w:r>
      <w:r w:rsidR="00825614" w:rsidRPr="00F66162">
        <w:rPr>
          <w:noProof/>
          <w:sz w:val="22"/>
        </w:rPr>
        <w:t>świ</w:t>
      </w:r>
      <w:r w:rsidRPr="00F66162">
        <w:rPr>
          <w:noProof/>
          <w:sz w:val="22"/>
        </w:rPr>
        <w:t>etle istniejących ograniczeń budżetowych.</w:t>
      </w:r>
    </w:p>
    <w:p w14:paraId="66AAC9EE" w14:textId="77777777" w:rsidR="00FA5543" w:rsidRPr="00F66162" w:rsidRDefault="00FA5543" w:rsidP="00390489">
      <w:pPr>
        <w:pStyle w:val="ManualHeading3"/>
        <w:rPr>
          <w:bCs/>
          <w:noProof/>
          <w:szCs w:val="24"/>
        </w:rPr>
      </w:pPr>
      <w:r w:rsidRPr="00F66162">
        <w:rPr>
          <w:noProof/>
        </w:rPr>
        <w:t>3.2.4.</w:t>
      </w:r>
      <w:r w:rsidRPr="00F66162">
        <w:rPr>
          <w:noProof/>
        </w:rPr>
        <w:tab/>
        <w:t xml:space="preserve">Szacowane zapotrzebowanie na zasoby ludzkie </w:t>
      </w:r>
    </w:p>
    <w:p w14:paraId="41119238" w14:textId="5E566371" w:rsidR="00FA5543" w:rsidRPr="00F66162" w:rsidRDefault="6C3AF1E0" w:rsidP="00390489">
      <w:pPr>
        <w:pStyle w:val="ListDash1"/>
        <w:rPr>
          <w:noProof/>
        </w:rPr>
      </w:pPr>
      <w:r w:rsidRPr="00F66162">
        <w:rPr>
          <w:rFonts w:ascii="Wingdings" w:hAnsi="Wingdings"/>
          <w:noProof/>
        </w:rPr>
        <w:t></w:t>
      </w:r>
      <w:r w:rsidRPr="00F66162">
        <w:rPr>
          <w:noProof/>
        </w:rPr>
        <w:tab/>
        <w:t>Wniosek/inicjatywa nie wiąże się</w:t>
      </w:r>
      <w:r w:rsidR="00825614" w:rsidRPr="00F66162">
        <w:rPr>
          <w:noProof/>
        </w:rPr>
        <w:t xml:space="preserve"> z</w:t>
      </w:r>
      <w:r w:rsidR="00825614">
        <w:rPr>
          <w:noProof/>
        </w:rPr>
        <w:t> </w:t>
      </w:r>
      <w:r w:rsidR="00825614" w:rsidRPr="00F66162">
        <w:rPr>
          <w:noProof/>
        </w:rPr>
        <w:t>kon</w:t>
      </w:r>
      <w:r w:rsidRPr="00F66162">
        <w:rPr>
          <w:noProof/>
        </w:rPr>
        <w:t xml:space="preserve">iecznością wykorzystania zasobów ludzkich </w:t>
      </w:r>
    </w:p>
    <w:p w14:paraId="5A233CB8" w14:textId="6C9041A9" w:rsidR="00FA5543" w:rsidRPr="00F66162" w:rsidRDefault="0791A15B" w:rsidP="00390489">
      <w:pPr>
        <w:pStyle w:val="ListDash1"/>
        <w:rPr>
          <w:noProof/>
        </w:rPr>
      </w:pPr>
      <w:r w:rsidRPr="00F66162">
        <w:rPr>
          <w:rFonts w:ascii="Wingdings" w:hAnsi="Wingdings"/>
          <w:noProof/>
        </w:rPr>
        <w:t></w:t>
      </w:r>
      <w:r w:rsidRPr="00F66162">
        <w:rPr>
          <w:noProof/>
        </w:rPr>
        <w:tab/>
        <w:t>Wniosek/inicjatywa wiąże się</w:t>
      </w:r>
      <w:r w:rsidR="00825614" w:rsidRPr="00F66162">
        <w:rPr>
          <w:noProof/>
        </w:rPr>
        <w:t xml:space="preserve"> z</w:t>
      </w:r>
      <w:r w:rsidR="00825614">
        <w:rPr>
          <w:noProof/>
        </w:rPr>
        <w:t> </w:t>
      </w:r>
      <w:r w:rsidR="00825614" w:rsidRPr="00F66162">
        <w:rPr>
          <w:noProof/>
        </w:rPr>
        <w:t>kon</w:t>
      </w:r>
      <w:r w:rsidRPr="00F66162">
        <w:rPr>
          <w:noProof/>
        </w:rPr>
        <w:t>iecznością wykorzystania zasobów ludzkich, jak określono poniżej</w:t>
      </w:r>
    </w:p>
    <w:p w14:paraId="14DD3889" w14:textId="6D664223" w:rsidR="00FA5543" w:rsidRPr="00F66162" w:rsidRDefault="00FA5543" w:rsidP="00390489">
      <w:pPr>
        <w:pStyle w:val="ManualHeading3"/>
        <w:rPr>
          <w:noProof/>
        </w:rPr>
      </w:pPr>
      <w:r w:rsidRPr="00F66162">
        <w:rPr>
          <w:noProof/>
        </w:rPr>
        <w:t>3.2.4.1.</w:t>
      </w:r>
      <w:r w:rsidRPr="00F66162">
        <w:rPr>
          <w:noProof/>
        </w:rPr>
        <w:tab/>
        <w:t>Finansowane</w:t>
      </w:r>
      <w:r w:rsidR="00825614" w:rsidRPr="00F66162">
        <w:rPr>
          <w:noProof/>
        </w:rPr>
        <w:t xml:space="preserve"> z</w:t>
      </w:r>
      <w:r w:rsidR="00825614">
        <w:rPr>
          <w:noProof/>
        </w:rPr>
        <w:t> </w:t>
      </w:r>
      <w:r w:rsidR="00825614" w:rsidRPr="00F66162">
        <w:rPr>
          <w:noProof/>
        </w:rPr>
        <w:t>uch</w:t>
      </w:r>
      <w:r w:rsidRPr="00F66162">
        <w:rPr>
          <w:noProof/>
        </w:rPr>
        <w:t>walonego budżetu</w:t>
      </w:r>
    </w:p>
    <w:p w14:paraId="05CEA382" w14:textId="1F8A9284" w:rsidR="00FA5543" w:rsidRPr="00F66162" w:rsidRDefault="6C3AF1E0" w:rsidP="00390489">
      <w:pPr>
        <w:spacing w:after="60"/>
        <w:jc w:val="right"/>
        <w:rPr>
          <w:i/>
          <w:noProof/>
          <w:sz w:val="20"/>
        </w:rPr>
      </w:pPr>
      <w:r w:rsidRPr="00F66162">
        <w:rPr>
          <w:i/>
          <w:noProof/>
          <w:sz w:val="20"/>
        </w:rPr>
        <w:t>Wartości szacunkowe należy wyrazić</w:t>
      </w:r>
      <w:r w:rsidR="00825614" w:rsidRPr="00F66162">
        <w:rPr>
          <w:i/>
          <w:noProof/>
          <w:sz w:val="20"/>
        </w:rPr>
        <w:t xml:space="preserve"> w</w:t>
      </w:r>
      <w:r w:rsidR="00825614">
        <w:rPr>
          <w:i/>
          <w:noProof/>
          <w:sz w:val="20"/>
        </w:rPr>
        <w:t> </w:t>
      </w:r>
      <w:r w:rsidR="00825614" w:rsidRPr="00F66162">
        <w:rPr>
          <w:i/>
          <w:noProof/>
          <w:sz w:val="20"/>
        </w:rPr>
        <w:t>ekw</w:t>
      </w:r>
      <w:r w:rsidRPr="00F66162">
        <w:rPr>
          <w:i/>
          <w:noProof/>
          <w:sz w:val="20"/>
        </w:rPr>
        <w:t>iwalentach pełnego czasu pracy (EPC)</w:t>
      </w:r>
      <w:r w:rsidRPr="00F66162">
        <w:rPr>
          <w:rStyle w:val="Odwoanieprzypisudolnego"/>
          <w:i/>
          <w:iCs/>
          <w:noProof/>
          <w:sz w:val="20"/>
          <w:szCs w:val="20"/>
        </w:rPr>
        <w:footnoteReference w:id="29"/>
      </w:r>
    </w:p>
    <w:p w14:paraId="63636D7E" w14:textId="77777777" w:rsidR="00FA5543" w:rsidRPr="00F66162" w:rsidRDefault="00FA5543" w:rsidP="00390489">
      <w:pPr>
        <w:pStyle w:val="Text1"/>
        <w:spacing w:before="60" w:after="60"/>
        <w:ind w:left="-426" w:right="-427"/>
        <w:rPr>
          <w:b/>
          <w:noProof/>
          <w:sz w:val="18"/>
          <w:szCs w:val="18"/>
        </w:rPr>
      </w:pPr>
    </w:p>
    <w:tbl>
      <w:tblPr>
        <w:tblW w:w="5000" w:type="pct"/>
        <w:tblLook w:val="04A0" w:firstRow="1" w:lastRow="0" w:firstColumn="1" w:lastColumn="0" w:noHBand="0" w:noVBand="1"/>
      </w:tblPr>
      <w:tblGrid>
        <w:gridCol w:w="1476"/>
        <w:gridCol w:w="3799"/>
        <w:gridCol w:w="945"/>
        <w:gridCol w:w="945"/>
        <w:gridCol w:w="945"/>
        <w:gridCol w:w="943"/>
      </w:tblGrid>
      <w:tr w:rsidR="00FA5543" w:rsidRPr="00F66162" w14:paraId="5BAF00FB" w14:textId="77777777" w:rsidTr="139DF8FE">
        <w:trPr>
          <w:trHeight w:val="300"/>
        </w:trPr>
        <w:tc>
          <w:tcPr>
            <w:tcW w:w="2913" w:type="pct"/>
            <w:gridSpan w:val="2"/>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786C6E9C" w14:textId="77777777" w:rsidR="00FA5543" w:rsidRPr="00F66162" w:rsidRDefault="00FA5543" w:rsidP="00390489">
            <w:pPr>
              <w:spacing w:before="0" w:after="0"/>
              <w:jc w:val="center"/>
              <w:rPr>
                <w:b/>
                <w:bCs/>
                <w:noProof/>
                <w:color w:val="000000"/>
                <w:sz w:val="18"/>
                <w:szCs w:val="18"/>
              </w:rPr>
            </w:pPr>
            <w:r w:rsidRPr="00F66162">
              <w:rPr>
                <w:b/>
                <w:noProof/>
                <w:color w:val="000000"/>
                <w:sz w:val="18"/>
              </w:rPr>
              <w:t>ZATWIERDZONE ŚRODKI</w:t>
            </w:r>
          </w:p>
        </w:tc>
        <w:tc>
          <w:tcPr>
            <w:tcW w:w="522" w:type="pct"/>
            <w:tcBorders>
              <w:top w:val="single" w:sz="8" w:space="0" w:color="auto"/>
              <w:left w:val="nil"/>
              <w:bottom w:val="nil"/>
              <w:right w:val="single" w:sz="8" w:space="0" w:color="auto"/>
            </w:tcBorders>
            <w:shd w:val="clear" w:color="auto" w:fill="auto"/>
            <w:vAlign w:val="center"/>
            <w:hideMark/>
          </w:tcPr>
          <w:p w14:paraId="72DC4FD4"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14:paraId="08EF6D48"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14:paraId="644020F8"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14:paraId="0B3DC4AE" w14:textId="77777777" w:rsidR="00FA5543" w:rsidRPr="00F66162" w:rsidRDefault="00FA5543" w:rsidP="00390489">
            <w:pPr>
              <w:spacing w:before="0" w:after="0"/>
              <w:jc w:val="center"/>
              <w:rPr>
                <w:noProof/>
                <w:color w:val="000000"/>
                <w:sz w:val="20"/>
                <w:szCs w:val="20"/>
              </w:rPr>
            </w:pPr>
            <w:r w:rsidRPr="00F66162">
              <w:rPr>
                <w:noProof/>
                <w:color w:val="000000"/>
                <w:sz w:val="20"/>
              </w:rPr>
              <w:t>Rok</w:t>
            </w:r>
          </w:p>
        </w:tc>
      </w:tr>
      <w:tr w:rsidR="00FA5543" w:rsidRPr="00F66162" w14:paraId="2BD79069" w14:textId="77777777" w:rsidTr="139DF8FE">
        <w:trPr>
          <w:trHeight w:val="300"/>
        </w:trPr>
        <w:tc>
          <w:tcPr>
            <w:tcW w:w="2913" w:type="pct"/>
            <w:gridSpan w:val="2"/>
            <w:vMerge/>
            <w:vAlign w:val="center"/>
            <w:hideMark/>
          </w:tcPr>
          <w:p w14:paraId="63C578BE" w14:textId="77777777" w:rsidR="00FA5543" w:rsidRPr="00F66162" w:rsidRDefault="00FA5543" w:rsidP="00390489">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14:paraId="29B60FE1"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14:paraId="488BF212"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14:paraId="3BD27362"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14:paraId="13A13E16" w14:textId="77777777" w:rsidR="00FA5543" w:rsidRPr="00F66162" w:rsidRDefault="00FA5543" w:rsidP="00390489">
            <w:pPr>
              <w:spacing w:before="0" w:after="0"/>
              <w:jc w:val="center"/>
              <w:rPr>
                <w:b/>
                <w:bCs/>
                <w:noProof/>
                <w:color w:val="000000"/>
                <w:sz w:val="20"/>
                <w:szCs w:val="20"/>
              </w:rPr>
            </w:pPr>
            <w:r w:rsidRPr="00F66162">
              <w:rPr>
                <w:b/>
                <w:noProof/>
                <w:color w:val="000000"/>
                <w:sz w:val="20"/>
              </w:rPr>
              <w:t>2027</w:t>
            </w:r>
          </w:p>
        </w:tc>
      </w:tr>
      <w:tr w:rsidR="00FA5543" w:rsidRPr="00F66162" w14:paraId="30465421" w14:textId="77777777" w:rsidTr="139DF8FE">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07CBCB63" w14:textId="29B5C9FD" w:rsidR="00FA5543" w:rsidRPr="00F66162" w:rsidRDefault="00FA5543" w:rsidP="00390489">
            <w:pPr>
              <w:spacing w:before="0" w:after="0"/>
              <w:jc w:val="left"/>
              <w:rPr>
                <w:rFonts w:ascii="Wingdings" w:hAnsi="Wingdings" w:cs="Calibri"/>
                <w:b/>
                <w:bCs/>
                <w:noProof/>
                <w:color w:val="000000"/>
                <w:sz w:val="16"/>
                <w:szCs w:val="16"/>
              </w:rPr>
            </w:pPr>
            <w:r w:rsidRPr="00F66162">
              <w:rPr>
                <w:rFonts w:ascii="Wingdings" w:hAnsi="Wingdings"/>
                <w:b/>
                <w:noProof/>
                <w:color w:val="000000"/>
                <w:sz w:val="16"/>
              </w:rPr>
              <w:t></w:t>
            </w:r>
            <w:r w:rsidRPr="00F66162">
              <w:rPr>
                <w:b/>
                <w:noProof/>
                <w:color w:val="000000"/>
                <w:sz w:val="16"/>
              </w:rPr>
              <w:t xml:space="preserve"> Stanowiska przewidziane</w:t>
            </w:r>
            <w:r w:rsidR="00825614" w:rsidRPr="00F66162">
              <w:rPr>
                <w:b/>
                <w:noProof/>
                <w:color w:val="000000"/>
                <w:sz w:val="16"/>
              </w:rPr>
              <w:t xml:space="preserve"> w</w:t>
            </w:r>
            <w:r w:rsidR="00825614">
              <w:rPr>
                <w:b/>
                <w:noProof/>
                <w:color w:val="000000"/>
                <w:sz w:val="16"/>
              </w:rPr>
              <w:t> </w:t>
            </w:r>
            <w:r w:rsidR="00825614" w:rsidRPr="00F66162">
              <w:rPr>
                <w:b/>
                <w:noProof/>
                <w:color w:val="000000"/>
                <w:sz w:val="16"/>
              </w:rPr>
              <w:t>pla</w:t>
            </w:r>
            <w:r w:rsidRPr="00F66162">
              <w:rPr>
                <w:b/>
                <w:noProof/>
                <w:color w:val="000000"/>
                <w:sz w:val="16"/>
              </w:rPr>
              <w:t>nie zatrudnienia (stanowiska urzędników</w:t>
            </w:r>
            <w:r w:rsidR="00825614" w:rsidRPr="00F66162">
              <w:rPr>
                <w:b/>
                <w:noProof/>
                <w:color w:val="000000"/>
                <w:sz w:val="16"/>
              </w:rPr>
              <w:t xml:space="preserve"> i</w:t>
            </w:r>
            <w:r w:rsidR="00825614">
              <w:rPr>
                <w:b/>
                <w:noProof/>
                <w:color w:val="000000"/>
                <w:sz w:val="16"/>
              </w:rPr>
              <w:t> </w:t>
            </w:r>
            <w:r w:rsidR="00825614" w:rsidRPr="00F66162">
              <w:rPr>
                <w:b/>
                <w:noProof/>
                <w:color w:val="000000"/>
                <w:sz w:val="16"/>
              </w:rPr>
              <w:t>pra</w:t>
            </w:r>
            <w:r w:rsidRPr="00F66162">
              <w:rPr>
                <w:b/>
                <w:noProof/>
                <w:color w:val="000000"/>
                <w:sz w:val="16"/>
              </w:rPr>
              <w:t>cowników zatrudnionych na czas określony)</w:t>
            </w:r>
          </w:p>
        </w:tc>
      </w:tr>
      <w:tr w:rsidR="00FA5543" w:rsidRPr="00F66162" w14:paraId="2CE60361"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516548D" w14:textId="425A1246" w:rsidR="00FA5543" w:rsidRPr="00F66162" w:rsidRDefault="00FA5543" w:rsidP="00390489">
            <w:pPr>
              <w:spacing w:before="0" w:after="0"/>
              <w:ind w:firstLineChars="100" w:firstLine="240"/>
              <w:jc w:val="left"/>
              <w:rPr>
                <w:noProof/>
                <w:color w:val="000000"/>
                <w:sz w:val="16"/>
                <w:szCs w:val="16"/>
              </w:rPr>
            </w:pPr>
            <w:r w:rsidRPr="00F66162">
              <w:rPr>
                <w:noProof/>
                <w:color w:val="000000"/>
              </w:rPr>
              <w:t>20 01 02 01 (w centrali</w:t>
            </w:r>
            <w:r w:rsidR="00825614" w:rsidRPr="00F66162">
              <w:rPr>
                <w:noProof/>
                <w:color w:val="000000"/>
              </w:rPr>
              <w:t xml:space="preserve"> i</w:t>
            </w:r>
            <w:r w:rsidR="00825614">
              <w:rPr>
                <w:noProof/>
                <w:color w:val="000000"/>
              </w:rPr>
              <w:t> </w:t>
            </w:r>
            <w:r w:rsidR="00825614" w:rsidRPr="00F66162">
              <w:rPr>
                <w:noProof/>
                <w:color w:val="000000"/>
              </w:rPr>
              <w:t>w</w:t>
            </w:r>
            <w:r w:rsidR="00825614">
              <w:rPr>
                <w:noProof/>
                <w:color w:val="000000"/>
              </w:rPr>
              <w:t> </w:t>
            </w:r>
            <w:r w:rsidR="00825614" w:rsidRPr="00F66162">
              <w:rPr>
                <w:noProof/>
                <w:color w:val="000000"/>
              </w:rPr>
              <w:t>biu</w:t>
            </w:r>
            <w:r w:rsidRPr="00F66162">
              <w:rPr>
                <w:noProof/>
                <w:color w:val="000000"/>
              </w:rPr>
              <w:t>rach przedstawicielstw Komisji)</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4B6618B" w14:textId="77777777" w:rsidR="00FA5543" w:rsidRPr="00F66162" w:rsidRDefault="505D9B02" w:rsidP="139DF8FE">
            <w:pPr>
              <w:spacing w:before="0" w:after="0"/>
              <w:jc w:val="center"/>
              <w:rPr>
                <w:rFonts w:eastAsia="Times New Roman"/>
                <w:noProof/>
                <w:sz w:val="16"/>
                <w:szCs w:val="16"/>
              </w:rPr>
            </w:pPr>
            <w:r w:rsidRPr="00F66162">
              <w:rPr>
                <w:noProof/>
                <w:color w:val="000000" w:themeColor="text1"/>
                <w:sz w:val="16"/>
              </w:rPr>
              <w:t>21</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3C8CD71" w14:textId="77777777" w:rsidR="00FA5543" w:rsidRPr="00F66162" w:rsidRDefault="505D9B02" w:rsidP="139DF8FE">
            <w:pPr>
              <w:spacing w:before="0" w:after="0"/>
              <w:jc w:val="center"/>
              <w:rPr>
                <w:rFonts w:eastAsia="Times New Roman"/>
                <w:noProof/>
                <w:sz w:val="16"/>
                <w:szCs w:val="16"/>
              </w:rPr>
            </w:pPr>
            <w:r w:rsidRPr="00F66162">
              <w:rPr>
                <w:noProof/>
                <w:color w:val="000000" w:themeColor="text1"/>
                <w:sz w:val="16"/>
              </w:rPr>
              <w:t>21</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97E2784" w14:textId="77777777" w:rsidR="00FA5543" w:rsidRPr="00F66162" w:rsidRDefault="505D9B02" w:rsidP="00390489">
            <w:pPr>
              <w:spacing w:before="0" w:after="0"/>
              <w:jc w:val="center"/>
              <w:rPr>
                <w:noProof/>
                <w:color w:val="000000"/>
                <w:sz w:val="16"/>
                <w:szCs w:val="16"/>
              </w:rPr>
            </w:pPr>
            <w:r w:rsidRPr="00F66162">
              <w:rPr>
                <w:noProof/>
                <w:color w:val="000000" w:themeColor="text1"/>
                <w:sz w:val="16"/>
              </w:rPr>
              <w:t>25</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7BEC706" w14:textId="77777777" w:rsidR="00FA5543" w:rsidRPr="00F66162" w:rsidRDefault="505D9B02" w:rsidP="00390489">
            <w:pPr>
              <w:spacing w:before="0" w:after="0"/>
              <w:jc w:val="center"/>
              <w:rPr>
                <w:noProof/>
                <w:color w:val="000000"/>
                <w:sz w:val="16"/>
                <w:szCs w:val="16"/>
              </w:rPr>
            </w:pPr>
            <w:r w:rsidRPr="00F66162">
              <w:rPr>
                <w:noProof/>
                <w:color w:val="000000" w:themeColor="text1"/>
                <w:sz w:val="16"/>
              </w:rPr>
              <w:t>30</w:t>
            </w:r>
          </w:p>
        </w:tc>
      </w:tr>
      <w:tr w:rsidR="00FA5543" w:rsidRPr="00F66162" w14:paraId="22957BDA"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F1C5DAF" w14:textId="77777777"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20 01 02 03 (w delegaturach UE)</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E42B3F4"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FFE6603"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D9C8125"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8132C40"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306AB65E"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BBD238C" w14:textId="77777777"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01 01 01 01</w:t>
            </w:r>
            <w:r w:rsidRPr="00F66162">
              <w:rPr>
                <w:noProof/>
                <w:color w:val="000000"/>
              </w:rPr>
              <w:t xml:space="preserve"> </w:t>
            </w:r>
            <w:r w:rsidRPr="00F66162">
              <w:rPr>
                <w:noProof/>
                <w:color w:val="000000"/>
                <w:sz w:val="16"/>
              </w:rPr>
              <w:t>(pośrednie badania naukowe)</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209AB66"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8010CFF"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B5C5B2B"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1226ADE"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6941516C"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8E30753" w14:textId="77777777"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01 01 01 11 (bezpośrednie badania naukowe)</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89CA019"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BB6813F"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389477F"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488A57B"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7B67F79A"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9DD921A" w14:textId="77777777"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lastRenderedPageBreak/>
              <w:t>Inna linia budżetowa (określić)</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43A9836"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6EDFBE7"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2E58DCF"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B7DFD38"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3DF15B48" w14:textId="77777777" w:rsidTr="139DF8FE">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5E92B9DE" w14:textId="77777777" w:rsidR="00FA5543" w:rsidRPr="00F66162" w:rsidRDefault="00FA5543" w:rsidP="00390489">
            <w:pPr>
              <w:spacing w:before="0" w:after="0"/>
              <w:jc w:val="left"/>
              <w:rPr>
                <w:rFonts w:ascii="Wingdings" w:hAnsi="Wingdings" w:cs="Calibri"/>
                <w:b/>
                <w:bCs/>
                <w:noProof/>
                <w:color w:val="000000"/>
                <w:sz w:val="16"/>
                <w:szCs w:val="16"/>
              </w:rPr>
            </w:pPr>
            <w:r w:rsidRPr="00F66162">
              <w:rPr>
                <w:rFonts w:ascii="Calibri" w:hAnsi="Calibri"/>
                <w:b/>
                <w:noProof/>
                <w:color w:val="000000"/>
                <w:sz w:val="16"/>
              </w:rPr>
              <w:t>•</w:t>
            </w:r>
            <w:r w:rsidRPr="00F66162">
              <w:rPr>
                <w:b/>
                <w:noProof/>
                <w:color w:val="000000"/>
                <w:sz w:val="16"/>
              </w:rPr>
              <w:t xml:space="preserve"> Personel zewnętrzny (w EPC)</w:t>
            </w:r>
          </w:p>
        </w:tc>
      </w:tr>
      <w:tr w:rsidR="00FA5543" w:rsidRPr="00F66162" w14:paraId="4BE51FB8"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F47A6A1" w14:textId="1AC5A3FD"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20 02 01</w:t>
            </w:r>
            <w:r w:rsidRPr="00F66162">
              <w:rPr>
                <w:rFonts w:ascii="Arial Narrow" w:hAnsi="Arial Narrow"/>
                <w:noProof/>
                <w:color w:val="000000"/>
                <w:sz w:val="20"/>
              </w:rPr>
              <w:t xml:space="preserve"> </w:t>
            </w:r>
            <w:r w:rsidRPr="00F66162">
              <w:rPr>
                <w:noProof/>
                <w:color w:val="000000"/>
                <w:sz w:val="16"/>
              </w:rPr>
              <w:t>(CA, SNE</w:t>
            </w:r>
            <w:r w:rsidR="00825614" w:rsidRPr="00F66162">
              <w:rPr>
                <w:noProof/>
                <w:color w:val="000000"/>
                <w:sz w:val="16"/>
              </w:rPr>
              <w:t xml:space="preserve"> z</w:t>
            </w:r>
            <w:r w:rsidR="00825614">
              <w:rPr>
                <w:noProof/>
                <w:color w:val="000000"/>
                <w:sz w:val="16"/>
              </w:rPr>
              <w:t> </w:t>
            </w:r>
            <w:r w:rsidR="00825614" w:rsidRPr="00F66162">
              <w:rPr>
                <w:noProof/>
                <w:color w:val="000000"/>
                <w:sz w:val="16"/>
              </w:rPr>
              <w:t>glo</w:t>
            </w:r>
            <w:r w:rsidRPr="00F66162">
              <w:rPr>
                <w:noProof/>
                <w:color w:val="000000"/>
                <w:sz w:val="16"/>
              </w:rPr>
              <w:t>balnej koperty finansowej)</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AD067A6" w14:textId="77777777" w:rsidR="00FA5543" w:rsidRPr="00F66162" w:rsidRDefault="388BABB3" w:rsidP="00390489">
            <w:pPr>
              <w:spacing w:before="0" w:after="0"/>
              <w:jc w:val="center"/>
              <w:rPr>
                <w:noProof/>
                <w:color w:val="000000"/>
                <w:sz w:val="16"/>
                <w:szCs w:val="16"/>
              </w:rPr>
            </w:pPr>
            <w:r w:rsidRPr="00F66162">
              <w:rPr>
                <w:noProof/>
                <w:color w:val="000000" w:themeColor="text1"/>
                <w:sz w:val="16"/>
              </w:rPr>
              <w:t>12</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8251A35" w14:textId="77777777" w:rsidR="00FA5543" w:rsidRPr="00F66162" w:rsidRDefault="388BABB3" w:rsidP="00390489">
            <w:pPr>
              <w:spacing w:before="0" w:after="0"/>
              <w:jc w:val="center"/>
              <w:rPr>
                <w:noProof/>
                <w:color w:val="000000"/>
                <w:sz w:val="16"/>
                <w:szCs w:val="16"/>
              </w:rPr>
            </w:pPr>
            <w:r w:rsidRPr="00F66162">
              <w:rPr>
                <w:noProof/>
                <w:color w:val="000000" w:themeColor="text1"/>
                <w:sz w:val="16"/>
              </w:rPr>
              <w:t>23</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26B20FE" w14:textId="77777777" w:rsidR="00FA5543" w:rsidRPr="00F66162" w:rsidRDefault="388BABB3" w:rsidP="00390489">
            <w:pPr>
              <w:spacing w:before="0" w:after="0"/>
              <w:jc w:val="center"/>
              <w:rPr>
                <w:noProof/>
                <w:color w:val="000000"/>
                <w:sz w:val="16"/>
                <w:szCs w:val="16"/>
              </w:rPr>
            </w:pPr>
            <w:r w:rsidRPr="00F66162">
              <w:rPr>
                <w:noProof/>
                <w:color w:val="000000" w:themeColor="text1"/>
                <w:sz w:val="16"/>
              </w:rPr>
              <w:t>40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2DDA3E3" w14:textId="77777777" w:rsidR="00FA5543" w:rsidRPr="00F66162" w:rsidRDefault="388BABB3" w:rsidP="00390489">
            <w:pPr>
              <w:spacing w:before="0" w:after="0"/>
              <w:jc w:val="center"/>
              <w:rPr>
                <w:noProof/>
                <w:color w:val="000000"/>
                <w:sz w:val="16"/>
                <w:szCs w:val="16"/>
              </w:rPr>
            </w:pPr>
            <w:r w:rsidRPr="00F66162">
              <w:rPr>
                <w:noProof/>
                <w:color w:val="000000" w:themeColor="text1"/>
                <w:sz w:val="16"/>
              </w:rPr>
              <w:t>60</w:t>
            </w:r>
          </w:p>
        </w:tc>
      </w:tr>
      <w:tr w:rsidR="00FA5543" w:rsidRPr="00F66162" w14:paraId="444BD268"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FFEB108" w14:textId="6B6D05C0"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20 02 03 (CA, LA, SNE i JPD</w:t>
            </w:r>
            <w:r w:rsidR="00825614" w:rsidRPr="00F66162">
              <w:rPr>
                <w:noProof/>
                <w:color w:val="000000"/>
                <w:sz w:val="16"/>
              </w:rPr>
              <w:t xml:space="preserve"> w</w:t>
            </w:r>
            <w:r w:rsidR="00825614">
              <w:rPr>
                <w:noProof/>
                <w:color w:val="000000"/>
                <w:sz w:val="16"/>
              </w:rPr>
              <w:t> </w:t>
            </w:r>
            <w:r w:rsidR="00825614" w:rsidRPr="00F66162">
              <w:rPr>
                <w:noProof/>
                <w:color w:val="000000"/>
                <w:sz w:val="16"/>
              </w:rPr>
              <w:t>del</w:t>
            </w:r>
            <w:r w:rsidRPr="00F66162">
              <w:rPr>
                <w:noProof/>
                <w:color w:val="000000"/>
                <w:sz w:val="16"/>
              </w:rPr>
              <w:t>egaturach UE)</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8DA5BEB"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C05224F"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C0205AA"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4A04A35"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23B5A654" w14:textId="77777777" w:rsidTr="139DF8FE">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14:paraId="2BD3C310" w14:textId="77777777" w:rsidR="00FA5543" w:rsidRPr="00F66162" w:rsidRDefault="00FA5543" w:rsidP="00390489">
            <w:pPr>
              <w:spacing w:before="0" w:after="0"/>
              <w:jc w:val="center"/>
              <w:rPr>
                <w:noProof/>
                <w:color w:val="000000"/>
                <w:sz w:val="16"/>
                <w:szCs w:val="16"/>
              </w:rPr>
            </w:pPr>
            <w:r w:rsidRPr="00F66162">
              <w:rPr>
                <w:noProof/>
                <w:color w:val="000000"/>
                <w:sz w:val="16"/>
              </w:rPr>
              <w:t>Linia budżetowa na wsparcie adm.</w:t>
            </w:r>
            <w:r w:rsidRPr="00F66162">
              <w:rPr>
                <w:noProof/>
              </w:rPr>
              <w:t xml:space="preserve"> </w:t>
            </w:r>
            <w:r w:rsidRPr="00F66162">
              <w:rPr>
                <w:noProof/>
              </w:rPr>
              <w:br/>
            </w:r>
            <w:r w:rsidRPr="00F66162">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14:paraId="75EF0A23" w14:textId="1FB917DD"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w:t>
            </w:r>
            <w:r w:rsidR="00825614" w:rsidRPr="00F66162">
              <w:rPr>
                <w:noProof/>
                <w:color w:val="000000"/>
                <w:sz w:val="16"/>
              </w:rPr>
              <w:t xml:space="preserve"> w</w:t>
            </w:r>
            <w:r w:rsidR="00825614">
              <w:rPr>
                <w:noProof/>
                <w:color w:val="000000"/>
                <w:sz w:val="16"/>
              </w:rPr>
              <w:t> </w:t>
            </w:r>
            <w:r w:rsidR="00825614" w:rsidRPr="00F66162">
              <w:rPr>
                <w:noProof/>
                <w:color w:val="000000"/>
                <w:sz w:val="16"/>
              </w:rPr>
              <w:t>cen</w:t>
            </w:r>
            <w:r w:rsidRPr="00F66162">
              <w:rPr>
                <w:noProof/>
                <w:color w:val="000000"/>
                <w:sz w:val="16"/>
              </w:rPr>
              <w:t>trali</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E64CBEF"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BF08D55"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66AB2F2"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65FC92E"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60D04AF6" w14:textId="77777777" w:rsidTr="139DF8FE">
        <w:trPr>
          <w:trHeight w:val="300"/>
        </w:trPr>
        <w:tc>
          <w:tcPr>
            <w:tcW w:w="815" w:type="pct"/>
            <w:vMerge/>
            <w:vAlign w:val="center"/>
            <w:hideMark/>
          </w:tcPr>
          <w:p w14:paraId="0ABABC56" w14:textId="77777777" w:rsidR="00FA5543" w:rsidRPr="00F66162" w:rsidRDefault="00FA5543" w:rsidP="00390489">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14:paraId="38D7DE39" w14:textId="22692B3B"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w:t>
            </w:r>
            <w:r w:rsidR="00825614" w:rsidRPr="00F66162">
              <w:rPr>
                <w:noProof/>
                <w:color w:val="000000"/>
                <w:sz w:val="16"/>
              </w:rPr>
              <w:t xml:space="preserve"> w</w:t>
            </w:r>
            <w:r w:rsidR="00825614">
              <w:rPr>
                <w:noProof/>
                <w:color w:val="000000"/>
                <w:sz w:val="16"/>
              </w:rPr>
              <w:t> </w:t>
            </w:r>
            <w:r w:rsidR="00825614" w:rsidRPr="00F66162">
              <w:rPr>
                <w:noProof/>
                <w:color w:val="000000"/>
                <w:sz w:val="16"/>
              </w:rPr>
              <w:t>del</w:t>
            </w:r>
            <w:r w:rsidRPr="00F66162">
              <w:rPr>
                <w:noProof/>
                <w:color w:val="000000"/>
                <w:sz w:val="16"/>
              </w:rPr>
              <w:t xml:space="preserve">egaturach UE </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C750646"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07E95E7"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3499D07"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A19F4C7"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6E58B0FB"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1D8A2F3" w14:textId="77777777"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01 01 01 02</w:t>
            </w:r>
            <w:r w:rsidRPr="00F66162">
              <w:rPr>
                <w:rFonts w:ascii="Arial Narrow" w:hAnsi="Arial Narrow"/>
                <w:noProof/>
                <w:color w:val="000000"/>
                <w:sz w:val="20"/>
              </w:rPr>
              <w:t xml:space="preserve"> </w:t>
            </w:r>
            <w:r w:rsidRPr="00F66162">
              <w:rPr>
                <w:noProof/>
                <w:color w:val="000000"/>
                <w:sz w:val="16"/>
              </w:rPr>
              <w:t>(CA, SNE – pośrednie badania naukowe)</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EF0071D"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94DBE46"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6895BFE"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E9B13F1"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6293F631"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B8A825F" w14:textId="77777777"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 xml:space="preserve"> 01 01 01 12 (CA, SNE – bezpośrednie badania naukowe)</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BB853A5"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96DD8AE"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61E48E1"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2DEA605"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40E50886"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15890B0" w14:textId="77777777"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Inna linia budżetowa (określić) – dział 7</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DB39671"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D9F331D"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F788CA5"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EB856C1"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671C7FFF"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D84D16D" w14:textId="77777777" w:rsidR="00FA5543" w:rsidRPr="00F66162" w:rsidRDefault="00FA5543" w:rsidP="00390489">
            <w:pPr>
              <w:spacing w:before="0" w:after="0"/>
              <w:ind w:firstLineChars="100" w:firstLine="160"/>
              <w:jc w:val="left"/>
              <w:rPr>
                <w:noProof/>
                <w:color w:val="000000"/>
                <w:sz w:val="16"/>
                <w:szCs w:val="16"/>
              </w:rPr>
            </w:pPr>
            <w:r w:rsidRPr="00F66162">
              <w:rPr>
                <w:noProof/>
                <w:color w:val="000000"/>
                <w:sz w:val="16"/>
              </w:rPr>
              <w:t>Inna linia budżetowa (określić) – poza działem 7</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B6306C8"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1080BBD"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CB70669"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47DBF31" w14:textId="77777777" w:rsidR="00FA5543" w:rsidRPr="00F66162" w:rsidRDefault="00FA5543" w:rsidP="00390489">
            <w:pPr>
              <w:spacing w:before="0" w:after="0"/>
              <w:jc w:val="center"/>
              <w:rPr>
                <w:noProof/>
                <w:color w:val="000000"/>
                <w:sz w:val="16"/>
                <w:szCs w:val="16"/>
              </w:rPr>
            </w:pPr>
            <w:r w:rsidRPr="00F66162">
              <w:rPr>
                <w:noProof/>
                <w:color w:val="000000"/>
                <w:sz w:val="16"/>
              </w:rPr>
              <w:t>0</w:t>
            </w:r>
          </w:p>
        </w:tc>
      </w:tr>
      <w:tr w:rsidR="00FA5543" w:rsidRPr="00F66162" w14:paraId="6E126D64" w14:textId="77777777" w:rsidTr="139DF8F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B673CE1" w14:textId="77777777" w:rsidR="00FA5543" w:rsidRPr="00F66162" w:rsidRDefault="00FA5543" w:rsidP="00390489">
            <w:pPr>
              <w:spacing w:before="0" w:after="0"/>
              <w:ind w:firstLineChars="100" w:firstLine="161"/>
              <w:jc w:val="left"/>
              <w:rPr>
                <w:b/>
                <w:bCs/>
                <w:noProof/>
                <w:color w:val="000000"/>
                <w:sz w:val="16"/>
                <w:szCs w:val="16"/>
              </w:rPr>
            </w:pPr>
            <w:r w:rsidRPr="00F66162">
              <w:rPr>
                <w:b/>
                <w:noProof/>
                <w:color w:val="000000"/>
                <w:sz w:val="16"/>
              </w:rPr>
              <w:t>OGÓŁEM</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29760CC" w14:textId="77777777" w:rsidR="00FA5543" w:rsidRPr="00F66162" w:rsidRDefault="14FE9AA5" w:rsidP="00390489">
            <w:pPr>
              <w:spacing w:before="0" w:after="0"/>
              <w:jc w:val="center"/>
              <w:rPr>
                <w:b/>
                <w:bCs/>
                <w:noProof/>
                <w:color w:val="000000"/>
                <w:sz w:val="16"/>
                <w:szCs w:val="16"/>
              </w:rPr>
            </w:pPr>
            <w:r w:rsidRPr="00F66162">
              <w:rPr>
                <w:b/>
                <w:noProof/>
                <w:color w:val="000000" w:themeColor="text1"/>
                <w:sz w:val="16"/>
              </w:rPr>
              <w:t>33</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46962E1" w14:textId="77777777" w:rsidR="00FA5543" w:rsidRPr="00F66162" w:rsidRDefault="14FE9AA5" w:rsidP="00390489">
            <w:pPr>
              <w:spacing w:before="0" w:after="0"/>
              <w:jc w:val="center"/>
              <w:rPr>
                <w:b/>
                <w:bCs/>
                <w:noProof/>
                <w:color w:val="000000"/>
                <w:sz w:val="16"/>
                <w:szCs w:val="16"/>
              </w:rPr>
            </w:pPr>
            <w:r w:rsidRPr="00F66162">
              <w:rPr>
                <w:b/>
                <w:noProof/>
                <w:color w:val="000000" w:themeColor="text1"/>
                <w:sz w:val="16"/>
              </w:rPr>
              <w:t>44</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A031361" w14:textId="77777777" w:rsidR="00FA5543" w:rsidRPr="00F66162" w:rsidRDefault="14FE9AA5" w:rsidP="00390489">
            <w:pPr>
              <w:spacing w:before="0" w:after="0"/>
              <w:jc w:val="center"/>
              <w:rPr>
                <w:b/>
                <w:bCs/>
                <w:noProof/>
                <w:color w:val="000000"/>
                <w:sz w:val="16"/>
                <w:szCs w:val="16"/>
              </w:rPr>
            </w:pPr>
            <w:r w:rsidRPr="00F66162">
              <w:rPr>
                <w:b/>
                <w:noProof/>
                <w:color w:val="000000" w:themeColor="text1"/>
                <w:sz w:val="16"/>
              </w:rPr>
              <w:t>65</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30B2835" w14:textId="77777777" w:rsidR="00FA5543" w:rsidRPr="00F66162" w:rsidRDefault="14FE9AA5" w:rsidP="00390489">
            <w:pPr>
              <w:spacing w:before="0" w:after="0"/>
              <w:jc w:val="center"/>
              <w:rPr>
                <w:b/>
                <w:bCs/>
                <w:noProof/>
                <w:color w:val="000000"/>
                <w:sz w:val="16"/>
                <w:szCs w:val="16"/>
              </w:rPr>
            </w:pPr>
            <w:r w:rsidRPr="00F66162">
              <w:rPr>
                <w:b/>
                <w:noProof/>
                <w:color w:val="000000" w:themeColor="text1"/>
                <w:sz w:val="16"/>
              </w:rPr>
              <w:t>90</w:t>
            </w:r>
          </w:p>
        </w:tc>
      </w:tr>
    </w:tbl>
    <w:p w14:paraId="53FB83FF" w14:textId="1C97D76C" w:rsidR="540B61AC" w:rsidRPr="00F66162" w:rsidRDefault="540B61AC" w:rsidP="139DF8FE">
      <w:pPr>
        <w:ind w:left="-426" w:right="-427"/>
        <w:rPr>
          <w:rFonts w:eastAsia="Times New Roman"/>
          <w:noProof/>
          <w:szCs w:val="24"/>
        </w:rPr>
      </w:pPr>
      <w:r w:rsidRPr="00F66162">
        <w:rPr>
          <w:noProof/>
        </w:rPr>
        <w:t>Dodatkowe zasoby,</w:t>
      </w:r>
      <w:r w:rsidR="00825614" w:rsidRPr="00F66162">
        <w:rPr>
          <w:noProof/>
        </w:rPr>
        <w:t xml:space="preserve"> o</w:t>
      </w:r>
      <w:r w:rsidR="00825614">
        <w:rPr>
          <w:noProof/>
        </w:rPr>
        <w:t> </w:t>
      </w:r>
      <w:r w:rsidR="00825614" w:rsidRPr="00F66162">
        <w:rPr>
          <w:noProof/>
        </w:rPr>
        <w:t>któ</w:t>
      </w:r>
      <w:r w:rsidRPr="00F66162">
        <w:rPr>
          <w:noProof/>
        </w:rPr>
        <w:t>rych mowa powyżej, przydzielono już podczas przyjmowania pierwotnego rozporządzenia</w:t>
      </w:r>
      <w:r w:rsidR="00825614" w:rsidRPr="00F66162">
        <w:rPr>
          <w:noProof/>
        </w:rPr>
        <w:t xml:space="preserve"> w</w:t>
      </w:r>
      <w:r w:rsidR="00825614">
        <w:rPr>
          <w:noProof/>
        </w:rPr>
        <w:t> </w:t>
      </w:r>
      <w:r w:rsidR="00825614" w:rsidRPr="00F66162">
        <w:rPr>
          <w:noProof/>
        </w:rPr>
        <w:t>spr</w:t>
      </w:r>
      <w:r w:rsidRPr="00F66162">
        <w:rPr>
          <w:noProof/>
        </w:rPr>
        <w:t>awie CBAM. Nie wprowadza się żadnych zmian</w:t>
      </w:r>
      <w:r w:rsidR="00825614" w:rsidRPr="00F66162">
        <w:rPr>
          <w:noProof/>
        </w:rPr>
        <w:t xml:space="preserve"> w</w:t>
      </w:r>
      <w:r w:rsidR="00825614">
        <w:rPr>
          <w:noProof/>
        </w:rPr>
        <w:t> </w:t>
      </w:r>
      <w:r w:rsidR="00825614" w:rsidRPr="00F66162">
        <w:rPr>
          <w:noProof/>
        </w:rPr>
        <w:t>odn</w:t>
      </w:r>
      <w:r w:rsidRPr="00F66162">
        <w:rPr>
          <w:noProof/>
        </w:rPr>
        <w:t>iesieniu do stanowisk przewidzianych</w:t>
      </w:r>
      <w:r w:rsidR="00825614" w:rsidRPr="00F66162">
        <w:rPr>
          <w:noProof/>
        </w:rPr>
        <w:t xml:space="preserve"> w</w:t>
      </w:r>
      <w:r w:rsidR="00825614">
        <w:rPr>
          <w:noProof/>
        </w:rPr>
        <w:t> </w:t>
      </w:r>
      <w:r w:rsidR="00825614" w:rsidRPr="00F66162">
        <w:rPr>
          <w:noProof/>
        </w:rPr>
        <w:t>pla</w:t>
      </w:r>
      <w:r w:rsidRPr="00F66162">
        <w:rPr>
          <w:noProof/>
        </w:rPr>
        <w:t>nie zatrudnienia kadr</w:t>
      </w:r>
      <w:r w:rsidR="00825614" w:rsidRPr="00F66162">
        <w:rPr>
          <w:noProof/>
        </w:rPr>
        <w:t xml:space="preserve"> i</w:t>
      </w:r>
      <w:r w:rsidR="00825614">
        <w:rPr>
          <w:noProof/>
        </w:rPr>
        <w:t> </w:t>
      </w:r>
      <w:r w:rsidR="00825614" w:rsidRPr="00F66162">
        <w:rPr>
          <w:noProof/>
        </w:rPr>
        <w:t>per</w:t>
      </w:r>
      <w:r w:rsidRPr="00F66162">
        <w:rPr>
          <w:noProof/>
        </w:rPr>
        <w:t>sonelu zewnętrznego,</w:t>
      </w:r>
      <w:r w:rsidR="00825614" w:rsidRPr="00F66162">
        <w:rPr>
          <w:noProof/>
        </w:rPr>
        <w:t xml:space="preserve"> z</w:t>
      </w:r>
      <w:r w:rsidR="00825614">
        <w:rPr>
          <w:noProof/>
        </w:rPr>
        <w:t> </w:t>
      </w:r>
      <w:r w:rsidR="00825614" w:rsidRPr="00F66162">
        <w:rPr>
          <w:noProof/>
        </w:rPr>
        <w:t>wyj</w:t>
      </w:r>
      <w:r w:rsidRPr="00F66162">
        <w:rPr>
          <w:noProof/>
        </w:rPr>
        <w:t>ątkiem korekty liczby stanowisk przewidzianych</w:t>
      </w:r>
      <w:r w:rsidR="00825614" w:rsidRPr="00F66162">
        <w:rPr>
          <w:noProof/>
        </w:rPr>
        <w:t xml:space="preserve"> w</w:t>
      </w:r>
      <w:r w:rsidR="00825614">
        <w:rPr>
          <w:noProof/>
        </w:rPr>
        <w:t> </w:t>
      </w:r>
      <w:r w:rsidR="00825614" w:rsidRPr="00F66162">
        <w:rPr>
          <w:noProof/>
        </w:rPr>
        <w:t>pla</w:t>
      </w:r>
      <w:r w:rsidRPr="00F66162">
        <w:rPr>
          <w:noProof/>
        </w:rPr>
        <w:t xml:space="preserve">nie zatrudnienia </w:t>
      </w:r>
      <w:r w:rsidRPr="00825614">
        <w:rPr>
          <w:noProof/>
        </w:rPr>
        <w:t>na</w:t>
      </w:r>
      <w:r w:rsidR="00825614" w:rsidRPr="00825614">
        <w:rPr>
          <w:noProof/>
        </w:rPr>
        <w:t> </w:t>
      </w:r>
      <w:r w:rsidRPr="00825614">
        <w:rPr>
          <w:noProof/>
        </w:rPr>
        <w:t>2</w:t>
      </w:r>
      <w:r w:rsidRPr="00F66162">
        <w:rPr>
          <w:noProof/>
        </w:rPr>
        <w:t>0</w:t>
      </w:r>
      <w:r w:rsidRPr="00825614">
        <w:rPr>
          <w:noProof/>
        </w:rPr>
        <w:t>26</w:t>
      </w:r>
      <w:r w:rsidR="00825614" w:rsidRPr="00825614">
        <w:rPr>
          <w:noProof/>
        </w:rPr>
        <w:t> </w:t>
      </w:r>
      <w:r w:rsidRPr="00825614">
        <w:rPr>
          <w:noProof/>
        </w:rPr>
        <w:t>r.</w:t>
      </w:r>
      <w:r w:rsidRPr="00F66162">
        <w:rPr>
          <w:noProof/>
        </w:rPr>
        <w:t xml:space="preserve"> (skorygowanej</w:t>
      </w:r>
      <w:r w:rsidR="00825614" w:rsidRPr="00F66162">
        <w:rPr>
          <w:noProof/>
        </w:rPr>
        <w:t xml:space="preserve"> z</w:t>
      </w:r>
      <w:r w:rsidR="00825614">
        <w:rPr>
          <w:noProof/>
        </w:rPr>
        <w:t> </w:t>
      </w:r>
      <w:r w:rsidR="00825614" w:rsidRPr="00F66162">
        <w:rPr>
          <w:noProof/>
        </w:rPr>
        <w:t>1</w:t>
      </w:r>
      <w:r w:rsidRPr="00F66162">
        <w:rPr>
          <w:noProof/>
        </w:rPr>
        <w:t xml:space="preserve">5 </w:t>
      </w:r>
      <w:r w:rsidRPr="00825614">
        <w:rPr>
          <w:noProof/>
        </w:rPr>
        <w:t>do</w:t>
      </w:r>
      <w:r w:rsidR="00825614" w:rsidRPr="00825614">
        <w:rPr>
          <w:noProof/>
        </w:rPr>
        <w:t> </w:t>
      </w:r>
      <w:r w:rsidRPr="00825614">
        <w:rPr>
          <w:noProof/>
        </w:rPr>
        <w:t>2</w:t>
      </w:r>
      <w:r w:rsidRPr="00F66162">
        <w:rPr>
          <w:noProof/>
        </w:rPr>
        <w:t>5 – błąd pisarski</w:t>
      </w:r>
      <w:r w:rsidR="00825614" w:rsidRPr="00F66162">
        <w:rPr>
          <w:noProof/>
        </w:rPr>
        <w:t xml:space="preserve"> w</w:t>
      </w:r>
      <w:r w:rsidR="00825614">
        <w:rPr>
          <w:noProof/>
        </w:rPr>
        <w:t> </w:t>
      </w:r>
      <w:r w:rsidR="00825614" w:rsidRPr="00F66162">
        <w:rPr>
          <w:noProof/>
        </w:rPr>
        <w:t>pop</w:t>
      </w:r>
      <w:r w:rsidRPr="00F66162">
        <w:rPr>
          <w:noProof/>
        </w:rPr>
        <w:t>rzedniej ocenie skutków finansowych regulacji).</w:t>
      </w:r>
    </w:p>
    <w:p w14:paraId="7303B26A" w14:textId="77777777" w:rsidR="00FA5543" w:rsidRPr="00F66162" w:rsidRDefault="6C3AF1E0" w:rsidP="00390489">
      <w:pPr>
        <w:pStyle w:val="Text1"/>
        <w:ind w:left="-426"/>
        <w:rPr>
          <w:noProof/>
          <w:color w:val="000000" w:themeColor="text1"/>
        </w:rPr>
      </w:pPr>
      <w:bookmarkStart w:id="1" w:name="_Hlk167692843"/>
      <w:r w:rsidRPr="00F66162">
        <w:rPr>
          <w:noProof/>
          <w:color w:val="000000" w:themeColor="text1"/>
        </w:rPr>
        <w:t xml:space="preserve">Personel niezbędny do wdrożenia wniosku (w EPC): </w:t>
      </w:r>
    </w:p>
    <w:tbl>
      <w:tblPr>
        <w:tblStyle w:val="Tabela-Siatka"/>
        <w:tblW w:w="9748" w:type="dxa"/>
        <w:tblInd w:w="-426" w:type="dxa"/>
        <w:tblLook w:val="04A0" w:firstRow="1" w:lastRow="0" w:firstColumn="1" w:lastColumn="0" w:noHBand="0" w:noVBand="1"/>
      </w:tblPr>
      <w:tblGrid>
        <w:gridCol w:w="1845"/>
        <w:gridCol w:w="2031"/>
        <w:gridCol w:w="2045"/>
        <w:gridCol w:w="1818"/>
        <w:gridCol w:w="2009"/>
      </w:tblGrid>
      <w:tr w:rsidR="00FA5543" w:rsidRPr="00F66162" w14:paraId="62AFD30B" w14:textId="77777777" w:rsidTr="004246FD">
        <w:trPr>
          <w:trHeight w:val="300"/>
        </w:trPr>
        <w:tc>
          <w:tcPr>
            <w:tcW w:w="1845" w:type="dxa"/>
          </w:tcPr>
          <w:p w14:paraId="6FE0721C" w14:textId="77777777" w:rsidR="00FA5543" w:rsidRPr="00F66162" w:rsidRDefault="00FA5543" w:rsidP="00390489">
            <w:pPr>
              <w:pStyle w:val="Text1"/>
              <w:ind w:left="0"/>
              <w:jc w:val="center"/>
              <w:rPr>
                <w:b/>
                <w:bCs/>
                <w:noProof/>
                <w:sz w:val="22"/>
                <w:szCs w:val="28"/>
              </w:rPr>
            </w:pPr>
          </w:p>
        </w:tc>
        <w:tc>
          <w:tcPr>
            <w:tcW w:w="2031" w:type="dxa"/>
          </w:tcPr>
          <w:p w14:paraId="108681B4" w14:textId="710460E7" w:rsidR="00FA5543" w:rsidRPr="00F66162" w:rsidRDefault="00FA5543" w:rsidP="00390489">
            <w:pPr>
              <w:pStyle w:val="Text1"/>
              <w:ind w:left="0"/>
              <w:jc w:val="center"/>
              <w:rPr>
                <w:b/>
                <w:bCs/>
                <w:noProof/>
                <w:sz w:val="22"/>
              </w:rPr>
            </w:pPr>
            <w:r w:rsidRPr="00F66162">
              <w:rPr>
                <w:b/>
                <w:noProof/>
                <w:sz w:val="22"/>
              </w:rPr>
              <w:t>Personel już pracujący</w:t>
            </w:r>
            <w:r w:rsidR="00825614" w:rsidRPr="00F66162">
              <w:rPr>
                <w:b/>
                <w:noProof/>
                <w:sz w:val="22"/>
              </w:rPr>
              <w:t xml:space="preserve"> w</w:t>
            </w:r>
            <w:r w:rsidR="00825614">
              <w:rPr>
                <w:b/>
                <w:noProof/>
                <w:sz w:val="22"/>
              </w:rPr>
              <w:t> </w:t>
            </w:r>
            <w:r w:rsidR="00825614" w:rsidRPr="00F66162">
              <w:rPr>
                <w:b/>
                <w:noProof/>
                <w:sz w:val="22"/>
              </w:rPr>
              <w:t>słu</w:t>
            </w:r>
            <w:r w:rsidRPr="00F66162">
              <w:rPr>
                <w:b/>
                <w:noProof/>
                <w:sz w:val="22"/>
              </w:rPr>
              <w:t xml:space="preserve">żbach Komisji </w:t>
            </w:r>
          </w:p>
        </w:tc>
        <w:tc>
          <w:tcPr>
            <w:tcW w:w="5872" w:type="dxa"/>
            <w:gridSpan w:val="3"/>
          </w:tcPr>
          <w:p w14:paraId="132A8EAA" w14:textId="77777777" w:rsidR="00FA5543" w:rsidRPr="00F66162" w:rsidRDefault="00FA5543" w:rsidP="00390489">
            <w:pPr>
              <w:pStyle w:val="Text1"/>
              <w:ind w:left="0"/>
              <w:jc w:val="center"/>
              <w:rPr>
                <w:b/>
                <w:bCs/>
                <w:noProof/>
                <w:sz w:val="22"/>
              </w:rPr>
            </w:pPr>
            <w:r w:rsidRPr="00F66162">
              <w:rPr>
                <w:b/>
                <w:noProof/>
                <w:sz w:val="22"/>
              </w:rPr>
              <w:t>Personel dodatkowy*</w:t>
            </w:r>
          </w:p>
        </w:tc>
      </w:tr>
      <w:tr w:rsidR="00FA5543" w:rsidRPr="00F66162" w14:paraId="4DE439B2" w14:textId="77777777" w:rsidTr="004246FD">
        <w:trPr>
          <w:trHeight w:val="300"/>
        </w:trPr>
        <w:tc>
          <w:tcPr>
            <w:tcW w:w="1845" w:type="dxa"/>
          </w:tcPr>
          <w:p w14:paraId="0E402B2F" w14:textId="77777777" w:rsidR="00FA5543" w:rsidRPr="00F66162" w:rsidRDefault="00FA5543" w:rsidP="00390489">
            <w:pPr>
              <w:pStyle w:val="Text1"/>
              <w:ind w:left="0"/>
              <w:jc w:val="center"/>
              <w:rPr>
                <w:b/>
                <w:bCs/>
                <w:noProof/>
                <w:sz w:val="22"/>
                <w:szCs w:val="28"/>
              </w:rPr>
            </w:pPr>
          </w:p>
        </w:tc>
        <w:tc>
          <w:tcPr>
            <w:tcW w:w="2031" w:type="dxa"/>
          </w:tcPr>
          <w:p w14:paraId="4EC569EA" w14:textId="77777777" w:rsidR="00FA5543" w:rsidRPr="00F66162" w:rsidRDefault="00FA5543" w:rsidP="00390489">
            <w:pPr>
              <w:pStyle w:val="Text1"/>
              <w:ind w:left="0"/>
              <w:jc w:val="center"/>
              <w:rPr>
                <w:b/>
                <w:bCs/>
                <w:noProof/>
                <w:sz w:val="22"/>
                <w:szCs w:val="28"/>
              </w:rPr>
            </w:pPr>
          </w:p>
        </w:tc>
        <w:tc>
          <w:tcPr>
            <w:tcW w:w="2045" w:type="dxa"/>
          </w:tcPr>
          <w:p w14:paraId="067D068F" w14:textId="547CB6D1" w:rsidR="00FA5543" w:rsidRPr="00F66162" w:rsidRDefault="6C3AF1E0" w:rsidP="139DF8FE">
            <w:pPr>
              <w:pStyle w:val="Text1"/>
              <w:ind w:left="0"/>
              <w:jc w:val="center"/>
              <w:rPr>
                <w:b/>
                <w:bCs/>
                <w:noProof/>
                <w:sz w:val="22"/>
                <w:szCs w:val="22"/>
              </w:rPr>
            </w:pPr>
            <w:r w:rsidRPr="00F66162">
              <w:rPr>
                <w:b/>
                <w:noProof/>
                <w:sz w:val="22"/>
              </w:rPr>
              <w:t>Finansowany</w:t>
            </w:r>
            <w:r w:rsidR="00825614" w:rsidRPr="00F66162">
              <w:rPr>
                <w:b/>
                <w:noProof/>
                <w:sz w:val="22"/>
              </w:rPr>
              <w:t xml:space="preserve"> z</w:t>
            </w:r>
            <w:r w:rsidR="00825614">
              <w:rPr>
                <w:b/>
                <w:noProof/>
                <w:sz w:val="22"/>
              </w:rPr>
              <w:t> </w:t>
            </w:r>
            <w:r w:rsidR="00825614" w:rsidRPr="00F66162">
              <w:rPr>
                <w:b/>
                <w:noProof/>
                <w:sz w:val="22"/>
              </w:rPr>
              <w:t>dzi</w:t>
            </w:r>
            <w:r w:rsidRPr="00F66162">
              <w:rPr>
                <w:b/>
                <w:noProof/>
                <w:sz w:val="22"/>
              </w:rPr>
              <w:t>ału 7 lub ze środków „Badania naukowe”</w:t>
            </w:r>
          </w:p>
        </w:tc>
        <w:tc>
          <w:tcPr>
            <w:tcW w:w="1818" w:type="dxa"/>
          </w:tcPr>
          <w:p w14:paraId="0571598B" w14:textId="03055AE2" w:rsidR="00FA5543" w:rsidRPr="00F66162" w:rsidRDefault="00FA5543" w:rsidP="00390489">
            <w:pPr>
              <w:pStyle w:val="Text1"/>
              <w:ind w:left="0"/>
              <w:jc w:val="center"/>
              <w:rPr>
                <w:b/>
                <w:bCs/>
                <w:noProof/>
                <w:sz w:val="22"/>
                <w:szCs w:val="28"/>
              </w:rPr>
            </w:pPr>
            <w:r w:rsidRPr="00F66162">
              <w:rPr>
                <w:b/>
                <w:noProof/>
                <w:sz w:val="22"/>
              </w:rPr>
              <w:t>Finansowany</w:t>
            </w:r>
            <w:r w:rsidR="00825614" w:rsidRPr="00F66162">
              <w:rPr>
                <w:b/>
                <w:noProof/>
                <w:sz w:val="22"/>
              </w:rPr>
              <w:t xml:space="preserve"> z</w:t>
            </w:r>
            <w:r w:rsidR="00825614">
              <w:rPr>
                <w:b/>
                <w:noProof/>
                <w:sz w:val="22"/>
              </w:rPr>
              <w:t> </w:t>
            </w:r>
            <w:r w:rsidR="00825614" w:rsidRPr="00F66162">
              <w:rPr>
                <w:b/>
                <w:noProof/>
                <w:sz w:val="22"/>
              </w:rPr>
              <w:t>lin</w:t>
            </w:r>
            <w:r w:rsidRPr="00F66162">
              <w:rPr>
                <w:b/>
                <w:noProof/>
                <w:sz w:val="22"/>
              </w:rPr>
              <w:t>ii BA</w:t>
            </w:r>
          </w:p>
        </w:tc>
        <w:tc>
          <w:tcPr>
            <w:tcW w:w="2009" w:type="dxa"/>
          </w:tcPr>
          <w:p w14:paraId="6884E8CF" w14:textId="307FF1B4" w:rsidR="00FA5543" w:rsidRPr="00F66162" w:rsidRDefault="00FA5543" w:rsidP="00390489">
            <w:pPr>
              <w:pStyle w:val="Text1"/>
              <w:ind w:left="0"/>
              <w:jc w:val="center"/>
              <w:rPr>
                <w:b/>
                <w:bCs/>
                <w:noProof/>
                <w:sz w:val="22"/>
                <w:szCs w:val="28"/>
              </w:rPr>
            </w:pPr>
            <w:r w:rsidRPr="00F66162">
              <w:rPr>
                <w:b/>
                <w:noProof/>
                <w:sz w:val="22"/>
              </w:rPr>
              <w:t>Finansowany</w:t>
            </w:r>
            <w:r w:rsidR="00825614" w:rsidRPr="00F66162">
              <w:rPr>
                <w:b/>
                <w:noProof/>
                <w:sz w:val="22"/>
              </w:rPr>
              <w:t xml:space="preserve"> z</w:t>
            </w:r>
            <w:r w:rsidR="00825614">
              <w:rPr>
                <w:b/>
                <w:noProof/>
                <w:sz w:val="22"/>
              </w:rPr>
              <w:t> </w:t>
            </w:r>
            <w:r w:rsidR="00825614" w:rsidRPr="00F66162">
              <w:rPr>
                <w:b/>
                <w:noProof/>
                <w:sz w:val="22"/>
              </w:rPr>
              <w:t>opł</w:t>
            </w:r>
            <w:r w:rsidRPr="00F66162">
              <w:rPr>
                <w:b/>
                <w:noProof/>
                <w:sz w:val="22"/>
              </w:rPr>
              <w:t>at</w:t>
            </w:r>
          </w:p>
        </w:tc>
      </w:tr>
      <w:tr w:rsidR="00FA5543" w:rsidRPr="00F66162" w14:paraId="1E33DEAF" w14:textId="77777777" w:rsidTr="004246FD">
        <w:trPr>
          <w:trHeight w:val="300"/>
        </w:trPr>
        <w:tc>
          <w:tcPr>
            <w:tcW w:w="1845" w:type="dxa"/>
          </w:tcPr>
          <w:p w14:paraId="47863C1A" w14:textId="13419760" w:rsidR="00FA5543" w:rsidRPr="00F66162" w:rsidRDefault="00FA5543" w:rsidP="00390489">
            <w:pPr>
              <w:pStyle w:val="Text1"/>
              <w:ind w:left="0"/>
              <w:rPr>
                <w:noProof/>
                <w:sz w:val="22"/>
                <w:szCs w:val="28"/>
              </w:rPr>
            </w:pPr>
            <w:r w:rsidRPr="00F66162">
              <w:rPr>
                <w:noProof/>
                <w:sz w:val="22"/>
              </w:rPr>
              <w:t>Stanowiska</w:t>
            </w:r>
            <w:r w:rsidR="00825614" w:rsidRPr="00F66162">
              <w:rPr>
                <w:noProof/>
                <w:sz w:val="22"/>
              </w:rPr>
              <w:t xml:space="preserve"> w</w:t>
            </w:r>
            <w:r w:rsidR="00825614">
              <w:rPr>
                <w:noProof/>
                <w:sz w:val="22"/>
              </w:rPr>
              <w:t> </w:t>
            </w:r>
            <w:r w:rsidR="00825614" w:rsidRPr="00F66162">
              <w:rPr>
                <w:noProof/>
                <w:sz w:val="22"/>
              </w:rPr>
              <w:t>pla</w:t>
            </w:r>
            <w:r w:rsidRPr="00F66162">
              <w:rPr>
                <w:noProof/>
                <w:sz w:val="22"/>
              </w:rPr>
              <w:t>nie zatrudnienia</w:t>
            </w:r>
          </w:p>
        </w:tc>
        <w:tc>
          <w:tcPr>
            <w:tcW w:w="2031" w:type="dxa"/>
          </w:tcPr>
          <w:p w14:paraId="03BC9481" w14:textId="77777777" w:rsidR="00FA5543" w:rsidRPr="00F66162" w:rsidRDefault="0F82BEA5" w:rsidP="139DF8FE">
            <w:pPr>
              <w:rPr>
                <w:noProof/>
              </w:rPr>
            </w:pPr>
            <w:r w:rsidRPr="00F66162">
              <w:rPr>
                <w:noProof/>
                <w:sz w:val="22"/>
              </w:rPr>
              <w:t>Nie dotyczy</w:t>
            </w:r>
          </w:p>
        </w:tc>
        <w:tc>
          <w:tcPr>
            <w:tcW w:w="2045" w:type="dxa"/>
          </w:tcPr>
          <w:p w14:paraId="7499D148" w14:textId="77777777" w:rsidR="00FA5543" w:rsidRPr="00F66162" w:rsidRDefault="47B95AAA" w:rsidP="139DF8FE">
            <w:pPr>
              <w:rPr>
                <w:noProof/>
              </w:rPr>
            </w:pPr>
            <w:r w:rsidRPr="00F66162">
              <w:rPr>
                <w:noProof/>
                <w:sz w:val="22"/>
              </w:rPr>
              <w:t>Nie dotyczy</w:t>
            </w:r>
          </w:p>
        </w:tc>
        <w:tc>
          <w:tcPr>
            <w:tcW w:w="1818" w:type="dxa"/>
          </w:tcPr>
          <w:p w14:paraId="4BFEAEBE" w14:textId="77777777" w:rsidR="00FA5543" w:rsidRPr="00F66162" w:rsidRDefault="00FA5543" w:rsidP="00390489">
            <w:pPr>
              <w:pStyle w:val="Text1"/>
              <w:ind w:left="0"/>
              <w:rPr>
                <w:noProof/>
                <w:sz w:val="22"/>
                <w:szCs w:val="28"/>
              </w:rPr>
            </w:pPr>
            <w:r w:rsidRPr="00F66162">
              <w:rPr>
                <w:noProof/>
                <w:sz w:val="22"/>
              </w:rPr>
              <w:t>Nie dotyczy</w:t>
            </w:r>
          </w:p>
        </w:tc>
        <w:tc>
          <w:tcPr>
            <w:tcW w:w="2009" w:type="dxa"/>
          </w:tcPr>
          <w:p w14:paraId="048284F8" w14:textId="77777777" w:rsidR="00FA5543" w:rsidRPr="00F66162" w:rsidRDefault="4468F384" w:rsidP="139DF8FE">
            <w:pPr>
              <w:rPr>
                <w:noProof/>
              </w:rPr>
            </w:pPr>
            <w:r w:rsidRPr="00F66162">
              <w:rPr>
                <w:noProof/>
                <w:sz w:val="22"/>
              </w:rPr>
              <w:t>Nie dotyczy</w:t>
            </w:r>
          </w:p>
        </w:tc>
      </w:tr>
      <w:tr w:rsidR="00FA5543" w:rsidRPr="00F66162" w14:paraId="15327A89" w14:textId="77777777" w:rsidTr="004246FD">
        <w:trPr>
          <w:trHeight w:val="300"/>
        </w:trPr>
        <w:tc>
          <w:tcPr>
            <w:tcW w:w="1845" w:type="dxa"/>
          </w:tcPr>
          <w:p w14:paraId="46F2A914" w14:textId="77777777" w:rsidR="00FA5543" w:rsidRPr="00F66162" w:rsidRDefault="00FA5543" w:rsidP="00390489">
            <w:pPr>
              <w:pStyle w:val="Text1"/>
              <w:ind w:left="0"/>
              <w:rPr>
                <w:noProof/>
                <w:sz w:val="22"/>
                <w:szCs w:val="28"/>
              </w:rPr>
            </w:pPr>
            <w:r w:rsidRPr="00F66162">
              <w:rPr>
                <w:noProof/>
                <w:sz w:val="22"/>
              </w:rPr>
              <w:t>Personel zewnętrzny (CA, SNE, INT)</w:t>
            </w:r>
          </w:p>
        </w:tc>
        <w:tc>
          <w:tcPr>
            <w:tcW w:w="2031" w:type="dxa"/>
          </w:tcPr>
          <w:p w14:paraId="664D455F" w14:textId="77777777" w:rsidR="00FA5543" w:rsidRPr="00F66162" w:rsidRDefault="4D1C0C45" w:rsidP="139DF8FE">
            <w:pPr>
              <w:rPr>
                <w:noProof/>
              </w:rPr>
            </w:pPr>
            <w:r w:rsidRPr="00F66162">
              <w:rPr>
                <w:noProof/>
                <w:sz w:val="22"/>
              </w:rPr>
              <w:t>Nie dotyczy</w:t>
            </w:r>
          </w:p>
        </w:tc>
        <w:tc>
          <w:tcPr>
            <w:tcW w:w="2045" w:type="dxa"/>
          </w:tcPr>
          <w:p w14:paraId="3D6B36F0" w14:textId="77777777" w:rsidR="00FA5543" w:rsidRPr="00F66162" w:rsidRDefault="4D1C0C45" w:rsidP="139DF8FE">
            <w:pPr>
              <w:rPr>
                <w:noProof/>
              </w:rPr>
            </w:pPr>
            <w:r w:rsidRPr="00F66162">
              <w:rPr>
                <w:noProof/>
                <w:sz w:val="22"/>
              </w:rPr>
              <w:t>Nie dotyczy</w:t>
            </w:r>
          </w:p>
        </w:tc>
        <w:tc>
          <w:tcPr>
            <w:tcW w:w="1818" w:type="dxa"/>
          </w:tcPr>
          <w:p w14:paraId="55275E77" w14:textId="77777777" w:rsidR="00FA5543" w:rsidRPr="00F66162" w:rsidRDefault="4D1C0C45" w:rsidP="139DF8FE">
            <w:pPr>
              <w:rPr>
                <w:noProof/>
              </w:rPr>
            </w:pPr>
            <w:r w:rsidRPr="00F66162">
              <w:rPr>
                <w:noProof/>
                <w:sz w:val="22"/>
              </w:rPr>
              <w:t>Nie dotyczy</w:t>
            </w:r>
          </w:p>
        </w:tc>
        <w:tc>
          <w:tcPr>
            <w:tcW w:w="2009" w:type="dxa"/>
          </w:tcPr>
          <w:p w14:paraId="625FEDCB" w14:textId="77777777" w:rsidR="00FA5543" w:rsidRPr="00F66162" w:rsidRDefault="4D1C0C45" w:rsidP="139DF8FE">
            <w:pPr>
              <w:rPr>
                <w:noProof/>
              </w:rPr>
            </w:pPr>
            <w:r w:rsidRPr="00F66162">
              <w:rPr>
                <w:noProof/>
                <w:sz w:val="22"/>
              </w:rPr>
              <w:t>Nie dotyczy</w:t>
            </w:r>
          </w:p>
        </w:tc>
      </w:tr>
    </w:tbl>
    <w:p w14:paraId="56B7D7DD" w14:textId="77777777" w:rsidR="00FA5543" w:rsidRPr="00F66162" w:rsidRDefault="00FA5543" w:rsidP="00390489">
      <w:pPr>
        <w:pStyle w:val="Text1"/>
        <w:ind w:left="-426" w:right="-427"/>
        <w:rPr>
          <w:noProof/>
        </w:rPr>
      </w:pPr>
      <w:r w:rsidRPr="00F66162">
        <w:rPr>
          <w:noProof/>
        </w:rPr>
        <w:t>Opis zadań do wykonania:</w:t>
      </w:r>
    </w:p>
    <w:tbl>
      <w:tblPr>
        <w:tblW w:w="9754"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6514"/>
      </w:tblGrid>
      <w:tr w:rsidR="003E3DBC" w:rsidRPr="00F66162" w14:paraId="576729F9" w14:textId="77777777" w:rsidTr="004246FD">
        <w:tc>
          <w:tcPr>
            <w:tcW w:w="3240" w:type="dxa"/>
          </w:tcPr>
          <w:p w14:paraId="65E12029" w14:textId="36CAD116" w:rsidR="00FA5543" w:rsidRPr="00F66162" w:rsidRDefault="00FA5543" w:rsidP="00390489">
            <w:pPr>
              <w:rPr>
                <w:noProof/>
                <w:sz w:val="20"/>
              </w:rPr>
            </w:pPr>
            <w:r w:rsidRPr="00F66162">
              <w:rPr>
                <w:noProof/>
                <w:sz w:val="20"/>
              </w:rPr>
              <w:t>Urzędnicy</w:t>
            </w:r>
            <w:r w:rsidR="00825614" w:rsidRPr="00F66162">
              <w:rPr>
                <w:noProof/>
                <w:sz w:val="20"/>
              </w:rPr>
              <w:t xml:space="preserve"> i</w:t>
            </w:r>
            <w:r w:rsidR="00825614">
              <w:rPr>
                <w:noProof/>
                <w:sz w:val="20"/>
              </w:rPr>
              <w:t> </w:t>
            </w:r>
            <w:r w:rsidR="00825614" w:rsidRPr="00F66162">
              <w:rPr>
                <w:noProof/>
                <w:sz w:val="20"/>
              </w:rPr>
              <w:t>pra</w:t>
            </w:r>
            <w:r w:rsidRPr="00F66162">
              <w:rPr>
                <w:noProof/>
                <w:sz w:val="20"/>
              </w:rPr>
              <w:t>cownicy zatrudnieni na czas określony</w:t>
            </w:r>
          </w:p>
        </w:tc>
        <w:tc>
          <w:tcPr>
            <w:tcW w:w="6514" w:type="dxa"/>
          </w:tcPr>
          <w:p w14:paraId="089BADCC" w14:textId="28D425B8" w:rsidR="00FA5543" w:rsidRPr="00F66162" w:rsidRDefault="37F9FA91" w:rsidP="00390489">
            <w:pPr>
              <w:rPr>
                <w:noProof/>
              </w:rPr>
            </w:pPr>
            <w:r w:rsidRPr="00F66162">
              <w:rPr>
                <w:noProof/>
                <w:sz w:val="20"/>
              </w:rPr>
              <w:t>W rozporządzeniu</w:t>
            </w:r>
            <w:r w:rsidR="00825614" w:rsidRPr="00F66162">
              <w:rPr>
                <w:noProof/>
                <w:sz w:val="20"/>
              </w:rPr>
              <w:t xml:space="preserve"> w</w:t>
            </w:r>
            <w:r w:rsidR="00825614">
              <w:rPr>
                <w:noProof/>
                <w:sz w:val="20"/>
              </w:rPr>
              <w:t> </w:t>
            </w:r>
            <w:r w:rsidR="00825614" w:rsidRPr="00F66162">
              <w:rPr>
                <w:noProof/>
                <w:sz w:val="20"/>
              </w:rPr>
              <w:t>spr</w:t>
            </w:r>
            <w:r w:rsidRPr="00F66162">
              <w:rPr>
                <w:noProof/>
                <w:sz w:val="20"/>
              </w:rPr>
              <w:t>awie CBAM nałożono na Komisję obowiązek podjęcia dalszych działań</w:t>
            </w:r>
            <w:r w:rsidR="00825614" w:rsidRPr="00F66162">
              <w:rPr>
                <w:noProof/>
                <w:sz w:val="20"/>
              </w:rPr>
              <w:t xml:space="preserve"> w</w:t>
            </w:r>
            <w:r w:rsidR="00825614">
              <w:rPr>
                <w:noProof/>
                <w:sz w:val="20"/>
              </w:rPr>
              <w:t> </w:t>
            </w:r>
            <w:r w:rsidR="00825614" w:rsidRPr="00F66162">
              <w:rPr>
                <w:noProof/>
                <w:sz w:val="20"/>
              </w:rPr>
              <w:t>pos</w:t>
            </w:r>
            <w:r w:rsidRPr="00F66162">
              <w:rPr>
                <w:noProof/>
                <w:sz w:val="20"/>
              </w:rPr>
              <w:t>taci aktów delegowanych</w:t>
            </w:r>
            <w:r w:rsidR="00825614" w:rsidRPr="00F66162">
              <w:rPr>
                <w:noProof/>
                <w:sz w:val="20"/>
              </w:rPr>
              <w:t xml:space="preserve"> i</w:t>
            </w:r>
            <w:r w:rsidR="00825614">
              <w:rPr>
                <w:noProof/>
                <w:sz w:val="20"/>
              </w:rPr>
              <w:t> </w:t>
            </w:r>
            <w:r w:rsidR="00825614" w:rsidRPr="00F66162">
              <w:rPr>
                <w:noProof/>
                <w:sz w:val="20"/>
              </w:rPr>
              <w:t>wyk</w:t>
            </w:r>
            <w:r w:rsidRPr="00F66162">
              <w:rPr>
                <w:noProof/>
                <w:sz w:val="20"/>
              </w:rPr>
              <w:t>onawczych po przyjęciu rozporządzenia</w:t>
            </w:r>
            <w:r w:rsidR="00825614" w:rsidRPr="00F66162">
              <w:rPr>
                <w:noProof/>
                <w:sz w:val="20"/>
              </w:rPr>
              <w:t xml:space="preserve"> w</w:t>
            </w:r>
            <w:r w:rsidR="00825614">
              <w:rPr>
                <w:noProof/>
                <w:sz w:val="20"/>
              </w:rPr>
              <w:t> </w:t>
            </w:r>
            <w:r w:rsidR="00825614" w:rsidRPr="00F66162">
              <w:rPr>
                <w:noProof/>
                <w:sz w:val="20"/>
              </w:rPr>
              <w:t>spr</w:t>
            </w:r>
            <w:r w:rsidRPr="00F66162">
              <w:rPr>
                <w:noProof/>
                <w:sz w:val="20"/>
              </w:rPr>
              <w:t>awie CBAM. Personel Komisji będzie również potrzebny do dokonania przeglądu</w:t>
            </w:r>
            <w:r w:rsidR="00825614" w:rsidRPr="00F66162">
              <w:rPr>
                <w:noProof/>
                <w:sz w:val="20"/>
              </w:rPr>
              <w:t xml:space="preserve"> i</w:t>
            </w:r>
            <w:r w:rsidR="00825614">
              <w:rPr>
                <w:noProof/>
                <w:sz w:val="20"/>
              </w:rPr>
              <w:t> </w:t>
            </w:r>
            <w:r w:rsidR="00825614" w:rsidRPr="00F66162">
              <w:rPr>
                <w:noProof/>
                <w:sz w:val="20"/>
              </w:rPr>
              <w:t>oce</w:t>
            </w:r>
            <w:r w:rsidRPr="00F66162">
              <w:rPr>
                <w:noProof/>
                <w:sz w:val="20"/>
              </w:rPr>
              <w:t>ny funkcjonowania systemu CBAM oraz do wdrożenia systemu informatycznego.</w:t>
            </w:r>
          </w:p>
        </w:tc>
      </w:tr>
      <w:tr w:rsidR="003E3DBC" w:rsidRPr="00F66162" w14:paraId="4E07A35A" w14:textId="77777777" w:rsidTr="004246FD">
        <w:tc>
          <w:tcPr>
            <w:tcW w:w="3240" w:type="dxa"/>
          </w:tcPr>
          <w:p w14:paraId="2BC21E82" w14:textId="77777777" w:rsidR="00FA5543" w:rsidRPr="00F66162" w:rsidRDefault="00FA5543" w:rsidP="00390489">
            <w:pPr>
              <w:spacing w:before="60" w:after="60"/>
              <w:rPr>
                <w:noProof/>
                <w:sz w:val="20"/>
              </w:rPr>
            </w:pPr>
            <w:r w:rsidRPr="00F66162">
              <w:rPr>
                <w:noProof/>
                <w:sz w:val="20"/>
              </w:rPr>
              <w:t>Personel zewnętrzny</w:t>
            </w:r>
          </w:p>
        </w:tc>
        <w:tc>
          <w:tcPr>
            <w:tcW w:w="6514" w:type="dxa"/>
          </w:tcPr>
          <w:p w14:paraId="51192E07" w14:textId="77777777" w:rsidR="00FA5543" w:rsidRPr="00F66162" w:rsidRDefault="2390497A" w:rsidP="00390489">
            <w:pPr>
              <w:rPr>
                <w:noProof/>
              </w:rPr>
            </w:pPr>
            <w:r w:rsidRPr="00F66162">
              <w:rPr>
                <w:noProof/>
                <w:sz w:val="20"/>
              </w:rPr>
              <w:t>Wiele zadań mogą wykonać pracownicy zewnętrzni.</w:t>
            </w:r>
          </w:p>
        </w:tc>
      </w:tr>
    </w:tbl>
    <w:p w14:paraId="16128140" w14:textId="373481F1" w:rsidR="00FA5543" w:rsidRPr="00F66162" w:rsidRDefault="00FA5543" w:rsidP="00390489">
      <w:pPr>
        <w:pStyle w:val="ManualHeading3"/>
        <w:rPr>
          <w:noProof/>
        </w:rPr>
      </w:pPr>
      <w:r w:rsidRPr="00F66162">
        <w:rPr>
          <w:noProof/>
        </w:rPr>
        <w:t>3.2.5.</w:t>
      </w:r>
      <w:r w:rsidRPr="00F66162">
        <w:rPr>
          <w:noProof/>
        </w:rPr>
        <w:tab/>
        <w:t>Przegląd szacowanego wpływu na inwestycje związane</w:t>
      </w:r>
      <w:r w:rsidR="00825614" w:rsidRPr="00F66162">
        <w:rPr>
          <w:noProof/>
        </w:rPr>
        <w:t xml:space="preserve"> z</w:t>
      </w:r>
      <w:r w:rsidR="00825614">
        <w:rPr>
          <w:noProof/>
        </w:rPr>
        <w:t> </w:t>
      </w:r>
      <w:r w:rsidR="00825614" w:rsidRPr="00F66162">
        <w:rPr>
          <w:noProof/>
        </w:rPr>
        <w:t>tec</w:t>
      </w:r>
      <w:r w:rsidRPr="00F66162">
        <w:rPr>
          <w:noProof/>
        </w:rPr>
        <w:t>hnologiami cyfrowymi</w:t>
      </w:r>
    </w:p>
    <w:p w14:paraId="5EF527A6" w14:textId="41888029" w:rsidR="00FA5543" w:rsidRPr="00F66162" w:rsidRDefault="00FA5543" w:rsidP="00390489">
      <w:pPr>
        <w:pStyle w:val="Text1"/>
        <w:spacing w:line="259" w:lineRule="auto"/>
        <w:rPr>
          <w:noProof/>
        </w:rPr>
      </w:pPr>
      <w:r w:rsidRPr="00F66162">
        <w:rPr>
          <w:noProof/>
        </w:rPr>
        <w:t>Obowiązkowo</w:t>
      </w:r>
      <w:r w:rsidR="00825614" w:rsidRPr="00F66162">
        <w:rPr>
          <w:noProof/>
        </w:rPr>
        <w:t xml:space="preserve"> w</w:t>
      </w:r>
      <w:r w:rsidR="00825614">
        <w:rPr>
          <w:noProof/>
        </w:rPr>
        <w:t> </w:t>
      </w:r>
      <w:r w:rsidR="00825614" w:rsidRPr="00F66162">
        <w:rPr>
          <w:noProof/>
        </w:rPr>
        <w:t>tab</w:t>
      </w:r>
      <w:r w:rsidRPr="00F66162">
        <w:rPr>
          <w:noProof/>
        </w:rPr>
        <w:t>eli poniżej: szacowany wpływ wniosku/inicjatywy na inwestycje związane</w:t>
      </w:r>
      <w:r w:rsidR="00825614" w:rsidRPr="00F66162">
        <w:rPr>
          <w:noProof/>
        </w:rPr>
        <w:t xml:space="preserve"> z</w:t>
      </w:r>
      <w:r w:rsidR="00825614">
        <w:rPr>
          <w:noProof/>
        </w:rPr>
        <w:t> </w:t>
      </w:r>
      <w:r w:rsidR="00825614" w:rsidRPr="00F66162">
        <w:rPr>
          <w:noProof/>
        </w:rPr>
        <w:t>tec</w:t>
      </w:r>
      <w:r w:rsidRPr="00F66162">
        <w:rPr>
          <w:noProof/>
        </w:rPr>
        <w:t xml:space="preserve">hnologiami cyfrowymi. </w:t>
      </w:r>
    </w:p>
    <w:p w14:paraId="7DFEFC5E" w14:textId="4D8D9523" w:rsidR="00FA5543" w:rsidRPr="00F66162" w:rsidRDefault="00FA5543" w:rsidP="00390489">
      <w:pPr>
        <w:pStyle w:val="Text1"/>
        <w:spacing w:line="259" w:lineRule="auto"/>
        <w:rPr>
          <w:noProof/>
        </w:rPr>
      </w:pPr>
      <w:r w:rsidRPr="00F66162">
        <w:rPr>
          <w:noProof/>
        </w:rPr>
        <w:lastRenderedPageBreak/>
        <w:t>W wyjątkowych przypadkach, jeżeli wymaga tego realizacja wniosku/inicjatywy, we wskazanym wierszu należy podać środki</w:t>
      </w:r>
      <w:r w:rsidR="00825614" w:rsidRPr="00F66162">
        <w:rPr>
          <w:noProof/>
        </w:rPr>
        <w:t xml:space="preserve"> z</w:t>
      </w:r>
      <w:r w:rsidR="00825614">
        <w:rPr>
          <w:noProof/>
        </w:rPr>
        <w:t> </w:t>
      </w:r>
      <w:r w:rsidR="00825614" w:rsidRPr="00F66162">
        <w:rPr>
          <w:noProof/>
        </w:rPr>
        <w:t>dzi</w:t>
      </w:r>
      <w:r w:rsidRPr="00F66162">
        <w:rPr>
          <w:noProof/>
        </w:rPr>
        <w:t xml:space="preserve">ału 7. </w:t>
      </w:r>
    </w:p>
    <w:p w14:paraId="3A24A606" w14:textId="691D44BA" w:rsidR="00FA5543" w:rsidRPr="00F66162" w:rsidRDefault="00FA5543" w:rsidP="00390489">
      <w:pPr>
        <w:pStyle w:val="Text1"/>
        <w:spacing w:line="259" w:lineRule="auto"/>
        <w:rPr>
          <w:noProof/>
        </w:rPr>
      </w:pPr>
      <w:r w:rsidRPr="00F66162">
        <w:rPr>
          <w:noProof/>
        </w:rPr>
        <w:t>Środki</w:t>
      </w:r>
      <w:r w:rsidR="00825614" w:rsidRPr="00F66162">
        <w:rPr>
          <w:noProof/>
        </w:rPr>
        <w:t xml:space="preserve"> z</w:t>
      </w:r>
      <w:r w:rsidR="00825614">
        <w:rPr>
          <w:noProof/>
        </w:rPr>
        <w:t> </w:t>
      </w:r>
      <w:r w:rsidR="00825614" w:rsidRPr="00F66162">
        <w:rPr>
          <w:noProof/>
        </w:rPr>
        <w:t>dzi</w:t>
      </w:r>
      <w:r w:rsidRPr="00F66162">
        <w:rPr>
          <w:noProof/>
        </w:rPr>
        <w:t>ałów 1–6 należy podać</w:t>
      </w:r>
      <w:r w:rsidR="00825614" w:rsidRPr="00F66162">
        <w:rPr>
          <w:noProof/>
        </w:rPr>
        <w:t xml:space="preserve"> w</w:t>
      </w:r>
      <w:r w:rsidR="00825614">
        <w:rPr>
          <w:noProof/>
        </w:rPr>
        <w:t> </w:t>
      </w:r>
      <w:r w:rsidR="00825614" w:rsidRPr="00F66162">
        <w:rPr>
          <w:noProof/>
        </w:rPr>
        <w:t>wie</w:t>
      </w:r>
      <w:r w:rsidRPr="00F66162">
        <w:rPr>
          <w:noProof/>
        </w:rPr>
        <w:t>rszu „Wydatki na IT wynikające</w:t>
      </w:r>
      <w:r w:rsidR="00825614" w:rsidRPr="00F66162">
        <w:rPr>
          <w:noProof/>
        </w:rPr>
        <w:t xml:space="preserve"> z</w:t>
      </w:r>
      <w:r w:rsidR="00825614">
        <w:rPr>
          <w:noProof/>
        </w:rPr>
        <w:t> </w:t>
      </w:r>
      <w:r w:rsidR="00825614" w:rsidRPr="00F66162">
        <w:rPr>
          <w:noProof/>
        </w:rPr>
        <w:t>rea</w:t>
      </w:r>
      <w:r w:rsidRPr="00F66162">
        <w:rPr>
          <w:noProof/>
        </w:rPr>
        <w:t>lizacji polityki tytułem programów operacyjnych”. Wydatki te odnoszą się do budżetu operacyjnego na ponowne wykorzystanie / zakup / rozwój platform / narzędzi informatycznych bezpośrednio związanych</w:t>
      </w:r>
      <w:r w:rsidR="00825614" w:rsidRPr="00F66162">
        <w:rPr>
          <w:noProof/>
        </w:rPr>
        <w:t xml:space="preserve"> z</w:t>
      </w:r>
      <w:r w:rsidR="00825614">
        <w:rPr>
          <w:noProof/>
        </w:rPr>
        <w:t> </w:t>
      </w:r>
      <w:r w:rsidR="00825614" w:rsidRPr="00F66162">
        <w:rPr>
          <w:noProof/>
        </w:rPr>
        <w:t>rea</w:t>
      </w:r>
      <w:r w:rsidRPr="00F66162">
        <w:rPr>
          <w:noProof/>
        </w:rPr>
        <w:t>lizacją inicjatywy oraz powiązanych</w:t>
      </w:r>
      <w:r w:rsidR="00825614" w:rsidRPr="00F66162">
        <w:rPr>
          <w:noProof/>
        </w:rPr>
        <w:t xml:space="preserve"> z</w:t>
      </w:r>
      <w:r w:rsidR="00825614">
        <w:rPr>
          <w:noProof/>
        </w:rPr>
        <w:t> </w:t>
      </w:r>
      <w:r w:rsidR="00825614" w:rsidRPr="00F66162">
        <w:rPr>
          <w:noProof/>
        </w:rPr>
        <w:t>nim</w:t>
      </w:r>
      <w:r w:rsidRPr="00F66162">
        <w:rPr>
          <w:noProof/>
        </w:rPr>
        <w:t>i inwestycji (np. licencje, badania, przechowywanie danych). Informacje podane</w:t>
      </w:r>
      <w:r w:rsidR="00825614" w:rsidRPr="00F66162">
        <w:rPr>
          <w:noProof/>
        </w:rPr>
        <w:t xml:space="preserve"> w</w:t>
      </w:r>
      <w:r w:rsidR="00825614">
        <w:rPr>
          <w:noProof/>
        </w:rPr>
        <w:t> </w:t>
      </w:r>
      <w:r w:rsidR="00825614" w:rsidRPr="00F66162">
        <w:rPr>
          <w:noProof/>
        </w:rPr>
        <w:t>tej</w:t>
      </w:r>
      <w:r w:rsidRPr="00F66162">
        <w:rPr>
          <w:noProof/>
        </w:rPr>
        <w:t xml:space="preserve"> tabeli powinny zgadzać się</w:t>
      </w:r>
      <w:r w:rsidR="00825614" w:rsidRPr="00F66162">
        <w:rPr>
          <w:noProof/>
        </w:rPr>
        <w:t xml:space="preserve"> z</w:t>
      </w:r>
      <w:r w:rsidR="00825614">
        <w:rPr>
          <w:noProof/>
        </w:rPr>
        <w:t> </w:t>
      </w:r>
      <w:r w:rsidR="00825614" w:rsidRPr="00F66162">
        <w:rPr>
          <w:noProof/>
        </w:rPr>
        <w:t>inf</w:t>
      </w:r>
      <w:r w:rsidRPr="00F66162">
        <w:rPr>
          <w:noProof/>
        </w:rPr>
        <w:t>ormacjami przedstawionymi</w:t>
      </w:r>
      <w:r w:rsidR="00825614" w:rsidRPr="00F66162">
        <w:rPr>
          <w:noProof/>
        </w:rPr>
        <w:t xml:space="preserve"> w</w:t>
      </w:r>
      <w:r w:rsidR="00825614">
        <w:rPr>
          <w:noProof/>
        </w:rPr>
        <w:t> </w:t>
      </w:r>
      <w:r w:rsidR="00825614" w:rsidRPr="00F66162">
        <w:rPr>
          <w:noProof/>
        </w:rPr>
        <w:t>sek</w:t>
      </w:r>
      <w:r w:rsidRPr="00F66162">
        <w:rPr>
          <w:noProof/>
        </w:rPr>
        <w:t>cji 4 „Wymiar cyfrowy”.</w:t>
      </w:r>
    </w:p>
    <w:tbl>
      <w:tblPr>
        <w:tblW w:w="0" w:type="auto"/>
        <w:tblLayout w:type="fixed"/>
        <w:tblLook w:val="04A0" w:firstRow="1" w:lastRow="0" w:firstColumn="1" w:lastColumn="0" w:noHBand="0" w:noVBand="1"/>
      </w:tblPr>
      <w:tblGrid>
        <w:gridCol w:w="3214"/>
        <w:gridCol w:w="835"/>
        <w:gridCol w:w="835"/>
        <w:gridCol w:w="835"/>
        <w:gridCol w:w="835"/>
        <w:gridCol w:w="2485"/>
      </w:tblGrid>
      <w:tr w:rsidR="00FA5543" w:rsidRPr="00F66162" w14:paraId="620B7506" w14:textId="77777777" w:rsidTr="004246FD">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2B020208" w14:textId="0796A081" w:rsidR="00FA5543" w:rsidRPr="00F66162" w:rsidRDefault="6C3AF1E0" w:rsidP="00390489">
            <w:pPr>
              <w:spacing w:before="0" w:after="0"/>
              <w:jc w:val="center"/>
              <w:rPr>
                <w:b/>
                <w:bCs/>
                <w:noProof/>
                <w:color w:val="000000" w:themeColor="text1"/>
                <w:sz w:val="18"/>
                <w:szCs w:val="18"/>
              </w:rPr>
            </w:pPr>
            <w:r w:rsidRPr="00F66162">
              <w:rPr>
                <w:b/>
                <w:noProof/>
                <w:color w:val="000000" w:themeColor="text1"/>
                <w:sz w:val="18"/>
              </w:rPr>
              <w:t>OGÓŁEM środki na IT</w:t>
            </w:r>
            <w:r w:rsidR="00825614" w:rsidRPr="00F66162">
              <w:rPr>
                <w:b/>
                <w:noProof/>
                <w:color w:val="000000" w:themeColor="text1"/>
                <w:sz w:val="18"/>
              </w:rPr>
              <w:t xml:space="preserve"> i</w:t>
            </w:r>
            <w:r w:rsidR="00825614">
              <w:rPr>
                <w:b/>
                <w:noProof/>
                <w:color w:val="000000" w:themeColor="text1"/>
                <w:sz w:val="18"/>
              </w:rPr>
              <w:t> </w:t>
            </w:r>
            <w:r w:rsidR="00825614" w:rsidRPr="00F66162">
              <w:rPr>
                <w:b/>
                <w:noProof/>
                <w:color w:val="000000" w:themeColor="text1"/>
                <w:sz w:val="18"/>
              </w:rPr>
              <w:t>tec</w:t>
            </w:r>
            <w:r w:rsidRPr="00F66162">
              <w:rPr>
                <w:b/>
                <w:noProof/>
                <w:color w:val="000000" w:themeColor="text1"/>
                <w:sz w:val="18"/>
              </w:rPr>
              <w:t>hnologie cyfrowe</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0714BC2F" w14:textId="77777777" w:rsidR="00FA5543" w:rsidRPr="00F66162" w:rsidRDefault="00FA5543" w:rsidP="00390489">
            <w:pPr>
              <w:spacing w:before="0" w:after="0"/>
              <w:jc w:val="center"/>
              <w:rPr>
                <w:noProof/>
                <w:color w:val="000000" w:themeColor="text1"/>
                <w:sz w:val="18"/>
                <w:szCs w:val="18"/>
              </w:rPr>
            </w:pPr>
            <w:r w:rsidRPr="00F66162">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4184114B" w14:textId="77777777" w:rsidR="00FA5543" w:rsidRPr="00F66162" w:rsidRDefault="00FA5543" w:rsidP="00390489">
            <w:pPr>
              <w:spacing w:before="0" w:after="0"/>
              <w:jc w:val="center"/>
              <w:rPr>
                <w:noProof/>
                <w:color w:val="000000" w:themeColor="text1"/>
                <w:sz w:val="18"/>
                <w:szCs w:val="18"/>
              </w:rPr>
            </w:pPr>
            <w:r w:rsidRPr="00F66162">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2984942" w14:textId="77777777" w:rsidR="00FA5543" w:rsidRPr="00F66162" w:rsidRDefault="00FA5543" w:rsidP="00390489">
            <w:pPr>
              <w:spacing w:before="0" w:after="0"/>
              <w:jc w:val="center"/>
              <w:rPr>
                <w:noProof/>
                <w:color w:val="000000" w:themeColor="text1"/>
                <w:sz w:val="18"/>
                <w:szCs w:val="18"/>
              </w:rPr>
            </w:pPr>
            <w:r w:rsidRPr="00F66162">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273F28BE" w14:textId="77777777" w:rsidR="00FA5543" w:rsidRPr="00F66162" w:rsidRDefault="00FA5543" w:rsidP="00390489">
            <w:pPr>
              <w:spacing w:before="0" w:after="0"/>
              <w:jc w:val="center"/>
              <w:rPr>
                <w:noProof/>
                <w:color w:val="000000" w:themeColor="text1"/>
                <w:sz w:val="18"/>
                <w:szCs w:val="18"/>
              </w:rPr>
            </w:pPr>
            <w:r w:rsidRPr="00F66162">
              <w:rPr>
                <w:noProof/>
                <w:color w:val="000000" w:themeColor="text1"/>
                <w:sz w:val="18"/>
              </w:rPr>
              <w:t>Rok</w:t>
            </w:r>
          </w:p>
        </w:tc>
        <w:tc>
          <w:tcPr>
            <w:tcW w:w="2485"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3D0ACA9B" w14:textId="77777777" w:rsidR="00FA5543" w:rsidRPr="00F66162" w:rsidRDefault="00FA5543" w:rsidP="00390489">
            <w:pPr>
              <w:spacing w:before="0" w:after="0"/>
              <w:jc w:val="center"/>
              <w:rPr>
                <w:b/>
                <w:bCs/>
                <w:noProof/>
                <w:color w:val="000000" w:themeColor="text1"/>
                <w:sz w:val="18"/>
                <w:szCs w:val="18"/>
              </w:rPr>
            </w:pPr>
            <w:r w:rsidRPr="00F66162">
              <w:rPr>
                <w:b/>
                <w:noProof/>
                <w:color w:val="000000" w:themeColor="text1"/>
                <w:sz w:val="18"/>
              </w:rPr>
              <w:t>OGÓŁEM WRF 2021–2027</w:t>
            </w:r>
          </w:p>
        </w:tc>
      </w:tr>
      <w:tr w:rsidR="00FA5543" w:rsidRPr="00F66162" w14:paraId="3EAD256A" w14:textId="77777777" w:rsidTr="004246FD">
        <w:trPr>
          <w:trHeight w:val="525"/>
        </w:trPr>
        <w:tc>
          <w:tcPr>
            <w:tcW w:w="3214" w:type="dxa"/>
            <w:vMerge/>
            <w:vAlign w:val="center"/>
          </w:tcPr>
          <w:p w14:paraId="6C95436A" w14:textId="77777777" w:rsidR="00FA5543" w:rsidRPr="00F66162" w:rsidRDefault="00FA5543" w:rsidP="00390489">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35482A5A" w14:textId="77777777" w:rsidR="00FA5543" w:rsidRPr="00F66162" w:rsidRDefault="00FA5543" w:rsidP="00390489">
            <w:pPr>
              <w:spacing w:before="0" w:after="0"/>
              <w:jc w:val="center"/>
              <w:rPr>
                <w:b/>
                <w:bCs/>
                <w:noProof/>
                <w:color w:val="000000" w:themeColor="text1"/>
                <w:sz w:val="18"/>
                <w:szCs w:val="18"/>
              </w:rPr>
            </w:pPr>
            <w:r w:rsidRPr="00F66162">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2C8D8774" w14:textId="77777777" w:rsidR="00FA5543" w:rsidRPr="00F66162" w:rsidRDefault="00FA5543" w:rsidP="00390489">
            <w:pPr>
              <w:spacing w:before="0" w:after="0"/>
              <w:jc w:val="center"/>
              <w:rPr>
                <w:b/>
                <w:bCs/>
                <w:noProof/>
                <w:color w:val="000000" w:themeColor="text1"/>
                <w:sz w:val="18"/>
                <w:szCs w:val="18"/>
              </w:rPr>
            </w:pPr>
            <w:r w:rsidRPr="00F66162">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4C922EED" w14:textId="77777777" w:rsidR="00FA5543" w:rsidRPr="00F66162" w:rsidRDefault="00FA5543" w:rsidP="00390489">
            <w:pPr>
              <w:spacing w:before="0" w:after="0"/>
              <w:jc w:val="center"/>
              <w:rPr>
                <w:b/>
                <w:bCs/>
                <w:noProof/>
                <w:color w:val="000000" w:themeColor="text1"/>
                <w:sz w:val="18"/>
                <w:szCs w:val="18"/>
              </w:rPr>
            </w:pPr>
            <w:r w:rsidRPr="00F66162">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1F1F265F" w14:textId="77777777" w:rsidR="00FA5543" w:rsidRPr="00F66162" w:rsidRDefault="00FA5543" w:rsidP="00390489">
            <w:pPr>
              <w:spacing w:before="0" w:after="0"/>
              <w:jc w:val="center"/>
              <w:rPr>
                <w:b/>
                <w:bCs/>
                <w:noProof/>
                <w:color w:val="000000" w:themeColor="text1"/>
                <w:sz w:val="18"/>
                <w:szCs w:val="18"/>
              </w:rPr>
            </w:pPr>
            <w:r w:rsidRPr="00F66162">
              <w:rPr>
                <w:b/>
                <w:noProof/>
                <w:color w:val="000000" w:themeColor="text1"/>
                <w:sz w:val="18"/>
              </w:rPr>
              <w:t>2027</w:t>
            </w:r>
          </w:p>
        </w:tc>
        <w:tc>
          <w:tcPr>
            <w:tcW w:w="2485" w:type="dxa"/>
            <w:vMerge/>
            <w:vAlign w:val="center"/>
          </w:tcPr>
          <w:p w14:paraId="090FD00D" w14:textId="77777777" w:rsidR="00FA5543" w:rsidRPr="00F66162" w:rsidRDefault="00FA5543" w:rsidP="00390489">
            <w:pPr>
              <w:rPr>
                <w:noProof/>
              </w:rPr>
            </w:pPr>
          </w:p>
        </w:tc>
      </w:tr>
      <w:tr w:rsidR="00FA5543" w:rsidRPr="00F66162" w14:paraId="5E481A68" w14:textId="77777777" w:rsidTr="004246FD">
        <w:trPr>
          <w:trHeight w:val="300"/>
        </w:trPr>
        <w:tc>
          <w:tcPr>
            <w:tcW w:w="9039"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1381312C" w14:textId="77777777" w:rsidR="00FA5543" w:rsidRPr="00F66162" w:rsidRDefault="00FA5543" w:rsidP="00390489">
            <w:pPr>
              <w:spacing w:before="0" w:after="0"/>
              <w:jc w:val="left"/>
              <w:rPr>
                <w:b/>
                <w:bCs/>
                <w:noProof/>
                <w:sz w:val="16"/>
                <w:szCs w:val="16"/>
              </w:rPr>
            </w:pPr>
            <w:r w:rsidRPr="00F66162">
              <w:rPr>
                <w:b/>
                <w:noProof/>
                <w:sz w:val="16"/>
              </w:rPr>
              <w:t>DZIAŁ 7</w:t>
            </w:r>
          </w:p>
        </w:tc>
      </w:tr>
      <w:tr w:rsidR="00FA5543" w:rsidRPr="00F66162" w14:paraId="15FE2917" w14:textId="77777777" w:rsidTr="004246F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29F52E" w14:textId="77777777" w:rsidR="00FA5543" w:rsidRPr="00F66162" w:rsidRDefault="00FA5543" w:rsidP="00390489">
            <w:pPr>
              <w:spacing w:before="0" w:after="0"/>
              <w:jc w:val="left"/>
              <w:rPr>
                <w:noProof/>
                <w:color w:val="000000" w:themeColor="text1"/>
                <w:sz w:val="16"/>
                <w:szCs w:val="16"/>
              </w:rPr>
            </w:pPr>
            <w:r w:rsidRPr="00F66162">
              <w:rPr>
                <w:rFonts w:ascii="Arial Narrow" w:hAnsi="Arial Narrow"/>
                <w:noProof/>
                <w:color w:val="000000" w:themeColor="text1"/>
                <w:sz w:val="20"/>
              </w:rPr>
              <w:t>Wydatki na IT (ponoszone przez organizację)</w:t>
            </w:r>
            <w:r w:rsidRPr="00F66162">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AFA0AE" w14:textId="77777777" w:rsidR="00FA5543" w:rsidRPr="00F66162" w:rsidRDefault="00FA5543" w:rsidP="00390489">
            <w:pPr>
              <w:spacing w:before="0" w:after="0"/>
              <w:jc w:val="right"/>
              <w:rPr>
                <w:noProof/>
                <w:color w:val="000000" w:themeColor="text1"/>
                <w:sz w:val="16"/>
                <w:szCs w:val="16"/>
              </w:rPr>
            </w:pPr>
            <w:r w:rsidRPr="00F6616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B40B2E" w14:textId="77777777" w:rsidR="00FA5543" w:rsidRPr="00F66162" w:rsidRDefault="00FA5543" w:rsidP="00390489">
            <w:pPr>
              <w:spacing w:before="0" w:after="0"/>
              <w:jc w:val="right"/>
              <w:rPr>
                <w:noProof/>
                <w:color w:val="000000" w:themeColor="text1"/>
                <w:sz w:val="16"/>
                <w:szCs w:val="16"/>
              </w:rPr>
            </w:pPr>
            <w:r w:rsidRPr="00F6616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1DA0A1" w14:textId="77777777" w:rsidR="00FA5543" w:rsidRPr="00F66162" w:rsidRDefault="00FA5543" w:rsidP="00390489">
            <w:pPr>
              <w:spacing w:before="0" w:after="0"/>
              <w:jc w:val="right"/>
              <w:rPr>
                <w:noProof/>
                <w:color w:val="000000" w:themeColor="text1"/>
                <w:sz w:val="16"/>
                <w:szCs w:val="16"/>
              </w:rPr>
            </w:pPr>
            <w:r w:rsidRPr="00F6616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A80DD1" w14:textId="77777777" w:rsidR="00FA5543" w:rsidRPr="00F66162" w:rsidRDefault="00FA5543" w:rsidP="00390489">
            <w:pPr>
              <w:spacing w:before="0" w:after="0"/>
              <w:jc w:val="right"/>
              <w:rPr>
                <w:noProof/>
                <w:color w:val="000000" w:themeColor="text1"/>
                <w:sz w:val="16"/>
                <w:szCs w:val="16"/>
              </w:rPr>
            </w:pPr>
            <w:r w:rsidRPr="00F66162">
              <w:rPr>
                <w:noProof/>
                <w:color w:val="000000" w:themeColor="text1"/>
                <w:sz w:val="16"/>
              </w:rPr>
              <w:t>0,000</w:t>
            </w:r>
          </w:p>
        </w:tc>
        <w:tc>
          <w:tcPr>
            <w:tcW w:w="248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26CFC9"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r>
      <w:tr w:rsidR="00FA5543" w:rsidRPr="00F66162" w14:paraId="68118C2B" w14:textId="77777777" w:rsidTr="004246F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527B0D61" w14:textId="77777777" w:rsidR="00FA5543" w:rsidRPr="00F66162" w:rsidRDefault="00FA5543" w:rsidP="00390489">
            <w:pPr>
              <w:spacing w:before="0" w:after="0"/>
              <w:jc w:val="center"/>
              <w:rPr>
                <w:b/>
                <w:bCs/>
                <w:noProof/>
                <w:color w:val="000000" w:themeColor="text1"/>
                <w:sz w:val="16"/>
                <w:szCs w:val="16"/>
              </w:rPr>
            </w:pPr>
            <w:r w:rsidRPr="00F66162">
              <w:rPr>
                <w:b/>
                <w:noProof/>
                <w:color w:val="000000" w:themeColor="text1"/>
                <w:sz w:val="16"/>
              </w:rPr>
              <w:t>Suma cząstkowa DZIAŁ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BD1AA7"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B45F65"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BC80A7"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A07424"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2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944B18"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r>
      <w:tr w:rsidR="00FA5543" w:rsidRPr="00F66162" w14:paraId="6D4021B5" w14:textId="77777777" w:rsidTr="004246FD">
        <w:trPr>
          <w:trHeight w:val="300"/>
        </w:trPr>
        <w:tc>
          <w:tcPr>
            <w:tcW w:w="9039"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B2D29" w14:textId="77777777" w:rsidR="00FA5543" w:rsidRPr="00F66162" w:rsidRDefault="00FA5543" w:rsidP="00390489">
            <w:pPr>
              <w:spacing w:before="0" w:after="0"/>
              <w:jc w:val="left"/>
              <w:rPr>
                <w:b/>
                <w:bCs/>
                <w:noProof/>
                <w:sz w:val="16"/>
                <w:szCs w:val="16"/>
              </w:rPr>
            </w:pPr>
            <w:r w:rsidRPr="00F66162">
              <w:rPr>
                <w:b/>
                <w:noProof/>
                <w:sz w:val="16"/>
              </w:rPr>
              <w:t>Poza DZIAŁEM 7</w:t>
            </w:r>
          </w:p>
        </w:tc>
      </w:tr>
      <w:tr w:rsidR="00FA5543" w:rsidRPr="00F66162" w14:paraId="069060EC" w14:textId="77777777" w:rsidTr="004246F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A1636" w14:textId="279865FB" w:rsidR="00FA5543" w:rsidRPr="00F66162" w:rsidRDefault="00FA5543" w:rsidP="00390489">
            <w:pPr>
              <w:spacing w:before="0" w:after="0"/>
              <w:jc w:val="left"/>
              <w:rPr>
                <w:rFonts w:ascii="Arial Narrow" w:eastAsia="Arial Narrow" w:hAnsi="Arial Narrow" w:cs="Arial Narrow"/>
                <w:noProof/>
                <w:color w:val="000000" w:themeColor="text1"/>
                <w:sz w:val="20"/>
                <w:szCs w:val="20"/>
              </w:rPr>
            </w:pPr>
            <w:r w:rsidRPr="00F66162">
              <w:rPr>
                <w:rFonts w:ascii="Arial Narrow" w:hAnsi="Arial Narrow"/>
                <w:noProof/>
                <w:color w:val="000000" w:themeColor="text1"/>
                <w:sz w:val="20"/>
              </w:rPr>
              <w:t>Wydatki na IT wynikające</w:t>
            </w:r>
            <w:r w:rsidR="00825614" w:rsidRPr="00F66162">
              <w:rPr>
                <w:rFonts w:ascii="Arial Narrow" w:hAnsi="Arial Narrow"/>
                <w:noProof/>
                <w:color w:val="000000" w:themeColor="text1"/>
                <w:sz w:val="20"/>
              </w:rPr>
              <w:t xml:space="preserve"> z</w:t>
            </w:r>
            <w:r w:rsidR="00825614">
              <w:rPr>
                <w:rFonts w:ascii="Arial Narrow" w:hAnsi="Arial Narrow"/>
                <w:noProof/>
                <w:color w:val="000000" w:themeColor="text1"/>
                <w:sz w:val="20"/>
              </w:rPr>
              <w:t> </w:t>
            </w:r>
            <w:r w:rsidR="00825614" w:rsidRPr="00F66162">
              <w:rPr>
                <w:rFonts w:ascii="Arial Narrow" w:hAnsi="Arial Narrow"/>
                <w:noProof/>
                <w:color w:val="000000" w:themeColor="text1"/>
                <w:sz w:val="20"/>
              </w:rPr>
              <w:t>rea</w:t>
            </w:r>
            <w:r w:rsidRPr="00F66162">
              <w:rPr>
                <w:rFonts w:ascii="Arial Narrow" w:hAnsi="Arial Narrow"/>
                <w:noProof/>
                <w:color w:val="000000" w:themeColor="text1"/>
                <w:sz w:val="20"/>
              </w:rPr>
              <w:t>lizacji polityki tytułem programów operacyjnych</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130064" w14:textId="77777777" w:rsidR="00FA5543" w:rsidRPr="00F66162" w:rsidRDefault="00FA5543" w:rsidP="00390489">
            <w:pPr>
              <w:spacing w:before="0" w:after="0"/>
              <w:jc w:val="right"/>
              <w:rPr>
                <w:noProof/>
                <w:color w:val="000000" w:themeColor="text1"/>
                <w:sz w:val="16"/>
                <w:szCs w:val="16"/>
              </w:rPr>
            </w:pPr>
            <w:r w:rsidRPr="00F6616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02CFF3" w14:textId="77777777" w:rsidR="00FA5543" w:rsidRPr="00F66162" w:rsidRDefault="00FA5543" w:rsidP="00390489">
            <w:pPr>
              <w:spacing w:before="0" w:after="0"/>
              <w:jc w:val="right"/>
              <w:rPr>
                <w:noProof/>
                <w:color w:val="000000" w:themeColor="text1"/>
                <w:sz w:val="16"/>
                <w:szCs w:val="16"/>
              </w:rPr>
            </w:pPr>
            <w:r w:rsidRPr="00F6616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F06C06" w14:textId="77777777" w:rsidR="00FA5543" w:rsidRPr="00F66162" w:rsidRDefault="00FA5543" w:rsidP="00390489">
            <w:pPr>
              <w:spacing w:before="0" w:after="0"/>
              <w:jc w:val="right"/>
              <w:rPr>
                <w:noProof/>
                <w:color w:val="000000" w:themeColor="text1"/>
                <w:sz w:val="16"/>
                <w:szCs w:val="16"/>
              </w:rPr>
            </w:pPr>
            <w:r w:rsidRPr="00F6616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6D1EB6" w14:textId="77777777" w:rsidR="00FA5543" w:rsidRPr="00F66162" w:rsidRDefault="00FA5543" w:rsidP="00390489">
            <w:pPr>
              <w:spacing w:before="0" w:after="0"/>
              <w:jc w:val="right"/>
              <w:rPr>
                <w:noProof/>
                <w:color w:val="000000" w:themeColor="text1"/>
                <w:sz w:val="16"/>
                <w:szCs w:val="16"/>
              </w:rPr>
            </w:pPr>
            <w:r w:rsidRPr="00F66162">
              <w:rPr>
                <w:noProof/>
                <w:color w:val="000000" w:themeColor="text1"/>
                <w:sz w:val="16"/>
              </w:rPr>
              <w:t>0,000</w:t>
            </w:r>
          </w:p>
        </w:tc>
        <w:tc>
          <w:tcPr>
            <w:tcW w:w="248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4001C2"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r>
      <w:tr w:rsidR="00FA5543" w:rsidRPr="00F66162" w14:paraId="59C2B0EC" w14:textId="77777777" w:rsidTr="004246F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6BE2F15C" w14:textId="77777777" w:rsidR="00FA5543" w:rsidRPr="00F66162" w:rsidRDefault="00FA5543" w:rsidP="00390489">
            <w:pPr>
              <w:spacing w:before="0" w:after="0"/>
              <w:jc w:val="center"/>
              <w:rPr>
                <w:b/>
                <w:bCs/>
                <w:noProof/>
                <w:color w:val="000000" w:themeColor="text1"/>
                <w:sz w:val="16"/>
                <w:szCs w:val="16"/>
              </w:rPr>
            </w:pPr>
            <w:r w:rsidRPr="00F66162">
              <w:rPr>
                <w:b/>
                <w:noProof/>
                <w:color w:val="000000" w:themeColor="text1"/>
                <w:sz w:val="16"/>
              </w:rPr>
              <w:t>Suma cząstkowa poza DZIAŁEM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523607"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EFA20D"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28C223"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AC8477"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2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62BB93"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r>
      <w:tr w:rsidR="00FA5543" w:rsidRPr="00F66162" w14:paraId="28D0ED42" w14:textId="77777777" w:rsidTr="004246FD">
        <w:trPr>
          <w:trHeight w:val="300"/>
        </w:trPr>
        <w:tc>
          <w:tcPr>
            <w:tcW w:w="9039"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0A2242" w14:textId="77777777" w:rsidR="00FA5543" w:rsidRPr="00F66162" w:rsidRDefault="00FA5543" w:rsidP="00390489">
            <w:pPr>
              <w:spacing w:before="0" w:after="0"/>
              <w:jc w:val="center"/>
              <w:rPr>
                <w:noProof/>
                <w:color w:val="000000" w:themeColor="text1"/>
                <w:sz w:val="16"/>
                <w:szCs w:val="16"/>
              </w:rPr>
            </w:pPr>
            <w:r w:rsidRPr="00F66162">
              <w:rPr>
                <w:noProof/>
                <w:color w:val="000000" w:themeColor="text1"/>
                <w:sz w:val="16"/>
              </w:rPr>
              <w:t xml:space="preserve"> </w:t>
            </w:r>
          </w:p>
        </w:tc>
      </w:tr>
      <w:tr w:rsidR="00FA5543" w:rsidRPr="00F66162" w14:paraId="1A161BCD" w14:textId="77777777" w:rsidTr="004246FD">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722AC80D" w14:textId="77777777" w:rsidR="00FA5543" w:rsidRPr="00F66162" w:rsidRDefault="00FA5543" w:rsidP="00390489">
            <w:pPr>
              <w:spacing w:before="0" w:after="0"/>
              <w:jc w:val="center"/>
              <w:rPr>
                <w:b/>
                <w:bCs/>
                <w:noProof/>
                <w:color w:val="000000" w:themeColor="text1"/>
                <w:sz w:val="16"/>
                <w:szCs w:val="16"/>
              </w:rPr>
            </w:pPr>
            <w:r w:rsidRPr="00F66162">
              <w:rPr>
                <w:b/>
                <w:noProof/>
                <w:color w:val="000000" w:themeColor="text1"/>
                <w:sz w:val="16"/>
              </w:rPr>
              <w:t>OGÓŁEM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E499B13"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8CF0797"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962DDAE"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0DF5465"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c>
          <w:tcPr>
            <w:tcW w:w="248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2B58E04" w14:textId="77777777" w:rsidR="00FA5543" w:rsidRPr="00F66162" w:rsidRDefault="00FA5543" w:rsidP="00390489">
            <w:pPr>
              <w:spacing w:before="0" w:after="0"/>
              <w:jc w:val="right"/>
              <w:rPr>
                <w:b/>
                <w:bCs/>
                <w:noProof/>
                <w:color w:val="000000" w:themeColor="text1"/>
                <w:sz w:val="16"/>
                <w:szCs w:val="16"/>
              </w:rPr>
            </w:pPr>
            <w:r w:rsidRPr="00F66162">
              <w:rPr>
                <w:b/>
                <w:noProof/>
                <w:color w:val="000000" w:themeColor="text1"/>
                <w:sz w:val="16"/>
              </w:rPr>
              <w:t>0,000</w:t>
            </w:r>
          </w:p>
        </w:tc>
      </w:tr>
    </w:tbl>
    <w:bookmarkEnd w:id="1"/>
    <w:p w14:paraId="5D3553F9" w14:textId="54866BCD" w:rsidR="00FA5543" w:rsidRPr="00F66162" w:rsidRDefault="00FA5543" w:rsidP="00390489">
      <w:pPr>
        <w:pStyle w:val="ManualHeading3"/>
        <w:rPr>
          <w:noProof/>
        </w:rPr>
      </w:pPr>
      <w:r w:rsidRPr="00F66162">
        <w:rPr>
          <w:noProof/>
        </w:rPr>
        <w:t>3.2.6.</w:t>
      </w:r>
      <w:r w:rsidRPr="00F66162">
        <w:rPr>
          <w:noProof/>
        </w:rPr>
        <w:tab/>
        <w:t>Zgodność</w:t>
      </w:r>
      <w:r w:rsidR="00825614" w:rsidRPr="00F66162">
        <w:rPr>
          <w:noProof/>
        </w:rPr>
        <w:t xml:space="preserve"> z</w:t>
      </w:r>
      <w:r w:rsidR="00825614">
        <w:rPr>
          <w:noProof/>
        </w:rPr>
        <w:t> </w:t>
      </w:r>
      <w:r w:rsidR="00825614" w:rsidRPr="00F66162">
        <w:rPr>
          <w:noProof/>
        </w:rPr>
        <w:t>obo</w:t>
      </w:r>
      <w:r w:rsidRPr="00F66162">
        <w:rPr>
          <w:noProof/>
        </w:rPr>
        <w:t xml:space="preserve">wiązującymi wieloletnimi ramami finansowymi </w:t>
      </w:r>
    </w:p>
    <w:p w14:paraId="61E362C1" w14:textId="77777777" w:rsidR="00FA5543" w:rsidRPr="00F66162" w:rsidRDefault="00FA5543" w:rsidP="00390489">
      <w:pPr>
        <w:pStyle w:val="Text1"/>
        <w:rPr>
          <w:noProof/>
        </w:rPr>
      </w:pPr>
      <w:r w:rsidRPr="00F66162">
        <w:rPr>
          <w:noProof/>
        </w:rPr>
        <w:t>Wniosek/inicjatywa:</w:t>
      </w:r>
    </w:p>
    <w:p w14:paraId="6B506425" w14:textId="75BA63E1" w:rsidR="00FA5543" w:rsidRPr="00F66162" w:rsidRDefault="6C3AF1E0" w:rsidP="00390489">
      <w:pPr>
        <w:pStyle w:val="ListDash1"/>
        <w:rPr>
          <w:noProof/>
        </w:rPr>
      </w:pPr>
      <w:r w:rsidRPr="00F66162">
        <w:rPr>
          <w:rFonts w:ascii="Wingdings" w:hAnsi="Wingdings"/>
          <w:noProof/>
        </w:rPr>
        <w:t></w:t>
      </w:r>
      <w:r w:rsidRPr="00F66162">
        <w:rPr>
          <w:noProof/>
        </w:rPr>
        <w:tab/>
        <w:t>może zostać</w:t>
      </w:r>
      <w:r w:rsidR="00825614" w:rsidRPr="00F66162">
        <w:rPr>
          <w:noProof/>
        </w:rPr>
        <w:t xml:space="preserve"> w</w:t>
      </w:r>
      <w:r w:rsidR="00825614">
        <w:rPr>
          <w:noProof/>
        </w:rPr>
        <w:t> </w:t>
      </w:r>
      <w:r w:rsidR="00825614" w:rsidRPr="00F66162">
        <w:rPr>
          <w:noProof/>
        </w:rPr>
        <w:t>peł</w:t>
      </w:r>
      <w:r w:rsidRPr="00F66162">
        <w:rPr>
          <w:noProof/>
        </w:rPr>
        <w:t>ni sfinansowany(-a) przez przegrupowanie środków</w:t>
      </w:r>
      <w:r w:rsidR="00825614" w:rsidRPr="00F66162">
        <w:rPr>
          <w:noProof/>
        </w:rPr>
        <w:t xml:space="preserve"> w</w:t>
      </w:r>
      <w:r w:rsidR="00825614">
        <w:rPr>
          <w:noProof/>
        </w:rPr>
        <w:t> </w:t>
      </w:r>
      <w:r w:rsidR="00825614" w:rsidRPr="00F66162">
        <w:rPr>
          <w:noProof/>
        </w:rPr>
        <w:t>ram</w:t>
      </w:r>
      <w:r w:rsidRPr="00F66162">
        <w:rPr>
          <w:noProof/>
        </w:rPr>
        <w:t>ach odpowiedniego działu wieloletnich ram finansowych (WRF)</w:t>
      </w:r>
    </w:p>
    <w:p w14:paraId="061EDE13" w14:textId="090C34A5" w:rsidR="00FA5543" w:rsidRPr="00F66162" w:rsidRDefault="007876D7" w:rsidP="00390489">
      <w:pPr>
        <w:pStyle w:val="ListDash1"/>
        <w:rPr>
          <w:noProof/>
        </w:rPr>
      </w:pPr>
      <w:r w:rsidRPr="00F66162">
        <w:rPr>
          <w:rFonts w:ascii="Wingdings" w:hAnsi="Wingdings"/>
          <w:noProof/>
        </w:rPr>
        <w:t></w:t>
      </w:r>
      <w:r w:rsidRPr="00F66162">
        <w:rPr>
          <w:noProof/>
        </w:rPr>
        <w:tab/>
        <w:t>wymaga zastosowania nieprzydzielonego marginesu środków</w:t>
      </w:r>
      <w:r w:rsidR="00825614" w:rsidRPr="00F66162">
        <w:rPr>
          <w:noProof/>
        </w:rPr>
        <w:t xml:space="preserve"> w</w:t>
      </w:r>
      <w:r w:rsidR="00825614">
        <w:rPr>
          <w:noProof/>
        </w:rPr>
        <w:t> </w:t>
      </w:r>
      <w:r w:rsidR="00825614" w:rsidRPr="00F66162">
        <w:rPr>
          <w:noProof/>
        </w:rPr>
        <w:t>ram</w:t>
      </w:r>
      <w:r w:rsidRPr="00F66162">
        <w:rPr>
          <w:noProof/>
        </w:rPr>
        <w:t>ach odpowiedniego działu WRF lub zastosowania specjalnych instrumentów zdefiniowanych</w:t>
      </w:r>
      <w:r w:rsidR="00825614" w:rsidRPr="00F66162">
        <w:rPr>
          <w:noProof/>
        </w:rPr>
        <w:t xml:space="preserve"> w</w:t>
      </w:r>
      <w:r w:rsidR="00825614">
        <w:rPr>
          <w:noProof/>
        </w:rPr>
        <w:t> </w:t>
      </w:r>
      <w:r w:rsidR="00825614" w:rsidRPr="00F66162">
        <w:rPr>
          <w:noProof/>
        </w:rPr>
        <w:t>roz</w:t>
      </w:r>
      <w:r w:rsidRPr="00F66162">
        <w:rPr>
          <w:noProof/>
        </w:rPr>
        <w:t>porządzeniu</w:t>
      </w:r>
      <w:r w:rsidR="00825614" w:rsidRPr="00F66162">
        <w:rPr>
          <w:noProof/>
        </w:rPr>
        <w:t xml:space="preserve"> w</w:t>
      </w:r>
      <w:r w:rsidR="00825614">
        <w:rPr>
          <w:noProof/>
        </w:rPr>
        <w:t> </w:t>
      </w:r>
      <w:r w:rsidR="00825614" w:rsidRPr="00F66162">
        <w:rPr>
          <w:noProof/>
        </w:rPr>
        <w:t>spr</w:t>
      </w:r>
      <w:r w:rsidRPr="00F66162">
        <w:rPr>
          <w:noProof/>
        </w:rPr>
        <w:t>awie WRF</w:t>
      </w:r>
    </w:p>
    <w:p w14:paraId="693A317A" w14:textId="1B9DE56F" w:rsidR="00FA5543" w:rsidRPr="00F66162" w:rsidRDefault="007876D7" w:rsidP="00390489">
      <w:pPr>
        <w:pStyle w:val="ListDash1"/>
        <w:rPr>
          <w:noProof/>
        </w:rPr>
      </w:pPr>
      <w:r w:rsidRPr="00F66162">
        <w:rPr>
          <w:rFonts w:ascii="Wingdings" w:hAnsi="Wingdings"/>
          <w:noProof/>
        </w:rPr>
        <w:t></w:t>
      </w:r>
      <w:r w:rsidRPr="00F66162">
        <w:rPr>
          <w:noProof/>
        </w:rPr>
        <w:tab/>
        <w:t>wymaga rewizji WRF</w:t>
      </w:r>
    </w:p>
    <w:p w14:paraId="78890675" w14:textId="06F7055B" w:rsidR="00FA5543" w:rsidRPr="00F66162" w:rsidRDefault="56F1BF95"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Potrzebne są dodatkowe wydatki na IT na rozwój technologii potrzebnych do wprowadzenia zmian związanych</w:t>
      </w:r>
      <w:r w:rsidR="00825614" w:rsidRPr="00F66162">
        <w:rPr>
          <w:noProof/>
        </w:rPr>
        <w:t xml:space="preserve"> z</w:t>
      </w:r>
      <w:r w:rsidR="00825614">
        <w:rPr>
          <w:noProof/>
        </w:rPr>
        <w:t> </w:t>
      </w:r>
      <w:r w:rsidR="00825614" w:rsidRPr="00F66162">
        <w:rPr>
          <w:noProof/>
        </w:rPr>
        <w:t>wdr</w:t>
      </w:r>
      <w:r w:rsidRPr="00F66162">
        <w:rPr>
          <w:noProof/>
        </w:rPr>
        <w:t>ażaniem procedur upraszczania CBAM oraz narzędzi informatycznych wspierających wykrywanie nieprawidłowości</w:t>
      </w:r>
      <w:r w:rsidR="00825614" w:rsidRPr="00F66162">
        <w:rPr>
          <w:noProof/>
        </w:rPr>
        <w:t xml:space="preserve"> i</w:t>
      </w:r>
      <w:r w:rsidR="00825614">
        <w:rPr>
          <w:noProof/>
        </w:rPr>
        <w:t> </w:t>
      </w:r>
      <w:r w:rsidR="00825614" w:rsidRPr="00F66162">
        <w:rPr>
          <w:noProof/>
        </w:rPr>
        <w:t>ogr</w:t>
      </w:r>
      <w:r w:rsidRPr="00F66162">
        <w:rPr>
          <w:noProof/>
        </w:rPr>
        <w:t>aniczających ryzyko nadużyć finansowych: 6,350 mln</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25</w:t>
      </w:r>
      <w:r w:rsidR="00825614" w:rsidRPr="00825614">
        <w:rPr>
          <w:noProof/>
        </w:rPr>
        <w:t> </w:t>
      </w:r>
      <w:r w:rsidRPr="00825614">
        <w:rPr>
          <w:noProof/>
        </w:rPr>
        <w:t>r.</w:t>
      </w:r>
      <w:r w:rsidRPr="00F66162">
        <w:rPr>
          <w:noProof/>
        </w:rPr>
        <w:t>, 6,850 mln</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26</w:t>
      </w:r>
      <w:r w:rsidR="00825614" w:rsidRPr="00825614">
        <w:rPr>
          <w:noProof/>
        </w:rPr>
        <w:t> </w:t>
      </w:r>
      <w:r w:rsidRPr="00825614">
        <w:rPr>
          <w:noProof/>
        </w:rPr>
        <w:t>r.</w:t>
      </w:r>
      <w:r w:rsidR="00825614" w:rsidRPr="00F66162">
        <w:rPr>
          <w:noProof/>
        </w:rPr>
        <w:t xml:space="preserve"> i</w:t>
      </w:r>
      <w:r w:rsidR="00825614">
        <w:rPr>
          <w:noProof/>
        </w:rPr>
        <w:t> </w:t>
      </w:r>
      <w:r w:rsidR="00825614" w:rsidRPr="00F66162">
        <w:rPr>
          <w:noProof/>
        </w:rPr>
        <w:t>5</w:t>
      </w:r>
      <w:r w:rsidRPr="00F66162">
        <w:rPr>
          <w:noProof/>
        </w:rPr>
        <w:t>,750 mln</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27</w:t>
      </w:r>
      <w:r w:rsidR="00825614" w:rsidRPr="00825614">
        <w:rPr>
          <w:noProof/>
        </w:rPr>
        <w:t> </w:t>
      </w:r>
      <w:r w:rsidRPr="00825614">
        <w:rPr>
          <w:noProof/>
        </w:rPr>
        <w:t>r.</w:t>
      </w:r>
      <w:r w:rsidRPr="00F66162">
        <w:rPr>
          <w:noProof/>
        </w:rPr>
        <w:t xml:space="preserve"> –</w:t>
      </w:r>
      <w:r w:rsidR="00825614" w:rsidRPr="00F66162">
        <w:rPr>
          <w:noProof/>
        </w:rPr>
        <w:t xml:space="preserve"> w</w:t>
      </w:r>
      <w:r w:rsidR="00825614">
        <w:rPr>
          <w:noProof/>
        </w:rPr>
        <w:t> </w:t>
      </w:r>
      <w:r w:rsidR="00825614" w:rsidRPr="00F66162">
        <w:rPr>
          <w:noProof/>
        </w:rPr>
        <w:t>śro</w:t>
      </w:r>
      <w:r w:rsidRPr="00F66162">
        <w:rPr>
          <w:noProof/>
        </w:rPr>
        <w:t xml:space="preserve">dkach na zobowiązania. Ponadto każdego roku potrzebne </w:t>
      </w:r>
      <w:r w:rsidRPr="00825614">
        <w:rPr>
          <w:noProof/>
        </w:rPr>
        <w:t>są</w:t>
      </w:r>
      <w:r w:rsidR="00825614" w:rsidRPr="00825614">
        <w:rPr>
          <w:noProof/>
        </w:rPr>
        <w:t> </w:t>
      </w:r>
      <w:r w:rsidRPr="00825614">
        <w:rPr>
          <w:noProof/>
        </w:rPr>
        <w:t>2</w:t>
      </w:r>
      <w:r w:rsidRPr="00F66162">
        <w:rPr>
          <w:noProof/>
        </w:rPr>
        <w:t xml:space="preserve"> mln na badania,</w:t>
      </w:r>
      <w:r w:rsidR="00825614" w:rsidRPr="00F66162">
        <w:rPr>
          <w:noProof/>
        </w:rPr>
        <w:t xml:space="preserve"> w</w:t>
      </w:r>
      <w:r w:rsidR="00825614">
        <w:rPr>
          <w:noProof/>
        </w:rPr>
        <w:t> </w:t>
      </w:r>
      <w:r w:rsidR="00825614" w:rsidRPr="00F66162">
        <w:rPr>
          <w:noProof/>
        </w:rPr>
        <w:t>tym</w:t>
      </w:r>
      <w:r w:rsidRPr="00F66162">
        <w:rPr>
          <w:noProof/>
        </w:rPr>
        <w:t xml:space="preserve"> na regularną ocenę skuteczności CBAM</w:t>
      </w:r>
      <w:r w:rsidR="00825614" w:rsidRPr="00F66162">
        <w:rPr>
          <w:noProof/>
        </w:rPr>
        <w:t xml:space="preserve"> i</w:t>
      </w:r>
      <w:r w:rsidR="00825614">
        <w:rPr>
          <w:noProof/>
        </w:rPr>
        <w:t> </w:t>
      </w:r>
      <w:r w:rsidR="00825614" w:rsidRPr="00F66162">
        <w:rPr>
          <w:noProof/>
        </w:rPr>
        <w:t>dzi</w:t>
      </w:r>
      <w:r w:rsidRPr="00F66162">
        <w:rPr>
          <w:noProof/>
        </w:rPr>
        <w:t>ałań informacyjnych,</w:t>
      </w:r>
      <w:r w:rsidR="00825614" w:rsidRPr="00F66162">
        <w:rPr>
          <w:noProof/>
        </w:rPr>
        <w:t xml:space="preserve"> w</w:t>
      </w:r>
      <w:r w:rsidR="00825614">
        <w:rPr>
          <w:noProof/>
        </w:rPr>
        <w:t> </w:t>
      </w:r>
      <w:r w:rsidR="00825614" w:rsidRPr="00F66162">
        <w:rPr>
          <w:noProof/>
        </w:rPr>
        <w:t>tym</w:t>
      </w:r>
      <w:r w:rsidRPr="00F66162">
        <w:rPr>
          <w:noProof/>
        </w:rPr>
        <w:t xml:space="preserve"> komunikacji zewnętrznej</w:t>
      </w:r>
      <w:r w:rsidR="00825614" w:rsidRPr="00F66162">
        <w:rPr>
          <w:noProof/>
        </w:rPr>
        <w:t xml:space="preserve"> i</w:t>
      </w:r>
      <w:r w:rsidR="00825614">
        <w:rPr>
          <w:noProof/>
        </w:rPr>
        <w:t> </w:t>
      </w:r>
      <w:r w:rsidR="00825614" w:rsidRPr="00F66162">
        <w:rPr>
          <w:noProof/>
        </w:rPr>
        <w:t>ses</w:t>
      </w:r>
      <w:r w:rsidRPr="00F66162">
        <w:rPr>
          <w:noProof/>
        </w:rPr>
        <w:t>ji szkoleniowych dla zainteresowanych podmiotów. Kosztów tych nie uwzględniono</w:t>
      </w:r>
      <w:r w:rsidR="00825614" w:rsidRPr="00F66162">
        <w:rPr>
          <w:noProof/>
        </w:rPr>
        <w:t xml:space="preserve"> w</w:t>
      </w:r>
      <w:r w:rsidR="00825614">
        <w:rPr>
          <w:noProof/>
        </w:rPr>
        <w:t> </w:t>
      </w:r>
      <w:r w:rsidR="00825614" w:rsidRPr="00F66162">
        <w:rPr>
          <w:noProof/>
        </w:rPr>
        <w:t>pop</w:t>
      </w:r>
      <w:r w:rsidRPr="00F66162">
        <w:rPr>
          <w:noProof/>
        </w:rPr>
        <w:t xml:space="preserve">rzedniej ocenie skutków finansowych regulacji. Wniosek wymaga przesunięcia kwoty </w:t>
      </w:r>
      <w:r w:rsidRPr="00825614">
        <w:rPr>
          <w:noProof/>
        </w:rPr>
        <w:t>do</w:t>
      </w:r>
      <w:r w:rsidR="00825614" w:rsidRPr="00825614">
        <w:rPr>
          <w:noProof/>
        </w:rPr>
        <w:t> </w:t>
      </w:r>
      <w:r w:rsidRPr="00825614">
        <w:rPr>
          <w:noProof/>
        </w:rPr>
        <w:t>2</w:t>
      </w:r>
      <w:r w:rsidRPr="00F66162">
        <w:rPr>
          <w:noProof/>
        </w:rPr>
        <w:t>5 mln</w:t>
      </w:r>
      <w:r w:rsidR="00825614" w:rsidRPr="00F66162">
        <w:rPr>
          <w:noProof/>
        </w:rPr>
        <w:t xml:space="preserve"> z</w:t>
      </w:r>
      <w:r w:rsidR="00825614">
        <w:rPr>
          <w:noProof/>
        </w:rPr>
        <w:t> </w:t>
      </w:r>
      <w:r w:rsidR="00825614" w:rsidRPr="00F66162">
        <w:rPr>
          <w:noProof/>
        </w:rPr>
        <w:t>dzi</w:t>
      </w:r>
      <w:r w:rsidRPr="00F66162">
        <w:rPr>
          <w:noProof/>
        </w:rPr>
        <w:t>ału 4 (11.0301 – CCEI) do działu 3 (09.200401 – CBAM).</w:t>
      </w:r>
    </w:p>
    <w:p w14:paraId="3BC9C159" w14:textId="355286F5" w:rsidR="00FA5543" w:rsidRPr="00F66162" w:rsidRDefault="00FA5543" w:rsidP="00390489">
      <w:pPr>
        <w:pStyle w:val="ManualHeading3"/>
        <w:rPr>
          <w:noProof/>
        </w:rPr>
      </w:pPr>
      <w:r w:rsidRPr="00F66162">
        <w:rPr>
          <w:noProof/>
        </w:rPr>
        <w:t>3.2.7.</w:t>
      </w:r>
      <w:r w:rsidRPr="00F66162">
        <w:rPr>
          <w:noProof/>
        </w:rPr>
        <w:tab/>
        <w:t>Udział osób trzecich</w:t>
      </w:r>
      <w:r w:rsidR="00825614" w:rsidRPr="00F66162">
        <w:rPr>
          <w:noProof/>
        </w:rPr>
        <w:t xml:space="preserve"> w</w:t>
      </w:r>
      <w:r w:rsidR="00825614">
        <w:rPr>
          <w:noProof/>
        </w:rPr>
        <w:t> </w:t>
      </w:r>
      <w:r w:rsidR="00825614" w:rsidRPr="00F66162">
        <w:rPr>
          <w:noProof/>
        </w:rPr>
        <w:t>fin</w:t>
      </w:r>
      <w:r w:rsidRPr="00F66162">
        <w:rPr>
          <w:noProof/>
        </w:rPr>
        <w:t xml:space="preserve">ansowaniu </w:t>
      </w:r>
    </w:p>
    <w:p w14:paraId="460B3D23" w14:textId="77777777" w:rsidR="00FA5543" w:rsidRPr="00F66162" w:rsidRDefault="00FA5543" w:rsidP="00390489">
      <w:pPr>
        <w:pStyle w:val="Text1"/>
        <w:rPr>
          <w:noProof/>
        </w:rPr>
      </w:pPr>
      <w:r w:rsidRPr="00F66162">
        <w:rPr>
          <w:noProof/>
        </w:rPr>
        <w:t>Wniosek/inicjatywa:</w:t>
      </w:r>
    </w:p>
    <w:p w14:paraId="38353E55" w14:textId="77777777" w:rsidR="00FA5543" w:rsidRPr="00F66162" w:rsidRDefault="06479F38" w:rsidP="00390489">
      <w:pPr>
        <w:pStyle w:val="ListDash1"/>
        <w:rPr>
          <w:noProof/>
        </w:rPr>
      </w:pPr>
      <w:r w:rsidRPr="00F66162">
        <w:rPr>
          <w:rFonts w:ascii="Wingdings" w:hAnsi="Wingdings"/>
          <w:noProof/>
        </w:rPr>
        <w:t></w:t>
      </w:r>
      <w:r w:rsidRPr="00F66162">
        <w:rPr>
          <w:noProof/>
        </w:rPr>
        <w:tab/>
        <w:t>nie przewiduje współfinansowania ze strony osób trzecich</w:t>
      </w:r>
    </w:p>
    <w:p w14:paraId="6DA51BD1" w14:textId="5CA30BCB" w:rsidR="00FA5543" w:rsidRPr="00F66162" w:rsidRDefault="6C3AF1E0" w:rsidP="00390489">
      <w:pPr>
        <w:pStyle w:val="ListDash1"/>
        <w:rPr>
          <w:noProof/>
        </w:rPr>
      </w:pPr>
      <w:r w:rsidRPr="00F66162">
        <w:rPr>
          <w:rFonts w:ascii="Wingdings" w:hAnsi="Wingdings"/>
          <w:noProof/>
        </w:rPr>
        <w:lastRenderedPageBreak/>
        <w:t></w:t>
      </w:r>
      <w:r w:rsidRPr="00F66162">
        <w:rPr>
          <w:noProof/>
        </w:rPr>
        <w:tab/>
        <w:t>przewiduje współfinansowanie ze strony osób trzecich zgodnie</w:t>
      </w:r>
      <w:r w:rsidR="00825614" w:rsidRPr="00F66162">
        <w:rPr>
          <w:noProof/>
        </w:rPr>
        <w:t xml:space="preserve"> z</w:t>
      </w:r>
      <w:r w:rsidR="00825614">
        <w:rPr>
          <w:noProof/>
        </w:rPr>
        <w:t> </w:t>
      </w:r>
      <w:r w:rsidR="00825614" w:rsidRPr="00F66162">
        <w:rPr>
          <w:noProof/>
        </w:rPr>
        <w:t>pon</w:t>
      </w:r>
      <w:r w:rsidRPr="00F66162">
        <w:rPr>
          <w:noProof/>
        </w:rPr>
        <w:t>iższymi szacunkami:</w:t>
      </w:r>
    </w:p>
    <w:p w14:paraId="72291211" w14:textId="44A8BBED" w:rsidR="00FA5543" w:rsidRPr="00F66162" w:rsidRDefault="00FA5543" w:rsidP="00390489">
      <w:pPr>
        <w:jc w:val="right"/>
        <w:rPr>
          <w:noProof/>
          <w:sz w:val="20"/>
        </w:rPr>
      </w:pPr>
      <w:r w:rsidRPr="00F66162">
        <w:rPr>
          <w:noProof/>
          <w:sz w:val="20"/>
        </w:rPr>
        <w:t>środki</w:t>
      </w:r>
      <w:r w:rsidR="00825614" w:rsidRPr="00F66162">
        <w:rPr>
          <w:noProof/>
          <w:sz w:val="20"/>
        </w:rPr>
        <w:t xml:space="preserve"> w</w:t>
      </w:r>
      <w:r w:rsidR="00825614">
        <w:rPr>
          <w:noProof/>
          <w:sz w:val="20"/>
        </w:rPr>
        <w:t> </w:t>
      </w:r>
      <w:r w:rsidR="00825614" w:rsidRPr="00F66162">
        <w:rPr>
          <w:noProof/>
          <w:sz w:val="20"/>
        </w:rPr>
        <w:t>mln</w:t>
      </w:r>
      <w:r w:rsidRPr="00F66162">
        <w:rPr>
          <w:noProof/>
          <w:sz w:val="20"/>
        </w:rPr>
        <w:t xml:space="preserve"> EUR (do trzech miejsc po przecinku)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85"/>
        <w:gridCol w:w="1187"/>
        <w:gridCol w:w="1187"/>
        <w:gridCol w:w="1186"/>
        <w:gridCol w:w="1186"/>
        <w:gridCol w:w="1426"/>
      </w:tblGrid>
      <w:tr w:rsidR="00FA5543" w:rsidRPr="00F66162" w14:paraId="114A11CA" w14:textId="77777777" w:rsidTr="00390489">
        <w:trPr>
          <w:cantSplit/>
        </w:trPr>
        <w:tc>
          <w:tcPr>
            <w:tcW w:w="1591" w:type="pct"/>
          </w:tcPr>
          <w:p w14:paraId="2CA6FACE" w14:textId="77777777" w:rsidR="00FA5543" w:rsidRPr="00F66162" w:rsidRDefault="00FA5543" w:rsidP="00390489">
            <w:pPr>
              <w:spacing w:before="60" w:after="60"/>
              <w:rPr>
                <w:noProof/>
                <w:sz w:val="20"/>
              </w:rPr>
            </w:pPr>
          </w:p>
        </w:tc>
        <w:tc>
          <w:tcPr>
            <w:tcW w:w="655" w:type="pct"/>
            <w:vAlign w:val="center"/>
          </w:tcPr>
          <w:p w14:paraId="1CF08894" w14:textId="45373F70" w:rsidR="00FA5543" w:rsidRPr="00F66162" w:rsidRDefault="00FA5543" w:rsidP="00390489">
            <w:pPr>
              <w:jc w:val="center"/>
              <w:rPr>
                <w:noProof/>
                <w:sz w:val="20"/>
              </w:rPr>
            </w:pPr>
            <w:r w:rsidRPr="00F66162">
              <w:rPr>
                <w:noProof/>
                <w:sz w:val="20"/>
              </w:rPr>
              <w:t xml:space="preserve">Rok </w:t>
            </w:r>
            <w:r w:rsidRPr="00F66162">
              <w:rPr>
                <w:noProof/>
              </w:rPr>
              <w:br/>
            </w:r>
            <w:r w:rsidRPr="00F66162">
              <w:rPr>
                <w:b/>
                <w:noProof/>
                <w:sz w:val="20"/>
              </w:rPr>
              <w:t>2024</w:t>
            </w:r>
          </w:p>
        </w:tc>
        <w:tc>
          <w:tcPr>
            <w:tcW w:w="655" w:type="pct"/>
            <w:vAlign w:val="center"/>
          </w:tcPr>
          <w:p w14:paraId="52B46424" w14:textId="7389848D" w:rsidR="00FA5543" w:rsidRPr="00F66162" w:rsidRDefault="00FA5543" w:rsidP="00390489">
            <w:pPr>
              <w:jc w:val="center"/>
              <w:rPr>
                <w:noProof/>
                <w:sz w:val="20"/>
              </w:rPr>
            </w:pPr>
            <w:r w:rsidRPr="00F66162">
              <w:rPr>
                <w:noProof/>
                <w:sz w:val="20"/>
              </w:rPr>
              <w:t xml:space="preserve">Rok </w:t>
            </w:r>
            <w:r w:rsidRPr="00F66162">
              <w:rPr>
                <w:noProof/>
              </w:rPr>
              <w:br/>
            </w:r>
            <w:r w:rsidRPr="00F66162">
              <w:rPr>
                <w:b/>
                <w:noProof/>
                <w:sz w:val="20"/>
              </w:rPr>
              <w:t>2025</w:t>
            </w:r>
          </w:p>
        </w:tc>
        <w:tc>
          <w:tcPr>
            <w:tcW w:w="655" w:type="pct"/>
            <w:vAlign w:val="center"/>
          </w:tcPr>
          <w:p w14:paraId="6D7292C4" w14:textId="7DAEFF65" w:rsidR="00FA5543" w:rsidRPr="00F66162" w:rsidRDefault="00FA5543" w:rsidP="00390489">
            <w:pPr>
              <w:jc w:val="center"/>
              <w:rPr>
                <w:noProof/>
                <w:sz w:val="20"/>
              </w:rPr>
            </w:pPr>
            <w:r w:rsidRPr="00F66162">
              <w:rPr>
                <w:noProof/>
                <w:sz w:val="20"/>
              </w:rPr>
              <w:t xml:space="preserve">Rok </w:t>
            </w:r>
            <w:r w:rsidRPr="00F66162">
              <w:rPr>
                <w:noProof/>
              </w:rPr>
              <w:br/>
            </w:r>
            <w:r w:rsidRPr="00F66162">
              <w:rPr>
                <w:b/>
                <w:noProof/>
                <w:sz w:val="20"/>
              </w:rPr>
              <w:t>2026</w:t>
            </w:r>
          </w:p>
        </w:tc>
        <w:tc>
          <w:tcPr>
            <w:tcW w:w="655" w:type="pct"/>
            <w:vAlign w:val="center"/>
          </w:tcPr>
          <w:p w14:paraId="5F75534D" w14:textId="3D88AE5E" w:rsidR="00FA5543" w:rsidRPr="00F66162" w:rsidRDefault="00FA5543" w:rsidP="00390489">
            <w:pPr>
              <w:jc w:val="center"/>
              <w:rPr>
                <w:noProof/>
                <w:sz w:val="20"/>
              </w:rPr>
            </w:pPr>
            <w:r w:rsidRPr="00F66162">
              <w:rPr>
                <w:noProof/>
                <w:sz w:val="20"/>
              </w:rPr>
              <w:t xml:space="preserve">Rok </w:t>
            </w:r>
            <w:r w:rsidRPr="00F66162">
              <w:rPr>
                <w:noProof/>
              </w:rPr>
              <w:br/>
            </w:r>
            <w:r w:rsidRPr="00F66162">
              <w:rPr>
                <w:b/>
                <w:noProof/>
                <w:sz w:val="20"/>
              </w:rPr>
              <w:t>2027</w:t>
            </w:r>
          </w:p>
        </w:tc>
        <w:tc>
          <w:tcPr>
            <w:tcW w:w="787" w:type="pct"/>
            <w:vAlign w:val="center"/>
          </w:tcPr>
          <w:p w14:paraId="3309929B" w14:textId="77777777" w:rsidR="00FA5543" w:rsidRPr="00F66162" w:rsidRDefault="00FA5543" w:rsidP="00390489">
            <w:pPr>
              <w:spacing w:before="60" w:after="60"/>
              <w:jc w:val="center"/>
              <w:rPr>
                <w:noProof/>
                <w:sz w:val="20"/>
              </w:rPr>
            </w:pPr>
            <w:r w:rsidRPr="00F66162">
              <w:rPr>
                <w:noProof/>
                <w:sz w:val="20"/>
              </w:rPr>
              <w:t>Ogółem</w:t>
            </w:r>
          </w:p>
        </w:tc>
      </w:tr>
      <w:tr w:rsidR="00FA5543" w:rsidRPr="00F66162" w14:paraId="6C37EC35" w14:textId="77777777" w:rsidTr="00390489">
        <w:trPr>
          <w:cantSplit/>
        </w:trPr>
        <w:tc>
          <w:tcPr>
            <w:tcW w:w="1591" w:type="pct"/>
          </w:tcPr>
          <w:p w14:paraId="61991ED0" w14:textId="77777777" w:rsidR="00FA5543" w:rsidRPr="00F66162" w:rsidRDefault="00FA5543" w:rsidP="00390489">
            <w:pPr>
              <w:rPr>
                <w:noProof/>
              </w:rPr>
            </w:pPr>
            <w:r w:rsidRPr="00F66162">
              <w:rPr>
                <w:noProof/>
                <w:sz w:val="20"/>
              </w:rPr>
              <w:t>Określić organ współfinansujący</w:t>
            </w:r>
            <w:r w:rsidRPr="00F66162">
              <w:rPr>
                <w:i/>
                <w:noProof/>
                <w:sz w:val="20"/>
              </w:rPr>
              <w:t xml:space="preserve"> </w:t>
            </w:r>
          </w:p>
        </w:tc>
        <w:tc>
          <w:tcPr>
            <w:tcW w:w="655" w:type="pct"/>
            <w:vAlign w:val="center"/>
          </w:tcPr>
          <w:p w14:paraId="4A4006C0" w14:textId="77777777" w:rsidR="00FA5543" w:rsidRPr="00F66162" w:rsidRDefault="00FA5543" w:rsidP="00390489">
            <w:pPr>
              <w:spacing w:before="60" w:after="60"/>
              <w:jc w:val="center"/>
              <w:rPr>
                <w:noProof/>
                <w:sz w:val="20"/>
              </w:rPr>
            </w:pPr>
          </w:p>
        </w:tc>
        <w:tc>
          <w:tcPr>
            <w:tcW w:w="655" w:type="pct"/>
            <w:vAlign w:val="center"/>
          </w:tcPr>
          <w:p w14:paraId="154FD0E4" w14:textId="77777777" w:rsidR="00FA5543" w:rsidRPr="00F66162" w:rsidRDefault="00FA5543" w:rsidP="00390489">
            <w:pPr>
              <w:spacing w:before="60" w:after="60"/>
              <w:jc w:val="center"/>
              <w:rPr>
                <w:noProof/>
                <w:sz w:val="20"/>
              </w:rPr>
            </w:pPr>
          </w:p>
        </w:tc>
        <w:tc>
          <w:tcPr>
            <w:tcW w:w="655" w:type="pct"/>
            <w:vAlign w:val="center"/>
          </w:tcPr>
          <w:p w14:paraId="320D65D7" w14:textId="77777777" w:rsidR="00FA5543" w:rsidRPr="00F66162" w:rsidRDefault="00FA5543" w:rsidP="00390489">
            <w:pPr>
              <w:spacing w:before="60" w:after="60"/>
              <w:jc w:val="center"/>
              <w:rPr>
                <w:noProof/>
                <w:sz w:val="20"/>
              </w:rPr>
            </w:pPr>
          </w:p>
        </w:tc>
        <w:tc>
          <w:tcPr>
            <w:tcW w:w="655" w:type="pct"/>
            <w:vAlign w:val="center"/>
          </w:tcPr>
          <w:p w14:paraId="4708A69F" w14:textId="77777777" w:rsidR="00FA5543" w:rsidRPr="00F66162" w:rsidRDefault="00FA5543" w:rsidP="00390489">
            <w:pPr>
              <w:spacing w:before="60" w:after="60"/>
              <w:jc w:val="center"/>
              <w:rPr>
                <w:noProof/>
                <w:sz w:val="20"/>
              </w:rPr>
            </w:pPr>
          </w:p>
        </w:tc>
        <w:tc>
          <w:tcPr>
            <w:tcW w:w="787" w:type="pct"/>
            <w:vAlign w:val="center"/>
          </w:tcPr>
          <w:p w14:paraId="31ED0079" w14:textId="77777777" w:rsidR="00FA5543" w:rsidRPr="00F66162" w:rsidRDefault="00FA5543" w:rsidP="00390489">
            <w:pPr>
              <w:spacing w:before="60" w:after="60"/>
              <w:jc w:val="center"/>
              <w:rPr>
                <w:noProof/>
                <w:sz w:val="20"/>
              </w:rPr>
            </w:pPr>
          </w:p>
        </w:tc>
      </w:tr>
      <w:tr w:rsidR="00FA5543" w:rsidRPr="00F66162" w14:paraId="274BCEF3" w14:textId="77777777" w:rsidTr="00390489">
        <w:trPr>
          <w:cantSplit/>
        </w:trPr>
        <w:tc>
          <w:tcPr>
            <w:tcW w:w="1591" w:type="pct"/>
          </w:tcPr>
          <w:p w14:paraId="386DADAF" w14:textId="77777777" w:rsidR="00FA5543" w:rsidRPr="00F66162" w:rsidRDefault="00FA5543" w:rsidP="00390489">
            <w:pPr>
              <w:spacing w:before="60" w:after="60"/>
              <w:jc w:val="left"/>
              <w:rPr>
                <w:noProof/>
                <w:sz w:val="20"/>
              </w:rPr>
            </w:pPr>
            <w:r w:rsidRPr="00F66162">
              <w:rPr>
                <w:noProof/>
                <w:sz w:val="20"/>
              </w:rPr>
              <w:t xml:space="preserve">OGÓŁEM środki objęte współfinansowaniem </w:t>
            </w:r>
          </w:p>
        </w:tc>
        <w:tc>
          <w:tcPr>
            <w:tcW w:w="655" w:type="pct"/>
            <w:vAlign w:val="center"/>
          </w:tcPr>
          <w:p w14:paraId="62ACD2F0" w14:textId="77777777" w:rsidR="00FA5543" w:rsidRPr="00F66162" w:rsidRDefault="00FA5543" w:rsidP="00390489">
            <w:pPr>
              <w:spacing w:before="60" w:after="60"/>
              <w:jc w:val="center"/>
              <w:rPr>
                <w:noProof/>
                <w:sz w:val="20"/>
              </w:rPr>
            </w:pPr>
          </w:p>
        </w:tc>
        <w:tc>
          <w:tcPr>
            <w:tcW w:w="655" w:type="pct"/>
            <w:vAlign w:val="center"/>
          </w:tcPr>
          <w:p w14:paraId="1B251C27" w14:textId="77777777" w:rsidR="00FA5543" w:rsidRPr="00F66162" w:rsidRDefault="00FA5543" w:rsidP="00390489">
            <w:pPr>
              <w:spacing w:before="60" w:after="60"/>
              <w:jc w:val="center"/>
              <w:rPr>
                <w:noProof/>
                <w:sz w:val="20"/>
              </w:rPr>
            </w:pPr>
          </w:p>
        </w:tc>
        <w:tc>
          <w:tcPr>
            <w:tcW w:w="655" w:type="pct"/>
            <w:vAlign w:val="center"/>
          </w:tcPr>
          <w:p w14:paraId="79B5CB46" w14:textId="77777777" w:rsidR="00FA5543" w:rsidRPr="00F66162" w:rsidRDefault="00FA5543" w:rsidP="00390489">
            <w:pPr>
              <w:spacing w:before="60" w:after="60"/>
              <w:jc w:val="center"/>
              <w:rPr>
                <w:noProof/>
                <w:sz w:val="20"/>
              </w:rPr>
            </w:pPr>
          </w:p>
        </w:tc>
        <w:tc>
          <w:tcPr>
            <w:tcW w:w="655" w:type="pct"/>
            <w:vAlign w:val="center"/>
          </w:tcPr>
          <w:p w14:paraId="4E4424BB" w14:textId="77777777" w:rsidR="00FA5543" w:rsidRPr="00F66162" w:rsidRDefault="00FA5543" w:rsidP="00390489">
            <w:pPr>
              <w:spacing w:before="60" w:after="60"/>
              <w:jc w:val="center"/>
              <w:rPr>
                <w:noProof/>
                <w:sz w:val="20"/>
              </w:rPr>
            </w:pPr>
          </w:p>
        </w:tc>
        <w:tc>
          <w:tcPr>
            <w:tcW w:w="787" w:type="pct"/>
            <w:vAlign w:val="center"/>
          </w:tcPr>
          <w:p w14:paraId="2741EDC8" w14:textId="77777777" w:rsidR="00FA5543" w:rsidRPr="00F66162" w:rsidRDefault="00FA5543" w:rsidP="00390489">
            <w:pPr>
              <w:spacing w:before="60" w:after="60"/>
              <w:jc w:val="center"/>
              <w:rPr>
                <w:noProof/>
                <w:sz w:val="20"/>
              </w:rPr>
            </w:pPr>
          </w:p>
        </w:tc>
      </w:tr>
    </w:tbl>
    <w:p w14:paraId="224F0A15" w14:textId="77777777" w:rsidR="00FA5543" w:rsidRPr="00F66162" w:rsidRDefault="00FA5543" w:rsidP="00390489">
      <w:pPr>
        <w:outlineLvl w:val="1"/>
        <w:rPr>
          <w:noProof/>
          <w:szCs w:val="24"/>
        </w:rPr>
      </w:pPr>
      <w:r w:rsidRPr="00F66162">
        <w:rPr>
          <w:noProof/>
        </w:rPr>
        <w:t xml:space="preserve"> </w:t>
      </w:r>
      <w:r w:rsidRPr="00F66162">
        <w:rPr>
          <w:noProof/>
        </w:rPr>
        <w:br/>
      </w:r>
      <w:bookmarkStart w:id="2" w:name="_Hlk166860179"/>
      <w:r w:rsidRPr="00F66162">
        <w:rPr>
          <w:noProof/>
        </w:rPr>
        <w:t>3.3.</w:t>
      </w:r>
      <w:r w:rsidRPr="00F66162">
        <w:rPr>
          <w:noProof/>
        </w:rPr>
        <w:tab/>
        <w:t xml:space="preserve">Szacunkowy wpływ na dochody </w:t>
      </w:r>
    </w:p>
    <w:bookmarkEnd w:id="2"/>
    <w:p w14:paraId="4D429E3F" w14:textId="77777777" w:rsidR="00FA5543" w:rsidRPr="00F66162" w:rsidRDefault="6C3AF1E0" w:rsidP="00390489">
      <w:pPr>
        <w:pStyle w:val="ListDash1"/>
        <w:rPr>
          <w:noProof/>
        </w:rPr>
      </w:pPr>
      <w:r w:rsidRPr="00F66162">
        <w:rPr>
          <w:rFonts w:ascii="Wingdings" w:hAnsi="Wingdings"/>
          <w:noProof/>
        </w:rPr>
        <w:t></w:t>
      </w:r>
      <w:r w:rsidRPr="00F66162">
        <w:rPr>
          <w:noProof/>
        </w:rPr>
        <w:tab/>
        <w:t>Wniosek/inicjatywa nie ma wpływu finansowego na dochody</w:t>
      </w:r>
    </w:p>
    <w:p w14:paraId="0FBDAFD4" w14:textId="77777777" w:rsidR="00FA5543" w:rsidRPr="00F66162" w:rsidRDefault="02C43BC7" w:rsidP="00390489">
      <w:pPr>
        <w:pStyle w:val="ListDash1"/>
        <w:rPr>
          <w:noProof/>
        </w:rPr>
      </w:pPr>
      <w:r w:rsidRPr="00F66162">
        <w:rPr>
          <w:rFonts w:ascii="Wingdings" w:hAnsi="Wingdings"/>
          <w:noProof/>
        </w:rPr>
        <w:t></w:t>
      </w:r>
      <w:r w:rsidRPr="00F66162">
        <w:rPr>
          <w:noProof/>
        </w:rPr>
        <w:tab/>
        <w:t>Wniosek/inicjatywa ma wpływ finansowy określony poniżej:</w:t>
      </w:r>
    </w:p>
    <w:p w14:paraId="7B0F22CA" w14:textId="77777777" w:rsidR="00FA5543" w:rsidRPr="00F66162" w:rsidRDefault="284E1829" w:rsidP="00FA5543">
      <w:pPr>
        <w:pStyle w:val="ListNumberLevel3"/>
        <w:rPr>
          <w:noProof/>
        </w:rPr>
      </w:pPr>
      <w:r w:rsidRPr="00F66162">
        <w:rPr>
          <w:rFonts w:ascii="Wingdings" w:hAnsi="Wingdings"/>
          <w:noProof/>
        </w:rPr>
        <w:t></w:t>
      </w:r>
      <w:r w:rsidRPr="00F66162">
        <w:rPr>
          <w:noProof/>
        </w:rPr>
        <w:tab/>
        <w:t xml:space="preserve">wpływ na zasoby własne </w:t>
      </w:r>
    </w:p>
    <w:p w14:paraId="0EB6AA3A" w14:textId="77777777" w:rsidR="00FA5543" w:rsidRPr="00F66162" w:rsidRDefault="00FA5543" w:rsidP="00FA5543">
      <w:pPr>
        <w:pStyle w:val="ListNumberLevel3"/>
        <w:rPr>
          <w:noProof/>
        </w:rPr>
      </w:pPr>
      <w:r w:rsidRPr="00F66162">
        <w:rPr>
          <w:rFonts w:ascii="Wingdings" w:hAnsi="Wingdings"/>
          <w:noProof/>
        </w:rPr>
        <w:t></w:t>
      </w:r>
      <w:r w:rsidRPr="00F66162">
        <w:rPr>
          <w:noProof/>
        </w:rPr>
        <w:tab/>
        <w:t>wpływ na dochody inne</w:t>
      </w:r>
    </w:p>
    <w:p w14:paraId="10AD3CE1" w14:textId="77777777" w:rsidR="00FA5543" w:rsidRPr="00F66162" w:rsidRDefault="00FA5543" w:rsidP="00FA5543">
      <w:pPr>
        <w:pStyle w:val="ListNumberLevel3"/>
        <w:rPr>
          <w:noProof/>
        </w:rPr>
      </w:pPr>
      <w:r w:rsidRPr="00F66162">
        <w:rPr>
          <w:rFonts w:ascii="Wingdings" w:hAnsi="Wingdings"/>
          <w:noProof/>
        </w:rPr>
        <w:t></w:t>
      </w:r>
      <w:r w:rsidRPr="00F66162">
        <w:rPr>
          <w:noProof/>
        </w:rPr>
        <w:tab/>
        <w:t>Wskazać, czy dochody są przypisane do linii budżetowej po stronie wydatków</w:t>
      </w:r>
    </w:p>
    <w:p w14:paraId="610533FE" w14:textId="0403280D" w:rsidR="00FA5543" w:rsidRPr="00F66162" w:rsidRDefault="6C3AF1E0" w:rsidP="00390489">
      <w:pPr>
        <w:jc w:val="right"/>
        <w:rPr>
          <w:noProof/>
          <w:sz w:val="20"/>
        </w:rPr>
      </w:pPr>
      <w:r w:rsidRPr="00F66162">
        <w:rPr>
          <w:noProof/>
          <w:sz w:val="20"/>
        </w:rPr>
        <w:t>w mln EUR (do trzech miejsc po przecinku)</w:t>
      </w:r>
    </w:p>
    <w:tbl>
      <w:tblPr>
        <w:tblW w:w="0" w:type="auto"/>
        <w:tblLayout w:type="fixed"/>
        <w:tblLook w:val="06A0" w:firstRow="1" w:lastRow="0" w:firstColumn="1" w:lastColumn="0" w:noHBand="1" w:noVBand="1"/>
      </w:tblPr>
      <w:tblGrid>
        <w:gridCol w:w="2329"/>
        <w:gridCol w:w="1392"/>
        <w:gridCol w:w="1463"/>
        <w:gridCol w:w="873"/>
        <w:gridCol w:w="865"/>
        <w:gridCol w:w="1069"/>
        <w:gridCol w:w="1069"/>
      </w:tblGrid>
      <w:tr w:rsidR="139DF8FE" w:rsidRPr="00F66162" w14:paraId="7C2956BB" w14:textId="77777777" w:rsidTr="139DF8FE">
        <w:trPr>
          <w:trHeight w:val="390"/>
        </w:trPr>
        <w:tc>
          <w:tcPr>
            <w:tcW w:w="232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87037" w14:textId="77777777" w:rsidR="139DF8FE" w:rsidRPr="00F66162" w:rsidRDefault="139DF8FE" w:rsidP="139DF8FE">
            <w:pPr>
              <w:spacing w:before="40" w:after="40"/>
              <w:rPr>
                <w:noProof/>
              </w:rPr>
            </w:pPr>
            <w:r w:rsidRPr="00F66162">
              <w:rPr>
                <w:noProof/>
                <w:sz w:val="18"/>
              </w:rPr>
              <w:t>Linia budżetowa po stronie dochodów</w:t>
            </w:r>
          </w:p>
        </w:tc>
        <w:tc>
          <w:tcPr>
            <w:tcW w:w="139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5B8C3" w14:textId="45BD05DC" w:rsidR="139DF8FE" w:rsidRPr="00F66162" w:rsidRDefault="139DF8FE" w:rsidP="139DF8FE">
            <w:pPr>
              <w:jc w:val="center"/>
              <w:rPr>
                <w:noProof/>
              </w:rPr>
            </w:pPr>
            <w:r w:rsidRPr="00F66162">
              <w:rPr>
                <w:noProof/>
                <w:sz w:val="18"/>
              </w:rPr>
              <w:t>Środki zapisane</w:t>
            </w:r>
            <w:r w:rsidR="00825614" w:rsidRPr="00F66162">
              <w:rPr>
                <w:noProof/>
                <w:sz w:val="18"/>
              </w:rPr>
              <w:t xml:space="preserve"> w</w:t>
            </w:r>
            <w:r w:rsidR="00825614">
              <w:rPr>
                <w:noProof/>
                <w:sz w:val="18"/>
              </w:rPr>
              <w:t> </w:t>
            </w:r>
            <w:r w:rsidR="00825614" w:rsidRPr="00F66162">
              <w:rPr>
                <w:noProof/>
                <w:sz w:val="18"/>
              </w:rPr>
              <w:t>bud</w:t>
            </w:r>
            <w:r w:rsidRPr="00F66162">
              <w:rPr>
                <w:noProof/>
                <w:sz w:val="18"/>
              </w:rPr>
              <w:t>żecie na bieżący rok budżetowy</w:t>
            </w:r>
          </w:p>
        </w:tc>
        <w:tc>
          <w:tcPr>
            <w:tcW w:w="5339"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EDCEF4" w14:textId="77777777" w:rsidR="139DF8FE" w:rsidRPr="00F66162" w:rsidRDefault="139DF8FE" w:rsidP="139DF8FE">
            <w:pPr>
              <w:jc w:val="center"/>
              <w:rPr>
                <w:noProof/>
              </w:rPr>
            </w:pPr>
            <w:r w:rsidRPr="00F66162">
              <w:rPr>
                <w:noProof/>
                <w:sz w:val="18"/>
              </w:rPr>
              <w:t>Wpływ wniosku/inicjatywy</w:t>
            </w:r>
            <w:hyperlink r:id="rId25" w:anchor="_ftn1">
              <w:r w:rsidRPr="00F66162">
                <w:rPr>
                  <w:rStyle w:val="Hipercze"/>
                  <w:noProof/>
                  <w:sz w:val="18"/>
                  <w:vertAlign w:val="superscript"/>
                </w:rPr>
                <w:t>[1]</w:t>
              </w:r>
            </w:hyperlink>
          </w:p>
        </w:tc>
      </w:tr>
      <w:tr w:rsidR="00F605F1" w:rsidRPr="00F66162" w14:paraId="610273E3" w14:textId="77777777" w:rsidTr="139DF8FE">
        <w:trPr>
          <w:trHeight w:val="390"/>
        </w:trPr>
        <w:tc>
          <w:tcPr>
            <w:tcW w:w="2329" w:type="dxa"/>
            <w:vMerge/>
            <w:vAlign w:val="center"/>
          </w:tcPr>
          <w:p w14:paraId="58F139F2" w14:textId="77777777" w:rsidR="00A60788" w:rsidRPr="00F66162" w:rsidRDefault="00A60788">
            <w:pPr>
              <w:rPr>
                <w:noProof/>
              </w:rPr>
            </w:pPr>
          </w:p>
        </w:tc>
        <w:tc>
          <w:tcPr>
            <w:tcW w:w="1392" w:type="dxa"/>
            <w:vMerge/>
            <w:vAlign w:val="center"/>
          </w:tcPr>
          <w:p w14:paraId="3948D60D" w14:textId="77777777" w:rsidR="00A60788" w:rsidRPr="00F66162" w:rsidRDefault="00A60788">
            <w:pPr>
              <w:rPr>
                <w:noProof/>
              </w:rPr>
            </w:pPr>
          </w:p>
        </w:tc>
        <w:tc>
          <w:tcPr>
            <w:tcW w:w="1463" w:type="dxa"/>
            <w:tcBorders>
              <w:top w:val="single" w:sz="8" w:space="0" w:color="auto"/>
              <w:left w:val="nil"/>
              <w:bottom w:val="single" w:sz="8" w:space="0" w:color="auto"/>
              <w:right w:val="single" w:sz="8" w:space="0" w:color="auto"/>
            </w:tcBorders>
            <w:tcMar>
              <w:left w:w="108" w:type="dxa"/>
              <w:right w:w="108" w:type="dxa"/>
            </w:tcMar>
            <w:vAlign w:val="center"/>
          </w:tcPr>
          <w:p w14:paraId="3A488218" w14:textId="77777777" w:rsidR="139DF8FE" w:rsidRPr="00F66162" w:rsidRDefault="139DF8FE" w:rsidP="139DF8FE">
            <w:pPr>
              <w:jc w:val="center"/>
              <w:rPr>
                <w:noProof/>
              </w:rPr>
            </w:pPr>
            <w:r w:rsidRPr="00F66162">
              <w:rPr>
                <w:noProof/>
                <w:sz w:val="18"/>
              </w:rPr>
              <w:t xml:space="preserve">Rok </w:t>
            </w:r>
            <w:r w:rsidRPr="00F66162">
              <w:rPr>
                <w:b/>
                <w:noProof/>
                <w:sz w:val="18"/>
              </w:rPr>
              <w:t>2026</w:t>
            </w:r>
          </w:p>
        </w:tc>
        <w:tc>
          <w:tcPr>
            <w:tcW w:w="873" w:type="dxa"/>
            <w:tcBorders>
              <w:top w:val="nil"/>
              <w:left w:val="single" w:sz="8" w:space="0" w:color="auto"/>
              <w:bottom w:val="single" w:sz="8" w:space="0" w:color="auto"/>
              <w:right w:val="single" w:sz="8" w:space="0" w:color="auto"/>
            </w:tcBorders>
            <w:tcMar>
              <w:left w:w="108" w:type="dxa"/>
              <w:right w:w="108" w:type="dxa"/>
            </w:tcMar>
            <w:vAlign w:val="center"/>
          </w:tcPr>
          <w:p w14:paraId="0AB3B69A" w14:textId="77777777" w:rsidR="139DF8FE" w:rsidRPr="00F66162" w:rsidRDefault="139DF8FE" w:rsidP="139DF8FE">
            <w:pPr>
              <w:jc w:val="center"/>
              <w:rPr>
                <w:noProof/>
              </w:rPr>
            </w:pPr>
            <w:r w:rsidRPr="00F66162">
              <w:rPr>
                <w:noProof/>
                <w:sz w:val="18"/>
              </w:rPr>
              <w:t xml:space="preserve">Rok </w:t>
            </w:r>
            <w:r w:rsidRPr="00F66162">
              <w:rPr>
                <w:b/>
                <w:noProof/>
                <w:sz w:val="18"/>
              </w:rPr>
              <w:t>2027</w:t>
            </w:r>
          </w:p>
        </w:tc>
        <w:tc>
          <w:tcPr>
            <w:tcW w:w="865" w:type="dxa"/>
            <w:tcBorders>
              <w:top w:val="nil"/>
              <w:left w:val="single" w:sz="8" w:space="0" w:color="auto"/>
              <w:bottom w:val="single" w:sz="8" w:space="0" w:color="auto"/>
              <w:right w:val="single" w:sz="8" w:space="0" w:color="auto"/>
            </w:tcBorders>
            <w:tcMar>
              <w:left w:w="108" w:type="dxa"/>
              <w:right w:w="108" w:type="dxa"/>
            </w:tcMar>
            <w:vAlign w:val="center"/>
          </w:tcPr>
          <w:p w14:paraId="2B70EA4B" w14:textId="77777777" w:rsidR="139DF8FE" w:rsidRPr="00F66162" w:rsidRDefault="139DF8FE" w:rsidP="139DF8FE">
            <w:pPr>
              <w:jc w:val="center"/>
              <w:rPr>
                <w:noProof/>
              </w:rPr>
            </w:pPr>
            <w:r w:rsidRPr="00F66162">
              <w:rPr>
                <w:noProof/>
                <w:sz w:val="18"/>
              </w:rPr>
              <w:t xml:space="preserve">Rok </w:t>
            </w:r>
            <w:r w:rsidRPr="00F66162">
              <w:rPr>
                <w:b/>
                <w:noProof/>
                <w:sz w:val="18"/>
              </w:rPr>
              <w:t>2028</w:t>
            </w:r>
          </w:p>
        </w:tc>
        <w:tc>
          <w:tcPr>
            <w:tcW w:w="1069" w:type="dxa"/>
            <w:tcBorders>
              <w:top w:val="nil"/>
              <w:left w:val="single" w:sz="8" w:space="0" w:color="auto"/>
              <w:bottom w:val="single" w:sz="8" w:space="0" w:color="auto"/>
              <w:right w:val="single" w:sz="8" w:space="0" w:color="auto"/>
            </w:tcBorders>
            <w:tcMar>
              <w:left w:w="108" w:type="dxa"/>
              <w:right w:w="108" w:type="dxa"/>
            </w:tcMar>
            <w:vAlign w:val="center"/>
          </w:tcPr>
          <w:p w14:paraId="25D90981" w14:textId="77777777" w:rsidR="139DF8FE" w:rsidRPr="00F66162" w:rsidRDefault="139DF8FE" w:rsidP="139DF8FE">
            <w:pPr>
              <w:jc w:val="center"/>
              <w:rPr>
                <w:noProof/>
              </w:rPr>
            </w:pPr>
            <w:r w:rsidRPr="00F66162">
              <w:rPr>
                <w:noProof/>
                <w:sz w:val="18"/>
              </w:rPr>
              <w:t xml:space="preserve">Rok </w:t>
            </w:r>
            <w:r w:rsidRPr="00F66162">
              <w:rPr>
                <w:b/>
                <w:noProof/>
                <w:sz w:val="18"/>
              </w:rPr>
              <w:t>2029</w:t>
            </w:r>
          </w:p>
        </w:tc>
        <w:tc>
          <w:tcPr>
            <w:tcW w:w="1069" w:type="dxa"/>
            <w:tcBorders>
              <w:top w:val="nil"/>
              <w:left w:val="single" w:sz="8" w:space="0" w:color="auto"/>
              <w:bottom w:val="single" w:sz="8" w:space="0" w:color="auto"/>
              <w:right w:val="single" w:sz="8" w:space="0" w:color="auto"/>
            </w:tcBorders>
            <w:tcMar>
              <w:left w:w="108" w:type="dxa"/>
              <w:right w:w="108" w:type="dxa"/>
            </w:tcMar>
          </w:tcPr>
          <w:p w14:paraId="124E4D91" w14:textId="77777777" w:rsidR="139DF8FE" w:rsidRPr="00F66162" w:rsidRDefault="139DF8FE" w:rsidP="139DF8FE">
            <w:pPr>
              <w:jc w:val="center"/>
              <w:rPr>
                <w:noProof/>
              </w:rPr>
            </w:pPr>
            <w:r w:rsidRPr="00F66162">
              <w:rPr>
                <w:noProof/>
                <w:sz w:val="18"/>
              </w:rPr>
              <w:t xml:space="preserve">Rok </w:t>
            </w:r>
            <w:r w:rsidRPr="00F66162">
              <w:rPr>
                <w:b/>
                <w:noProof/>
                <w:sz w:val="18"/>
              </w:rPr>
              <w:t>2030</w:t>
            </w:r>
          </w:p>
        </w:tc>
      </w:tr>
      <w:tr w:rsidR="139DF8FE" w:rsidRPr="00F66162" w14:paraId="3AD625BC" w14:textId="77777777" w:rsidTr="139DF8FE">
        <w:trPr>
          <w:trHeight w:val="390"/>
        </w:trPr>
        <w:tc>
          <w:tcPr>
            <w:tcW w:w="2329" w:type="dxa"/>
            <w:tcBorders>
              <w:top w:val="nil"/>
              <w:left w:val="single" w:sz="8" w:space="0" w:color="auto"/>
              <w:bottom w:val="single" w:sz="8" w:space="0" w:color="auto"/>
              <w:right w:val="single" w:sz="8" w:space="0" w:color="auto"/>
            </w:tcBorders>
            <w:tcMar>
              <w:left w:w="108" w:type="dxa"/>
              <w:right w:w="108" w:type="dxa"/>
            </w:tcMar>
            <w:vAlign w:val="center"/>
          </w:tcPr>
          <w:p w14:paraId="3624BEDB" w14:textId="77777777" w:rsidR="139DF8FE" w:rsidRPr="00F66162" w:rsidRDefault="139DF8FE" w:rsidP="139DF8FE">
            <w:pPr>
              <w:spacing w:before="40" w:after="40"/>
              <w:rPr>
                <w:noProof/>
              </w:rPr>
            </w:pPr>
            <w:r w:rsidRPr="00F66162">
              <w:rPr>
                <w:noProof/>
                <w:sz w:val="18"/>
              </w:rPr>
              <w:t>Artykuł 09 20 04 01</w:t>
            </w:r>
          </w:p>
        </w:tc>
        <w:tc>
          <w:tcPr>
            <w:tcW w:w="1392" w:type="dxa"/>
            <w:tcBorders>
              <w:top w:val="nil"/>
              <w:left w:val="single" w:sz="8" w:space="0" w:color="auto"/>
              <w:bottom w:val="single" w:sz="8" w:space="0" w:color="auto"/>
              <w:right w:val="single" w:sz="8" w:space="0" w:color="auto"/>
            </w:tcBorders>
            <w:tcMar>
              <w:left w:w="108" w:type="dxa"/>
              <w:right w:w="108" w:type="dxa"/>
            </w:tcMar>
          </w:tcPr>
          <w:p w14:paraId="3ABAA6E9" w14:textId="77777777" w:rsidR="139DF8FE" w:rsidRPr="00F66162" w:rsidRDefault="139DF8FE" w:rsidP="139DF8FE">
            <w:pPr>
              <w:spacing w:before="96" w:after="96"/>
              <w:jc w:val="center"/>
              <w:rPr>
                <w:noProof/>
              </w:rPr>
            </w:pPr>
            <w:r w:rsidRPr="00F66162">
              <w:rPr>
                <w:i/>
                <w:noProof/>
                <w:sz w:val="18"/>
              </w:rPr>
              <w:t xml:space="preserve"> </w:t>
            </w:r>
          </w:p>
        </w:tc>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25A1F9D6" w14:textId="77777777" w:rsidR="139DF8FE" w:rsidRPr="00F66162" w:rsidRDefault="139DF8FE" w:rsidP="139DF8FE">
            <w:pPr>
              <w:spacing w:before="96" w:after="96"/>
              <w:jc w:val="center"/>
              <w:rPr>
                <w:noProof/>
              </w:rPr>
            </w:pPr>
            <w:r w:rsidRPr="00F66162">
              <w:rPr>
                <w:noProof/>
                <w:sz w:val="18"/>
              </w:rPr>
              <w:t xml:space="preserve">1,495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51FA3B44" w14:textId="77777777" w:rsidR="139DF8FE" w:rsidRPr="00F66162" w:rsidRDefault="139DF8FE" w:rsidP="139DF8FE">
            <w:pPr>
              <w:spacing w:before="96" w:after="96"/>
              <w:jc w:val="center"/>
              <w:rPr>
                <w:noProof/>
              </w:rPr>
            </w:pPr>
            <w:r w:rsidRPr="00F66162">
              <w:rPr>
                <w:noProof/>
                <w:sz w:val="18"/>
              </w:rPr>
              <w:t xml:space="preserve">1,643 </w:t>
            </w:r>
          </w:p>
        </w:tc>
        <w:tc>
          <w:tcPr>
            <w:tcW w:w="865" w:type="dxa"/>
            <w:tcBorders>
              <w:top w:val="single" w:sz="8" w:space="0" w:color="auto"/>
              <w:left w:val="single" w:sz="8" w:space="0" w:color="auto"/>
              <w:bottom w:val="single" w:sz="8" w:space="0" w:color="auto"/>
              <w:right w:val="single" w:sz="8" w:space="0" w:color="auto"/>
            </w:tcBorders>
            <w:tcMar>
              <w:left w:w="108" w:type="dxa"/>
              <w:right w:w="108" w:type="dxa"/>
            </w:tcMar>
          </w:tcPr>
          <w:p w14:paraId="07C08635" w14:textId="77777777" w:rsidR="139DF8FE" w:rsidRPr="00F66162" w:rsidRDefault="139DF8FE" w:rsidP="139DF8FE">
            <w:pPr>
              <w:spacing w:before="96" w:after="96"/>
              <w:jc w:val="center"/>
              <w:rPr>
                <w:noProof/>
              </w:rPr>
            </w:pPr>
            <w:r w:rsidRPr="00F66162">
              <w:rPr>
                <w:noProof/>
                <w:sz w:val="18"/>
              </w:rPr>
              <w:t xml:space="preserve">1,792 </w:t>
            </w:r>
          </w:p>
        </w:tc>
        <w:tc>
          <w:tcPr>
            <w:tcW w:w="1069" w:type="dxa"/>
            <w:tcBorders>
              <w:top w:val="single" w:sz="8" w:space="0" w:color="auto"/>
              <w:left w:val="single" w:sz="8" w:space="0" w:color="auto"/>
              <w:bottom w:val="single" w:sz="8" w:space="0" w:color="auto"/>
              <w:right w:val="single" w:sz="8" w:space="0" w:color="auto"/>
            </w:tcBorders>
            <w:tcMar>
              <w:left w:w="108" w:type="dxa"/>
              <w:right w:w="108" w:type="dxa"/>
            </w:tcMar>
          </w:tcPr>
          <w:p w14:paraId="7FE9654F" w14:textId="77777777" w:rsidR="139DF8FE" w:rsidRPr="00F66162" w:rsidRDefault="139DF8FE" w:rsidP="139DF8FE">
            <w:pPr>
              <w:spacing w:before="96" w:after="96"/>
              <w:jc w:val="center"/>
              <w:rPr>
                <w:noProof/>
              </w:rPr>
            </w:pPr>
            <w:r w:rsidRPr="00F66162">
              <w:rPr>
                <w:noProof/>
                <w:sz w:val="18"/>
              </w:rPr>
              <w:t>1,940</w:t>
            </w:r>
          </w:p>
        </w:tc>
        <w:tc>
          <w:tcPr>
            <w:tcW w:w="1069" w:type="dxa"/>
            <w:tcBorders>
              <w:top w:val="single" w:sz="8" w:space="0" w:color="auto"/>
              <w:left w:val="single" w:sz="8" w:space="0" w:color="auto"/>
              <w:bottom w:val="single" w:sz="8" w:space="0" w:color="auto"/>
              <w:right w:val="single" w:sz="8" w:space="0" w:color="auto"/>
            </w:tcBorders>
            <w:tcMar>
              <w:left w:w="108" w:type="dxa"/>
              <w:right w:w="108" w:type="dxa"/>
            </w:tcMar>
          </w:tcPr>
          <w:p w14:paraId="37E08189" w14:textId="77777777" w:rsidR="139DF8FE" w:rsidRPr="00F66162" w:rsidRDefault="139DF8FE" w:rsidP="139DF8FE">
            <w:pPr>
              <w:spacing w:before="96" w:after="96"/>
              <w:jc w:val="center"/>
              <w:rPr>
                <w:noProof/>
              </w:rPr>
            </w:pPr>
            <w:r w:rsidRPr="00F66162">
              <w:rPr>
                <w:noProof/>
                <w:sz w:val="18"/>
              </w:rPr>
              <w:t xml:space="preserve">2,089 </w:t>
            </w:r>
          </w:p>
        </w:tc>
      </w:tr>
    </w:tbl>
    <w:p w14:paraId="44726348" w14:textId="77777777" w:rsidR="139DF8FE" w:rsidRPr="00F66162" w:rsidRDefault="139DF8FE" w:rsidP="139DF8FE">
      <w:pPr>
        <w:spacing w:before="0" w:after="0"/>
        <w:rPr>
          <w:noProof/>
        </w:rPr>
      </w:pPr>
    </w:p>
    <w:p w14:paraId="73578DA8" w14:textId="77777777" w:rsidR="12C23B9B" w:rsidRPr="00F66162" w:rsidRDefault="001F15A3" w:rsidP="139DF8FE">
      <w:pPr>
        <w:spacing w:before="0" w:after="0"/>
        <w:ind w:left="720" w:hanging="720"/>
        <w:rPr>
          <w:noProof/>
        </w:rPr>
      </w:pPr>
      <w:hyperlink r:id="rId26" w:anchor="_ftnref1">
        <w:r w:rsidRPr="00F66162">
          <w:rPr>
            <w:rStyle w:val="Hipercze"/>
            <w:noProof/>
            <w:sz w:val="20"/>
            <w:vertAlign w:val="superscript"/>
          </w:rPr>
          <w:t>[1]</w:t>
        </w:r>
      </w:hyperlink>
      <w:r w:rsidRPr="00F66162">
        <w:rPr>
          <w:noProof/>
        </w:rPr>
        <w:tab/>
      </w:r>
      <w:r w:rsidRPr="00F66162">
        <w:rPr>
          <w:noProof/>
          <w:sz w:val="20"/>
        </w:rPr>
        <w:t>W przypadku tradycyjnych zasobów własnych (opłaty celne, opłaty wyrównawcze od cukru) należy wskazać kwoty netto, tzn. kwoty brutto po odliczeniu 20 % na poczet kosztów poboru.</w:t>
      </w:r>
    </w:p>
    <w:p w14:paraId="00E25155" w14:textId="77777777" w:rsidR="139DF8FE" w:rsidRPr="00F66162" w:rsidRDefault="139DF8FE" w:rsidP="139DF8FE">
      <w:pPr>
        <w:pStyle w:val="Text1"/>
        <w:rPr>
          <w:noProof/>
        </w:rPr>
      </w:pPr>
    </w:p>
    <w:p w14:paraId="0556E18E" w14:textId="77777777" w:rsidR="00FA5543" w:rsidRPr="00F66162" w:rsidRDefault="6C3AF1E0" w:rsidP="00390489">
      <w:pPr>
        <w:pStyle w:val="Text1"/>
        <w:rPr>
          <w:noProof/>
          <w:szCs w:val="24"/>
        </w:rPr>
      </w:pPr>
      <w:r w:rsidRPr="00F66162">
        <w:rPr>
          <w:noProof/>
        </w:rPr>
        <w:t>W przypadku wpływu na dochody przeznaczone na określony cel należy wskazać linie budżetowe po stronie wydatków, które ten wpływ obejmie.</w:t>
      </w:r>
    </w:p>
    <w:p w14:paraId="7117B67D" w14:textId="77777777" w:rsidR="00FA5543" w:rsidRPr="00F66162" w:rsidRDefault="050C9E36" w:rsidP="139DF8FE">
      <w:pPr>
        <w:pBdr>
          <w:top w:val="single" w:sz="8" w:space="1" w:color="000000"/>
          <w:left w:val="single" w:sz="8" w:space="4" w:color="000000"/>
          <w:bottom w:val="single" w:sz="8" w:space="1" w:color="000000"/>
          <w:right w:val="single" w:sz="8" w:space="4" w:color="000000"/>
        </w:pBdr>
        <w:ind w:left="720"/>
        <w:rPr>
          <w:rFonts w:eastAsia="Times New Roman"/>
          <w:noProof/>
          <w:szCs w:val="24"/>
        </w:rPr>
      </w:pPr>
      <w:r w:rsidRPr="00F66162">
        <w:rPr>
          <w:noProof/>
        </w:rPr>
        <w:t>CBAM – 09 20 04 01</w:t>
      </w:r>
    </w:p>
    <w:p w14:paraId="35C0BDB3" w14:textId="77777777" w:rsidR="00FA5543" w:rsidRPr="00F66162" w:rsidRDefault="00FA5543" w:rsidP="00390489">
      <w:pPr>
        <w:pStyle w:val="Text1"/>
        <w:rPr>
          <w:noProof/>
          <w:szCs w:val="24"/>
        </w:rPr>
      </w:pPr>
      <w:r w:rsidRPr="00F66162">
        <w:rPr>
          <w:noProof/>
        </w:rPr>
        <w:t>Pozostałe uwagi (np. metoda/wzór użyte do obliczenia wpływu na dochody albo inne informacje).</w:t>
      </w:r>
    </w:p>
    <w:p w14:paraId="3E3A3FFD" w14:textId="7948F237" w:rsidR="00FA5543" w:rsidRPr="00F66162" w:rsidRDefault="748332BC" w:rsidP="139DF8FE">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F66162">
        <w:rPr>
          <w:noProof/>
        </w:rPr>
        <w:t>Udział dochodów, których dotyczy wniosek, oszacowano</w:t>
      </w:r>
      <w:r w:rsidR="00825614" w:rsidRPr="00F66162">
        <w:rPr>
          <w:noProof/>
        </w:rPr>
        <w:t xml:space="preserve"> w</w:t>
      </w:r>
      <w:r w:rsidR="00825614">
        <w:rPr>
          <w:noProof/>
        </w:rPr>
        <w:t> </w:t>
      </w:r>
      <w:r w:rsidR="00825614" w:rsidRPr="00F66162">
        <w:rPr>
          <w:noProof/>
        </w:rPr>
        <w:t>opa</w:t>
      </w:r>
      <w:r w:rsidRPr="00F66162">
        <w:rPr>
          <w:noProof/>
        </w:rPr>
        <w:t>rciu</w:t>
      </w:r>
      <w:r w:rsidR="00825614" w:rsidRPr="00F66162">
        <w:rPr>
          <w:noProof/>
        </w:rPr>
        <w:t xml:space="preserve"> o</w:t>
      </w:r>
      <w:r w:rsidR="00825614">
        <w:rPr>
          <w:noProof/>
        </w:rPr>
        <w:t> </w:t>
      </w:r>
      <w:r w:rsidR="00825614" w:rsidRPr="00F66162">
        <w:rPr>
          <w:noProof/>
        </w:rPr>
        <w:t>wew</w:t>
      </w:r>
      <w:r w:rsidRPr="00F66162">
        <w:rPr>
          <w:noProof/>
        </w:rPr>
        <w:t>nętrzne obliczenia Komisji</w:t>
      </w:r>
      <w:r w:rsidR="00825614" w:rsidRPr="00F66162">
        <w:rPr>
          <w:noProof/>
        </w:rPr>
        <w:t xml:space="preserve"> z</w:t>
      </w:r>
      <w:r w:rsidR="00825614">
        <w:rPr>
          <w:noProof/>
        </w:rPr>
        <w:t> </w:t>
      </w:r>
      <w:r w:rsidR="00825614" w:rsidRPr="00F66162">
        <w:rPr>
          <w:noProof/>
        </w:rPr>
        <w:t>wyk</w:t>
      </w:r>
      <w:r w:rsidRPr="00F66162">
        <w:rPr>
          <w:noProof/>
        </w:rPr>
        <w:t>orzystaniem danych celnych dotyczących przywozu</w:t>
      </w:r>
      <w:r w:rsidR="00825614" w:rsidRPr="00F66162">
        <w:rPr>
          <w:noProof/>
        </w:rPr>
        <w:t xml:space="preserve"> i</w:t>
      </w:r>
      <w:r w:rsidR="00825614">
        <w:rPr>
          <w:noProof/>
        </w:rPr>
        <w:t> </w:t>
      </w:r>
      <w:r w:rsidR="00825614" w:rsidRPr="00F66162">
        <w:rPr>
          <w:noProof/>
        </w:rPr>
        <w:t>war</w:t>
      </w:r>
      <w:r w:rsidRPr="00F66162">
        <w:rPr>
          <w:noProof/>
        </w:rPr>
        <w:t>tości domyślnych. Zastosowano je do szacunkowych dochodów wskazanych</w:t>
      </w:r>
      <w:r w:rsidR="00825614" w:rsidRPr="00F66162">
        <w:rPr>
          <w:noProof/>
        </w:rPr>
        <w:t xml:space="preserve"> w</w:t>
      </w:r>
      <w:r w:rsidR="00825614">
        <w:rPr>
          <w:noProof/>
        </w:rPr>
        <w:t> </w:t>
      </w:r>
      <w:r w:rsidR="00825614" w:rsidRPr="00F66162">
        <w:rPr>
          <w:noProof/>
        </w:rPr>
        <w:t>prz</w:t>
      </w:r>
      <w:r w:rsidRPr="00F66162">
        <w:rPr>
          <w:noProof/>
        </w:rPr>
        <w:t>eprowadzonej przez Komisję</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21</w:t>
      </w:r>
      <w:r w:rsidR="00825614" w:rsidRPr="00825614">
        <w:rPr>
          <w:noProof/>
        </w:rPr>
        <w:t> </w:t>
      </w:r>
      <w:r w:rsidRPr="00825614">
        <w:rPr>
          <w:noProof/>
        </w:rPr>
        <w:t>r.</w:t>
      </w:r>
      <w:r w:rsidRPr="00F66162">
        <w:rPr>
          <w:noProof/>
        </w:rPr>
        <w:t xml:space="preserve"> ocenie skutków, które na </w:t>
      </w:r>
      <w:r w:rsidRPr="00825614">
        <w:rPr>
          <w:noProof/>
        </w:rPr>
        <w:t>rok</w:t>
      </w:r>
      <w:r w:rsidR="00825614" w:rsidRPr="00825614">
        <w:rPr>
          <w:noProof/>
        </w:rPr>
        <w:t> </w:t>
      </w:r>
      <w:r w:rsidRPr="00825614">
        <w:rPr>
          <w:noProof/>
        </w:rPr>
        <w:t>2</w:t>
      </w:r>
      <w:r w:rsidRPr="00F66162">
        <w:rPr>
          <w:noProof/>
        </w:rPr>
        <w:t xml:space="preserve">030 wynoszą około 2,1 mld EUR. Jako że przy zastosowaniu nowego progu </w:t>
      </w:r>
      <w:r w:rsidRPr="00F66162">
        <w:rPr>
          <w:i/>
          <w:iCs/>
          <w:noProof/>
        </w:rPr>
        <w:t>de minimis</w:t>
      </w:r>
      <w:r w:rsidRPr="00F66162">
        <w:rPr>
          <w:noProof/>
        </w:rPr>
        <w:t xml:space="preserve"> niespełna 1 % emisji nie zostanie wychwyconych, szacuje się, że utracone dochody</w:t>
      </w:r>
      <w:r w:rsidR="00825614" w:rsidRPr="00F66162">
        <w:rPr>
          <w:noProof/>
        </w:rPr>
        <w:t xml:space="preserve"> w</w:t>
      </w:r>
      <w:r w:rsidR="00825614">
        <w:rPr>
          <w:noProof/>
        </w:rPr>
        <w:t> </w:t>
      </w:r>
      <w:r w:rsidR="00825614" w:rsidRPr="00F66162">
        <w:rPr>
          <w:noProof/>
        </w:rPr>
        <w:t>2</w:t>
      </w:r>
      <w:r w:rsidRPr="00F66162">
        <w:rPr>
          <w:noProof/>
        </w:rPr>
        <w:t>0</w:t>
      </w:r>
      <w:r w:rsidRPr="00825614">
        <w:rPr>
          <w:noProof/>
        </w:rPr>
        <w:t>30</w:t>
      </w:r>
      <w:r w:rsidR="00825614" w:rsidRPr="00825614">
        <w:rPr>
          <w:noProof/>
        </w:rPr>
        <w:t> </w:t>
      </w:r>
      <w:r w:rsidRPr="00825614">
        <w:rPr>
          <w:noProof/>
        </w:rPr>
        <w:t>r.</w:t>
      </w:r>
      <w:r w:rsidR="00825614" w:rsidRPr="00F66162">
        <w:rPr>
          <w:noProof/>
        </w:rPr>
        <w:t xml:space="preserve"> z</w:t>
      </w:r>
      <w:r w:rsidR="00825614">
        <w:rPr>
          <w:noProof/>
        </w:rPr>
        <w:t> </w:t>
      </w:r>
      <w:r w:rsidR="00825614" w:rsidRPr="00F66162">
        <w:rPr>
          <w:noProof/>
        </w:rPr>
        <w:t>pow</w:t>
      </w:r>
      <w:r w:rsidRPr="00F66162">
        <w:rPr>
          <w:noProof/>
        </w:rPr>
        <w:t>odu niewychwyconych emisji wyniosą około 21 000 000 EUR.</w:t>
      </w:r>
    </w:p>
    <w:p w14:paraId="5BB59D15" w14:textId="77777777" w:rsidR="00FA5543" w:rsidRPr="00F66162" w:rsidRDefault="00FA5543" w:rsidP="00390489">
      <w:pPr>
        <w:pStyle w:val="ManualHeading1"/>
        <w:rPr>
          <w:caps/>
          <w:noProof/>
        </w:rPr>
      </w:pPr>
      <w:r w:rsidRPr="00F66162">
        <w:rPr>
          <w:noProof/>
        </w:rPr>
        <w:lastRenderedPageBreak/>
        <w:t>4.</w:t>
      </w:r>
      <w:r w:rsidRPr="00F66162">
        <w:rPr>
          <w:noProof/>
        </w:rPr>
        <w:tab/>
      </w:r>
      <w:bookmarkStart w:id="3" w:name="_Hlk167692977"/>
      <w:r w:rsidRPr="00F66162">
        <w:rPr>
          <w:caps/>
          <w:noProof/>
        </w:rPr>
        <w:t>Wymiar cyfrowy</w:t>
      </w:r>
    </w:p>
    <w:p w14:paraId="6158161A" w14:textId="4B248F81" w:rsidR="00FA5543" w:rsidRPr="00F66162" w:rsidRDefault="5A3C8582" w:rsidP="139DF8FE">
      <w:pPr>
        <w:pStyle w:val="Text1"/>
        <w:pBdr>
          <w:top w:val="single" w:sz="8" w:space="1" w:color="000000"/>
          <w:left w:val="single" w:sz="8" w:space="4" w:color="000000"/>
          <w:bottom w:val="single" w:sz="8" w:space="1" w:color="000000"/>
          <w:right w:val="single" w:sz="8" w:space="4" w:color="000000"/>
        </w:pBdr>
        <w:spacing w:line="257" w:lineRule="auto"/>
        <w:rPr>
          <w:rFonts w:eastAsia="Times New Roman"/>
          <w:noProof/>
          <w:szCs w:val="24"/>
        </w:rPr>
      </w:pPr>
      <w:r w:rsidRPr="00F66162">
        <w:rPr>
          <w:noProof/>
        </w:rPr>
        <w:t>Rozporządzenie zmieniające nie zmienia koncepcji ani architektury cyfrowej zatwierdzonych</w:t>
      </w:r>
      <w:r w:rsidR="00825614" w:rsidRPr="00F66162">
        <w:rPr>
          <w:noProof/>
        </w:rPr>
        <w:t xml:space="preserve"> w</w:t>
      </w:r>
      <w:r w:rsidR="00825614">
        <w:rPr>
          <w:noProof/>
        </w:rPr>
        <w:t> </w:t>
      </w:r>
      <w:r w:rsidR="00825614" w:rsidRPr="00F66162">
        <w:rPr>
          <w:noProof/>
        </w:rPr>
        <w:t>kar</w:t>
      </w:r>
      <w:r w:rsidRPr="00F66162">
        <w:rPr>
          <w:noProof/>
        </w:rPr>
        <w:t xml:space="preserve">cie projektu docelowego systemu CBAM pod względem wymogów cyfrowych, wykorzystywanych danych, rozwiązania cyfrowego, oceny możliwości ponownego wykorzystania ani środków wspierających wdrażanie cyfrowe. </w:t>
      </w:r>
    </w:p>
    <w:p w14:paraId="0B54DDBB" w14:textId="5E6CCE81" w:rsidR="00FA5543" w:rsidRPr="00F66162" w:rsidRDefault="5A3C8582" w:rsidP="139DF8FE">
      <w:pPr>
        <w:pBdr>
          <w:top w:val="single" w:sz="8" w:space="1" w:color="000000"/>
          <w:left w:val="single" w:sz="8" w:space="4" w:color="000000"/>
          <w:bottom w:val="single" w:sz="8" w:space="1" w:color="000000"/>
          <w:right w:val="single" w:sz="8" w:space="4" w:color="000000"/>
        </w:pBdr>
        <w:spacing w:line="257" w:lineRule="auto"/>
        <w:ind w:left="850"/>
        <w:rPr>
          <w:rFonts w:eastAsia="Times New Roman"/>
          <w:noProof/>
          <w:szCs w:val="24"/>
        </w:rPr>
      </w:pPr>
      <w:r w:rsidRPr="00F66162">
        <w:rPr>
          <w:noProof/>
        </w:rPr>
        <w:t>Jedyna zmiana dotyczy zarządzania ryzykiem</w:t>
      </w:r>
      <w:r w:rsidR="00825614" w:rsidRPr="00F66162">
        <w:rPr>
          <w:noProof/>
        </w:rPr>
        <w:t xml:space="preserve"> i</w:t>
      </w:r>
      <w:r w:rsidR="00825614">
        <w:rPr>
          <w:noProof/>
        </w:rPr>
        <w:t> </w:t>
      </w:r>
      <w:r w:rsidR="00825614" w:rsidRPr="00F66162">
        <w:rPr>
          <w:noProof/>
        </w:rPr>
        <w:t>mon</w:t>
      </w:r>
      <w:r w:rsidRPr="00F66162">
        <w:rPr>
          <w:noProof/>
        </w:rPr>
        <w:t>itorowania obchodzenia przepisów, które to kwestie przeanalizowano, oceniono</w:t>
      </w:r>
      <w:r w:rsidR="00825614" w:rsidRPr="00F66162">
        <w:rPr>
          <w:noProof/>
        </w:rPr>
        <w:t xml:space="preserve"> i</w:t>
      </w:r>
      <w:r w:rsidR="00825614">
        <w:rPr>
          <w:noProof/>
        </w:rPr>
        <w:t> </w:t>
      </w:r>
      <w:r w:rsidR="00825614" w:rsidRPr="00F66162">
        <w:rPr>
          <w:noProof/>
        </w:rPr>
        <w:t>wpi</w:t>
      </w:r>
      <w:r w:rsidRPr="00F66162">
        <w:rPr>
          <w:noProof/>
        </w:rPr>
        <w:t>sano</w:t>
      </w:r>
      <w:r w:rsidR="00825614" w:rsidRPr="00F66162">
        <w:rPr>
          <w:noProof/>
        </w:rPr>
        <w:t xml:space="preserve"> w</w:t>
      </w:r>
      <w:r w:rsidR="00825614">
        <w:rPr>
          <w:noProof/>
        </w:rPr>
        <w:t> </w:t>
      </w:r>
      <w:r w:rsidR="00825614" w:rsidRPr="00F66162">
        <w:rPr>
          <w:noProof/>
        </w:rPr>
        <w:t>kar</w:t>
      </w:r>
      <w:r w:rsidRPr="00F66162">
        <w:rPr>
          <w:noProof/>
        </w:rPr>
        <w:t>cie projektu jako potencjalny element do uzupełnienia, ale nie uwzględniono ich</w:t>
      </w:r>
      <w:r w:rsidR="00825614" w:rsidRPr="00F66162">
        <w:rPr>
          <w:noProof/>
        </w:rPr>
        <w:t xml:space="preserve"> w</w:t>
      </w:r>
      <w:r w:rsidR="00825614">
        <w:rPr>
          <w:noProof/>
        </w:rPr>
        <w:t> </w:t>
      </w:r>
      <w:r w:rsidR="00825614" w:rsidRPr="00F66162">
        <w:rPr>
          <w:noProof/>
        </w:rPr>
        <w:t>sza</w:t>
      </w:r>
      <w:r w:rsidRPr="00F66162">
        <w:rPr>
          <w:noProof/>
        </w:rPr>
        <w:t>cunkach karty projektu. Głównym celem komponentu zarządzania ryzykiem jest wspieranie wykrywania nieprawidłowości</w:t>
      </w:r>
      <w:r w:rsidR="00825614" w:rsidRPr="00F66162">
        <w:rPr>
          <w:noProof/>
        </w:rPr>
        <w:t xml:space="preserve"> i</w:t>
      </w:r>
      <w:r w:rsidR="00825614">
        <w:rPr>
          <w:noProof/>
        </w:rPr>
        <w:t> </w:t>
      </w:r>
      <w:r w:rsidR="00825614" w:rsidRPr="00F66162">
        <w:rPr>
          <w:noProof/>
        </w:rPr>
        <w:t>ogr</w:t>
      </w:r>
      <w:r w:rsidRPr="00F66162">
        <w:rPr>
          <w:noProof/>
        </w:rPr>
        <w:t xml:space="preserve">aniczanie ryzyka nadużyć finansowych. </w:t>
      </w:r>
    </w:p>
    <w:p w14:paraId="51CB1331" w14:textId="65817F27" w:rsidR="00FA5543" w:rsidRPr="00F66162" w:rsidRDefault="5A3C8582" w:rsidP="139DF8FE">
      <w:pPr>
        <w:pBdr>
          <w:top w:val="single" w:sz="8" w:space="1" w:color="000000"/>
          <w:left w:val="single" w:sz="8" w:space="4" w:color="000000"/>
          <w:bottom w:val="single" w:sz="8" w:space="1" w:color="000000"/>
          <w:right w:val="single" w:sz="8" w:space="4" w:color="000000"/>
        </w:pBdr>
        <w:spacing w:line="257" w:lineRule="auto"/>
        <w:ind w:left="850"/>
        <w:rPr>
          <w:rFonts w:eastAsia="Times New Roman"/>
          <w:noProof/>
          <w:szCs w:val="24"/>
        </w:rPr>
      </w:pPr>
      <w:r w:rsidRPr="00F66162">
        <w:rPr>
          <w:noProof/>
        </w:rPr>
        <w:t>Choć zmiany polegające na uproszczeniu nie prowadzą do zmiany architektury rozwiązań cyfrowych, wymagają one dodatkowego budżetu na zmianę funkcji</w:t>
      </w:r>
      <w:r w:rsidR="00825614" w:rsidRPr="00F66162">
        <w:rPr>
          <w:noProof/>
        </w:rPr>
        <w:t xml:space="preserve"> i</w:t>
      </w:r>
      <w:r w:rsidR="00825614">
        <w:rPr>
          <w:noProof/>
        </w:rPr>
        <w:t> </w:t>
      </w:r>
      <w:r w:rsidR="00825614" w:rsidRPr="00F66162">
        <w:rPr>
          <w:noProof/>
        </w:rPr>
        <w:t>usł</w:t>
      </w:r>
      <w:r w:rsidRPr="00F66162">
        <w:rPr>
          <w:noProof/>
        </w:rPr>
        <w:t>ug stworzonych już</w:t>
      </w:r>
      <w:r w:rsidR="00825614" w:rsidRPr="00F66162">
        <w:rPr>
          <w:noProof/>
        </w:rPr>
        <w:t xml:space="preserve"> w</w:t>
      </w:r>
      <w:r w:rsidR="00825614">
        <w:rPr>
          <w:noProof/>
        </w:rPr>
        <w:t> </w:t>
      </w:r>
      <w:r w:rsidR="00825614" w:rsidRPr="00F66162">
        <w:rPr>
          <w:noProof/>
        </w:rPr>
        <w:t>ram</w:t>
      </w:r>
      <w:r w:rsidRPr="00F66162">
        <w:rPr>
          <w:noProof/>
        </w:rPr>
        <w:t>ach CBAM.</w:t>
      </w:r>
    </w:p>
    <w:p w14:paraId="76AC2AD8" w14:textId="77777777" w:rsidR="00FA5543" w:rsidRPr="00F66162" w:rsidRDefault="00FA5543" w:rsidP="00390489">
      <w:pPr>
        <w:pStyle w:val="ManualHeading2"/>
        <w:rPr>
          <w:noProof/>
        </w:rPr>
      </w:pPr>
      <w:r w:rsidRPr="00F66162">
        <w:rPr>
          <w:noProof/>
        </w:rPr>
        <w:t>4.1.</w:t>
      </w:r>
      <w:r w:rsidRPr="00F66162">
        <w:rPr>
          <w:noProof/>
        </w:rPr>
        <w:tab/>
        <w:t>Wymogi cyfrowe</w:t>
      </w:r>
    </w:p>
    <w:tbl>
      <w:tblPr>
        <w:tblStyle w:val="Tabela-Siatka"/>
        <w:tblW w:w="9327" w:type="dxa"/>
        <w:tblInd w:w="-5" w:type="dxa"/>
        <w:tblLayout w:type="fixed"/>
        <w:tblLook w:val="06A0" w:firstRow="1" w:lastRow="0" w:firstColumn="1" w:lastColumn="0" w:noHBand="1" w:noVBand="1"/>
      </w:tblPr>
      <w:tblGrid>
        <w:gridCol w:w="9327"/>
      </w:tblGrid>
      <w:tr w:rsidR="00FA5543" w:rsidRPr="00F66162" w14:paraId="308C5838" w14:textId="77777777" w:rsidTr="004246FD">
        <w:trPr>
          <w:trHeight w:val="300"/>
        </w:trPr>
        <w:tc>
          <w:tcPr>
            <w:tcW w:w="9327" w:type="dxa"/>
          </w:tcPr>
          <w:p w14:paraId="45F49DD3" w14:textId="124DD0B1" w:rsidR="00FA5543" w:rsidRPr="00F66162" w:rsidRDefault="000A2E84" w:rsidP="139DF8FE">
            <w:pPr>
              <w:spacing w:before="0"/>
              <w:rPr>
                <w:noProof/>
              </w:rPr>
            </w:pPr>
            <w:r>
              <w:rPr>
                <w:noProof/>
                <w:lang w:val="en-GB" w:eastAsia="en-GB"/>
              </w:rPr>
              <w:drawing>
                <wp:inline distT="0" distB="0" distL="0" distR="0" wp14:anchorId="0B901844" wp14:editId="31FFA04D">
                  <wp:extent cx="5785485" cy="5193030"/>
                  <wp:effectExtent l="0" t="0" r="5715" b="7620"/>
                  <wp:docPr id="50103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34477" name=""/>
                          <pic:cNvPicPr/>
                        </pic:nvPicPr>
                        <pic:blipFill>
                          <a:blip r:embed="rId27"/>
                          <a:stretch>
                            <a:fillRect/>
                          </a:stretch>
                        </pic:blipFill>
                        <pic:spPr>
                          <a:xfrm>
                            <a:off x="0" y="0"/>
                            <a:ext cx="5785485" cy="5193030"/>
                          </a:xfrm>
                          <a:prstGeom prst="rect">
                            <a:avLst/>
                          </a:prstGeom>
                        </pic:spPr>
                      </pic:pic>
                    </a:graphicData>
                  </a:graphic>
                </wp:inline>
              </w:drawing>
            </w:r>
            <w:r w:rsidR="4A43FBFD" w:rsidRPr="00F66162">
              <w:rPr>
                <w:rFonts w:ascii="Calibri" w:hAnsi="Calibri"/>
                <w:noProof/>
              </w:rPr>
              <w:t>Jak pokazano na powyższym wykresie, informacje</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prz</w:t>
            </w:r>
            <w:r w:rsidR="4A43FBFD" w:rsidRPr="00F66162">
              <w:rPr>
                <w:rFonts w:ascii="Calibri" w:hAnsi="Calibri"/>
                <w:noProof/>
              </w:rPr>
              <w:t xml:space="preserve">ywozie towarów objętych CBAM, przekazywane przez państwa członkowskie lub za pośrednictwem DG TAXUD, trafiają do </w:t>
            </w:r>
            <w:r w:rsidR="4A43FBFD" w:rsidRPr="00F66162">
              <w:rPr>
                <w:rFonts w:ascii="Calibri" w:hAnsi="Calibri"/>
                <w:noProof/>
              </w:rPr>
              <w:lastRenderedPageBreak/>
              <w:t>rejestru CBAM</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uni</w:t>
            </w:r>
            <w:r w:rsidR="4A43FBFD" w:rsidRPr="00F66162">
              <w:rPr>
                <w:rFonts w:ascii="Calibri" w:hAnsi="Calibri"/>
                <w:noProof/>
              </w:rPr>
              <w:t>jnych systemów celnych, wraz</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ide</w:t>
            </w:r>
            <w:r w:rsidR="4A43FBFD" w:rsidRPr="00F66162">
              <w:rPr>
                <w:rFonts w:ascii="Calibri" w:hAnsi="Calibri"/>
                <w:noProof/>
              </w:rPr>
              <w:t>ntyfikacją celną importerów</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kla</w:t>
            </w:r>
            <w:r w:rsidR="4A43FBFD" w:rsidRPr="00F66162">
              <w:rPr>
                <w:rFonts w:ascii="Calibri" w:hAnsi="Calibri"/>
                <w:noProof/>
              </w:rPr>
              <w:t>syfikacją celną przywożonych towarów</w:t>
            </w:r>
            <w:r w:rsidR="00825614" w:rsidRPr="00F66162">
              <w:rPr>
                <w:rFonts w:ascii="Calibri" w:hAnsi="Calibri"/>
                <w:noProof/>
              </w:rPr>
              <w:t>. Z</w:t>
            </w:r>
            <w:r w:rsidR="00825614">
              <w:rPr>
                <w:rFonts w:ascii="Calibri" w:hAnsi="Calibri"/>
                <w:noProof/>
              </w:rPr>
              <w:t> </w:t>
            </w:r>
            <w:r w:rsidR="00825614" w:rsidRPr="00F66162">
              <w:rPr>
                <w:rFonts w:ascii="Calibri" w:hAnsi="Calibri"/>
                <w:noProof/>
              </w:rPr>
              <w:t>sys</w:t>
            </w:r>
            <w:r w:rsidR="4A43FBFD" w:rsidRPr="00F66162">
              <w:rPr>
                <w:rFonts w:ascii="Calibri" w:hAnsi="Calibri"/>
                <w:noProof/>
              </w:rPr>
              <w:t>temu CBAM do krajowych celnych systemów importu trafiają natomiast informacje</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upo</w:t>
            </w:r>
            <w:r w:rsidR="4A43FBFD" w:rsidRPr="00F66162">
              <w:rPr>
                <w:rFonts w:ascii="Calibri" w:hAnsi="Calibri"/>
                <w:noProof/>
              </w:rPr>
              <w:t>ważnieniach zgłaszających CBAM, co jest potrzebne do celów egzekwowania przepisów rozporządzenia</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spr</w:t>
            </w:r>
            <w:r w:rsidR="4A43FBFD" w:rsidRPr="00F66162">
              <w:rPr>
                <w:rFonts w:ascii="Calibri" w:hAnsi="Calibri"/>
                <w:noProof/>
              </w:rPr>
              <w:t>awie CBAM przy odprawie przywożonych towarów objętych CBAM. Między systemem informatycznym CBAM</w:t>
            </w:r>
            <w:r w:rsidR="00825614" w:rsidRPr="00F66162">
              <w:rPr>
                <w:rFonts w:ascii="Calibri" w:hAnsi="Calibri"/>
                <w:noProof/>
              </w:rPr>
              <w:t xml:space="preserve"> a</w:t>
            </w:r>
            <w:r w:rsidR="00825614">
              <w:rPr>
                <w:rFonts w:ascii="Calibri" w:hAnsi="Calibri"/>
                <w:noProof/>
              </w:rPr>
              <w:t> </w:t>
            </w:r>
            <w:r w:rsidR="00825614" w:rsidRPr="00F66162">
              <w:rPr>
                <w:rFonts w:ascii="Calibri" w:hAnsi="Calibri"/>
                <w:noProof/>
              </w:rPr>
              <w:t>uni</w:t>
            </w:r>
            <w:r w:rsidR="4A43FBFD" w:rsidRPr="00F66162">
              <w:rPr>
                <w:rFonts w:ascii="Calibri" w:hAnsi="Calibri"/>
                <w:noProof/>
              </w:rPr>
              <w:t>jnymi systemami celnymi wymienia się także informacje</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zar</w:t>
            </w:r>
            <w:r w:rsidR="4A43FBFD" w:rsidRPr="00F66162">
              <w:rPr>
                <w:rFonts w:ascii="Calibri" w:hAnsi="Calibri"/>
                <w:noProof/>
              </w:rPr>
              <w:t>ządzaniu ryzykiem. Połączenie systemu CBAM</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uni</w:t>
            </w:r>
            <w:r w:rsidR="4A43FBFD" w:rsidRPr="00F66162">
              <w:rPr>
                <w:rFonts w:ascii="Calibri" w:hAnsi="Calibri"/>
                <w:noProof/>
              </w:rPr>
              <w:t>jnymi systemami celnymi jest istotne do osiągnięcia celu CBAM polegającego na unikaniu podwójnego pozyskiwania informacji, realizowanego poprzez zwracanie się do zgłaszających CBAM, aby do informacji</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prz</w:t>
            </w:r>
            <w:r w:rsidR="4A43FBFD" w:rsidRPr="00F66162">
              <w:rPr>
                <w:rFonts w:ascii="Calibri" w:hAnsi="Calibri"/>
                <w:noProof/>
              </w:rPr>
              <w:t>ywozie dołączali raport na temat wielkości emisji powstałych podczas produkcji ich towarów</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pań</w:t>
            </w:r>
            <w:r w:rsidR="4A43FBFD" w:rsidRPr="00F66162">
              <w:rPr>
                <w:rFonts w:ascii="Calibri" w:hAnsi="Calibri"/>
                <w:noProof/>
              </w:rPr>
              <w:t>stwach trzecich. Podstawową zasadą CBAM jest „jednorazowe przekazywanie danych”.</w:t>
            </w:r>
          </w:p>
          <w:p w14:paraId="54577D25" w14:textId="4F77F2ED" w:rsidR="00FA5543" w:rsidRPr="00F66162" w:rsidRDefault="4A43FBFD" w:rsidP="139DF8FE">
            <w:pPr>
              <w:spacing w:before="0"/>
              <w:rPr>
                <w:noProof/>
              </w:rPr>
            </w:pPr>
            <w:r w:rsidRPr="00F66162">
              <w:rPr>
                <w:rFonts w:ascii="Calibri" w:hAnsi="Calibri"/>
                <w:noProof/>
              </w:rPr>
              <w:t>CBAM będzie również współdziałał</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b/>
                <w:noProof/>
              </w:rPr>
              <w:t>now</w:t>
            </w:r>
            <w:r w:rsidRPr="00F66162">
              <w:rPr>
                <w:rFonts w:ascii="Calibri" w:hAnsi="Calibri"/>
                <w:b/>
                <w:noProof/>
              </w:rPr>
              <w:t>ym</w:t>
            </w:r>
            <w:r w:rsidRPr="00F66162">
              <w:rPr>
                <w:rFonts w:ascii="Calibri" w:hAnsi="Calibri"/>
                <w:noProof/>
              </w:rPr>
              <w:t xml:space="preserve"> mechanizmem CBAM (systemami informatycznymi lub innymi środkami) właściwych organów krajowych, aby wspierać wdrażanie krajowych procesów egzekwowania CBAM we wszystkich państwach członkowskich oraz krajowych procesów gromadzenia informacji</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kar</w:t>
            </w:r>
            <w:r w:rsidRPr="00F66162">
              <w:rPr>
                <w:rFonts w:ascii="Calibri" w:hAnsi="Calibri"/>
                <w:noProof/>
              </w:rPr>
              <w:t>ach</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odz</w:t>
            </w:r>
            <w:r w:rsidRPr="00F66162">
              <w:rPr>
                <w:rFonts w:ascii="Calibri" w:hAnsi="Calibri"/>
                <w:noProof/>
              </w:rPr>
              <w:t>yskiwaniu należności.</w:t>
            </w:r>
          </w:p>
          <w:p w14:paraId="3B68D7F2" w14:textId="446AB7F7" w:rsidR="00FA5543" w:rsidRPr="00F66162" w:rsidRDefault="4A43FBFD" w:rsidP="139DF8FE">
            <w:pPr>
              <w:spacing w:before="0"/>
              <w:rPr>
                <w:noProof/>
              </w:rPr>
            </w:pPr>
            <w:r w:rsidRPr="00F66162">
              <w:rPr>
                <w:rFonts w:ascii="Calibri" w:hAnsi="Calibri"/>
                <w:noProof/>
              </w:rPr>
              <w:t xml:space="preserve">Innym kluczowym </w:t>
            </w:r>
            <w:r w:rsidRPr="00F66162">
              <w:rPr>
                <w:rFonts w:ascii="Calibri" w:hAnsi="Calibri"/>
                <w:b/>
                <w:noProof/>
              </w:rPr>
              <w:t>nowym</w:t>
            </w:r>
            <w:r w:rsidRPr="00F66162">
              <w:rPr>
                <w:rFonts w:ascii="Calibri" w:hAnsi="Calibri"/>
                <w:noProof/>
              </w:rPr>
              <w:t xml:space="preserve"> zewnętrznym systemem CBAM jest wspólna centralna platforma (CCP), czyli system informatyczny,</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któ</w:t>
            </w:r>
            <w:r w:rsidRPr="00F66162">
              <w:rPr>
                <w:rFonts w:ascii="Calibri" w:hAnsi="Calibri"/>
                <w:noProof/>
              </w:rPr>
              <w:t>rym zgłaszający CBAM będą kupować od państw członkowskich certyfikaty CBAM. Ich cena będzie ustalana na podstawie ceny uprawnień określonej</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sys</w:t>
            </w:r>
            <w:r w:rsidRPr="00F66162">
              <w:rPr>
                <w:rFonts w:ascii="Calibri" w:hAnsi="Calibri"/>
                <w:noProof/>
              </w:rPr>
              <w:t>temie ETS</w:t>
            </w:r>
            <w:r w:rsidR="00825614" w:rsidRPr="00F66162">
              <w:rPr>
                <w:rFonts w:ascii="Calibri" w:hAnsi="Calibri"/>
                <w:noProof/>
              </w:rPr>
              <w:t>. W</w:t>
            </w:r>
            <w:r w:rsidR="00825614">
              <w:rPr>
                <w:rFonts w:ascii="Calibri" w:hAnsi="Calibri"/>
                <w:noProof/>
              </w:rPr>
              <w:t> </w:t>
            </w:r>
            <w:r w:rsidR="00825614" w:rsidRPr="00F66162">
              <w:rPr>
                <w:rFonts w:ascii="Calibri" w:hAnsi="Calibri"/>
                <w:noProof/>
              </w:rPr>
              <w:t>uję</w:t>
            </w:r>
            <w:r w:rsidRPr="00F66162">
              <w:rPr>
                <w:rFonts w:ascii="Calibri" w:hAnsi="Calibri"/>
                <w:noProof/>
              </w:rPr>
              <w:t>ciu kwartalnym zgłaszający CBAM będą musieli utrzymywać liczbę swoich certyfikatów na rachunku CBAM na poziomie 8</w:t>
            </w:r>
            <w:r w:rsidRPr="00825614">
              <w:rPr>
                <w:rFonts w:ascii="Calibri" w:hAnsi="Calibri"/>
                <w:noProof/>
              </w:rPr>
              <w:t>0</w:t>
            </w:r>
            <w:r w:rsidR="00825614" w:rsidRPr="00825614">
              <w:rPr>
                <w:rFonts w:ascii="Calibri" w:hAnsi="Calibri"/>
                <w:noProof/>
              </w:rPr>
              <w:t> </w:t>
            </w:r>
            <w:r w:rsidRPr="00825614">
              <w:rPr>
                <w:rFonts w:ascii="Calibri" w:hAnsi="Calibri"/>
                <w:noProof/>
              </w:rPr>
              <w:t>%</w:t>
            </w:r>
            <w:r w:rsidRPr="00F66162">
              <w:rPr>
                <w:rFonts w:ascii="Calibri" w:hAnsi="Calibri"/>
                <w:noProof/>
              </w:rPr>
              <w:t xml:space="preserve"> emisji wbudowanych, aby mogli oni umorzyć wymaganą liczbę certyfikatów</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cel</w:t>
            </w:r>
            <w:r w:rsidRPr="00F66162">
              <w:rPr>
                <w:rFonts w:ascii="Calibri" w:hAnsi="Calibri"/>
                <w:noProof/>
              </w:rPr>
              <w:t>u zrównoważenia zadeklarowanych emisji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opł</w:t>
            </w:r>
            <w:r w:rsidRPr="00F66162">
              <w:rPr>
                <w:rFonts w:ascii="Calibri" w:hAnsi="Calibri"/>
                <w:noProof/>
              </w:rPr>
              <w:t>at emisyjnych już uiszczonych</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pań</w:t>
            </w:r>
            <w:r w:rsidRPr="00F66162">
              <w:rPr>
                <w:rFonts w:ascii="Calibri" w:hAnsi="Calibri"/>
                <w:noProof/>
              </w:rPr>
              <w:t>stwach trzecich. Komisja,</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imi</w:t>
            </w:r>
            <w:r w:rsidRPr="00F66162">
              <w:rPr>
                <w:rFonts w:ascii="Calibri" w:hAnsi="Calibri"/>
                <w:noProof/>
              </w:rPr>
              <w:t>eniu państw członkowskich, odkupi od zgłaszających CBAM nadwyżki certyfikatów. Komisja</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pań</w:t>
            </w:r>
            <w:r w:rsidRPr="00F66162">
              <w:rPr>
                <w:rFonts w:ascii="Calibri" w:hAnsi="Calibri"/>
                <w:noProof/>
              </w:rPr>
              <w:t>stwa członkowskie muszą wspólnie ustanowić CCP</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zar</w:t>
            </w:r>
            <w:r w:rsidRPr="00F66162">
              <w:rPr>
                <w:rFonts w:ascii="Calibri" w:hAnsi="Calibri"/>
                <w:noProof/>
              </w:rPr>
              <w:t>ządzać tą platformą, choć nie wchodzi ona</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zak</w:t>
            </w:r>
            <w:r w:rsidRPr="00F66162">
              <w:rPr>
                <w:rFonts w:ascii="Calibri" w:hAnsi="Calibri"/>
                <w:noProof/>
              </w:rPr>
              <w:t>res rejestru CBAM. Połączenie tego rejestru z CCP ma zasadnicze znaczenie, aby zgłaszający CBAM mogli wykazywać niezbędne certyfikaty na swoich rachunkach CBAM. Rachunki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cer</w:t>
            </w:r>
            <w:r w:rsidRPr="00F66162">
              <w:rPr>
                <w:rFonts w:ascii="Calibri" w:hAnsi="Calibri"/>
                <w:noProof/>
              </w:rPr>
              <w:t>tyfikaty będą informacjami szczególnie chronionymi.</w:t>
            </w:r>
          </w:p>
          <w:p w14:paraId="40314125" w14:textId="77777777" w:rsidR="00FA5543" w:rsidRPr="00F66162" w:rsidRDefault="4A43FBFD" w:rsidP="139DF8FE">
            <w:pPr>
              <w:spacing w:before="0"/>
              <w:rPr>
                <w:noProof/>
              </w:rPr>
            </w:pPr>
            <w:r w:rsidRPr="00F66162">
              <w:rPr>
                <w:rFonts w:ascii="Calibri" w:hAnsi="Calibri"/>
                <w:noProof/>
              </w:rPr>
              <w:t>W systemie ETS ustalać się będzie wyłącznie cenę sprzedaży certyfikatów.</w:t>
            </w:r>
          </w:p>
          <w:p w14:paraId="3C9D074D" w14:textId="3EB16851" w:rsidR="00FA5543" w:rsidRPr="00F66162" w:rsidRDefault="4A43FBFD" w:rsidP="139DF8FE">
            <w:pPr>
              <w:spacing w:before="0"/>
              <w:rPr>
                <w:noProof/>
              </w:rPr>
            </w:pPr>
            <w:r w:rsidRPr="00F66162">
              <w:rPr>
                <w:rFonts w:ascii="Calibri" w:hAnsi="Calibri"/>
                <w:noProof/>
              </w:rPr>
              <w:t>Głównymi użytkownikami rejestru CBAM są zgłaszający CBAM. DG TAXUD przewiduje, że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2</w:t>
            </w:r>
            <w:r w:rsidRPr="00F66162">
              <w:rPr>
                <w:rFonts w:ascii="Calibri" w:hAnsi="Calibri"/>
                <w:noProof/>
              </w:rPr>
              <w:t>0</w:t>
            </w:r>
            <w:r w:rsidRPr="00825614">
              <w:rPr>
                <w:rFonts w:ascii="Calibri" w:hAnsi="Calibri"/>
                <w:noProof/>
              </w:rPr>
              <w:t>26</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ich liczba może wynieść 200 000 (po przyjęciu uproszczenia będzie ich mniej, ale ich liczba wzrośnie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wyn</w:t>
            </w:r>
            <w:r w:rsidRPr="00F66162">
              <w:rPr>
                <w:rFonts w:ascii="Calibri" w:hAnsi="Calibri"/>
                <w:noProof/>
              </w:rPr>
              <w:t>iku rozszerzenia CBAM na towary niższego szczebla). Zgłaszający CBAM będą korzystać</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rej</w:t>
            </w:r>
            <w:r w:rsidRPr="00F66162">
              <w:rPr>
                <w:rFonts w:ascii="Calibri" w:hAnsi="Calibri"/>
                <w:noProof/>
              </w:rPr>
              <w:t>estru CBAM, aby co roku (w maju) deklarować emisje powstałe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wyn</w:t>
            </w:r>
            <w:r w:rsidRPr="00F66162">
              <w:rPr>
                <w:rFonts w:ascii="Calibri" w:hAnsi="Calibri"/>
                <w:noProof/>
              </w:rPr>
              <w:t>iku produkcji przywożonych towarów, monitorować saldo kwartalne rachunków CBAM pod względem stosunku liczby certyfikatów do zgłoszonego przywozu oraz współpracować</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kra</w:t>
            </w:r>
            <w:r w:rsidRPr="00F66162">
              <w:rPr>
                <w:rFonts w:ascii="Calibri" w:hAnsi="Calibri"/>
                <w:noProof/>
              </w:rPr>
              <w:t>jowymi organami celnymi podczas przeglądu swoich deklaracji CBAM. Właściwe organy krajowe najpierw zweryfikują zgłaszających CBAM</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rej</w:t>
            </w:r>
            <w:r w:rsidRPr="00F66162">
              <w:rPr>
                <w:rFonts w:ascii="Calibri" w:hAnsi="Calibri"/>
                <w:noProof/>
              </w:rPr>
              <w:t>estrze CBAM,</w:t>
            </w:r>
            <w:r w:rsidR="00825614" w:rsidRPr="00F66162">
              <w:rPr>
                <w:rFonts w:ascii="Calibri" w:hAnsi="Calibri"/>
                <w:noProof/>
              </w:rPr>
              <w:t xml:space="preserve"> a</w:t>
            </w:r>
            <w:r w:rsidR="00825614">
              <w:rPr>
                <w:rFonts w:ascii="Calibri" w:hAnsi="Calibri"/>
                <w:noProof/>
              </w:rPr>
              <w:t> </w:t>
            </w:r>
            <w:r w:rsidR="00825614" w:rsidRPr="00F66162">
              <w:rPr>
                <w:rFonts w:ascii="Calibri" w:hAnsi="Calibri"/>
                <w:noProof/>
              </w:rPr>
              <w:t>nas</w:t>
            </w:r>
            <w:r w:rsidRPr="00F66162">
              <w:rPr>
                <w:rFonts w:ascii="Calibri" w:hAnsi="Calibri"/>
                <w:noProof/>
              </w:rPr>
              <w:t>tępnie upoważnią ich do przywozu towarów objętych CBAM</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prz</w:t>
            </w:r>
            <w:r w:rsidRPr="00F66162">
              <w:rPr>
                <w:rFonts w:ascii="Calibri" w:hAnsi="Calibri"/>
                <w:noProof/>
              </w:rPr>
              <w:t>yznają im konto CBAM. Od tego czasu zgłaszający CBAM będą mogli co roku deklarować emisje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rej</w:t>
            </w:r>
            <w:r w:rsidRPr="00F66162">
              <w:rPr>
                <w:rFonts w:ascii="Calibri" w:hAnsi="Calibri"/>
                <w:noProof/>
              </w:rPr>
              <w:t>estrze CBAM</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prz</w:t>
            </w:r>
            <w:r w:rsidRPr="00F66162">
              <w:rPr>
                <w:rFonts w:ascii="Calibri" w:hAnsi="Calibri"/>
                <w:noProof/>
              </w:rPr>
              <w:t>ekazywać do umorzenia wymagane certyfikaty.</w:t>
            </w:r>
          </w:p>
          <w:p w14:paraId="6F2DED29" w14:textId="662459FE" w:rsidR="00FA5543" w:rsidRPr="00F66162" w:rsidRDefault="4A43FBFD" w:rsidP="139DF8FE">
            <w:pPr>
              <w:spacing w:before="0"/>
              <w:rPr>
                <w:noProof/>
              </w:rPr>
            </w:pPr>
            <w:r w:rsidRPr="00F66162">
              <w:rPr>
                <w:rFonts w:ascii="Calibri" w:hAnsi="Calibri"/>
                <w:noProof/>
              </w:rPr>
              <w:t>Operatorzy instalacji produkujących</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pań</w:t>
            </w:r>
            <w:r w:rsidRPr="00F66162">
              <w:rPr>
                <w:rFonts w:ascii="Calibri" w:hAnsi="Calibri"/>
                <w:noProof/>
              </w:rPr>
              <w:t>stwach trzecich towary objęte CBAM zarejestrują się</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rej</w:t>
            </w:r>
            <w:r w:rsidRPr="00F66162">
              <w:rPr>
                <w:rFonts w:ascii="Calibri" w:hAnsi="Calibri"/>
                <w:noProof/>
              </w:rPr>
              <w:t>estrze CBAM,</w:t>
            </w:r>
            <w:r w:rsidR="00825614" w:rsidRPr="00F66162">
              <w:rPr>
                <w:rFonts w:ascii="Calibri" w:hAnsi="Calibri"/>
                <w:noProof/>
              </w:rPr>
              <w:t xml:space="preserve"> a</w:t>
            </w:r>
            <w:r w:rsidR="00825614">
              <w:rPr>
                <w:rFonts w:ascii="Calibri" w:hAnsi="Calibri"/>
                <w:noProof/>
              </w:rPr>
              <w:t> </w:t>
            </w:r>
            <w:r w:rsidR="00825614" w:rsidRPr="00F66162">
              <w:rPr>
                <w:rFonts w:ascii="Calibri" w:hAnsi="Calibri"/>
                <w:noProof/>
              </w:rPr>
              <w:t>nas</w:t>
            </w:r>
            <w:r w:rsidRPr="00F66162">
              <w:rPr>
                <w:rFonts w:ascii="Calibri" w:hAnsi="Calibri"/>
                <w:noProof/>
              </w:rPr>
              <w:t>tępnie wprowadzą do niego szczegółowe informacje</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emi</w:t>
            </w:r>
            <w:r w:rsidRPr="00F66162">
              <w:rPr>
                <w:rFonts w:ascii="Calibri" w:hAnsi="Calibri"/>
                <w:noProof/>
              </w:rPr>
              <w:t>sjach związanych</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tym</w:t>
            </w:r>
            <w:r w:rsidRPr="00F66162">
              <w:rPr>
                <w:rFonts w:ascii="Calibri" w:hAnsi="Calibri"/>
                <w:noProof/>
              </w:rPr>
              <w:t>i towarami. Zgłaszający CBAM będą mogli uzasadniać zgłaszane emisje poprzez odniesienie do wpisów operatorów. Jest to istotny środek zmniejszający obciążenie regulacyjne podmiotów zgłaszających CBAM</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pop</w:t>
            </w:r>
            <w:r w:rsidRPr="00F66162">
              <w:rPr>
                <w:rFonts w:ascii="Calibri" w:hAnsi="Calibri"/>
                <w:noProof/>
              </w:rPr>
              <w:t xml:space="preserve">rawiający jakość danych CBAM. Chociaż na </w:t>
            </w:r>
            <w:r w:rsidRPr="00F66162">
              <w:rPr>
                <w:rFonts w:ascii="Calibri" w:hAnsi="Calibri"/>
                <w:noProof/>
              </w:rPr>
              <w:lastRenderedPageBreak/>
              <w:t>tym etapie nie ma dowodów na poparcie tych szacunków, DG TAXUD spodziewa się, że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2</w:t>
            </w:r>
            <w:r w:rsidRPr="00F66162">
              <w:rPr>
                <w:rFonts w:ascii="Calibri" w:hAnsi="Calibri"/>
                <w:noProof/>
              </w:rPr>
              <w:t>0</w:t>
            </w:r>
            <w:r w:rsidRPr="00825614">
              <w:rPr>
                <w:rFonts w:ascii="Calibri" w:hAnsi="Calibri"/>
                <w:noProof/>
              </w:rPr>
              <w:t>26</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liczba operatorów wyniesie 50 000.</w:t>
            </w:r>
          </w:p>
          <w:p w14:paraId="4FF03614" w14:textId="08D20922" w:rsidR="00FA5543" w:rsidRPr="00F66162" w:rsidRDefault="4A43FBFD" w:rsidP="139DF8FE">
            <w:pPr>
              <w:spacing w:before="0"/>
              <w:rPr>
                <w:noProof/>
              </w:rPr>
            </w:pPr>
            <w:r w:rsidRPr="00F66162">
              <w:rPr>
                <w:rFonts w:ascii="Calibri" w:hAnsi="Calibri"/>
                <w:noProof/>
              </w:rPr>
              <w:t>Właściwe organy krajowe CBAM będą korzystać</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rej</w:t>
            </w:r>
            <w:r w:rsidRPr="00F66162">
              <w:rPr>
                <w:rFonts w:ascii="Calibri" w:hAnsi="Calibri"/>
                <w:noProof/>
              </w:rPr>
              <w:t>estru CBAM</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cel</w:t>
            </w:r>
            <w:r w:rsidRPr="00F66162">
              <w:rPr>
                <w:rFonts w:ascii="Calibri" w:hAnsi="Calibri"/>
                <w:noProof/>
              </w:rPr>
              <w:t>u udzielania dostępu podmiotom zgłaszającym CBAM, zarządzania upoważnieniami CBAM, monitorowania rachunków</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dek</w:t>
            </w:r>
            <w:r w:rsidRPr="00F66162">
              <w:rPr>
                <w:rFonts w:ascii="Calibri" w:hAnsi="Calibri"/>
                <w:noProof/>
              </w:rPr>
              <w:t>laracji CBAM oraz interakcji</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pod</w:t>
            </w:r>
            <w:r w:rsidRPr="00F66162">
              <w:rPr>
                <w:rFonts w:ascii="Calibri" w:hAnsi="Calibri"/>
                <w:noProof/>
              </w:rPr>
              <w:t>miotami zgłaszającymi CBAM, aby zapewnić przestrzeganie przez nie przepisów rozporządzenia</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spr</w:t>
            </w:r>
            <w:r w:rsidRPr="00F66162">
              <w:rPr>
                <w:rFonts w:ascii="Calibri" w:hAnsi="Calibri"/>
                <w:noProof/>
              </w:rPr>
              <w:t>awie CBAM. Właściwe organy krajowe są pojedynczym punktem kontaktowym dla zgłaszających CBAM.</w:t>
            </w:r>
          </w:p>
          <w:p w14:paraId="4D578497" w14:textId="53D49CDE" w:rsidR="00FA5543" w:rsidRPr="00F66162" w:rsidRDefault="4A43FBFD" w:rsidP="139DF8FE">
            <w:pPr>
              <w:spacing w:before="0"/>
              <w:rPr>
                <w:noProof/>
              </w:rPr>
            </w:pPr>
            <w:r w:rsidRPr="00F66162">
              <w:rPr>
                <w:rFonts w:ascii="Calibri" w:hAnsi="Calibri"/>
                <w:noProof/>
              </w:rPr>
              <w:t>Inne organy uzyskają dostęp do rejestru CBAM, aby uczestniczyć</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zar</w:t>
            </w:r>
            <w:r w:rsidRPr="00F66162">
              <w:rPr>
                <w:rFonts w:ascii="Calibri" w:hAnsi="Calibri"/>
                <w:noProof/>
              </w:rPr>
              <w:t>ządzaniu ryzykiem</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egz</w:t>
            </w:r>
            <w:r w:rsidRPr="00F66162">
              <w:rPr>
                <w:rFonts w:ascii="Calibri" w:hAnsi="Calibri"/>
                <w:noProof/>
              </w:rPr>
              <w:t>ekwowaniu przepisów</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ram</w:t>
            </w:r>
            <w:r w:rsidRPr="00F66162">
              <w:rPr>
                <w:rFonts w:ascii="Calibri" w:hAnsi="Calibri"/>
                <w:noProof/>
              </w:rPr>
              <w:t>ach ich odpowiednich obszarów odpowiedzialności. Rejestr CBAM posłuży do koordynacji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wsp</w:t>
            </w:r>
            <w:r w:rsidRPr="00F66162">
              <w:rPr>
                <w:rFonts w:ascii="Calibri" w:hAnsi="Calibri"/>
                <w:noProof/>
              </w:rPr>
              <w:t>arcia współpracy międzyagencyjnej</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zak</w:t>
            </w:r>
            <w:r w:rsidRPr="00F66162">
              <w:rPr>
                <w:rFonts w:ascii="Calibri" w:hAnsi="Calibri"/>
                <w:noProof/>
              </w:rPr>
              <w:t>resie zapewniania przestrzegania przepisów. Krajowe administracje celne będą zatwierdzać upoważnienia CBAM podczas kontroli zgłoszeń przywozowych,</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wyk</w:t>
            </w:r>
            <w:r w:rsidRPr="00F66162">
              <w:rPr>
                <w:rFonts w:ascii="Calibri" w:hAnsi="Calibri"/>
                <w:noProof/>
              </w:rPr>
              <w:t>orzystaniem usług replikacji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wal</w:t>
            </w:r>
            <w:r w:rsidRPr="00F66162">
              <w:rPr>
                <w:rFonts w:ascii="Calibri" w:hAnsi="Calibri"/>
                <w:noProof/>
              </w:rPr>
              <w:t>idacji rejestru CBAM za pośrednictwem EU CSW-CERTEX.</w:t>
            </w:r>
          </w:p>
          <w:p w14:paraId="31868134" w14:textId="7B7C476C" w:rsidR="00FA5543" w:rsidRPr="00F66162" w:rsidRDefault="4A43FBFD" w:rsidP="139DF8FE">
            <w:pPr>
              <w:spacing w:before="0"/>
              <w:rPr>
                <w:noProof/>
              </w:rPr>
            </w:pPr>
            <w:r w:rsidRPr="00F66162">
              <w:rPr>
                <w:rFonts w:ascii="Calibri" w:hAnsi="Calibri"/>
                <w:noProof/>
              </w:rPr>
              <w:t>Komisja będzie przydzielać zgłaszającym CBAM rachunki CBAM</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rej</w:t>
            </w:r>
            <w:r w:rsidRPr="00F66162">
              <w:rPr>
                <w:rFonts w:ascii="Calibri" w:hAnsi="Calibri"/>
                <w:noProof/>
              </w:rPr>
              <w:t>estrze CBAM</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zap</w:t>
            </w:r>
            <w:r w:rsidRPr="00F66162">
              <w:rPr>
                <w:rFonts w:ascii="Calibri" w:hAnsi="Calibri"/>
                <w:noProof/>
              </w:rPr>
              <w:t>ewniać ich aktualność, łącząc informacje przywozowe otrzymane od krajowych administracji celnych, emisje wskazane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dek</w:t>
            </w:r>
            <w:r w:rsidRPr="00F66162">
              <w:rPr>
                <w:rFonts w:ascii="Calibri" w:hAnsi="Calibri"/>
                <w:noProof/>
              </w:rPr>
              <w:t>laracjach rocznych, liczbę certyfikatów, ich zakup zgłoszony na platformie CCP, ich coroczne umarzanie potwierdzone przez zgłaszającego CBAM oraz odkup niewykorzystanych certyfikatów. Komisja będzie korzystać</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rej</w:t>
            </w:r>
            <w:r w:rsidRPr="00F66162">
              <w:rPr>
                <w:rFonts w:ascii="Calibri" w:hAnsi="Calibri"/>
                <w:noProof/>
              </w:rPr>
              <w:t>estru CBAM, aby monitorować przywożone towary</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zwi</w:t>
            </w:r>
            <w:r w:rsidRPr="00F66162">
              <w:rPr>
                <w:rFonts w:ascii="Calibri" w:hAnsi="Calibri"/>
                <w:noProof/>
              </w:rPr>
              <w:t>ązane</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nim</w:t>
            </w:r>
            <w:r w:rsidRPr="00F66162">
              <w:rPr>
                <w:rFonts w:ascii="Calibri" w:hAnsi="Calibri"/>
                <w:noProof/>
              </w:rPr>
              <w:t>i emisje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cel</w:t>
            </w:r>
            <w:r w:rsidRPr="00F66162">
              <w:rPr>
                <w:rFonts w:ascii="Calibri" w:hAnsi="Calibri"/>
                <w:noProof/>
              </w:rPr>
              <w:t>u zarządzania ryzykiem,</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szc</w:t>
            </w:r>
            <w:r w:rsidRPr="00F66162">
              <w:rPr>
                <w:rFonts w:ascii="Calibri" w:hAnsi="Calibri"/>
                <w:noProof/>
              </w:rPr>
              <w:t>zególności – ryzykiem obchodzenia przepisów. Rejestr CBAM będzie również stanowić bezpieczne forum wymiany informacji szczególnie chronionych między wszystkimi organami odpowiedzialnymi za egzekwowanie przepisów rozporządzenia</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spr</w:t>
            </w:r>
            <w:r w:rsidRPr="00F66162">
              <w:rPr>
                <w:rFonts w:ascii="Calibri" w:hAnsi="Calibri"/>
                <w:noProof/>
              </w:rPr>
              <w:t>awie CBAM.</w:t>
            </w:r>
          </w:p>
          <w:p w14:paraId="10177465" w14:textId="75FE603F" w:rsidR="00FA5543" w:rsidRPr="00F66162" w:rsidRDefault="4A43FBFD" w:rsidP="139DF8FE">
            <w:pPr>
              <w:spacing w:before="0"/>
              <w:rPr>
                <w:noProof/>
              </w:rPr>
            </w:pPr>
            <w:r w:rsidRPr="00F66162">
              <w:rPr>
                <w:rFonts w:ascii="Calibri" w:hAnsi="Calibri"/>
                <w:noProof/>
              </w:rPr>
              <w:t>Dostęp poszczególnych podmiotów do rejestru CBAM za pośrednictwem specjalnych portali</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ram</w:t>
            </w:r>
            <w:r w:rsidRPr="00F66162">
              <w:rPr>
                <w:rFonts w:ascii="Calibri" w:hAnsi="Calibri"/>
                <w:noProof/>
              </w:rPr>
              <w:t>ach rozproszonego zarządzania dostępem przez odpowiednie podmioty:</w:t>
            </w:r>
          </w:p>
          <w:p w14:paraId="6ED90B9F" w14:textId="5542CE7B" w:rsidR="00FA5543" w:rsidRPr="00F66162" w:rsidRDefault="4A43FBFD" w:rsidP="139DF8FE">
            <w:pPr>
              <w:pStyle w:val="Akapitzlist"/>
              <w:numPr>
                <w:ilvl w:val="0"/>
                <w:numId w:val="6"/>
              </w:numPr>
              <w:spacing w:before="0" w:after="0"/>
              <w:ind w:left="360"/>
              <w:rPr>
                <w:rFonts w:ascii="Calibri" w:eastAsia="Calibri" w:hAnsi="Calibri" w:cs="Calibri"/>
                <w:noProof/>
                <w:szCs w:val="24"/>
              </w:rPr>
            </w:pPr>
            <w:r w:rsidRPr="00F66162">
              <w:rPr>
                <w:rFonts w:ascii="Calibri" w:hAnsi="Calibri"/>
                <w:noProof/>
              </w:rPr>
              <w:t>właściwy organ krajowy zarządza dostępem zgłaszających CBAM do portalu CBAM dla zgłaszającego, uzyskiwanym</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opa</w:t>
            </w:r>
            <w:r w:rsidRPr="00F66162">
              <w:rPr>
                <w:rFonts w:ascii="Calibri" w:hAnsi="Calibri"/>
                <w:noProof/>
              </w:rPr>
              <w:t>rciu</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kra</w:t>
            </w:r>
            <w:r w:rsidRPr="00F66162">
              <w:rPr>
                <w:rFonts w:ascii="Calibri" w:hAnsi="Calibri"/>
                <w:noProof/>
              </w:rPr>
              <w:t>jowe dane uwierzytelniające przyznane już wcześniej przez krajową administrację celną lub</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opa</w:t>
            </w:r>
            <w:r w:rsidRPr="00F66162">
              <w:rPr>
                <w:rFonts w:ascii="Calibri" w:hAnsi="Calibri"/>
                <w:noProof/>
              </w:rPr>
              <w:t>rciu</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kon</w:t>
            </w:r>
            <w:r w:rsidRPr="00F66162">
              <w:rPr>
                <w:rFonts w:ascii="Calibri" w:hAnsi="Calibri"/>
                <w:noProof/>
              </w:rPr>
              <w:t>to EU Login;</w:t>
            </w:r>
          </w:p>
          <w:p w14:paraId="179FD72A" w14:textId="7E7092E0" w:rsidR="00FA5543" w:rsidRPr="00F66162" w:rsidRDefault="4A43FBFD" w:rsidP="139DF8FE">
            <w:pPr>
              <w:pStyle w:val="Akapitzlist"/>
              <w:numPr>
                <w:ilvl w:val="0"/>
                <w:numId w:val="6"/>
              </w:numPr>
              <w:spacing w:before="0" w:after="0"/>
              <w:ind w:left="360"/>
              <w:rPr>
                <w:rFonts w:ascii="Calibri" w:eastAsia="Calibri" w:hAnsi="Calibri" w:cs="Calibri"/>
                <w:noProof/>
                <w:szCs w:val="24"/>
              </w:rPr>
            </w:pPr>
            <w:r w:rsidRPr="00F66162">
              <w:rPr>
                <w:rFonts w:ascii="Calibri" w:hAnsi="Calibri"/>
                <w:noProof/>
              </w:rPr>
              <w:t>Komisja zarządza dostępem do portalu operatorów instalacji</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pań</w:t>
            </w:r>
            <w:r w:rsidRPr="00F66162">
              <w:rPr>
                <w:rFonts w:ascii="Calibri" w:hAnsi="Calibri"/>
                <w:noProof/>
              </w:rPr>
              <w:t>stw trzecich, uzyskiwanym</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opa</w:t>
            </w:r>
            <w:r w:rsidRPr="00F66162">
              <w:rPr>
                <w:rFonts w:ascii="Calibri" w:hAnsi="Calibri"/>
                <w:noProof/>
              </w:rPr>
              <w:t>rciu</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dan</w:t>
            </w:r>
            <w:r w:rsidRPr="00F66162">
              <w:rPr>
                <w:rFonts w:ascii="Calibri" w:hAnsi="Calibri"/>
                <w:noProof/>
              </w:rPr>
              <w:t>e uwierzytelniające EU Login</w:t>
            </w:r>
            <w:r w:rsidR="00825614" w:rsidRPr="00F66162">
              <w:rPr>
                <w:rFonts w:ascii="Calibri" w:hAnsi="Calibri"/>
                <w:noProof/>
              </w:rPr>
              <w:t>. W</w:t>
            </w:r>
            <w:r w:rsidR="00825614">
              <w:rPr>
                <w:rFonts w:ascii="Calibri" w:hAnsi="Calibri"/>
                <w:noProof/>
              </w:rPr>
              <w:t> </w:t>
            </w:r>
            <w:r w:rsidR="00825614" w:rsidRPr="00F66162">
              <w:rPr>
                <w:rFonts w:ascii="Calibri" w:hAnsi="Calibri"/>
                <w:noProof/>
              </w:rPr>
              <w:t>póź</w:t>
            </w:r>
            <w:r w:rsidRPr="00F66162">
              <w:rPr>
                <w:rFonts w:ascii="Calibri" w:hAnsi="Calibri"/>
                <w:noProof/>
              </w:rPr>
              <w:t>niejszym terminie zostanie określone, czy Komisja przekaże zadanie przyznawania upoważnienia do dostępu do rejestru CBAM zewnętrznym zaufanym podmiotom;</w:t>
            </w:r>
          </w:p>
          <w:p w14:paraId="6A0E183C" w14:textId="0CF0E8D0" w:rsidR="00FA5543" w:rsidRPr="00F66162" w:rsidRDefault="4A43FBFD" w:rsidP="139DF8FE">
            <w:pPr>
              <w:pStyle w:val="Akapitzlist"/>
              <w:numPr>
                <w:ilvl w:val="0"/>
                <w:numId w:val="6"/>
              </w:numPr>
              <w:spacing w:before="0" w:after="0"/>
              <w:ind w:left="360"/>
              <w:rPr>
                <w:rFonts w:ascii="Calibri" w:eastAsia="Calibri" w:hAnsi="Calibri" w:cs="Calibri"/>
                <w:noProof/>
                <w:szCs w:val="24"/>
              </w:rPr>
            </w:pPr>
            <w:r w:rsidRPr="00F66162">
              <w:rPr>
                <w:rFonts w:ascii="Calibri" w:hAnsi="Calibri"/>
                <w:noProof/>
              </w:rPr>
              <w:t>właściwe organy krajowe, Komisja</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inn</w:t>
            </w:r>
            <w:r w:rsidRPr="00F66162">
              <w:rPr>
                <w:rFonts w:ascii="Calibri" w:hAnsi="Calibri"/>
                <w:noProof/>
              </w:rPr>
              <w:t>e organy będą zarządzać dostępem swoich użytkowników.</w:t>
            </w:r>
          </w:p>
          <w:p w14:paraId="39C4958E" w14:textId="77777777" w:rsidR="00FA5543" w:rsidRPr="00F66162" w:rsidRDefault="4A43FBFD" w:rsidP="139DF8FE">
            <w:pPr>
              <w:spacing w:before="0"/>
              <w:rPr>
                <w:noProof/>
              </w:rPr>
            </w:pPr>
            <w:r w:rsidRPr="00F66162">
              <w:rPr>
                <w:rFonts w:ascii="Calibri" w:hAnsi="Calibri"/>
                <w:noProof/>
              </w:rPr>
              <w:t xml:space="preserve"> </w:t>
            </w:r>
          </w:p>
          <w:p w14:paraId="45AA47AB" w14:textId="5CA5EDD1" w:rsidR="00FA5543" w:rsidRPr="00F66162" w:rsidRDefault="4A43FBFD" w:rsidP="139DF8FE">
            <w:pPr>
              <w:spacing w:before="0"/>
              <w:rPr>
                <w:noProof/>
              </w:rPr>
            </w:pPr>
            <w:r w:rsidRPr="00F66162">
              <w:rPr>
                <w:rFonts w:ascii="Calibri" w:hAnsi="Calibri"/>
                <w:noProof/>
              </w:rPr>
              <w:t>Podstawowy rejestr CBAM obejmuje zautomatyzowane procesy, które Komisja będzie przeprowadzać</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cel</w:t>
            </w:r>
            <w:r w:rsidRPr="00F66162">
              <w:rPr>
                <w:rFonts w:ascii="Calibri" w:hAnsi="Calibri"/>
                <w:noProof/>
              </w:rPr>
              <w:t>u wypełnienia swoich obowiązków wynikających</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roz</w:t>
            </w:r>
            <w:r w:rsidRPr="00F66162">
              <w:rPr>
                <w:rFonts w:ascii="Calibri" w:hAnsi="Calibri"/>
                <w:noProof/>
              </w:rPr>
              <w:t>porządzenia</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spr</w:t>
            </w:r>
            <w:r w:rsidRPr="00F66162">
              <w:rPr>
                <w:rFonts w:ascii="Calibri" w:hAnsi="Calibri"/>
                <w:noProof/>
              </w:rPr>
              <w:t>awie CBAM, jak podsumowano powyżej. Zarządzanie danymi referencyjnymi będzie kluczowym procesem zapewniającym spójność</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int</w:t>
            </w:r>
            <w:r w:rsidRPr="00F66162">
              <w:rPr>
                <w:rFonts w:ascii="Calibri" w:hAnsi="Calibri"/>
                <w:noProof/>
              </w:rPr>
              <w:t>egralność wszystkich zautomatyzowanych procesów służących współpracy zainteresowanych podmiotów. Poza „zwykłym” wykazem towarów, właściwych organów krajowych</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opł</w:t>
            </w:r>
            <w:r w:rsidRPr="00F66162">
              <w:rPr>
                <w:rFonts w:ascii="Calibri" w:hAnsi="Calibri"/>
                <w:noProof/>
              </w:rPr>
              <w:t>at emisyjnych</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sys</w:t>
            </w:r>
            <w:r w:rsidRPr="00F66162">
              <w:rPr>
                <w:rFonts w:ascii="Calibri" w:hAnsi="Calibri"/>
                <w:noProof/>
              </w:rPr>
              <w:t>temie znajdą się także konkretne parametry stosowane do zgłaszania emisji zgodnie ze szczególnymi metodami oraz ustalona domyślna wartość emisji. Wartość domyślna jest kluczowa do celów zatwierdzania wiarygodności deklarowanych emisji.</w:t>
            </w:r>
          </w:p>
        </w:tc>
      </w:tr>
    </w:tbl>
    <w:p w14:paraId="132121CE" w14:textId="77777777" w:rsidR="00FA5543" w:rsidRPr="00F66162" w:rsidRDefault="00FA5543" w:rsidP="00390489">
      <w:pPr>
        <w:pStyle w:val="ManualHeading2"/>
        <w:rPr>
          <w:noProof/>
        </w:rPr>
      </w:pPr>
      <w:r w:rsidRPr="00F66162">
        <w:rPr>
          <w:noProof/>
        </w:rPr>
        <w:lastRenderedPageBreak/>
        <w:t>4.2.</w:t>
      </w:r>
      <w:r w:rsidRPr="00F66162">
        <w:rPr>
          <w:noProof/>
        </w:rPr>
        <w:tab/>
        <w:t>Dane</w:t>
      </w:r>
    </w:p>
    <w:tbl>
      <w:tblPr>
        <w:tblStyle w:val="Tabela-Siatka"/>
        <w:tblW w:w="9322" w:type="dxa"/>
        <w:tblLook w:val="04A0" w:firstRow="1" w:lastRow="0" w:firstColumn="1" w:lastColumn="0" w:noHBand="0" w:noVBand="1"/>
      </w:tblPr>
      <w:tblGrid>
        <w:gridCol w:w="2518"/>
        <w:gridCol w:w="6804"/>
      </w:tblGrid>
      <w:tr w:rsidR="00FA5543" w:rsidRPr="00F66162" w14:paraId="41014A84" w14:textId="77777777" w:rsidTr="000A2E84">
        <w:trPr>
          <w:trHeight w:val="300"/>
        </w:trPr>
        <w:tc>
          <w:tcPr>
            <w:tcW w:w="9322" w:type="dxa"/>
            <w:gridSpan w:val="2"/>
          </w:tcPr>
          <w:p w14:paraId="791A9DEB" w14:textId="77777777" w:rsidR="00FA5543" w:rsidRPr="00F66162" w:rsidRDefault="40BC9099" w:rsidP="139DF8FE">
            <w:pPr>
              <w:rPr>
                <w:noProof/>
                <w:szCs w:val="24"/>
              </w:rPr>
            </w:pPr>
            <w:r w:rsidRPr="00F66162">
              <w:rPr>
                <w:noProof/>
              </w:rPr>
              <w:t xml:space="preserve">W CBAM przetwarzane będą następujące zasoby danych: </w:t>
            </w:r>
          </w:p>
          <w:p w14:paraId="0D294885" w14:textId="77777777" w:rsidR="00FA5543" w:rsidRPr="00F66162" w:rsidRDefault="40BC9099" w:rsidP="139DF8FE">
            <w:pPr>
              <w:pStyle w:val="Akapitzlist"/>
              <w:numPr>
                <w:ilvl w:val="0"/>
                <w:numId w:val="5"/>
              </w:numPr>
              <w:spacing w:before="0" w:after="0"/>
              <w:ind w:left="360"/>
              <w:rPr>
                <w:noProof/>
                <w:szCs w:val="24"/>
              </w:rPr>
            </w:pPr>
            <w:r w:rsidRPr="00F66162">
              <w:rPr>
                <w:noProof/>
              </w:rPr>
              <w:t>dane zgłaszającego CBAM (Etap 2)</w:t>
            </w:r>
          </w:p>
          <w:p w14:paraId="03CFCB72" w14:textId="018330C5" w:rsidR="00FA5543" w:rsidRPr="00F66162" w:rsidRDefault="40BC9099" w:rsidP="139DF8FE">
            <w:pPr>
              <w:pStyle w:val="Akapitzlist"/>
              <w:numPr>
                <w:ilvl w:val="0"/>
                <w:numId w:val="5"/>
              </w:numPr>
              <w:spacing w:before="0" w:after="0"/>
              <w:ind w:left="360"/>
              <w:rPr>
                <w:noProof/>
                <w:szCs w:val="24"/>
              </w:rPr>
            </w:pPr>
            <w:r w:rsidRPr="00F66162">
              <w:rPr>
                <w:noProof/>
              </w:rPr>
              <w:t>dane operatorów</w:t>
            </w:r>
            <w:r w:rsidR="00825614" w:rsidRPr="00F66162">
              <w:rPr>
                <w:noProof/>
              </w:rPr>
              <w:t xml:space="preserve"> z</w:t>
            </w:r>
            <w:r w:rsidR="00825614">
              <w:rPr>
                <w:noProof/>
              </w:rPr>
              <w:t> </w:t>
            </w:r>
            <w:r w:rsidR="00825614" w:rsidRPr="00F66162">
              <w:rPr>
                <w:noProof/>
              </w:rPr>
              <w:t>pań</w:t>
            </w:r>
            <w:r w:rsidRPr="00F66162">
              <w:rPr>
                <w:noProof/>
              </w:rPr>
              <w:t>stw trzecich</w:t>
            </w:r>
            <w:r w:rsidR="00825614" w:rsidRPr="00F66162">
              <w:rPr>
                <w:noProof/>
              </w:rPr>
              <w:t xml:space="preserve"> i</w:t>
            </w:r>
            <w:r w:rsidR="00825614">
              <w:rPr>
                <w:noProof/>
              </w:rPr>
              <w:t> </w:t>
            </w:r>
            <w:r w:rsidR="00825614" w:rsidRPr="00F66162">
              <w:rPr>
                <w:noProof/>
              </w:rPr>
              <w:t>ich</w:t>
            </w:r>
            <w:r w:rsidRPr="00F66162">
              <w:rPr>
                <w:noProof/>
              </w:rPr>
              <w:t xml:space="preserve"> instalacji (Etap 2)</w:t>
            </w:r>
          </w:p>
          <w:p w14:paraId="55BC7F92" w14:textId="77777777" w:rsidR="00FA5543" w:rsidRPr="00F66162" w:rsidRDefault="40BC9099" w:rsidP="139DF8FE">
            <w:pPr>
              <w:pStyle w:val="Akapitzlist"/>
              <w:numPr>
                <w:ilvl w:val="0"/>
                <w:numId w:val="5"/>
              </w:numPr>
              <w:spacing w:before="0" w:after="0"/>
              <w:ind w:left="360"/>
              <w:rPr>
                <w:noProof/>
                <w:szCs w:val="24"/>
              </w:rPr>
            </w:pPr>
            <w:r w:rsidRPr="00F66162">
              <w:rPr>
                <w:noProof/>
              </w:rPr>
              <w:t>dane referencyjne CBAM (Etap 2)</w:t>
            </w:r>
          </w:p>
          <w:p w14:paraId="3B76F5DB" w14:textId="77777777" w:rsidR="00FA5543" w:rsidRPr="00F66162" w:rsidRDefault="40BC9099" w:rsidP="139DF8FE">
            <w:pPr>
              <w:pStyle w:val="Akapitzlist"/>
              <w:numPr>
                <w:ilvl w:val="0"/>
                <w:numId w:val="5"/>
              </w:numPr>
              <w:spacing w:before="0" w:after="0"/>
              <w:ind w:left="360"/>
              <w:rPr>
                <w:noProof/>
                <w:szCs w:val="24"/>
              </w:rPr>
            </w:pPr>
            <w:r w:rsidRPr="00F66162">
              <w:rPr>
                <w:noProof/>
              </w:rPr>
              <w:t>dane dotyczące zarządzania dostępem użytkowników CBAM (Etap 2)</w:t>
            </w:r>
          </w:p>
          <w:p w14:paraId="5DC2A906" w14:textId="77777777" w:rsidR="00FA5543" w:rsidRPr="00F66162" w:rsidRDefault="40BC9099" w:rsidP="139DF8FE">
            <w:pPr>
              <w:pStyle w:val="Akapitzlist"/>
              <w:numPr>
                <w:ilvl w:val="0"/>
                <w:numId w:val="5"/>
              </w:numPr>
              <w:spacing w:before="0" w:after="0"/>
              <w:ind w:left="360"/>
              <w:rPr>
                <w:noProof/>
                <w:szCs w:val="24"/>
              </w:rPr>
            </w:pPr>
            <w:r w:rsidRPr="00F66162">
              <w:rPr>
                <w:noProof/>
              </w:rPr>
              <w:t>funkcje zgłaszającego CBAM/importera (Etap 2)</w:t>
            </w:r>
          </w:p>
          <w:p w14:paraId="0FDB3C8D" w14:textId="77777777" w:rsidR="00FA5543" w:rsidRPr="00F66162" w:rsidRDefault="40BC9099" w:rsidP="139DF8FE">
            <w:pPr>
              <w:pStyle w:val="Akapitzlist"/>
              <w:numPr>
                <w:ilvl w:val="0"/>
                <w:numId w:val="5"/>
              </w:numPr>
              <w:spacing w:before="0" w:after="0"/>
              <w:ind w:left="360"/>
              <w:rPr>
                <w:noProof/>
                <w:szCs w:val="24"/>
              </w:rPr>
            </w:pPr>
            <w:r w:rsidRPr="00F66162">
              <w:rPr>
                <w:noProof/>
              </w:rPr>
              <w:t>funkcje organów Komisji zajmujących się CBAM (Etap 2)</w:t>
            </w:r>
          </w:p>
          <w:p w14:paraId="68AE99E1" w14:textId="7A0A77BA" w:rsidR="00FA5543" w:rsidRPr="00F66162" w:rsidRDefault="40BC9099" w:rsidP="139DF8FE">
            <w:pPr>
              <w:pStyle w:val="Akapitzlist"/>
              <w:numPr>
                <w:ilvl w:val="0"/>
                <w:numId w:val="5"/>
              </w:numPr>
              <w:spacing w:before="0" w:after="0"/>
              <w:ind w:left="360"/>
              <w:rPr>
                <w:noProof/>
                <w:szCs w:val="24"/>
              </w:rPr>
            </w:pPr>
            <w:r w:rsidRPr="00F66162">
              <w:rPr>
                <w:noProof/>
              </w:rPr>
              <w:t>funkcje operatorów instalacji</w:t>
            </w:r>
            <w:r w:rsidR="00825614" w:rsidRPr="00F66162">
              <w:rPr>
                <w:noProof/>
              </w:rPr>
              <w:t xml:space="preserve"> w</w:t>
            </w:r>
            <w:r w:rsidR="00825614">
              <w:rPr>
                <w:noProof/>
              </w:rPr>
              <w:t> </w:t>
            </w:r>
            <w:r w:rsidR="00825614" w:rsidRPr="00F66162">
              <w:rPr>
                <w:noProof/>
              </w:rPr>
              <w:t>pań</w:t>
            </w:r>
            <w:r w:rsidRPr="00F66162">
              <w:rPr>
                <w:noProof/>
              </w:rPr>
              <w:t>stwach trzecich (O3CI, Etap 2)</w:t>
            </w:r>
            <w:r w:rsidR="00825614" w:rsidRPr="00F66162">
              <w:rPr>
                <w:noProof/>
              </w:rPr>
              <w:t xml:space="preserve"> i</w:t>
            </w:r>
            <w:r w:rsidR="00825614">
              <w:rPr>
                <w:noProof/>
              </w:rPr>
              <w:t> </w:t>
            </w:r>
            <w:r w:rsidR="00825614" w:rsidRPr="00F66162">
              <w:rPr>
                <w:noProof/>
              </w:rPr>
              <w:t>akr</w:t>
            </w:r>
            <w:r w:rsidRPr="00F66162">
              <w:rPr>
                <w:noProof/>
              </w:rPr>
              <w:t>edytowanych weryfikatorów (do potwierdzenia, Etap 3)</w:t>
            </w:r>
          </w:p>
          <w:p w14:paraId="0D523079" w14:textId="5F224E91" w:rsidR="00FA5543" w:rsidRPr="00F66162" w:rsidRDefault="40BC9099" w:rsidP="139DF8FE">
            <w:pPr>
              <w:pStyle w:val="Akapitzlist"/>
              <w:numPr>
                <w:ilvl w:val="0"/>
                <w:numId w:val="5"/>
              </w:numPr>
              <w:spacing w:before="0" w:after="0"/>
              <w:ind w:left="360"/>
              <w:rPr>
                <w:noProof/>
                <w:szCs w:val="24"/>
              </w:rPr>
            </w:pPr>
            <w:r w:rsidRPr="00F66162">
              <w:rPr>
                <w:noProof/>
              </w:rPr>
              <w:t>dane</w:t>
            </w:r>
            <w:r w:rsidR="00825614" w:rsidRPr="00F66162">
              <w:rPr>
                <w:noProof/>
              </w:rPr>
              <w:t xml:space="preserve"> z</w:t>
            </w:r>
            <w:r w:rsidR="00825614">
              <w:rPr>
                <w:noProof/>
              </w:rPr>
              <w:t> </w:t>
            </w:r>
            <w:r w:rsidR="00825614" w:rsidRPr="00F66162">
              <w:rPr>
                <w:noProof/>
              </w:rPr>
              <w:t>dek</w:t>
            </w:r>
            <w:r w:rsidRPr="00F66162">
              <w:rPr>
                <w:noProof/>
              </w:rPr>
              <w:t>laracji CBAM, dane dotyczące przeglądu</w:t>
            </w:r>
            <w:r w:rsidR="00825614" w:rsidRPr="00F66162">
              <w:rPr>
                <w:noProof/>
              </w:rPr>
              <w:t xml:space="preserve"> i</w:t>
            </w:r>
            <w:r w:rsidR="00825614">
              <w:rPr>
                <w:noProof/>
              </w:rPr>
              <w:t> </w:t>
            </w:r>
            <w:r w:rsidR="00825614" w:rsidRPr="00F66162">
              <w:rPr>
                <w:noProof/>
              </w:rPr>
              <w:t>cyk</w:t>
            </w:r>
            <w:r w:rsidRPr="00F66162">
              <w:rPr>
                <w:noProof/>
              </w:rPr>
              <w:t>lu życia deklaracji CBAM (Etap 3)</w:t>
            </w:r>
          </w:p>
          <w:p w14:paraId="251A3C5E" w14:textId="77777777" w:rsidR="00FA5543" w:rsidRPr="00F66162" w:rsidRDefault="40BC9099" w:rsidP="139DF8FE">
            <w:pPr>
              <w:pStyle w:val="Akapitzlist"/>
              <w:numPr>
                <w:ilvl w:val="0"/>
                <w:numId w:val="5"/>
              </w:numPr>
              <w:spacing w:before="0" w:after="0"/>
              <w:ind w:left="360"/>
              <w:rPr>
                <w:noProof/>
                <w:szCs w:val="24"/>
              </w:rPr>
            </w:pPr>
            <w:r w:rsidRPr="00F66162">
              <w:rPr>
                <w:noProof/>
              </w:rPr>
              <w:t>dane przywożonych towarów CBAM (Etap 3)</w:t>
            </w:r>
          </w:p>
          <w:p w14:paraId="7A8AB4A4" w14:textId="71291210" w:rsidR="00FA5543" w:rsidRPr="00F66162" w:rsidRDefault="40BC9099" w:rsidP="139DF8FE">
            <w:pPr>
              <w:pStyle w:val="Akapitzlist"/>
              <w:numPr>
                <w:ilvl w:val="0"/>
                <w:numId w:val="5"/>
              </w:numPr>
              <w:spacing w:before="0" w:after="0"/>
              <w:ind w:left="360"/>
              <w:rPr>
                <w:noProof/>
                <w:szCs w:val="24"/>
              </w:rPr>
            </w:pPr>
            <w:r w:rsidRPr="00F66162">
              <w:rPr>
                <w:noProof/>
              </w:rPr>
              <w:t>dane dotyczące emisji CBAM</w:t>
            </w:r>
            <w:r w:rsidR="00825614" w:rsidRPr="00F66162">
              <w:rPr>
                <w:noProof/>
              </w:rPr>
              <w:t xml:space="preserve"> i</w:t>
            </w:r>
            <w:r w:rsidR="00825614">
              <w:rPr>
                <w:noProof/>
              </w:rPr>
              <w:t> </w:t>
            </w:r>
            <w:r w:rsidR="00825614" w:rsidRPr="00F66162">
              <w:rPr>
                <w:noProof/>
              </w:rPr>
              <w:t>ich</w:t>
            </w:r>
            <w:r w:rsidRPr="00F66162">
              <w:rPr>
                <w:noProof/>
              </w:rPr>
              <w:t xml:space="preserve"> obliczania (Etap 3)</w:t>
            </w:r>
          </w:p>
          <w:p w14:paraId="3640F742" w14:textId="77777777" w:rsidR="00FA5543" w:rsidRPr="00F66162" w:rsidRDefault="40BC9099" w:rsidP="139DF8FE">
            <w:pPr>
              <w:pStyle w:val="Akapitzlist"/>
              <w:numPr>
                <w:ilvl w:val="0"/>
                <w:numId w:val="5"/>
              </w:numPr>
              <w:spacing w:before="0" w:after="0"/>
              <w:ind w:left="360"/>
              <w:rPr>
                <w:noProof/>
                <w:szCs w:val="24"/>
              </w:rPr>
            </w:pPr>
            <w:r w:rsidRPr="00F66162">
              <w:rPr>
                <w:noProof/>
              </w:rPr>
              <w:t>dane dotyczące rejestru CBAM (Etap 3)</w:t>
            </w:r>
          </w:p>
          <w:p w14:paraId="755A663B" w14:textId="77777777" w:rsidR="00FA5543" w:rsidRPr="00F66162" w:rsidRDefault="40BC9099" w:rsidP="139DF8FE">
            <w:pPr>
              <w:pStyle w:val="Akapitzlist"/>
              <w:numPr>
                <w:ilvl w:val="0"/>
                <w:numId w:val="5"/>
              </w:numPr>
              <w:spacing w:before="0" w:after="0"/>
              <w:ind w:left="360"/>
              <w:rPr>
                <w:noProof/>
                <w:szCs w:val="24"/>
              </w:rPr>
            </w:pPr>
            <w:r w:rsidRPr="00F66162">
              <w:rPr>
                <w:noProof/>
              </w:rPr>
              <w:t>dane dotyczące zarządzania certyfikatami CBAM (Etap 3)</w:t>
            </w:r>
          </w:p>
          <w:p w14:paraId="2810DBAC" w14:textId="4A4386F3" w:rsidR="00FA5543" w:rsidRPr="00F66162" w:rsidRDefault="40BC9099" w:rsidP="139DF8FE">
            <w:pPr>
              <w:pStyle w:val="Akapitzlist"/>
              <w:numPr>
                <w:ilvl w:val="0"/>
                <w:numId w:val="5"/>
              </w:numPr>
              <w:spacing w:before="0" w:after="0"/>
              <w:ind w:left="360"/>
              <w:rPr>
                <w:noProof/>
                <w:szCs w:val="24"/>
              </w:rPr>
            </w:pPr>
            <w:r w:rsidRPr="00F66162">
              <w:rPr>
                <w:noProof/>
              </w:rPr>
              <w:t>dane dotyczące monitorowania nieprzestrzegania przepisów CBAM, dochodzeń</w:t>
            </w:r>
            <w:r w:rsidR="00825614" w:rsidRPr="00F66162">
              <w:rPr>
                <w:noProof/>
              </w:rPr>
              <w:t xml:space="preserve"> w</w:t>
            </w:r>
            <w:r w:rsidR="00825614">
              <w:rPr>
                <w:noProof/>
              </w:rPr>
              <w:t> </w:t>
            </w:r>
            <w:r w:rsidR="00825614" w:rsidRPr="00F66162">
              <w:rPr>
                <w:noProof/>
              </w:rPr>
              <w:t>spr</w:t>
            </w:r>
            <w:r w:rsidRPr="00F66162">
              <w:rPr>
                <w:noProof/>
              </w:rPr>
              <w:t>awie obchodzenia przepisów</w:t>
            </w:r>
            <w:r w:rsidR="00825614" w:rsidRPr="00F66162">
              <w:rPr>
                <w:noProof/>
              </w:rPr>
              <w:t xml:space="preserve"> i</w:t>
            </w:r>
            <w:r w:rsidR="00825614">
              <w:rPr>
                <w:noProof/>
              </w:rPr>
              <w:t> </w:t>
            </w:r>
            <w:r w:rsidR="00825614" w:rsidRPr="00F66162">
              <w:rPr>
                <w:noProof/>
              </w:rPr>
              <w:t>zar</w:t>
            </w:r>
            <w:r w:rsidRPr="00F66162">
              <w:rPr>
                <w:noProof/>
              </w:rPr>
              <w:t>ządzania ryzykiem (Etap 3)</w:t>
            </w:r>
          </w:p>
          <w:p w14:paraId="29C8213D" w14:textId="299F40AB" w:rsidR="00FA5543" w:rsidRPr="00F66162" w:rsidRDefault="40BC9099" w:rsidP="139DF8FE">
            <w:pPr>
              <w:pStyle w:val="Akapitzlist"/>
              <w:numPr>
                <w:ilvl w:val="0"/>
                <w:numId w:val="5"/>
              </w:numPr>
              <w:spacing w:before="0" w:after="0"/>
              <w:ind w:left="360"/>
              <w:rPr>
                <w:noProof/>
                <w:szCs w:val="24"/>
              </w:rPr>
            </w:pPr>
            <w:r w:rsidRPr="00F66162">
              <w:rPr>
                <w:noProof/>
              </w:rPr>
              <w:t>dane dotyczące sprawozdawczości CBAM, tabeli wyników, powiadomień</w:t>
            </w:r>
            <w:r w:rsidR="00825614" w:rsidRPr="00F66162">
              <w:rPr>
                <w:noProof/>
              </w:rPr>
              <w:t xml:space="preserve"> i</w:t>
            </w:r>
            <w:r w:rsidR="00825614">
              <w:rPr>
                <w:noProof/>
              </w:rPr>
              <w:t> </w:t>
            </w:r>
            <w:r w:rsidR="00825614" w:rsidRPr="00F66162">
              <w:rPr>
                <w:noProof/>
              </w:rPr>
              <w:t>zar</w:t>
            </w:r>
            <w:r w:rsidRPr="00F66162">
              <w:rPr>
                <w:noProof/>
              </w:rPr>
              <w:t>ządzania dokumentami (Etap 3)</w:t>
            </w:r>
          </w:p>
          <w:p w14:paraId="7DAFED22" w14:textId="77777777" w:rsidR="00FA5543" w:rsidRPr="00F66162" w:rsidRDefault="40BC9099" w:rsidP="139DF8FE">
            <w:pPr>
              <w:pStyle w:val="Akapitzlist"/>
              <w:numPr>
                <w:ilvl w:val="0"/>
                <w:numId w:val="5"/>
              </w:numPr>
              <w:spacing w:before="0" w:after="0"/>
              <w:ind w:left="360"/>
              <w:rPr>
                <w:noProof/>
                <w:szCs w:val="24"/>
              </w:rPr>
            </w:pPr>
            <w:r w:rsidRPr="00F66162">
              <w:rPr>
                <w:noProof/>
              </w:rPr>
              <w:t>dane dotyczące bezpiecznego forum CBAM (Etap 3)</w:t>
            </w:r>
          </w:p>
          <w:p w14:paraId="61293898" w14:textId="77777777" w:rsidR="00FA5543" w:rsidRPr="00F66162" w:rsidRDefault="40BC9099" w:rsidP="139DF8FE">
            <w:pPr>
              <w:pStyle w:val="Akapitzlist"/>
              <w:numPr>
                <w:ilvl w:val="0"/>
                <w:numId w:val="5"/>
              </w:numPr>
              <w:spacing w:before="0" w:after="0"/>
              <w:ind w:left="360"/>
              <w:rPr>
                <w:noProof/>
                <w:szCs w:val="24"/>
              </w:rPr>
            </w:pPr>
            <w:r w:rsidRPr="00F66162">
              <w:rPr>
                <w:noProof/>
              </w:rPr>
              <w:t>funkcje właściwych organów krajowych (Etap 3)</w:t>
            </w:r>
          </w:p>
          <w:p w14:paraId="056D1A2E" w14:textId="34F530CC" w:rsidR="00FA5543" w:rsidRPr="00F66162" w:rsidRDefault="40BC9099" w:rsidP="139DF8FE">
            <w:pPr>
              <w:pStyle w:val="Akapitzlist"/>
              <w:numPr>
                <w:ilvl w:val="0"/>
                <w:numId w:val="5"/>
              </w:numPr>
              <w:spacing w:before="0" w:after="0"/>
              <w:ind w:left="360"/>
              <w:rPr>
                <w:noProof/>
                <w:szCs w:val="24"/>
              </w:rPr>
            </w:pPr>
            <w:r w:rsidRPr="00F66162">
              <w:rPr>
                <w:noProof/>
              </w:rPr>
              <w:t>funkcje dotyczące monitorowania nieprzestrzegania przepisów CBAM, dochodzeń</w:t>
            </w:r>
            <w:r w:rsidR="00825614" w:rsidRPr="00F66162">
              <w:rPr>
                <w:noProof/>
              </w:rPr>
              <w:t xml:space="preserve"> w</w:t>
            </w:r>
            <w:r w:rsidR="00825614">
              <w:rPr>
                <w:noProof/>
              </w:rPr>
              <w:t> </w:t>
            </w:r>
            <w:r w:rsidR="00825614" w:rsidRPr="00F66162">
              <w:rPr>
                <w:noProof/>
              </w:rPr>
              <w:t>spr</w:t>
            </w:r>
            <w:r w:rsidRPr="00F66162">
              <w:rPr>
                <w:noProof/>
              </w:rPr>
              <w:t>awie obchodzenia przepisów</w:t>
            </w:r>
            <w:r w:rsidR="00825614" w:rsidRPr="00F66162">
              <w:rPr>
                <w:noProof/>
              </w:rPr>
              <w:t xml:space="preserve"> i</w:t>
            </w:r>
            <w:r w:rsidR="00825614">
              <w:rPr>
                <w:noProof/>
              </w:rPr>
              <w:t> </w:t>
            </w:r>
            <w:r w:rsidR="00825614" w:rsidRPr="00F66162">
              <w:rPr>
                <w:noProof/>
              </w:rPr>
              <w:t>zar</w:t>
            </w:r>
            <w:r w:rsidRPr="00F66162">
              <w:rPr>
                <w:noProof/>
              </w:rPr>
              <w:t>ządzania ryzykiem (Etap 3)</w:t>
            </w:r>
          </w:p>
          <w:p w14:paraId="45920CF6" w14:textId="77777777" w:rsidR="00FA5543" w:rsidRPr="00F66162" w:rsidRDefault="00FA5543" w:rsidP="139DF8FE">
            <w:pPr>
              <w:rPr>
                <w:noProof/>
              </w:rPr>
            </w:pPr>
          </w:p>
          <w:p w14:paraId="0F080054" w14:textId="42B50F99" w:rsidR="00FA5543" w:rsidRPr="00F66162" w:rsidRDefault="40BC9099" w:rsidP="139DF8FE">
            <w:pPr>
              <w:rPr>
                <w:noProof/>
                <w:szCs w:val="24"/>
              </w:rPr>
            </w:pPr>
            <w:r w:rsidRPr="00F66162">
              <w:rPr>
                <w:noProof/>
              </w:rPr>
              <w:t>Więcej informacji na temat poszczególnych zasobów danych znajduje się</w:t>
            </w:r>
            <w:r w:rsidR="00825614" w:rsidRPr="00F66162">
              <w:rPr>
                <w:noProof/>
              </w:rPr>
              <w:t xml:space="preserve"> w</w:t>
            </w:r>
            <w:r w:rsidR="00825614">
              <w:rPr>
                <w:noProof/>
              </w:rPr>
              <w:t> </w:t>
            </w:r>
            <w:r w:rsidR="00825614" w:rsidRPr="00F66162">
              <w:rPr>
                <w:noProof/>
              </w:rPr>
              <w:t>pon</w:t>
            </w:r>
            <w:r w:rsidRPr="00F66162">
              <w:rPr>
                <w:noProof/>
              </w:rPr>
              <w:t>iższej tabeli.</w:t>
            </w:r>
          </w:p>
        </w:tc>
      </w:tr>
      <w:tr w:rsidR="139DF8FE" w:rsidRPr="00F66162" w14:paraId="18724EFC" w14:textId="77777777" w:rsidTr="000A2E84">
        <w:trPr>
          <w:trHeight w:val="300"/>
        </w:trPr>
        <w:tc>
          <w:tcPr>
            <w:tcW w:w="2518" w:type="dxa"/>
            <w:tcBorders>
              <w:top w:val="single" w:sz="8" w:space="0" w:color="000000" w:themeColor="text1"/>
              <w:left w:val="single" w:sz="8" w:space="0" w:color="000000" w:themeColor="text1"/>
              <w:bottom w:val="single" w:sz="8" w:space="0" w:color="000000" w:themeColor="text1"/>
              <w:right w:val="nil"/>
            </w:tcBorders>
            <w:shd w:val="clear" w:color="auto" w:fill="000000" w:themeFill="text1"/>
            <w:tcMar>
              <w:left w:w="108" w:type="dxa"/>
              <w:right w:w="108" w:type="dxa"/>
            </w:tcMar>
            <w:vAlign w:val="center"/>
          </w:tcPr>
          <w:p w14:paraId="6994860A" w14:textId="77777777" w:rsidR="139DF8FE" w:rsidRPr="00F66162" w:rsidRDefault="139DF8FE" w:rsidP="139DF8FE">
            <w:pPr>
              <w:spacing w:after="0"/>
              <w:jc w:val="left"/>
              <w:rPr>
                <w:noProof/>
              </w:rPr>
            </w:pPr>
            <w:r w:rsidRPr="00F66162">
              <w:rPr>
                <w:b/>
                <w:noProof/>
                <w:color w:val="FFFFFF" w:themeColor="background1"/>
                <w:sz w:val="18"/>
              </w:rPr>
              <w:t>Opis docelowych aktywów podstawowych CBAM</w:t>
            </w:r>
          </w:p>
        </w:tc>
        <w:tc>
          <w:tcPr>
            <w:tcW w:w="6804" w:type="dxa"/>
            <w:tcBorders>
              <w:top w:val="single" w:sz="8" w:space="0" w:color="000000" w:themeColor="text1"/>
              <w:left w:val="nil"/>
              <w:bottom w:val="single" w:sz="8" w:space="0" w:color="000000" w:themeColor="text1"/>
              <w:right w:val="single" w:sz="8" w:space="0" w:color="000000" w:themeColor="text1"/>
            </w:tcBorders>
            <w:shd w:val="clear" w:color="auto" w:fill="000000" w:themeFill="text1"/>
            <w:tcMar>
              <w:left w:w="108" w:type="dxa"/>
              <w:right w:w="108" w:type="dxa"/>
            </w:tcMar>
            <w:vAlign w:val="center"/>
          </w:tcPr>
          <w:p w14:paraId="01E7108B" w14:textId="77777777" w:rsidR="139DF8FE" w:rsidRPr="00F66162" w:rsidRDefault="139DF8FE" w:rsidP="139DF8FE">
            <w:pPr>
              <w:spacing w:after="0"/>
              <w:jc w:val="left"/>
              <w:rPr>
                <w:noProof/>
              </w:rPr>
            </w:pPr>
            <w:r w:rsidRPr="00F66162">
              <w:rPr>
                <w:b/>
                <w:noProof/>
                <w:color w:val="FFFFFF" w:themeColor="background1"/>
                <w:sz w:val="18"/>
              </w:rPr>
              <w:t>Opis odnośnych składników biznesowych/procesów</w:t>
            </w:r>
          </w:p>
        </w:tc>
      </w:tr>
      <w:tr w:rsidR="139DF8FE" w:rsidRPr="00F66162" w14:paraId="4B0B5B6E" w14:textId="77777777" w:rsidTr="000A2E84">
        <w:trPr>
          <w:trHeight w:val="60"/>
        </w:trPr>
        <w:tc>
          <w:tcPr>
            <w:tcW w:w="2518" w:type="dxa"/>
            <w:tcBorders>
              <w:top w:val="single" w:sz="8" w:space="0" w:color="000000" w:themeColor="text1"/>
              <w:left w:val="single" w:sz="8" w:space="0" w:color="666666"/>
              <w:bottom w:val="single" w:sz="8" w:space="0" w:color="666666"/>
              <w:right w:val="single" w:sz="8" w:space="0" w:color="666666"/>
            </w:tcBorders>
            <w:shd w:val="clear" w:color="auto" w:fill="CCCCCC"/>
            <w:tcMar>
              <w:left w:w="108" w:type="dxa"/>
              <w:right w:w="108" w:type="dxa"/>
            </w:tcMar>
            <w:vAlign w:val="center"/>
          </w:tcPr>
          <w:p w14:paraId="744CCCA6" w14:textId="77777777" w:rsidR="139DF8FE" w:rsidRPr="00F66162" w:rsidRDefault="139DF8FE" w:rsidP="139DF8FE">
            <w:pPr>
              <w:spacing w:after="0"/>
              <w:jc w:val="left"/>
              <w:rPr>
                <w:noProof/>
              </w:rPr>
            </w:pPr>
            <w:r w:rsidRPr="00F66162">
              <w:rPr>
                <w:b/>
                <w:noProof/>
                <w:color w:val="000000" w:themeColor="text1"/>
                <w:sz w:val="18"/>
              </w:rPr>
              <w:t>Dane dotyczące zarządzania certyfikatami BAM</w:t>
            </w:r>
          </w:p>
        </w:tc>
        <w:tc>
          <w:tcPr>
            <w:tcW w:w="6804" w:type="dxa"/>
            <w:tcBorders>
              <w:top w:val="single" w:sz="8" w:space="0" w:color="000000" w:themeColor="text1"/>
              <w:left w:val="single" w:sz="8" w:space="0" w:color="666666"/>
              <w:bottom w:val="single" w:sz="8" w:space="0" w:color="666666"/>
              <w:right w:val="single" w:sz="8" w:space="0" w:color="666666"/>
            </w:tcBorders>
            <w:shd w:val="clear" w:color="auto" w:fill="CCCCCC"/>
            <w:tcMar>
              <w:left w:w="108" w:type="dxa"/>
              <w:right w:w="108" w:type="dxa"/>
            </w:tcMar>
            <w:vAlign w:val="center"/>
          </w:tcPr>
          <w:p w14:paraId="4153E880" w14:textId="5DA24638" w:rsidR="139DF8FE" w:rsidRPr="00F66162" w:rsidRDefault="139DF8FE" w:rsidP="139DF8FE">
            <w:pPr>
              <w:spacing w:after="0"/>
              <w:jc w:val="left"/>
              <w:rPr>
                <w:noProof/>
              </w:rPr>
            </w:pPr>
            <w:r w:rsidRPr="00F66162">
              <w:rPr>
                <w:noProof/>
                <w:color w:val="000000" w:themeColor="text1"/>
                <w:sz w:val="18"/>
              </w:rPr>
              <w:t>Zarządzanie cyklem życia certyfikatów CBAM zapewnia informacje</w:t>
            </w:r>
            <w:r w:rsidR="00825614" w:rsidRPr="00F66162">
              <w:rPr>
                <w:noProof/>
                <w:color w:val="000000" w:themeColor="text1"/>
                <w:sz w:val="18"/>
              </w:rPr>
              <w:t xml:space="preserve"> o</w:t>
            </w:r>
            <w:r w:rsidR="00825614">
              <w:rPr>
                <w:noProof/>
                <w:color w:val="000000" w:themeColor="text1"/>
                <w:sz w:val="18"/>
              </w:rPr>
              <w:t> </w:t>
            </w:r>
            <w:r w:rsidR="00825614" w:rsidRPr="00F66162">
              <w:rPr>
                <w:noProof/>
                <w:color w:val="000000" w:themeColor="text1"/>
                <w:sz w:val="18"/>
              </w:rPr>
              <w:t>cer</w:t>
            </w:r>
            <w:r w:rsidRPr="00F66162">
              <w:rPr>
                <w:noProof/>
                <w:color w:val="000000" w:themeColor="text1"/>
                <w:sz w:val="18"/>
              </w:rPr>
              <w:t>tyfikatach, ich liczbie</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war</w:t>
            </w:r>
            <w:r w:rsidRPr="00F66162">
              <w:rPr>
                <w:noProof/>
                <w:color w:val="000000" w:themeColor="text1"/>
                <w:sz w:val="18"/>
              </w:rPr>
              <w:t>tości oraz prowadzenie cyklu życia certyfikatu,</w:t>
            </w:r>
            <w:r w:rsidR="00825614" w:rsidRPr="00F66162">
              <w:rPr>
                <w:noProof/>
                <w:color w:val="000000" w:themeColor="text1"/>
                <w:sz w:val="18"/>
              </w:rPr>
              <w:t xml:space="preserve"> a</w:t>
            </w:r>
            <w:r w:rsidR="00825614">
              <w:rPr>
                <w:noProof/>
                <w:color w:val="000000" w:themeColor="text1"/>
                <w:sz w:val="18"/>
              </w:rPr>
              <w:t> </w:t>
            </w:r>
            <w:r w:rsidR="00825614" w:rsidRPr="00F66162">
              <w:rPr>
                <w:noProof/>
                <w:color w:val="000000" w:themeColor="text1"/>
                <w:sz w:val="18"/>
              </w:rPr>
              <w:t>tak</w:t>
            </w:r>
            <w:r w:rsidRPr="00F66162">
              <w:rPr>
                <w:noProof/>
                <w:color w:val="000000" w:themeColor="text1"/>
                <w:sz w:val="18"/>
              </w:rPr>
              <w:t>że informacje potrzebne do celów monitorowania ryzyka</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prz</w:t>
            </w:r>
            <w:r w:rsidRPr="00F66162">
              <w:rPr>
                <w:noProof/>
                <w:color w:val="000000" w:themeColor="text1"/>
                <w:sz w:val="18"/>
              </w:rPr>
              <w:t xml:space="preserve">ypadków nieprzestrzegania przepisów. </w:t>
            </w:r>
          </w:p>
        </w:tc>
      </w:tr>
      <w:tr w:rsidR="139DF8FE" w:rsidRPr="00F66162" w14:paraId="6C1E73D0" w14:textId="77777777" w:rsidTr="000A2E84">
        <w:trPr>
          <w:trHeight w:val="1155"/>
        </w:trPr>
        <w:tc>
          <w:tcPr>
            <w:tcW w:w="2518"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0DBF5824" w14:textId="77777777" w:rsidR="139DF8FE" w:rsidRPr="00F66162" w:rsidRDefault="139DF8FE" w:rsidP="139DF8FE">
            <w:pPr>
              <w:spacing w:after="0"/>
              <w:jc w:val="left"/>
              <w:rPr>
                <w:noProof/>
              </w:rPr>
            </w:pPr>
            <w:r w:rsidRPr="00F66162">
              <w:rPr>
                <w:b/>
                <w:noProof/>
                <w:sz w:val="18"/>
              </w:rPr>
              <w:t>Dane zgłaszającego CBAM</w:t>
            </w:r>
          </w:p>
        </w:tc>
        <w:tc>
          <w:tcPr>
            <w:tcW w:w="6804"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00A51401" w14:textId="7E2AA873" w:rsidR="139DF8FE" w:rsidRPr="00F66162" w:rsidRDefault="139DF8FE" w:rsidP="139DF8FE">
            <w:pPr>
              <w:spacing w:after="0"/>
              <w:jc w:val="left"/>
              <w:rPr>
                <w:noProof/>
              </w:rPr>
            </w:pPr>
            <w:r w:rsidRPr="00F66162">
              <w:rPr>
                <w:noProof/>
                <w:sz w:val="18"/>
              </w:rPr>
              <w:t>Dane dotyczące upoważnienia zgłaszającego, jego powielania</w:t>
            </w:r>
            <w:r w:rsidR="00825614" w:rsidRPr="00F66162">
              <w:rPr>
                <w:noProof/>
                <w:sz w:val="18"/>
              </w:rPr>
              <w:t xml:space="preserve"> i</w:t>
            </w:r>
            <w:r w:rsidR="00825614">
              <w:rPr>
                <w:noProof/>
                <w:sz w:val="18"/>
              </w:rPr>
              <w:t> </w:t>
            </w:r>
            <w:r w:rsidR="00825614" w:rsidRPr="00F66162">
              <w:rPr>
                <w:noProof/>
                <w:sz w:val="18"/>
              </w:rPr>
              <w:t>wal</w:t>
            </w:r>
            <w:r w:rsidRPr="00F66162">
              <w:rPr>
                <w:noProof/>
                <w:sz w:val="18"/>
              </w:rPr>
              <w:t>idacji.</w:t>
            </w:r>
          </w:p>
          <w:p w14:paraId="57FD234F" w14:textId="3B8DF5D2" w:rsidR="139DF8FE" w:rsidRPr="00F66162" w:rsidRDefault="139DF8FE" w:rsidP="139DF8FE">
            <w:pPr>
              <w:spacing w:after="0"/>
              <w:jc w:val="left"/>
              <w:rPr>
                <w:noProof/>
              </w:rPr>
            </w:pPr>
            <w:r w:rsidRPr="00F66162">
              <w:rPr>
                <w:noProof/>
                <w:sz w:val="18"/>
              </w:rPr>
              <w:t>Dane dotyczące rachunku zgłaszającego</w:t>
            </w:r>
            <w:r w:rsidR="00825614" w:rsidRPr="00F66162">
              <w:rPr>
                <w:noProof/>
                <w:sz w:val="18"/>
              </w:rPr>
              <w:t xml:space="preserve"> i</w:t>
            </w:r>
            <w:r w:rsidR="00825614">
              <w:rPr>
                <w:noProof/>
                <w:sz w:val="18"/>
              </w:rPr>
              <w:t> </w:t>
            </w:r>
            <w:r w:rsidR="00825614" w:rsidRPr="00F66162">
              <w:rPr>
                <w:noProof/>
                <w:sz w:val="18"/>
              </w:rPr>
              <w:t>zar</w:t>
            </w:r>
            <w:r w:rsidRPr="00F66162">
              <w:rPr>
                <w:noProof/>
                <w:sz w:val="18"/>
              </w:rPr>
              <w:t>ządzania tym rachunkiem.</w:t>
            </w:r>
          </w:p>
          <w:p w14:paraId="25406957" w14:textId="77777777" w:rsidR="139DF8FE" w:rsidRPr="00F66162" w:rsidRDefault="139DF8FE" w:rsidP="139DF8FE">
            <w:pPr>
              <w:spacing w:after="0"/>
              <w:jc w:val="left"/>
              <w:rPr>
                <w:noProof/>
              </w:rPr>
            </w:pPr>
            <w:r w:rsidRPr="00F66162">
              <w:rPr>
                <w:noProof/>
                <w:sz w:val="18"/>
              </w:rPr>
              <w:t xml:space="preserve">Zarządzanie cyklem życia upoważnienia CBAM udzielonego importerowi lub przedstawicielowi pośredniemu przez właściwy organ krajowy. </w:t>
            </w:r>
          </w:p>
          <w:p w14:paraId="3315F32A" w14:textId="5E3535D8" w:rsidR="139DF8FE" w:rsidRPr="00F66162" w:rsidRDefault="139DF8FE" w:rsidP="139DF8FE">
            <w:pPr>
              <w:spacing w:after="0"/>
              <w:jc w:val="left"/>
              <w:rPr>
                <w:noProof/>
              </w:rPr>
            </w:pPr>
            <w:r w:rsidRPr="00F66162">
              <w:rPr>
                <w:noProof/>
                <w:sz w:val="18"/>
              </w:rPr>
              <w:t>Przekazywanie potrzebnych informacji</w:t>
            </w:r>
            <w:r w:rsidR="00825614" w:rsidRPr="00F66162">
              <w:rPr>
                <w:noProof/>
                <w:sz w:val="18"/>
              </w:rPr>
              <w:t xml:space="preserve"> o</w:t>
            </w:r>
            <w:r w:rsidR="00825614">
              <w:rPr>
                <w:noProof/>
                <w:sz w:val="18"/>
              </w:rPr>
              <w:t> </w:t>
            </w:r>
            <w:r w:rsidR="00825614" w:rsidRPr="00F66162">
              <w:rPr>
                <w:noProof/>
                <w:sz w:val="18"/>
              </w:rPr>
              <w:t>rac</w:t>
            </w:r>
            <w:r w:rsidRPr="00F66162">
              <w:rPr>
                <w:noProof/>
                <w:sz w:val="18"/>
              </w:rPr>
              <w:t>hunku zgłaszającego CBAM do usługi replikacji</w:t>
            </w:r>
            <w:r w:rsidR="00825614" w:rsidRPr="00F66162">
              <w:rPr>
                <w:noProof/>
                <w:sz w:val="18"/>
              </w:rPr>
              <w:t xml:space="preserve"> i</w:t>
            </w:r>
            <w:r w:rsidR="00825614">
              <w:rPr>
                <w:noProof/>
                <w:sz w:val="18"/>
              </w:rPr>
              <w:t> </w:t>
            </w:r>
            <w:r w:rsidR="00825614" w:rsidRPr="00F66162">
              <w:rPr>
                <w:noProof/>
                <w:sz w:val="18"/>
              </w:rPr>
              <w:t>wal</w:t>
            </w:r>
            <w:r w:rsidRPr="00F66162">
              <w:rPr>
                <w:noProof/>
                <w:sz w:val="18"/>
              </w:rPr>
              <w:t>idacji upoważnień (ARVS),</w:t>
            </w:r>
            <w:r w:rsidR="00825614" w:rsidRPr="00F66162">
              <w:rPr>
                <w:noProof/>
                <w:sz w:val="18"/>
              </w:rPr>
              <w:t xml:space="preserve"> w</w:t>
            </w:r>
            <w:r w:rsidR="00825614">
              <w:rPr>
                <w:noProof/>
                <w:sz w:val="18"/>
              </w:rPr>
              <w:t> </w:t>
            </w:r>
            <w:r w:rsidR="00825614" w:rsidRPr="00F66162">
              <w:rPr>
                <w:noProof/>
                <w:sz w:val="18"/>
              </w:rPr>
              <w:t>któ</w:t>
            </w:r>
            <w:r w:rsidRPr="00F66162">
              <w:rPr>
                <w:noProof/>
                <w:sz w:val="18"/>
              </w:rPr>
              <w:t>rej przechowuje się informacje</w:t>
            </w:r>
            <w:r w:rsidR="00825614" w:rsidRPr="00F66162">
              <w:rPr>
                <w:noProof/>
                <w:sz w:val="18"/>
              </w:rPr>
              <w:t xml:space="preserve"> o</w:t>
            </w:r>
            <w:r w:rsidR="00825614">
              <w:rPr>
                <w:noProof/>
                <w:sz w:val="18"/>
              </w:rPr>
              <w:t> </w:t>
            </w:r>
            <w:r w:rsidR="00825614" w:rsidRPr="00F66162">
              <w:rPr>
                <w:noProof/>
                <w:sz w:val="18"/>
              </w:rPr>
              <w:t>upo</w:t>
            </w:r>
            <w:r w:rsidRPr="00F66162">
              <w:rPr>
                <w:noProof/>
                <w:sz w:val="18"/>
              </w:rPr>
              <w:t>ważnionych zgłaszających CBAM, przekazywane właściwym organom krajowym</w:t>
            </w:r>
            <w:r w:rsidR="00825614" w:rsidRPr="00F66162">
              <w:rPr>
                <w:noProof/>
                <w:sz w:val="18"/>
              </w:rPr>
              <w:t xml:space="preserve"> i</w:t>
            </w:r>
            <w:r w:rsidR="00825614">
              <w:rPr>
                <w:noProof/>
                <w:sz w:val="18"/>
              </w:rPr>
              <w:t> </w:t>
            </w:r>
            <w:r w:rsidR="00825614" w:rsidRPr="00F66162">
              <w:rPr>
                <w:noProof/>
                <w:sz w:val="18"/>
              </w:rPr>
              <w:t>wła</w:t>
            </w:r>
            <w:r w:rsidRPr="00F66162">
              <w:rPr>
                <w:noProof/>
                <w:sz w:val="18"/>
              </w:rPr>
              <w:t>ściwym krajowym organom celnym odpowiedzialnym za weryfikację upoważnień importerów.</w:t>
            </w:r>
          </w:p>
        </w:tc>
      </w:tr>
      <w:tr w:rsidR="139DF8FE" w:rsidRPr="00F66162" w14:paraId="4F8B04D8" w14:textId="77777777" w:rsidTr="000A2E84">
        <w:trPr>
          <w:trHeight w:val="300"/>
        </w:trPr>
        <w:tc>
          <w:tcPr>
            <w:tcW w:w="2518"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674DDF6E" w14:textId="5FED98F9" w:rsidR="139DF8FE" w:rsidRPr="00F66162" w:rsidRDefault="139DF8FE" w:rsidP="139DF8FE">
            <w:pPr>
              <w:spacing w:after="0"/>
              <w:jc w:val="left"/>
              <w:rPr>
                <w:noProof/>
              </w:rPr>
            </w:pPr>
            <w:r w:rsidRPr="00F66162">
              <w:rPr>
                <w:b/>
                <w:noProof/>
                <w:color w:val="000000" w:themeColor="text1"/>
                <w:sz w:val="18"/>
              </w:rPr>
              <w:t>Dane</w:t>
            </w:r>
            <w:r w:rsidR="00825614" w:rsidRPr="00F66162">
              <w:rPr>
                <w:b/>
                <w:noProof/>
                <w:color w:val="000000" w:themeColor="text1"/>
                <w:sz w:val="18"/>
              </w:rPr>
              <w:t xml:space="preserve"> z</w:t>
            </w:r>
            <w:r w:rsidR="00825614">
              <w:rPr>
                <w:b/>
                <w:noProof/>
                <w:color w:val="000000" w:themeColor="text1"/>
                <w:sz w:val="18"/>
              </w:rPr>
              <w:t> </w:t>
            </w:r>
            <w:r w:rsidR="00825614" w:rsidRPr="00F66162">
              <w:rPr>
                <w:b/>
                <w:noProof/>
                <w:color w:val="000000" w:themeColor="text1"/>
                <w:sz w:val="18"/>
              </w:rPr>
              <w:t>dek</w:t>
            </w:r>
            <w:r w:rsidRPr="00F66162">
              <w:rPr>
                <w:b/>
                <w:noProof/>
                <w:color w:val="000000" w:themeColor="text1"/>
                <w:sz w:val="18"/>
              </w:rPr>
              <w:t>laracji CBAM, dane dotyczące przeglądu</w:t>
            </w:r>
            <w:r w:rsidR="00825614" w:rsidRPr="00F66162">
              <w:rPr>
                <w:b/>
                <w:noProof/>
                <w:color w:val="000000" w:themeColor="text1"/>
                <w:sz w:val="18"/>
              </w:rPr>
              <w:t xml:space="preserve"> i</w:t>
            </w:r>
            <w:r w:rsidR="00825614">
              <w:rPr>
                <w:b/>
                <w:noProof/>
                <w:color w:val="000000" w:themeColor="text1"/>
                <w:sz w:val="18"/>
              </w:rPr>
              <w:t> </w:t>
            </w:r>
            <w:r w:rsidR="00825614" w:rsidRPr="00F66162">
              <w:rPr>
                <w:b/>
                <w:noProof/>
                <w:color w:val="000000" w:themeColor="text1"/>
                <w:sz w:val="18"/>
              </w:rPr>
              <w:t>cyk</w:t>
            </w:r>
            <w:r w:rsidRPr="00F66162">
              <w:rPr>
                <w:b/>
                <w:noProof/>
                <w:color w:val="000000" w:themeColor="text1"/>
                <w:sz w:val="18"/>
              </w:rPr>
              <w:t>lu życia deklaracji CBAM</w:t>
            </w:r>
          </w:p>
        </w:tc>
        <w:tc>
          <w:tcPr>
            <w:tcW w:w="6804"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31817C51" w14:textId="493B23AB" w:rsidR="139DF8FE" w:rsidRPr="00F66162" w:rsidRDefault="139DF8FE" w:rsidP="139DF8FE">
            <w:pPr>
              <w:spacing w:after="0"/>
              <w:jc w:val="left"/>
              <w:rPr>
                <w:noProof/>
              </w:rPr>
            </w:pPr>
            <w:r w:rsidRPr="00F66162">
              <w:rPr>
                <w:noProof/>
                <w:color w:val="000000" w:themeColor="text1"/>
                <w:sz w:val="18"/>
              </w:rPr>
              <w:t>Dane dotyczące zarządzania cyklem życia deklaracji</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spr</w:t>
            </w:r>
            <w:r w:rsidRPr="00F66162">
              <w:rPr>
                <w:noProof/>
                <w:color w:val="000000" w:themeColor="text1"/>
                <w:sz w:val="18"/>
              </w:rPr>
              <w:t>awozdań dotyczących deklaracji.</w:t>
            </w:r>
            <w:r w:rsidRPr="00F66162">
              <w:rPr>
                <w:noProof/>
              </w:rPr>
              <w:t xml:space="preserve"> </w:t>
            </w:r>
            <w:r w:rsidRPr="00F66162">
              <w:rPr>
                <w:noProof/>
              </w:rPr>
              <w:br/>
            </w:r>
            <w:r w:rsidRPr="00F66162">
              <w:rPr>
                <w:noProof/>
              </w:rPr>
              <w:br/>
            </w:r>
            <w:r w:rsidRPr="00F66162">
              <w:rPr>
                <w:noProof/>
                <w:color w:val="000000" w:themeColor="text1"/>
                <w:sz w:val="18"/>
              </w:rPr>
              <w:t>Zarządzanie cyklem życia deklaracji CBAM (tworzenie deklaracji, uwzględnianie przywożonych towarów</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emi</w:t>
            </w:r>
            <w:r w:rsidRPr="00F66162">
              <w:rPr>
                <w:noProof/>
                <w:color w:val="000000" w:themeColor="text1"/>
                <w:sz w:val="18"/>
              </w:rPr>
              <w:t>sji, przegląd, finalizacja lub odrzucenie deklaracji)</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spr</w:t>
            </w:r>
            <w:r w:rsidRPr="00F66162">
              <w:rPr>
                <w:noProof/>
                <w:color w:val="000000" w:themeColor="text1"/>
                <w:sz w:val="18"/>
              </w:rPr>
              <w:t>awozdawczość.</w:t>
            </w:r>
          </w:p>
        </w:tc>
      </w:tr>
      <w:tr w:rsidR="139DF8FE" w:rsidRPr="00F66162" w14:paraId="13970DF8" w14:textId="77777777" w:rsidTr="000A2E84">
        <w:trPr>
          <w:trHeight w:val="300"/>
        </w:trPr>
        <w:tc>
          <w:tcPr>
            <w:tcW w:w="2518"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2345AF02" w14:textId="02151D60" w:rsidR="139DF8FE" w:rsidRPr="00F66162" w:rsidRDefault="139DF8FE" w:rsidP="139DF8FE">
            <w:pPr>
              <w:spacing w:after="0"/>
              <w:jc w:val="left"/>
              <w:rPr>
                <w:noProof/>
              </w:rPr>
            </w:pPr>
            <w:r w:rsidRPr="00F66162">
              <w:rPr>
                <w:b/>
                <w:noProof/>
                <w:sz w:val="18"/>
              </w:rPr>
              <w:t>Dane dotyczące emisji CBAM</w:t>
            </w:r>
            <w:r w:rsidR="00825614" w:rsidRPr="00F66162">
              <w:rPr>
                <w:b/>
                <w:noProof/>
                <w:sz w:val="18"/>
              </w:rPr>
              <w:t xml:space="preserve"> i</w:t>
            </w:r>
            <w:r w:rsidR="00825614">
              <w:rPr>
                <w:b/>
                <w:noProof/>
                <w:sz w:val="18"/>
              </w:rPr>
              <w:t> </w:t>
            </w:r>
            <w:r w:rsidR="00825614" w:rsidRPr="00F66162">
              <w:rPr>
                <w:b/>
                <w:noProof/>
                <w:sz w:val="18"/>
              </w:rPr>
              <w:t>ich</w:t>
            </w:r>
            <w:r w:rsidRPr="00F66162">
              <w:rPr>
                <w:b/>
                <w:noProof/>
                <w:sz w:val="18"/>
              </w:rPr>
              <w:t xml:space="preserve"> obliczania</w:t>
            </w:r>
          </w:p>
        </w:tc>
        <w:tc>
          <w:tcPr>
            <w:tcW w:w="6804"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43579FB7" w14:textId="7EFE77FE" w:rsidR="139DF8FE" w:rsidRPr="00F66162" w:rsidRDefault="139DF8FE" w:rsidP="139DF8FE">
            <w:pPr>
              <w:spacing w:after="0"/>
              <w:jc w:val="left"/>
              <w:rPr>
                <w:noProof/>
              </w:rPr>
            </w:pPr>
            <w:r w:rsidRPr="00F66162">
              <w:rPr>
                <w:noProof/>
                <w:sz w:val="18"/>
              </w:rPr>
              <w:t>Obliczanie emisji związanych</w:t>
            </w:r>
            <w:r w:rsidR="00825614" w:rsidRPr="00F66162">
              <w:rPr>
                <w:noProof/>
                <w:sz w:val="18"/>
              </w:rPr>
              <w:t xml:space="preserve"> z</w:t>
            </w:r>
            <w:r w:rsidR="00825614">
              <w:rPr>
                <w:noProof/>
                <w:sz w:val="18"/>
              </w:rPr>
              <w:t> </w:t>
            </w:r>
            <w:r w:rsidR="00825614" w:rsidRPr="00F66162">
              <w:rPr>
                <w:noProof/>
                <w:sz w:val="18"/>
              </w:rPr>
              <w:t>tow</w:t>
            </w:r>
            <w:r w:rsidRPr="00F66162">
              <w:rPr>
                <w:noProof/>
                <w:sz w:val="18"/>
              </w:rPr>
              <w:t>arami przywożonymi przez zgłaszających CBAM</w:t>
            </w:r>
            <w:r w:rsidR="00825614" w:rsidRPr="00F66162">
              <w:rPr>
                <w:noProof/>
                <w:sz w:val="18"/>
              </w:rPr>
              <w:t xml:space="preserve"> w</w:t>
            </w:r>
            <w:r w:rsidR="00825614">
              <w:rPr>
                <w:noProof/>
                <w:sz w:val="18"/>
              </w:rPr>
              <w:t> </w:t>
            </w:r>
            <w:r w:rsidR="00825614" w:rsidRPr="00F66162">
              <w:rPr>
                <w:noProof/>
                <w:sz w:val="18"/>
              </w:rPr>
              <w:t>opa</w:t>
            </w:r>
            <w:r w:rsidRPr="00F66162">
              <w:rPr>
                <w:noProof/>
                <w:sz w:val="18"/>
              </w:rPr>
              <w:t>rciu</w:t>
            </w:r>
            <w:r w:rsidR="00825614" w:rsidRPr="00F66162">
              <w:rPr>
                <w:noProof/>
                <w:sz w:val="18"/>
              </w:rPr>
              <w:t xml:space="preserve"> o</w:t>
            </w:r>
            <w:r w:rsidR="00825614">
              <w:rPr>
                <w:noProof/>
                <w:sz w:val="18"/>
              </w:rPr>
              <w:t> </w:t>
            </w:r>
            <w:r w:rsidR="00825614" w:rsidRPr="00F66162">
              <w:rPr>
                <w:noProof/>
                <w:sz w:val="18"/>
              </w:rPr>
              <w:t>dan</w:t>
            </w:r>
            <w:r w:rsidRPr="00F66162">
              <w:rPr>
                <w:noProof/>
                <w:sz w:val="18"/>
              </w:rPr>
              <w:t>e otrzymane od zgłaszającego, dane referencyjne, dane rejestrowe (wartości własne zgłaszającego), dane otrzymane od operatorów</w:t>
            </w:r>
            <w:r w:rsidR="00825614" w:rsidRPr="00F66162">
              <w:rPr>
                <w:noProof/>
                <w:sz w:val="18"/>
              </w:rPr>
              <w:t xml:space="preserve"> i</w:t>
            </w:r>
            <w:r w:rsidR="00825614">
              <w:rPr>
                <w:noProof/>
                <w:sz w:val="18"/>
              </w:rPr>
              <w:t> </w:t>
            </w:r>
            <w:r w:rsidR="00825614" w:rsidRPr="00F66162">
              <w:rPr>
                <w:noProof/>
                <w:sz w:val="18"/>
              </w:rPr>
              <w:t>pań</w:t>
            </w:r>
            <w:r w:rsidRPr="00F66162">
              <w:rPr>
                <w:noProof/>
                <w:sz w:val="18"/>
              </w:rPr>
              <w:t>stw trzecich (raport</w:t>
            </w:r>
            <w:r w:rsidR="00825614" w:rsidRPr="00F66162">
              <w:rPr>
                <w:noProof/>
                <w:sz w:val="18"/>
              </w:rPr>
              <w:t xml:space="preserve"> </w:t>
            </w:r>
            <w:r w:rsidR="00825614" w:rsidRPr="00F66162">
              <w:rPr>
                <w:noProof/>
                <w:sz w:val="18"/>
              </w:rPr>
              <w:lastRenderedPageBreak/>
              <w:t>z</w:t>
            </w:r>
            <w:r w:rsidR="00825614">
              <w:rPr>
                <w:noProof/>
                <w:sz w:val="18"/>
              </w:rPr>
              <w:t> </w:t>
            </w:r>
            <w:r w:rsidR="00825614" w:rsidRPr="00F66162">
              <w:rPr>
                <w:noProof/>
                <w:sz w:val="18"/>
              </w:rPr>
              <w:t>wer</w:t>
            </w:r>
            <w:r w:rsidRPr="00F66162">
              <w:rPr>
                <w:noProof/>
                <w:sz w:val="18"/>
              </w:rPr>
              <w:t>yfikacji) itp.</w:t>
            </w:r>
          </w:p>
        </w:tc>
      </w:tr>
      <w:tr w:rsidR="139DF8FE" w:rsidRPr="00F66162" w14:paraId="0A79E6C7" w14:textId="77777777" w:rsidTr="000A2E84">
        <w:trPr>
          <w:trHeight w:val="1260"/>
        </w:trPr>
        <w:tc>
          <w:tcPr>
            <w:tcW w:w="2518"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24FF9872" w14:textId="77777777" w:rsidR="139DF8FE" w:rsidRPr="00F66162" w:rsidRDefault="139DF8FE" w:rsidP="139DF8FE">
            <w:pPr>
              <w:spacing w:after="0"/>
              <w:jc w:val="left"/>
              <w:rPr>
                <w:noProof/>
              </w:rPr>
            </w:pPr>
            <w:r w:rsidRPr="00F66162">
              <w:rPr>
                <w:b/>
                <w:noProof/>
                <w:color w:val="000000" w:themeColor="text1"/>
                <w:sz w:val="18"/>
              </w:rPr>
              <w:lastRenderedPageBreak/>
              <w:t>Dane przywożonych towarów CBAM</w:t>
            </w:r>
          </w:p>
        </w:tc>
        <w:tc>
          <w:tcPr>
            <w:tcW w:w="6804"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7C880D79" w14:textId="3D7BA045" w:rsidR="139DF8FE" w:rsidRPr="00F66162" w:rsidRDefault="139DF8FE" w:rsidP="139DF8FE">
            <w:pPr>
              <w:spacing w:after="0"/>
              <w:jc w:val="left"/>
              <w:rPr>
                <w:noProof/>
              </w:rPr>
            </w:pPr>
            <w:r w:rsidRPr="00F66162">
              <w:rPr>
                <w:noProof/>
                <w:color w:val="000000" w:themeColor="text1"/>
                <w:sz w:val="18"/>
              </w:rPr>
              <w:t>Portale właściwych organów krajowych</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Kom</w:t>
            </w:r>
            <w:r w:rsidRPr="00F66162">
              <w:rPr>
                <w:noProof/>
                <w:color w:val="000000" w:themeColor="text1"/>
                <w:sz w:val="18"/>
              </w:rPr>
              <w:t>isji zawierają interfejsy monitorujące wprowadzanie danych SURV3 (i identyfikujące problemy), umożliwiające użytkownikom ręczne wprowadzanie danych (w drodze wysyłki partii plików) dotyczących przywożonych towarów oraz towarów podlegających uszlachetnianiu czynnemu. Dane te są następnie przetwarzane, przechowywane</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por</w:t>
            </w:r>
            <w:r w:rsidRPr="00F66162">
              <w:rPr>
                <w:noProof/>
                <w:color w:val="000000" w:themeColor="text1"/>
                <w:sz w:val="18"/>
              </w:rPr>
              <w:t>talach,</w:t>
            </w:r>
            <w:r w:rsidR="00825614" w:rsidRPr="00F66162">
              <w:rPr>
                <w:noProof/>
                <w:color w:val="000000" w:themeColor="text1"/>
                <w:sz w:val="18"/>
              </w:rPr>
              <w:t xml:space="preserve"> a</w:t>
            </w:r>
            <w:r w:rsidR="00825614">
              <w:rPr>
                <w:noProof/>
                <w:color w:val="000000" w:themeColor="text1"/>
                <w:sz w:val="18"/>
              </w:rPr>
              <w:t> </w:t>
            </w:r>
            <w:r w:rsidR="00825614" w:rsidRPr="00F66162">
              <w:rPr>
                <w:noProof/>
                <w:color w:val="000000" w:themeColor="text1"/>
                <w:sz w:val="18"/>
              </w:rPr>
              <w:t>póź</w:t>
            </w:r>
            <w:r w:rsidRPr="00F66162">
              <w:rPr>
                <w:noProof/>
                <w:color w:val="000000" w:themeColor="text1"/>
                <w:sz w:val="18"/>
              </w:rPr>
              <w:t>niej – konsolidowane</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seg</w:t>
            </w:r>
            <w:r w:rsidRPr="00F66162">
              <w:rPr>
                <w:noProof/>
                <w:color w:val="000000" w:themeColor="text1"/>
                <w:sz w:val="18"/>
              </w:rPr>
              <w:t>mencie back-end</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ram</w:t>
            </w:r>
            <w:r w:rsidRPr="00F66162">
              <w:rPr>
                <w:noProof/>
                <w:color w:val="000000" w:themeColor="text1"/>
                <w:sz w:val="18"/>
              </w:rPr>
              <w:t>ach rejestru.</w:t>
            </w:r>
          </w:p>
        </w:tc>
      </w:tr>
      <w:tr w:rsidR="139DF8FE" w:rsidRPr="00F66162" w14:paraId="50E16359" w14:textId="77777777" w:rsidTr="000A2E84">
        <w:trPr>
          <w:trHeight w:val="300"/>
        </w:trPr>
        <w:tc>
          <w:tcPr>
            <w:tcW w:w="2518"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1B8DC1DD" w14:textId="1376F272" w:rsidR="139DF8FE" w:rsidRPr="00F66162" w:rsidRDefault="139DF8FE" w:rsidP="139DF8FE">
            <w:pPr>
              <w:spacing w:after="0"/>
              <w:jc w:val="left"/>
              <w:rPr>
                <w:noProof/>
              </w:rPr>
            </w:pPr>
            <w:r w:rsidRPr="00F66162">
              <w:rPr>
                <w:b/>
                <w:noProof/>
                <w:sz w:val="18"/>
              </w:rPr>
              <w:t>Dane dotyczące rejestru CBAM</w:t>
            </w:r>
          </w:p>
          <w:p w14:paraId="2852EE9D" w14:textId="4428FF3E" w:rsidR="139DF8FE" w:rsidRPr="00F66162" w:rsidRDefault="139DF8FE" w:rsidP="139DF8FE">
            <w:pPr>
              <w:spacing w:after="0"/>
              <w:jc w:val="left"/>
              <w:rPr>
                <w:noProof/>
              </w:rPr>
            </w:pPr>
            <w:r w:rsidRPr="00F66162">
              <w:rPr>
                <w:noProof/>
                <w:sz w:val="18"/>
              </w:rPr>
              <w:t>Uwaga: Nie określono jeszcze dokładnie danych, które mają być przechowywane</w:t>
            </w:r>
            <w:r w:rsidR="00825614" w:rsidRPr="00F66162">
              <w:rPr>
                <w:noProof/>
                <w:sz w:val="18"/>
              </w:rPr>
              <w:t xml:space="preserve"> w</w:t>
            </w:r>
            <w:r w:rsidR="00825614">
              <w:rPr>
                <w:noProof/>
                <w:sz w:val="18"/>
              </w:rPr>
              <w:t> </w:t>
            </w:r>
            <w:r w:rsidR="00825614" w:rsidRPr="00F66162">
              <w:rPr>
                <w:noProof/>
                <w:sz w:val="18"/>
              </w:rPr>
              <w:t>rej</w:t>
            </w:r>
            <w:r w:rsidRPr="00F66162">
              <w:rPr>
                <w:noProof/>
                <w:sz w:val="18"/>
              </w:rPr>
              <w:t>estrze. Co do zasady rejestr ma być niemożliwym do zmiany dziennikiem. Podjęto już odpowiednie działania, aby zapewnić jego bezpieczeństwo. Składnik ten zostanie poddany ponownej ocenie na Etapie 3.</w:t>
            </w:r>
          </w:p>
        </w:tc>
        <w:tc>
          <w:tcPr>
            <w:tcW w:w="6804"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1098CC46" w14:textId="57BE8C94" w:rsidR="139DF8FE" w:rsidRPr="00F66162" w:rsidRDefault="139DF8FE" w:rsidP="139DF8FE">
            <w:pPr>
              <w:spacing w:after="0"/>
              <w:jc w:val="left"/>
              <w:rPr>
                <w:noProof/>
              </w:rPr>
            </w:pPr>
            <w:r w:rsidRPr="00F66162">
              <w:rPr>
                <w:noProof/>
                <w:sz w:val="18"/>
              </w:rPr>
              <w:t>Dane dotyczące przetwarzania kont rejestru</w:t>
            </w:r>
            <w:r w:rsidR="00825614" w:rsidRPr="00F66162">
              <w:rPr>
                <w:noProof/>
                <w:sz w:val="18"/>
              </w:rPr>
              <w:t xml:space="preserve"> i</w:t>
            </w:r>
            <w:r w:rsidR="00825614">
              <w:rPr>
                <w:noProof/>
                <w:sz w:val="18"/>
              </w:rPr>
              <w:t> </w:t>
            </w:r>
            <w:r w:rsidR="00825614" w:rsidRPr="00F66162">
              <w:rPr>
                <w:noProof/>
                <w:sz w:val="18"/>
              </w:rPr>
              <w:t>dan</w:t>
            </w:r>
            <w:r w:rsidRPr="00F66162">
              <w:rPr>
                <w:noProof/>
                <w:sz w:val="18"/>
              </w:rPr>
              <w:t>e dotyczące transakcji.</w:t>
            </w:r>
            <w:r w:rsidRPr="00F66162">
              <w:rPr>
                <w:noProof/>
              </w:rPr>
              <w:br/>
              <w:t xml:space="preserve"> </w:t>
            </w:r>
            <w:r w:rsidRPr="00F66162">
              <w:rPr>
                <w:noProof/>
              </w:rPr>
              <w:br/>
            </w:r>
            <w:r w:rsidRPr="00F66162">
              <w:rPr>
                <w:noProof/>
                <w:sz w:val="18"/>
              </w:rPr>
              <w:t>Rejestr CBAM odpowiada za wpisy dziennika zawierające dane zgłaszającego (w tym numer jego rachunku)</w:t>
            </w:r>
            <w:r w:rsidR="00825614" w:rsidRPr="00F66162">
              <w:rPr>
                <w:noProof/>
                <w:sz w:val="18"/>
              </w:rPr>
              <w:t xml:space="preserve"> i</w:t>
            </w:r>
            <w:r w:rsidR="00825614">
              <w:rPr>
                <w:noProof/>
                <w:sz w:val="18"/>
              </w:rPr>
              <w:t> </w:t>
            </w:r>
            <w:r w:rsidR="00825614" w:rsidRPr="00F66162">
              <w:rPr>
                <w:noProof/>
                <w:sz w:val="18"/>
              </w:rPr>
              <w:t>tra</w:t>
            </w:r>
            <w:r w:rsidRPr="00F66162">
              <w:rPr>
                <w:noProof/>
                <w:sz w:val="18"/>
              </w:rPr>
              <w:t>nsakcji między powiązanymi relacjami komponentu CBAM, zarządza tymi wpisami i je rejestruje. Wpisy te tworzone są</w:t>
            </w:r>
            <w:r w:rsidR="00825614" w:rsidRPr="00F66162">
              <w:rPr>
                <w:noProof/>
                <w:sz w:val="18"/>
              </w:rPr>
              <w:t xml:space="preserve"> w</w:t>
            </w:r>
            <w:r w:rsidR="00825614">
              <w:rPr>
                <w:noProof/>
                <w:sz w:val="18"/>
              </w:rPr>
              <w:t> </w:t>
            </w:r>
            <w:r w:rsidR="00825614" w:rsidRPr="00F66162">
              <w:rPr>
                <w:noProof/>
                <w:sz w:val="18"/>
              </w:rPr>
              <w:t>dro</w:t>
            </w:r>
            <w:r w:rsidRPr="00F66162">
              <w:rPr>
                <w:noProof/>
                <w:sz w:val="18"/>
              </w:rPr>
              <w:t>dze dodawania danych, które następnie stają się niemożliwe do zmiany (dane te obejmują kwestie zarządzania cyklem życia deklaracji, autoryzacji</w:t>
            </w:r>
            <w:r w:rsidR="00825614" w:rsidRPr="00F66162">
              <w:rPr>
                <w:noProof/>
                <w:sz w:val="18"/>
              </w:rPr>
              <w:t xml:space="preserve"> i</w:t>
            </w:r>
            <w:r w:rsidR="00825614">
              <w:rPr>
                <w:noProof/>
                <w:sz w:val="18"/>
              </w:rPr>
              <w:t> </w:t>
            </w:r>
            <w:r w:rsidR="00825614" w:rsidRPr="00F66162">
              <w:rPr>
                <w:noProof/>
                <w:sz w:val="18"/>
              </w:rPr>
              <w:t>zar</w:t>
            </w:r>
            <w:r w:rsidRPr="00F66162">
              <w:rPr>
                <w:noProof/>
                <w:sz w:val="18"/>
              </w:rPr>
              <w:t>ządzania rachunkami, zarządzania certyfikatami, monitorowania ryzyka</w:t>
            </w:r>
            <w:r w:rsidR="00825614" w:rsidRPr="00F66162">
              <w:rPr>
                <w:noProof/>
                <w:sz w:val="18"/>
              </w:rPr>
              <w:t xml:space="preserve"> i</w:t>
            </w:r>
            <w:r w:rsidR="00825614">
              <w:rPr>
                <w:noProof/>
                <w:sz w:val="18"/>
              </w:rPr>
              <w:t> </w:t>
            </w:r>
            <w:r w:rsidR="00825614" w:rsidRPr="00F66162">
              <w:rPr>
                <w:noProof/>
                <w:sz w:val="18"/>
              </w:rPr>
              <w:t>prz</w:t>
            </w:r>
            <w:r w:rsidRPr="00F66162">
              <w:rPr>
                <w:noProof/>
                <w:sz w:val="18"/>
              </w:rPr>
              <w:t>ypadków nieprzestrzegania przepisów, ARV itp.).</w:t>
            </w:r>
          </w:p>
        </w:tc>
      </w:tr>
      <w:tr w:rsidR="139DF8FE" w:rsidRPr="00F66162" w14:paraId="704E6D79" w14:textId="77777777" w:rsidTr="000A2E84">
        <w:trPr>
          <w:trHeight w:val="2085"/>
        </w:trPr>
        <w:tc>
          <w:tcPr>
            <w:tcW w:w="2518"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71AD1B38" w14:textId="0A461A14" w:rsidR="139DF8FE" w:rsidRPr="00F66162" w:rsidRDefault="139DF8FE" w:rsidP="139DF8FE">
            <w:pPr>
              <w:spacing w:after="0"/>
              <w:jc w:val="left"/>
              <w:rPr>
                <w:noProof/>
              </w:rPr>
            </w:pPr>
            <w:r w:rsidRPr="00F66162">
              <w:rPr>
                <w:b/>
                <w:noProof/>
                <w:color w:val="000000" w:themeColor="text1"/>
                <w:sz w:val="18"/>
              </w:rPr>
              <w:t>Dane dotyczące monitorowania nieprzestrzegania przepisów CBAM, dochodzeń</w:t>
            </w:r>
            <w:r w:rsidR="00825614" w:rsidRPr="00F66162">
              <w:rPr>
                <w:b/>
                <w:noProof/>
                <w:color w:val="000000" w:themeColor="text1"/>
                <w:sz w:val="18"/>
              </w:rPr>
              <w:t xml:space="preserve"> w</w:t>
            </w:r>
            <w:r w:rsidR="00825614">
              <w:rPr>
                <w:b/>
                <w:noProof/>
                <w:color w:val="000000" w:themeColor="text1"/>
                <w:sz w:val="18"/>
              </w:rPr>
              <w:t> </w:t>
            </w:r>
            <w:r w:rsidR="00825614" w:rsidRPr="00F66162">
              <w:rPr>
                <w:b/>
                <w:noProof/>
                <w:color w:val="000000" w:themeColor="text1"/>
                <w:sz w:val="18"/>
              </w:rPr>
              <w:t>spr</w:t>
            </w:r>
            <w:r w:rsidRPr="00F66162">
              <w:rPr>
                <w:b/>
                <w:noProof/>
                <w:color w:val="000000" w:themeColor="text1"/>
                <w:sz w:val="18"/>
              </w:rPr>
              <w:t>awie obchodzenia przepisów</w:t>
            </w:r>
            <w:r w:rsidR="00825614" w:rsidRPr="00F66162">
              <w:rPr>
                <w:b/>
                <w:noProof/>
                <w:color w:val="000000" w:themeColor="text1"/>
                <w:sz w:val="18"/>
              </w:rPr>
              <w:t xml:space="preserve"> i</w:t>
            </w:r>
            <w:r w:rsidR="00825614">
              <w:rPr>
                <w:b/>
                <w:noProof/>
                <w:color w:val="000000" w:themeColor="text1"/>
                <w:sz w:val="18"/>
              </w:rPr>
              <w:t> </w:t>
            </w:r>
            <w:r w:rsidR="00825614" w:rsidRPr="00F66162">
              <w:rPr>
                <w:b/>
                <w:noProof/>
                <w:color w:val="000000" w:themeColor="text1"/>
                <w:sz w:val="18"/>
              </w:rPr>
              <w:t>zar</w:t>
            </w:r>
            <w:r w:rsidRPr="00F66162">
              <w:rPr>
                <w:b/>
                <w:noProof/>
                <w:color w:val="000000" w:themeColor="text1"/>
                <w:sz w:val="18"/>
              </w:rPr>
              <w:t>ządzania ryzykiem</w:t>
            </w:r>
          </w:p>
        </w:tc>
        <w:tc>
          <w:tcPr>
            <w:tcW w:w="6804"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18FA1940" w14:textId="7174A151" w:rsidR="139DF8FE" w:rsidRPr="00F66162" w:rsidRDefault="139DF8FE" w:rsidP="139DF8FE">
            <w:pPr>
              <w:spacing w:after="0"/>
              <w:jc w:val="left"/>
              <w:rPr>
                <w:noProof/>
              </w:rPr>
            </w:pPr>
            <w:r w:rsidRPr="00F66162">
              <w:rPr>
                <w:noProof/>
                <w:color w:val="000000" w:themeColor="text1"/>
                <w:sz w:val="18"/>
              </w:rPr>
              <w:t>System informatyczny CBAM wykorzystywany do śledzenia, monitorowania</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uwi</w:t>
            </w:r>
            <w:r w:rsidRPr="00F66162">
              <w:rPr>
                <w:noProof/>
                <w:color w:val="000000" w:themeColor="text1"/>
                <w:sz w:val="18"/>
              </w:rPr>
              <w:t>daczniania potencjalnych lub potwierdzonych przypadków nieprawidłowości</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nie</w:t>
            </w:r>
            <w:r w:rsidRPr="00F66162">
              <w:rPr>
                <w:noProof/>
                <w:color w:val="000000" w:themeColor="text1"/>
                <w:sz w:val="18"/>
              </w:rPr>
              <w:t>zgodności</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sys</w:t>
            </w:r>
            <w:r w:rsidRPr="00F66162">
              <w:rPr>
                <w:noProof/>
                <w:color w:val="000000" w:themeColor="text1"/>
                <w:sz w:val="18"/>
              </w:rPr>
              <w:t>temie CBAM.</w:t>
            </w:r>
          </w:p>
          <w:p w14:paraId="4DA760ED" w14:textId="2F173562" w:rsidR="139DF8FE" w:rsidRPr="00F66162" w:rsidRDefault="139DF8FE" w:rsidP="139DF8FE">
            <w:pPr>
              <w:spacing w:after="0"/>
              <w:jc w:val="left"/>
              <w:rPr>
                <w:noProof/>
              </w:rPr>
            </w:pPr>
            <w:r w:rsidRPr="00F66162">
              <w:rPr>
                <w:noProof/>
                <w:color w:val="000000" w:themeColor="text1"/>
                <w:sz w:val="18"/>
              </w:rPr>
              <w:t>Identyfikowanie, monitorowanie, weryfikowanie</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zgł</w:t>
            </w:r>
            <w:r w:rsidRPr="00F66162">
              <w:rPr>
                <w:noProof/>
                <w:color w:val="000000" w:themeColor="text1"/>
                <w:sz w:val="18"/>
              </w:rPr>
              <w:t>aszanie przypadków obchodzenia przepisów</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inn</w:t>
            </w:r>
            <w:r w:rsidRPr="00F66162">
              <w:rPr>
                <w:noProof/>
                <w:color w:val="000000" w:themeColor="text1"/>
                <w:sz w:val="18"/>
              </w:rPr>
              <w:t>ych nielegalnych praktyk niezgodnych</w:t>
            </w:r>
            <w:r w:rsidR="00825614" w:rsidRPr="00F66162">
              <w:rPr>
                <w:noProof/>
                <w:color w:val="000000" w:themeColor="text1"/>
                <w:sz w:val="18"/>
              </w:rPr>
              <w:t xml:space="preserve"> z</w:t>
            </w:r>
            <w:r w:rsidR="00825614">
              <w:rPr>
                <w:noProof/>
                <w:color w:val="000000" w:themeColor="text1"/>
                <w:sz w:val="18"/>
              </w:rPr>
              <w:t> </w:t>
            </w:r>
            <w:r w:rsidR="00825614" w:rsidRPr="00F66162">
              <w:rPr>
                <w:noProof/>
                <w:color w:val="000000" w:themeColor="text1"/>
                <w:sz w:val="18"/>
              </w:rPr>
              <w:t>roz</w:t>
            </w:r>
            <w:r w:rsidRPr="00F66162">
              <w:rPr>
                <w:noProof/>
                <w:color w:val="000000" w:themeColor="text1"/>
                <w:sz w:val="18"/>
              </w:rPr>
              <w:t xml:space="preserve">porządzeniem CBAM. </w:t>
            </w:r>
          </w:p>
          <w:p w14:paraId="293E322D" w14:textId="2CF66238" w:rsidR="139DF8FE" w:rsidRPr="00F66162" w:rsidRDefault="139DF8FE" w:rsidP="139DF8FE">
            <w:pPr>
              <w:spacing w:after="0"/>
              <w:jc w:val="left"/>
              <w:rPr>
                <w:noProof/>
              </w:rPr>
            </w:pPr>
            <w:r w:rsidRPr="00F66162">
              <w:rPr>
                <w:noProof/>
                <w:color w:val="000000" w:themeColor="text1"/>
                <w:sz w:val="18"/>
              </w:rPr>
              <w:t>Komponent oceny ryzyka (w tym wyniki przeglądów deklaracji) obejmuje (i) komponent zarządzania, mający na celu identyfikację</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oce</w:t>
            </w:r>
            <w:r w:rsidRPr="00F66162">
              <w:rPr>
                <w:noProof/>
                <w:color w:val="000000" w:themeColor="text1"/>
                <w:sz w:val="18"/>
              </w:rPr>
              <w:t>nę ryzyka (np. analiza zdarzeń ryzyka, sprawozdania</w:t>
            </w:r>
            <w:r w:rsidR="00825614" w:rsidRPr="00F66162">
              <w:rPr>
                <w:noProof/>
                <w:color w:val="000000" w:themeColor="text1"/>
                <w:sz w:val="18"/>
              </w:rPr>
              <w:t xml:space="preserve"> z</w:t>
            </w:r>
            <w:r w:rsidR="00825614">
              <w:rPr>
                <w:noProof/>
                <w:color w:val="000000" w:themeColor="text1"/>
                <w:sz w:val="18"/>
              </w:rPr>
              <w:t> </w:t>
            </w:r>
            <w:r w:rsidR="00825614" w:rsidRPr="00F66162">
              <w:rPr>
                <w:noProof/>
                <w:color w:val="000000" w:themeColor="text1"/>
                <w:sz w:val="18"/>
              </w:rPr>
              <w:t>wer</w:t>
            </w:r>
            <w:r w:rsidRPr="00F66162">
              <w:rPr>
                <w:noProof/>
                <w:color w:val="000000" w:themeColor="text1"/>
                <w:sz w:val="18"/>
              </w:rPr>
              <w:t>yfikacji, wyniki kontroli ryzyka itp.) związanego</w:t>
            </w:r>
            <w:r w:rsidR="00825614" w:rsidRPr="00F66162">
              <w:rPr>
                <w:noProof/>
                <w:color w:val="000000" w:themeColor="text1"/>
                <w:sz w:val="18"/>
              </w:rPr>
              <w:t xml:space="preserve"> z</w:t>
            </w:r>
            <w:r w:rsidR="00825614">
              <w:rPr>
                <w:noProof/>
                <w:color w:val="000000" w:themeColor="text1"/>
                <w:sz w:val="18"/>
              </w:rPr>
              <w:t> </w:t>
            </w:r>
            <w:r w:rsidR="00825614" w:rsidRPr="00F66162">
              <w:rPr>
                <w:noProof/>
                <w:color w:val="000000" w:themeColor="text1"/>
                <w:sz w:val="18"/>
              </w:rPr>
              <w:t>pro</w:t>
            </w:r>
            <w:r w:rsidRPr="00F66162">
              <w:rPr>
                <w:noProof/>
                <w:color w:val="000000" w:themeColor="text1"/>
                <w:sz w:val="18"/>
              </w:rPr>
              <w:t>cesem przeglądu deklaracji, (ii) identyfikację</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oce</w:t>
            </w:r>
            <w:r w:rsidRPr="00F66162">
              <w:rPr>
                <w:noProof/>
                <w:color w:val="000000" w:themeColor="text1"/>
                <w:sz w:val="18"/>
              </w:rPr>
              <w:t>nę potencjalnych nieprawidłowości</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seg</w:t>
            </w:r>
            <w:r w:rsidRPr="00F66162">
              <w:rPr>
                <w:noProof/>
                <w:color w:val="000000" w:themeColor="text1"/>
                <w:sz w:val="18"/>
              </w:rPr>
              <w:t>mencie back-end rejestru CBAM oraz (iii) identyfikację</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oce</w:t>
            </w:r>
            <w:r w:rsidRPr="00F66162">
              <w:rPr>
                <w:noProof/>
                <w:color w:val="000000" w:themeColor="text1"/>
                <w:sz w:val="18"/>
              </w:rPr>
              <w:t>nę przypadków obchodzenia przepisów (dalsze dochodzenie).</w:t>
            </w:r>
          </w:p>
          <w:p w14:paraId="5217A62A" w14:textId="47F08281" w:rsidR="139DF8FE" w:rsidRPr="00F66162" w:rsidRDefault="139DF8FE" w:rsidP="139DF8FE">
            <w:pPr>
              <w:spacing w:after="0"/>
              <w:jc w:val="left"/>
              <w:rPr>
                <w:noProof/>
              </w:rPr>
            </w:pPr>
            <w:r w:rsidRPr="00F66162">
              <w:rPr>
                <w:noProof/>
                <w:color w:val="000000" w:themeColor="text1"/>
                <w:sz w:val="18"/>
              </w:rPr>
              <w:t>Łączy informacje</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fun</w:t>
            </w:r>
            <w:r w:rsidRPr="00F66162">
              <w:rPr>
                <w:noProof/>
                <w:color w:val="000000" w:themeColor="text1"/>
                <w:sz w:val="18"/>
              </w:rPr>
              <w:t>kcje modułów dochodzeń, zarządzania ryzykiem</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bez</w:t>
            </w:r>
            <w:r w:rsidRPr="00F66162">
              <w:rPr>
                <w:noProof/>
                <w:color w:val="000000" w:themeColor="text1"/>
                <w:sz w:val="18"/>
              </w:rPr>
              <w:t>piecznego forum</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odn</w:t>
            </w:r>
            <w:r w:rsidRPr="00F66162">
              <w:rPr>
                <w:noProof/>
                <w:color w:val="000000" w:themeColor="text1"/>
                <w:sz w:val="18"/>
              </w:rPr>
              <w:t>iesieniu do poszczególnych działań.</w:t>
            </w:r>
          </w:p>
        </w:tc>
      </w:tr>
      <w:tr w:rsidR="139DF8FE" w:rsidRPr="00F66162" w14:paraId="63E363C0" w14:textId="77777777" w:rsidTr="000A2E84">
        <w:trPr>
          <w:trHeight w:val="300"/>
        </w:trPr>
        <w:tc>
          <w:tcPr>
            <w:tcW w:w="2518"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0BCAC175" w14:textId="77777777" w:rsidR="139DF8FE" w:rsidRPr="00F66162" w:rsidRDefault="139DF8FE" w:rsidP="139DF8FE">
            <w:pPr>
              <w:spacing w:after="0"/>
              <w:jc w:val="left"/>
              <w:rPr>
                <w:noProof/>
              </w:rPr>
            </w:pPr>
            <w:r w:rsidRPr="00F66162">
              <w:rPr>
                <w:b/>
                <w:noProof/>
                <w:sz w:val="18"/>
              </w:rPr>
              <w:t>Dane referencyjne CBAM</w:t>
            </w:r>
          </w:p>
        </w:tc>
        <w:tc>
          <w:tcPr>
            <w:tcW w:w="6804"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7C6C5AC6" w14:textId="10F8793A" w:rsidR="139DF8FE" w:rsidRPr="00F66162" w:rsidRDefault="139DF8FE" w:rsidP="139DF8FE">
            <w:pPr>
              <w:spacing w:after="0"/>
              <w:jc w:val="left"/>
              <w:rPr>
                <w:noProof/>
              </w:rPr>
            </w:pPr>
            <w:r w:rsidRPr="00F66162">
              <w:rPr>
                <w:noProof/>
                <w:sz w:val="18"/>
              </w:rPr>
              <w:t>Główne źródło wszystkich danych referencyjnych CBAM, (bezpośrednio lub pośrednio) zapewniające spójność</w:t>
            </w:r>
            <w:r w:rsidR="00825614" w:rsidRPr="00F66162">
              <w:rPr>
                <w:noProof/>
                <w:sz w:val="18"/>
              </w:rPr>
              <w:t xml:space="preserve"> i</w:t>
            </w:r>
            <w:r w:rsidR="00825614">
              <w:rPr>
                <w:noProof/>
                <w:sz w:val="18"/>
              </w:rPr>
              <w:t> </w:t>
            </w:r>
            <w:r w:rsidR="00825614" w:rsidRPr="00F66162">
              <w:rPr>
                <w:noProof/>
                <w:sz w:val="18"/>
              </w:rPr>
              <w:t>int</w:t>
            </w:r>
            <w:r w:rsidRPr="00F66162">
              <w:rPr>
                <w:noProof/>
                <w:sz w:val="18"/>
              </w:rPr>
              <w:t xml:space="preserve">egralność danych we wszystkich komponentach CBAM. </w:t>
            </w:r>
          </w:p>
        </w:tc>
      </w:tr>
      <w:tr w:rsidR="139DF8FE" w:rsidRPr="00F66162" w14:paraId="304E5B34" w14:textId="77777777" w:rsidTr="000A2E84">
        <w:trPr>
          <w:trHeight w:val="735"/>
        </w:trPr>
        <w:tc>
          <w:tcPr>
            <w:tcW w:w="2518"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2576A67A" w14:textId="7F292BBA" w:rsidR="139DF8FE" w:rsidRPr="00F66162" w:rsidRDefault="139DF8FE" w:rsidP="139DF8FE">
            <w:pPr>
              <w:spacing w:after="0"/>
              <w:jc w:val="left"/>
              <w:rPr>
                <w:noProof/>
              </w:rPr>
            </w:pPr>
            <w:r w:rsidRPr="00F66162">
              <w:rPr>
                <w:b/>
                <w:noProof/>
                <w:color w:val="000000" w:themeColor="text1"/>
                <w:sz w:val="18"/>
              </w:rPr>
              <w:t>Dane dotyczące sprawozdawczości CBAM, tabeli wyników, powiadomień</w:t>
            </w:r>
            <w:r w:rsidR="00825614" w:rsidRPr="00F66162">
              <w:rPr>
                <w:b/>
                <w:noProof/>
                <w:color w:val="000000" w:themeColor="text1"/>
                <w:sz w:val="18"/>
              </w:rPr>
              <w:t xml:space="preserve"> i</w:t>
            </w:r>
            <w:r w:rsidR="00825614">
              <w:rPr>
                <w:b/>
                <w:noProof/>
                <w:color w:val="000000" w:themeColor="text1"/>
                <w:sz w:val="18"/>
              </w:rPr>
              <w:t> </w:t>
            </w:r>
            <w:r w:rsidR="00825614" w:rsidRPr="00F66162">
              <w:rPr>
                <w:b/>
                <w:noProof/>
                <w:color w:val="000000" w:themeColor="text1"/>
                <w:sz w:val="18"/>
              </w:rPr>
              <w:t>zar</w:t>
            </w:r>
            <w:r w:rsidRPr="00F66162">
              <w:rPr>
                <w:b/>
                <w:noProof/>
                <w:color w:val="000000" w:themeColor="text1"/>
                <w:sz w:val="18"/>
              </w:rPr>
              <w:t>ządzania dokumentami</w:t>
            </w:r>
          </w:p>
        </w:tc>
        <w:tc>
          <w:tcPr>
            <w:tcW w:w="6804"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53DD551C" w14:textId="246ED36F" w:rsidR="139DF8FE" w:rsidRPr="00F66162" w:rsidRDefault="139DF8FE" w:rsidP="139DF8FE">
            <w:pPr>
              <w:spacing w:after="0"/>
              <w:jc w:val="left"/>
              <w:rPr>
                <w:noProof/>
              </w:rPr>
            </w:pPr>
            <w:r w:rsidRPr="00F66162">
              <w:rPr>
                <w:noProof/>
                <w:color w:val="000000" w:themeColor="text1"/>
                <w:sz w:val="18"/>
              </w:rPr>
              <w:t>Kluczowe narzędzie do śledzenia</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mon</w:t>
            </w:r>
            <w:r w:rsidRPr="00F66162">
              <w:rPr>
                <w:noProof/>
                <w:color w:val="000000" w:themeColor="text1"/>
                <w:sz w:val="18"/>
              </w:rPr>
              <w:t>itorowania systemu CBAM oraz gromadzenia</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ana</w:t>
            </w:r>
            <w:r w:rsidRPr="00F66162">
              <w:rPr>
                <w:noProof/>
                <w:color w:val="000000" w:themeColor="text1"/>
                <w:sz w:val="18"/>
              </w:rPr>
              <w:t>lizowania kluczowych wskaźników jego efektywności</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odp</w:t>
            </w:r>
            <w:r w:rsidRPr="00F66162">
              <w:rPr>
                <w:noProof/>
                <w:color w:val="000000" w:themeColor="text1"/>
                <w:sz w:val="18"/>
              </w:rPr>
              <w:t>owiednich wskaźników biznesowych.</w:t>
            </w:r>
          </w:p>
          <w:p w14:paraId="6D16F540" w14:textId="77777777" w:rsidR="139DF8FE" w:rsidRPr="00F66162" w:rsidRDefault="139DF8FE" w:rsidP="139DF8FE">
            <w:pPr>
              <w:spacing w:after="0"/>
              <w:jc w:val="left"/>
              <w:rPr>
                <w:noProof/>
              </w:rPr>
            </w:pPr>
            <w:r w:rsidRPr="00F66162">
              <w:rPr>
                <w:noProof/>
                <w:color w:val="000000" w:themeColor="text1"/>
                <w:sz w:val="18"/>
              </w:rPr>
              <w:t>Wykorzystywane do przekazywania informacji biznesowych odpowiednim użytkownikom systemu CBAM; obejmuje to możliwość odpowiadania na powiadomienia, jeżeli jest to konieczne/wymagane.</w:t>
            </w:r>
          </w:p>
          <w:p w14:paraId="24CB8F8A" w14:textId="40048D03" w:rsidR="139DF8FE" w:rsidRPr="00F66162" w:rsidRDefault="139DF8FE" w:rsidP="139DF8FE">
            <w:pPr>
              <w:spacing w:after="0"/>
              <w:jc w:val="left"/>
              <w:rPr>
                <w:noProof/>
              </w:rPr>
            </w:pPr>
            <w:r w:rsidRPr="00F66162">
              <w:rPr>
                <w:noProof/>
                <w:color w:val="000000" w:themeColor="text1"/>
                <w:sz w:val="18"/>
              </w:rPr>
              <w:t>Wykorzystywane do przechowywania</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wys</w:t>
            </w:r>
            <w:r w:rsidRPr="00F66162">
              <w:rPr>
                <w:noProof/>
                <w:color w:val="000000" w:themeColor="text1"/>
                <w:sz w:val="18"/>
              </w:rPr>
              <w:t>zukiwania dokumentów mających wpływ na wiele modułów systemu CBAM oraz zarządzania tymi dokumentami.</w:t>
            </w:r>
          </w:p>
        </w:tc>
      </w:tr>
      <w:tr w:rsidR="139DF8FE" w:rsidRPr="00F66162" w14:paraId="5D1C2E87" w14:textId="77777777" w:rsidTr="000A2E84">
        <w:trPr>
          <w:trHeight w:val="300"/>
        </w:trPr>
        <w:tc>
          <w:tcPr>
            <w:tcW w:w="2518"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490DAAF6" w14:textId="77777777" w:rsidR="139DF8FE" w:rsidRPr="00F66162" w:rsidRDefault="139DF8FE" w:rsidP="139DF8FE">
            <w:pPr>
              <w:spacing w:after="0"/>
              <w:jc w:val="left"/>
              <w:rPr>
                <w:noProof/>
              </w:rPr>
            </w:pPr>
            <w:r w:rsidRPr="00F66162">
              <w:rPr>
                <w:b/>
                <w:noProof/>
                <w:sz w:val="18"/>
              </w:rPr>
              <w:t>Dane dotyczące bezpiecznego forum CBAM</w:t>
            </w:r>
          </w:p>
        </w:tc>
        <w:tc>
          <w:tcPr>
            <w:tcW w:w="6804"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2C648DBD" w14:textId="6174A787" w:rsidR="139DF8FE" w:rsidRPr="00F66162" w:rsidRDefault="139DF8FE" w:rsidP="139DF8FE">
            <w:pPr>
              <w:spacing w:after="0"/>
              <w:jc w:val="left"/>
              <w:rPr>
                <w:noProof/>
              </w:rPr>
            </w:pPr>
            <w:r w:rsidRPr="00F66162">
              <w:rPr>
                <w:noProof/>
                <w:sz w:val="18"/>
              </w:rPr>
              <w:t>Platforma doraźnej komunikacji</w:t>
            </w:r>
            <w:r w:rsidR="00825614" w:rsidRPr="00F66162">
              <w:rPr>
                <w:noProof/>
                <w:sz w:val="18"/>
              </w:rPr>
              <w:t xml:space="preserve"> i</w:t>
            </w:r>
            <w:r w:rsidR="00825614">
              <w:rPr>
                <w:noProof/>
                <w:sz w:val="18"/>
              </w:rPr>
              <w:t> </w:t>
            </w:r>
            <w:r w:rsidR="00825614" w:rsidRPr="00F66162">
              <w:rPr>
                <w:noProof/>
                <w:sz w:val="18"/>
              </w:rPr>
              <w:t>wym</w:t>
            </w:r>
            <w:r w:rsidRPr="00F66162">
              <w:rPr>
                <w:noProof/>
                <w:sz w:val="18"/>
              </w:rPr>
              <w:t>iany informacji szczególnie chronionych między wszystkimi organami odpowiedzialnymi za wdrażanie rozporządzenia</w:t>
            </w:r>
            <w:r w:rsidR="00825614" w:rsidRPr="00F66162">
              <w:rPr>
                <w:noProof/>
                <w:sz w:val="18"/>
              </w:rPr>
              <w:t xml:space="preserve"> w</w:t>
            </w:r>
            <w:r w:rsidR="00825614">
              <w:rPr>
                <w:noProof/>
                <w:sz w:val="18"/>
              </w:rPr>
              <w:t> </w:t>
            </w:r>
            <w:r w:rsidR="00825614" w:rsidRPr="00F66162">
              <w:rPr>
                <w:noProof/>
                <w:sz w:val="18"/>
              </w:rPr>
              <w:t>spr</w:t>
            </w:r>
            <w:r w:rsidRPr="00F66162">
              <w:rPr>
                <w:noProof/>
                <w:sz w:val="18"/>
              </w:rPr>
              <w:t>awie CBAM (właściwe organy krajowe, właściwe krajowe organy celne, Komisja, inne organy, takie jak EPPO, OLAF itp.).</w:t>
            </w:r>
          </w:p>
          <w:p w14:paraId="289E547E" w14:textId="4D1DCE2D" w:rsidR="139DF8FE" w:rsidRPr="00F66162" w:rsidRDefault="139DF8FE" w:rsidP="139DF8FE">
            <w:pPr>
              <w:spacing w:after="0"/>
              <w:jc w:val="left"/>
              <w:rPr>
                <w:noProof/>
              </w:rPr>
            </w:pPr>
            <w:r w:rsidRPr="00F66162">
              <w:rPr>
                <w:noProof/>
                <w:sz w:val="18"/>
              </w:rPr>
              <w:t>Wszystkie pozostałe ustrukturyzowane lub nieustrukturyzowane informacje/dane pozyskane lub pobrane</w:t>
            </w:r>
            <w:r w:rsidR="00825614" w:rsidRPr="00F66162">
              <w:rPr>
                <w:noProof/>
                <w:sz w:val="18"/>
              </w:rPr>
              <w:t xml:space="preserve"> z</w:t>
            </w:r>
            <w:r w:rsidR="00825614">
              <w:rPr>
                <w:noProof/>
                <w:sz w:val="18"/>
              </w:rPr>
              <w:t> </w:t>
            </w:r>
            <w:r w:rsidR="00825614" w:rsidRPr="00F66162">
              <w:rPr>
                <w:noProof/>
                <w:sz w:val="18"/>
              </w:rPr>
              <w:t>sys</w:t>
            </w:r>
            <w:r w:rsidRPr="00F66162">
              <w:rPr>
                <w:noProof/>
                <w:sz w:val="18"/>
              </w:rPr>
              <w:t>temu CBAM</w:t>
            </w:r>
            <w:r w:rsidR="00825614" w:rsidRPr="00F66162">
              <w:rPr>
                <w:noProof/>
                <w:sz w:val="18"/>
              </w:rPr>
              <w:t xml:space="preserve"> i</w:t>
            </w:r>
            <w:r w:rsidR="00825614">
              <w:rPr>
                <w:noProof/>
                <w:sz w:val="18"/>
              </w:rPr>
              <w:t> </w:t>
            </w:r>
            <w:r w:rsidR="00825614" w:rsidRPr="00F66162">
              <w:rPr>
                <w:noProof/>
                <w:sz w:val="18"/>
              </w:rPr>
              <w:t>prz</w:t>
            </w:r>
            <w:r w:rsidRPr="00F66162">
              <w:rPr>
                <w:noProof/>
                <w:sz w:val="18"/>
              </w:rPr>
              <w:t>echowywane lub przetwarzane</w:t>
            </w:r>
            <w:r w:rsidR="00825614" w:rsidRPr="00F66162">
              <w:rPr>
                <w:noProof/>
                <w:sz w:val="18"/>
              </w:rPr>
              <w:t xml:space="preserve"> w</w:t>
            </w:r>
            <w:r w:rsidR="00825614">
              <w:rPr>
                <w:noProof/>
                <w:sz w:val="18"/>
              </w:rPr>
              <w:t> </w:t>
            </w:r>
            <w:r w:rsidR="00825614" w:rsidRPr="00F66162">
              <w:rPr>
                <w:noProof/>
                <w:sz w:val="18"/>
              </w:rPr>
              <w:t>mie</w:t>
            </w:r>
            <w:r w:rsidRPr="00F66162">
              <w:rPr>
                <w:noProof/>
                <w:sz w:val="18"/>
              </w:rPr>
              <w:t>jscach przechowywania i na nośnikach poza systemem CBAM.</w:t>
            </w:r>
          </w:p>
        </w:tc>
      </w:tr>
      <w:tr w:rsidR="139DF8FE" w:rsidRPr="00F66162" w14:paraId="13DCB370" w14:textId="77777777" w:rsidTr="000A2E84">
        <w:trPr>
          <w:trHeight w:val="300"/>
        </w:trPr>
        <w:tc>
          <w:tcPr>
            <w:tcW w:w="2518"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1D31D932" w14:textId="77777777" w:rsidR="139DF8FE" w:rsidRPr="00F66162" w:rsidRDefault="139DF8FE" w:rsidP="139DF8FE">
            <w:pPr>
              <w:spacing w:after="0"/>
              <w:jc w:val="left"/>
              <w:rPr>
                <w:noProof/>
              </w:rPr>
            </w:pPr>
            <w:r w:rsidRPr="00F66162">
              <w:rPr>
                <w:b/>
                <w:noProof/>
                <w:color w:val="000000" w:themeColor="text1"/>
                <w:sz w:val="18"/>
              </w:rPr>
              <w:t>Dane dotyczące zarządzania dostępem użytkowników CBAM</w:t>
            </w:r>
          </w:p>
        </w:tc>
        <w:tc>
          <w:tcPr>
            <w:tcW w:w="6804"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1C661913" w14:textId="7B5E4EB1" w:rsidR="139DF8FE" w:rsidRPr="00F66162" w:rsidRDefault="139DF8FE" w:rsidP="139DF8FE">
            <w:pPr>
              <w:spacing w:after="0"/>
              <w:jc w:val="left"/>
              <w:rPr>
                <w:noProof/>
              </w:rPr>
            </w:pPr>
            <w:r w:rsidRPr="00F66162">
              <w:rPr>
                <w:noProof/>
                <w:color w:val="000000" w:themeColor="text1"/>
                <w:sz w:val="18"/>
              </w:rPr>
              <w:t>Dostęp użytkowników (np. zgłaszających, organów celnych państw członkowskich, organów Komisji itp.) do systemu CBAM, dane dotyczące ich logowania</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zar</w:t>
            </w:r>
            <w:r w:rsidRPr="00F66162">
              <w:rPr>
                <w:noProof/>
                <w:color w:val="000000" w:themeColor="text1"/>
                <w:sz w:val="18"/>
              </w:rPr>
              <w:t>ządzania ich dostępem d systemu CBAM.</w:t>
            </w:r>
          </w:p>
        </w:tc>
      </w:tr>
      <w:tr w:rsidR="139DF8FE" w:rsidRPr="00F66162" w14:paraId="415AAB5D" w14:textId="77777777" w:rsidTr="000A2E84">
        <w:trPr>
          <w:trHeight w:val="300"/>
        </w:trPr>
        <w:tc>
          <w:tcPr>
            <w:tcW w:w="2518"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14DC98BF" w14:textId="06A0FAB5" w:rsidR="139DF8FE" w:rsidRPr="00F66162" w:rsidRDefault="139DF8FE" w:rsidP="139DF8FE">
            <w:pPr>
              <w:spacing w:after="0"/>
              <w:jc w:val="left"/>
              <w:rPr>
                <w:noProof/>
              </w:rPr>
            </w:pPr>
            <w:r w:rsidRPr="00F66162">
              <w:rPr>
                <w:b/>
                <w:noProof/>
                <w:sz w:val="18"/>
              </w:rPr>
              <w:t>Dane operatorów</w:t>
            </w:r>
            <w:r w:rsidR="00825614" w:rsidRPr="00F66162">
              <w:rPr>
                <w:b/>
                <w:noProof/>
                <w:sz w:val="18"/>
              </w:rPr>
              <w:t xml:space="preserve"> i</w:t>
            </w:r>
            <w:r w:rsidR="00825614">
              <w:rPr>
                <w:b/>
                <w:noProof/>
                <w:sz w:val="18"/>
              </w:rPr>
              <w:t> </w:t>
            </w:r>
            <w:r w:rsidR="00825614" w:rsidRPr="00F66162">
              <w:rPr>
                <w:b/>
                <w:noProof/>
                <w:sz w:val="18"/>
              </w:rPr>
              <w:t>ins</w:t>
            </w:r>
            <w:r w:rsidRPr="00F66162">
              <w:rPr>
                <w:b/>
                <w:noProof/>
                <w:sz w:val="18"/>
              </w:rPr>
              <w:t>talacji</w:t>
            </w:r>
            <w:r w:rsidR="00825614" w:rsidRPr="00F66162">
              <w:rPr>
                <w:b/>
                <w:noProof/>
                <w:sz w:val="18"/>
              </w:rPr>
              <w:t xml:space="preserve"> z</w:t>
            </w:r>
            <w:r w:rsidR="00825614">
              <w:rPr>
                <w:b/>
                <w:noProof/>
                <w:sz w:val="18"/>
              </w:rPr>
              <w:t> </w:t>
            </w:r>
            <w:r w:rsidR="00825614" w:rsidRPr="00F66162">
              <w:rPr>
                <w:b/>
                <w:noProof/>
                <w:sz w:val="18"/>
              </w:rPr>
              <w:t>pań</w:t>
            </w:r>
            <w:r w:rsidRPr="00F66162">
              <w:rPr>
                <w:b/>
                <w:noProof/>
                <w:sz w:val="18"/>
              </w:rPr>
              <w:t>stw trzecich</w:t>
            </w:r>
          </w:p>
        </w:tc>
        <w:tc>
          <w:tcPr>
            <w:tcW w:w="6804"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6DDC8EAE" w14:textId="012B80E3" w:rsidR="139DF8FE" w:rsidRPr="00F66162" w:rsidRDefault="139DF8FE" w:rsidP="139DF8FE">
            <w:pPr>
              <w:spacing w:after="0"/>
              <w:jc w:val="left"/>
              <w:rPr>
                <w:noProof/>
              </w:rPr>
            </w:pPr>
            <w:r w:rsidRPr="00F66162">
              <w:rPr>
                <w:noProof/>
                <w:sz w:val="18"/>
              </w:rPr>
              <w:t>Operatorzy produkujących towary CBAM instalacji</w:t>
            </w:r>
            <w:r w:rsidR="00825614" w:rsidRPr="00F66162">
              <w:rPr>
                <w:noProof/>
                <w:sz w:val="18"/>
              </w:rPr>
              <w:t xml:space="preserve"> w</w:t>
            </w:r>
            <w:r w:rsidR="00825614">
              <w:rPr>
                <w:noProof/>
                <w:sz w:val="18"/>
              </w:rPr>
              <w:t> </w:t>
            </w:r>
            <w:r w:rsidR="00825614" w:rsidRPr="00F66162">
              <w:rPr>
                <w:noProof/>
                <w:sz w:val="18"/>
              </w:rPr>
              <w:t>pań</w:t>
            </w:r>
            <w:r w:rsidRPr="00F66162">
              <w:rPr>
                <w:noProof/>
                <w:sz w:val="18"/>
              </w:rPr>
              <w:t>stwach trzecich mogą zarejestrować się jako operatorzy CBAM lub wyrejestrować się (np.</w:t>
            </w:r>
            <w:r w:rsidR="00825614" w:rsidRPr="00F66162">
              <w:rPr>
                <w:noProof/>
                <w:sz w:val="18"/>
              </w:rPr>
              <w:t xml:space="preserve"> w</w:t>
            </w:r>
            <w:r w:rsidR="00825614">
              <w:rPr>
                <w:noProof/>
                <w:sz w:val="18"/>
              </w:rPr>
              <w:t> </w:t>
            </w:r>
            <w:r w:rsidR="00825614" w:rsidRPr="00F66162">
              <w:rPr>
                <w:noProof/>
                <w:sz w:val="18"/>
              </w:rPr>
              <w:t>prz</w:t>
            </w:r>
            <w:r w:rsidRPr="00F66162">
              <w:rPr>
                <w:noProof/>
                <w:sz w:val="18"/>
              </w:rPr>
              <w:t>ypadku zaprzestania działalności) oraz przekazywać istotne informacje dotyczące procesów/metod produkcji, parametrów kwalifikacji, emisji, sprawozdań</w:t>
            </w:r>
            <w:r w:rsidR="00825614" w:rsidRPr="00F66162">
              <w:rPr>
                <w:noProof/>
                <w:sz w:val="18"/>
              </w:rPr>
              <w:t xml:space="preserve"> z</w:t>
            </w:r>
            <w:r w:rsidR="00825614">
              <w:rPr>
                <w:noProof/>
                <w:sz w:val="18"/>
              </w:rPr>
              <w:t> </w:t>
            </w:r>
            <w:r w:rsidR="00825614" w:rsidRPr="00F66162">
              <w:rPr>
                <w:noProof/>
                <w:sz w:val="18"/>
              </w:rPr>
              <w:t>wer</w:t>
            </w:r>
            <w:r w:rsidRPr="00F66162">
              <w:rPr>
                <w:noProof/>
                <w:sz w:val="18"/>
              </w:rPr>
              <w:t>yfikacji itp.</w:t>
            </w:r>
            <w:r w:rsidRPr="00F66162">
              <w:rPr>
                <w:noProof/>
              </w:rPr>
              <w:t xml:space="preserve"> </w:t>
            </w:r>
            <w:r w:rsidRPr="00F66162">
              <w:rPr>
                <w:noProof/>
              </w:rPr>
              <w:br/>
            </w:r>
            <w:r w:rsidRPr="00F66162">
              <w:rPr>
                <w:noProof/>
              </w:rPr>
              <w:br/>
            </w:r>
            <w:r w:rsidRPr="00F66162">
              <w:rPr>
                <w:noProof/>
                <w:sz w:val="18"/>
              </w:rPr>
              <w:lastRenderedPageBreak/>
              <w:t>Odpowiednie sprawozdanie</w:t>
            </w:r>
            <w:r w:rsidR="00825614" w:rsidRPr="00F66162">
              <w:rPr>
                <w:noProof/>
                <w:sz w:val="18"/>
              </w:rPr>
              <w:t xml:space="preserve"> z</w:t>
            </w:r>
            <w:r w:rsidR="00825614">
              <w:rPr>
                <w:noProof/>
                <w:sz w:val="18"/>
              </w:rPr>
              <w:t> </w:t>
            </w:r>
            <w:r w:rsidR="00825614" w:rsidRPr="00F66162">
              <w:rPr>
                <w:noProof/>
                <w:sz w:val="18"/>
              </w:rPr>
              <w:t>wer</w:t>
            </w:r>
            <w:r w:rsidRPr="00F66162">
              <w:rPr>
                <w:noProof/>
                <w:sz w:val="18"/>
              </w:rPr>
              <w:t>yfikacji można udostępnić zgłaszającym CBAM – informacje te obejmują poufne dane dotyczące produkcji</w:t>
            </w:r>
            <w:r w:rsidR="00825614" w:rsidRPr="00F66162">
              <w:rPr>
                <w:noProof/>
                <w:sz w:val="18"/>
              </w:rPr>
              <w:t xml:space="preserve"> i</w:t>
            </w:r>
            <w:r w:rsidR="00825614">
              <w:rPr>
                <w:noProof/>
                <w:sz w:val="18"/>
              </w:rPr>
              <w:t> </w:t>
            </w:r>
            <w:r w:rsidR="00825614" w:rsidRPr="00F66162">
              <w:rPr>
                <w:noProof/>
                <w:sz w:val="18"/>
              </w:rPr>
              <w:t>par</w:t>
            </w:r>
            <w:r w:rsidRPr="00F66162">
              <w:rPr>
                <w:noProof/>
                <w:sz w:val="18"/>
              </w:rPr>
              <w:t>ametrów kwalifikacji, które mogą nie być dostępne dla zgłaszających, lecz wyłącznie dla Komisji</w:t>
            </w:r>
            <w:r w:rsidR="00825614" w:rsidRPr="00F66162">
              <w:rPr>
                <w:noProof/>
                <w:sz w:val="18"/>
              </w:rPr>
              <w:t xml:space="preserve"> i</w:t>
            </w:r>
            <w:r w:rsidR="00825614">
              <w:rPr>
                <w:noProof/>
                <w:sz w:val="18"/>
              </w:rPr>
              <w:t> </w:t>
            </w:r>
            <w:r w:rsidR="00825614" w:rsidRPr="00F66162">
              <w:rPr>
                <w:noProof/>
                <w:sz w:val="18"/>
              </w:rPr>
              <w:t>wła</w:t>
            </w:r>
            <w:r w:rsidRPr="00F66162">
              <w:rPr>
                <w:noProof/>
                <w:sz w:val="18"/>
              </w:rPr>
              <w:t xml:space="preserve">ściwych organów krajowych. </w:t>
            </w:r>
          </w:p>
        </w:tc>
      </w:tr>
      <w:tr w:rsidR="139DF8FE" w:rsidRPr="00F66162" w14:paraId="77647408" w14:textId="77777777" w:rsidTr="000A2E84">
        <w:trPr>
          <w:trHeight w:val="300"/>
        </w:trPr>
        <w:tc>
          <w:tcPr>
            <w:tcW w:w="2518"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4E6CD5E4" w14:textId="77777777" w:rsidR="139DF8FE" w:rsidRPr="00F66162" w:rsidRDefault="139DF8FE" w:rsidP="139DF8FE">
            <w:pPr>
              <w:spacing w:after="0"/>
              <w:jc w:val="left"/>
              <w:rPr>
                <w:noProof/>
              </w:rPr>
            </w:pPr>
            <w:r w:rsidRPr="00F66162">
              <w:rPr>
                <w:b/>
                <w:noProof/>
                <w:color w:val="000000" w:themeColor="text1"/>
                <w:sz w:val="18"/>
              </w:rPr>
              <w:lastRenderedPageBreak/>
              <w:t xml:space="preserve">Funkcje zgłaszającego CBAM/importera </w:t>
            </w:r>
          </w:p>
        </w:tc>
        <w:tc>
          <w:tcPr>
            <w:tcW w:w="6804"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40567421" w14:textId="58AC980F" w:rsidR="139DF8FE" w:rsidRPr="00F66162" w:rsidRDefault="139DF8FE" w:rsidP="139DF8FE">
            <w:pPr>
              <w:spacing w:after="0"/>
              <w:jc w:val="left"/>
              <w:rPr>
                <w:noProof/>
              </w:rPr>
            </w:pPr>
            <w:r w:rsidRPr="00F66162">
              <w:rPr>
                <w:noProof/>
                <w:color w:val="000000" w:themeColor="text1"/>
                <w:sz w:val="18"/>
              </w:rPr>
              <w:t>Główne funkcje biznesowe wykonywane przez zgłaszającego/przedsiębiorcę</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opa</w:t>
            </w:r>
            <w:r w:rsidRPr="00F66162">
              <w:rPr>
                <w:noProof/>
                <w:color w:val="000000" w:themeColor="text1"/>
                <w:sz w:val="18"/>
              </w:rPr>
              <w:t>rciu</w:t>
            </w:r>
            <w:r w:rsidR="00825614" w:rsidRPr="00F66162">
              <w:rPr>
                <w:noProof/>
                <w:color w:val="000000" w:themeColor="text1"/>
                <w:sz w:val="18"/>
              </w:rPr>
              <w:t xml:space="preserve"> o</w:t>
            </w:r>
            <w:r w:rsidR="00825614">
              <w:rPr>
                <w:noProof/>
                <w:color w:val="000000" w:themeColor="text1"/>
                <w:sz w:val="18"/>
              </w:rPr>
              <w:t> </w:t>
            </w:r>
            <w:r w:rsidR="00825614" w:rsidRPr="00F66162">
              <w:rPr>
                <w:noProof/>
                <w:color w:val="000000" w:themeColor="text1"/>
                <w:sz w:val="18"/>
              </w:rPr>
              <w:t>pro</w:t>
            </w:r>
            <w:r w:rsidRPr="00F66162">
              <w:rPr>
                <w:noProof/>
                <w:color w:val="000000" w:themeColor="text1"/>
                <w:sz w:val="18"/>
              </w:rPr>
              <w:t>cesy realizowane/rozpoczęte</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por</w:t>
            </w:r>
            <w:r w:rsidRPr="00F66162">
              <w:rPr>
                <w:noProof/>
                <w:color w:val="000000" w:themeColor="text1"/>
                <w:sz w:val="18"/>
              </w:rPr>
              <w:t>talu CBAM dla zgłaszającego.</w:t>
            </w:r>
          </w:p>
          <w:p w14:paraId="4FB1E9D5" w14:textId="77777777" w:rsidR="139DF8FE" w:rsidRPr="00F66162" w:rsidRDefault="139DF8FE" w:rsidP="139DF8FE">
            <w:pPr>
              <w:spacing w:after="0"/>
              <w:jc w:val="left"/>
              <w:rPr>
                <w:noProof/>
              </w:rPr>
            </w:pPr>
            <w:r w:rsidRPr="00F66162">
              <w:rPr>
                <w:noProof/>
                <w:sz w:val="18"/>
              </w:rPr>
              <w:t xml:space="preserve"> </w:t>
            </w:r>
          </w:p>
        </w:tc>
      </w:tr>
      <w:tr w:rsidR="139DF8FE" w:rsidRPr="00F66162" w14:paraId="7A56F920" w14:textId="77777777" w:rsidTr="000A2E84">
        <w:trPr>
          <w:trHeight w:val="825"/>
        </w:trPr>
        <w:tc>
          <w:tcPr>
            <w:tcW w:w="2518"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63C44712" w14:textId="77777777" w:rsidR="139DF8FE" w:rsidRPr="00F66162" w:rsidRDefault="139DF8FE" w:rsidP="139DF8FE">
            <w:pPr>
              <w:spacing w:after="0"/>
              <w:jc w:val="left"/>
              <w:rPr>
                <w:noProof/>
              </w:rPr>
            </w:pPr>
            <w:r w:rsidRPr="00F66162">
              <w:rPr>
                <w:b/>
                <w:noProof/>
                <w:sz w:val="18"/>
              </w:rPr>
              <w:t xml:space="preserve">Funkcje organów Komisji zajmujących się CBAM </w:t>
            </w:r>
          </w:p>
        </w:tc>
        <w:tc>
          <w:tcPr>
            <w:tcW w:w="6804"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7BE77A97" w14:textId="22274682" w:rsidR="139DF8FE" w:rsidRPr="00F66162" w:rsidRDefault="139DF8FE" w:rsidP="139DF8FE">
            <w:pPr>
              <w:spacing w:after="0"/>
              <w:jc w:val="left"/>
              <w:rPr>
                <w:noProof/>
              </w:rPr>
            </w:pPr>
            <w:r w:rsidRPr="00F66162">
              <w:rPr>
                <w:noProof/>
                <w:sz w:val="18"/>
              </w:rPr>
              <w:t>Główne funkcje biznesowe pełnione przez Komisję Europejską</w:t>
            </w:r>
            <w:r w:rsidR="00825614" w:rsidRPr="00F66162">
              <w:rPr>
                <w:noProof/>
                <w:sz w:val="18"/>
              </w:rPr>
              <w:t xml:space="preserve"> w</w:t>
            </w:r>
            <w:r w:rsidR="00825614">
              <w:rPr>
                <w:noProof/>
                <w:sz w:val="18"/>
              </w:rPr>
              <w:t> </w:t>
            </w:r>
            <w:r w:rsidR="00825614" w:rsidRPr="00F66162">
              <w:rPr>
                <w:noProof/>
                <w:sz w:val="18"/>
              </w:rPr>
              <w:t>opa</w:t>
            </w:r>
            <w:r w:rsidRPr="00F66162">
              <w:rPr>
                <w:noProof/>
                <w:sz w:val="18"/>
              </w:rPr>
              <w:t>rciu</w:t>
            </w:r>
            <w:r w:rsidR="00825614" w:rsidRPr="00F66162">
              <w:rPr>
                <w:noProof/>
                <w:sz w:val="18"/>
              </w:rPr>
              <w:t xml:space="preserve"> o</w:t>
            </w:r>
            <w:r w:rsidR="00825614">
              <w:rPr>
                <w:noProof/>
                <w:sz w:val="18"/>
              </w:rPr>
              <w:t> </w:t>
            </w:r>
            <w:r w:rsidR="00825614" w:rsidRPr="00F66162">
              <w:rPr>
                <w:noProof/>
                <w:sz w:val="18"/>
              </w:rPr>
              <w:t>pro</w:t>
            </w:r>
            <w:r w:rsidRPr="00F66162">
              <w:rPr>
                <w:noProof/>
                <w:sz w:val="18"/>
              </w:rPr>
              <w:t>cesy realizowane/rozpoczęte</w:t>
            </w:r>
            <w:r w:rsidR="00825614" w:rsidRPr="00F66162">
              <w:rPr>
                <w:noProof/>
                <w:sz w:val="18"/>
              </w:rPr>
              <w:t xml:space="preserve"> w</w:t>
            </w:r>
            <w:r w:rsidR="00825614">
              <w:rPr>
                <w:noProof/>
                <w:sz w:val="18"/>
              </w:rPr>
              <w:t> </w:t>
            </w:r>
            <w:r w:rsidR="00825614" w:rsidRPr="00F66162">
              <w:rPr>
                <w:noProof/>
                <w:sz w:val="18"/>
              </w:rPr>
              <w:t>por</w:t>
            </w:r>
            <w:r w:rsidRPr="00F66162">
              <w:rPr>
                <w:noProof/>
                <w:sz w:val="18"/>
              </w:rPr>
              <w:t>talu CBAM dla Komisji.</w:t>
            </w:r>
          </w:p>
        </w:tc>
      </w:tr>
      <w:tr w:rsidR="139DF8FE" w:rsidRPr="00F66162" w14:paraId="3C48F343" w14:textId="77777777" w:rsidTr="000A2E84">
        <w:trPr>
          <w:trHeight w:val="765"/>
        </w:trPr>
        <w:tc>
          <w:tcPr>
            <w:tcW w:w="2518"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75A02DA5" w14:textId="38FA9CCD" w:rsidR="139DF8FE" w:rsidRPr="00F66162" w:rsidRDefault="139DF8FE" w:rsidP="139DF8FE">
            <w:pPr>
              <w:spacing w:after="0"/>
              <w:jc w:val="left"/>
              <w:rPr>
                <w:noProof/>
              </w:rPr>
            </w:pPr>
            <w:r w:rsidRPr="00F66162">
              <w:rPr>
                <w:b/>
                <w:noProof/>
                <w:color w:val="000000" w:themeColor="text1"/>
                <w:sz w:val="18"/>
              </w:rPr>
              <w:t>Funkcje dotyczące monitorowania nieprzestrzegania przepisów CBAM, dochodzeń</w:t>
            </w:r>
            <w:r w:rsidR="00825614" w:rsidRPr="00F66162">
              <w:rPr>
                <w:b/>
                <w:noProof/>
                <w:color w:val="000000" w:themeColor="text1"/>
                <w:sz w:val="18"/>
              </w:rPr>
              <w:t xml:space="preserve"> w</w:t>
            </w:r>
            <w:r w:rsidR="00825614">
              <w:rPr>
                <w:b/>
                <w:noProof/>
                <w:color w:val="000000" w:themeColor="text1"/>
                <w:sz w:val="18"/>
              </w:rPr>
              <w:t> </w:t>
            </w:r>
            <w:r w:rsidR="00825614" w:rsidRPr="00F66162">
              <w:rPr>
                <w:b/>
                <w:noProof/>
                <w:color w:val="000000" w:themeColor="text1"/>
                <w:sz w:val="18"/>
              </w:rPr>
              <w:t>spr</w:t>
            </w:r>
            <w:r w:rsidRPr="00F66162">
              <w:rPr>
                <w:b/>
                <w:noProof/>
                <w:color w:val="000000" w:themeColor="text1"/>
                <w:sz w:val="18"/>
              </w:rPr>
              <w:t>awie obchodzenia przepisów</w:t>
            </w:r>
            <w:r w:rsidR="00825614" w:rsidRPr="00F66162">
              <w:rPr>
                <w:b/>
                <w:noProof/>
                <w:color w:val="000000" w:themeColor="text1"/>
                <w:sz w:val="18"/>
              </w:rPr>
              <w:t xml:space="preserve"> i</w:t>
            </w:r>
            <w:r w:rsidR="00825614">
              <w:rPr>
                <w:b/>
                <w:noProof/>
                <w:color w:val="000000" w:themeColor="text1"/>
                <w:sz w:val="18"/>
              </w:rPr>
              <w:t> </w:t>
            </w:r>
            <w:r w:rsidR="00825614" w:rsidRPr="00F66162">
              <w:rPr>
                <w:b/>
                <w:noProof/>
                <w:color w:val="000000" w:themeColor="text1"/>
                <w:sz w:val="18"/>
              </w:rPr>
              <w:t>zar</w:t>
            </w:r>
            <w:r w:rsidRPr="00F66162">
              <w:rPr>
                <w:b/>
                <w:noProof/>
                <w:color w:val="000000" w:themeColor="text1"/>
                <w:sz w:val="18"/>
              </w:rPr>
              <w:t>ządzania ryzykiem</w:t>
            </w:r>
          </w:p>
        </w:tc>
        <w:tc>
          <w:tcPr>
            <w:tcW w:w="6804"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1D03F7DF" w14:textId="72500F79" w:rsidR="139DF8FE" w:rsidRPr="00F66162" w:rsidRDefault="139DF8FE" w:rsidP="139DF8FE">
            <w:pPr>
              <w:spacing w:after="0"/>
              <w:jc w:val="left"/>
              <w:rPr>
                <w:noProof/>
              </w:rPr>
            </w:pPr>
            <w:r w:rsidRPr="00F66162">
              <w:rPr>
                <w:noProof/>
                <w:color w:val="000000" w:themeColor="text1"/>
                <w:sz w:val="18"/>
              </w:rPr>
              <w:t>System informatyczny CBAM wykorzystywany do śledzenia, monitorowania</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uwi</w:t>
            </w:r>
            <w:r w:rsidRPr="00F66162">
              <w:rPr>
                <w:noProof/>
                <w:color w:val="000000" w:themeColor="text1"/>
                <w:sz w:val="18"/>
              </w:rPr>
              <w:t>daczniania potencjalnych lub potwierdzonych przypadków nieprawidłowości</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nie</w:t>
            </w:r>
            <w:r w:rsidRPr="00F66162">
              <w:rPr>
                <w:noProof/>
                <w:color w:val="000000" w:themeColor="text1"/>
                <w:sz w:val="18"/>
              </w:rPr>
              <w:t>zgodności</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sys</w:t>
            </w:r>
            <w:r w:rsidRPr="00F66162">
              <w:rPr>
                <w:noProof/>
                <w:color w:val="000000" w:themeColor="text1"/>
                <w:sz w:val="18"/>
              </w:rPr>
              <w:t>temie CBAM.</w:t>
            </w:r>
          </w:p>
        </w:tc>
      </w:tr>
      <w:tr w:rsidR="139DF8FE" w:rsidRPr="00F66162" w14:paraId="7A15E8CA" w14:textId="77777777" w:rsidTr="000A2E84">
        <w:trPr>
          <w:trHeight w:val="60"/>
        </w:trPr>
        <w:tc>
          <w:tcPr>
            <w:tcW w:w="2518"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55A93598" w14:textId="77777777" w:rsidR="139DF8FE" w:rsidRPr="00F66162" w:rsidRDefault="139DF8FE" w:rsidP="139DF8FE">
            <w:pPr>
              <w:spacing w:after="0"/>
              <w:jc w:val="left"/>
              <w:rPr>
                <w:noProof/>
              </w:rPr>
            </w:pPr>
            <w:r w:rsidRPr="00F66162">
              <w:rPr>
                <w:b/>
                <w:noProof/>
                <w:sz w:val="18"/>
              </w:rPr>
              <w:t xml:space="preserve">Funkcje właściwych organów krajowych </w:t>
            </w:r>
          </w:p>
        </w:tc>
        <w:tc>
          <w:tcPr>
            <w:tcW w:w="6804" w:type="dxa"/>
            <w:tcBorders>
              <w:top w:val="single" w:sz="8" w:space="0" w:color="666666"/>
              <w:left w:val="single" w:sz="8" w:space="0" w:color="666666"/>
              <w:bottom w:val="single" w:sz="8" w:space="0" w:color="666666"/>
              <w:right w:val="single" w:sz="8" w:space="0" w:color="666666"/>
            </w:tcBorders>
            <w:tcMar>
              <w:left w:w="108" w:type="dxa"/>
              <w:right w:w="108" w:type="dxa"/>
            </w:tcMar>
            <w:vAlign w:val="center"/>
          </w:tcPr>
          <w:p w14:paraId="5779E368" w14:textId="5F0DC03F" w:rsidR="139DF8FE" w:rsidRPr="00F66162" w:rsidRDefault="139DF8FE" w:rsidP="139DF8FE">
            <w:pPr>
              <w:spacing w:after="0"/>
              <w:jc w:val="left"/>
              <w:rPr>
                <w:noProof/>
              </w:rPr>
            </w:pPr>
            <w:r w:rsidRPr="00F66162">
              <w:rPr>
                <w:noProof/>
                <w:sz w:val="18"/>
              </w:rPr>
              <w:t>Główne funkcje biznesowe pełnione przez właściwe organy krajowe państw członkowskich</w:t>
            </w:r>
            <w:r w:rsidR="00825614" w:rsidRPr="00F66162">
              <w:rPr>
                <w:noProof/>
                <w:sz w:val="18"/>
              </w:rPr>
              <w:t xml:space="preserve"> w</w:t>
            </w:r>
            <w:r w:rsidR="00825614">
              <w:rPr>
                <w:noProof/>
                <w:sz w:val="18"/>
              </w:rPr>
              <w:t> </w:t>
            </w:r>
            <w:r w:rsidR="00825614" w:rsidRPr="00F66162">
              <w:rPr>
                <w:noProof/>
                <w:sz w:val="18"/>
              </w:rPr>
              <w:t>opa</w:t>
            </w:r>
            <w:r w:rsidRPr="00F66162">
              <w:rPr>
                <w:noProof/>
                <w:sz w:val="18"/>
              </w:rPr>
              <w:t>rciu</w:t>
            </w:r>
            <w:r w:rsidR="00825614" w:rsidRPr="00F66162">
              <w:rPr>
                <w:noProof/>
                <w:sz w:val="18"/>
              </w:rPr>
              <w:t xml:space="preserve"> o</w:t>
            </w:r>
            <w:r w:rsidR="00825614">
              <w:rPr>
                <w:noProof/>
                <w:sz w:val="18"/>
              </w:rPr>
              <w:t> </w:t>
            </w:r>
            <w:r w:rsidR="00825614" w:rsidRPr="00F66162">
              <w:rPr>
                <w:noProof/>
                <w:sz w:val="18"/>
              </w:rPr>
              <w:t>pro</w:t>
            </w:r>
            <w:r w:rsidRPr="00F66162">
              <w:rPr>
                <w:noProof/>
                <w:sz w:val="18"/>
              </w:rPr>
              <w:t>cesy realizowane/rozpoczęte</w:t>
            </w:r>
            <w:r w:rsidR="00825614" w:rsidRPr="00F66162">
              <w:rPr>
                <w:noProof/>
                <w:sz w:val="18"/>
              </w:rPr>
              <w:t xml:space="preserve"> w</w:t>
            </w:r>
            <w:r w:rsidR="00825614">
              <w:rPr>
                <w:noProof/>
                <w:sz w:val="18"/>
              </w:rPr>
              <w:t> </w:t>
            </w:r>
            <w:r w:rsidR="00825614" w:rsidRPr="00F66162">
              <w:rPr>
                <w:noProof/>
                <w:sz w:val="18"/>
              </w:rPr>
              <w:t>por</w:t>
            </w:r>
            <w:r w:rsidRPr="00F66162">
              <w:rPr>
                <w:noProof/>
                <w:sz w:val="18"/>
              </w:rPr>
              <w:t>talu CBAM.</w:t>
            </w:r>
          </w:p>
        </w:tc>
      </w:tr>
      <w:tr w:rsidR="139DF8FE" w:rsidRPr="00F66162" w14:paraId="3D7BEA75" w14:textId="77777777" w:rsidTr="000A2E84">
        <w:trPr>
          <w:trHeight w:val="300"/>
        </w:trPr>
        <w:tc>
          <w:tcPr>
            <w:tcW w:w="2518"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35908FAF" w14:textId="2FAAC678" w:rsidR="139DF8FE" w:rsidRPr="00F66162" w:rsidRDefault="139DF8FE" w:rsidP="139DF8FE">
            <w:pPr>
              <w:spacing w:after="0"/>
              <w:jc w:val="left"/>
              <w:rPr>
                <w:noProof/>
              </w:rPr>
            </w:pPr>
            <w:r w:rsidRPr="00F66162">
              <w:rPr>
                <w:b/>
                <w:noProof/>
                <w:color w:val="000000" w:themeColor="text1"/>
                <w:sz w:val="18"/>
              </w:rPr>
              <w:t>Funkcje operatorów instalacji</w:t>
            </w:r>
            <w:r w:rsidR="00825614" w:rsidRPr="00F66162">
              <w:rPr>
                <w:b/>
                <w:noProof/>
                <w:color w:val="000000" w:themeColor="text1"/>
                <w:sz w:val="18"/>
              </w:rPr>
              <w:t xml:space="preserve"> w</w:t>
            </w:r>
            <w:r w:rsidR="00825614">
              <w:rPr>
                <w:b/>
                <w:noProof/>
                <w:color w:val="000000" w:themeColor="text1"/>
                <w:sz w:val="18"/>
              </w:rPr>
              <w:t> </w:t>
            </w:r>
            <w:r w:rsidR="00825614" w:rsidRPr="00F66162">
              <w:rPr>
                <w:b/>
                <w:noProof/>
                <w:color w:val="000000" w:themeColor="text1"/>
                <w:sz w:val="18"/>
              </w:rPr>
              <w:t>pań</w:t>
            </w:r>
            <w:r w:rsidRPr="00F66162">
              <w:rPr>
                <w:b/>
                <w:noProof/>
                <w:color w:val="000000" w:themeColor="text1"/>
                <w:sz w:val="18"/>
              </w:rPr>
              <w:t>stwach trzecich</w:t>
            </w:r>
            <w:r w:rsidR="00825614" w:rsidRPr="00F66162">
              <w:rPr>
                <w:b/>
                <w:noProof/>
                <w:color w:val="000000" w:themeColor="text1"/>
                <w:sz w:val="18"/>
              </w:rPr>
              <w:t xml:space="preserve"> i</w:t>
            </w:r>
            <w:r w:rsidR="00825614">
              <w:rPr>
                <w:b/>
                <w:noProof/>
                <w:color w:val="000000" w:themeColor="text1"/>
                <w:sz w:val="18"/>
              </w:rPr>
              <w:t> </w:t>
            </w:r>
            <w:r w:rsidR="00825614" w:rsidRPr="00F66162">
              <w:rPr>
                <w:b/>
                <w:noProof/>
                <w:color w:val="000000" w:themeColor="text1"/>
                <w:sz w:val="18"/>
              </w:rPr>
              <w:t>akr</w:t>
            </w:r>
            <w:r w:rsidRPr="00F66162">
              <w:rPr>
                <w:b/>
                <w:noProof/>
                <w:color w:val="000000" w:themeColor="text1"/>
                <w:sz w:val="18"/>
              </w:rPr>
              <w:t>edytowanych weryfikatorów</w:t>
            </w:r>
          </w:p>
        </w:tc>
        <w:tc>
          <w:tcPr>
            <w:tcW w:w="6804" w:type="dxa"/>
            <w:tcBorders>
              <w:top w:val="single" w:sz="8" w:space="0" w:color="666666"/>
              <w:left w:val="single" w:sz="8" w:space="0" w:color="666666"/>
              <w:bottom w:val="single" w:sz="8" w:space="0" w:color="666666"/>
              <w:right w:val="single" w:sz="8" w:space="0" w:color="666666"/>
            </w:tcBorders>
            <w:shd w:val="clear" w:color="auto" w:fill="CCCCCC"/>
            <w:tcMar>
              <w:left w:w="108" w:type="dxa"/>
              <w:right w:w="108" w:type="dxa"/>
            </w:tcMar>
            <w:vAlign w:val="center"/>
          </w:tcPr>
          <w:p w14:paraId="05E5019F" w14:textId="7CC39081" w:rsidR="139DF8FE" w:rsidRPr="00F66162" w:rsidRDefault="139DF8FE" w:rsidP="139DF8FE">
            <w:pPr>
              <w:spacing w:after="0"/>
              <w:jc w:val="left"/>
              <w:rPr>
                <w:noProof/>
              </w:rPr>
            </w:pPr>
            <w:r w:rsidRPr="00F66162">
              <w:rPr>
                <w:noProof/>
                <w:color w:val="000000" w:themeColor="text1"/>
                <w:sz w:val="18"/>
              </w:rPr>
              <w:t>Główne funkcje biznesowe wykonywane przez operatorów instalacji</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pań</w:t>
            </w:r>
            <w:r w:rsidRPr="00F66162">
              <w:rPr>
                <w:noProof/>
                <w:color w:val="000000" w:themeColor="text1"/>
                <w:sz w:val="18"/>
              </w:rPr>
              <w:t>stwach trzecich oraz przez akredytowanych weryfikatorów (do potwierdzenia)</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opa</w:t>
            </w:r>
            <w:r w:rsidRPr="00F66162">
              <w:rPr>
                <w:noProof/>
                <w:color w:val="000000" w:themeColor="text1"/>
                <w:sz w:val="18"/>
              </w:rPr>
              <w:t>rciu</w:t>
            </w:r>
            <w:r w:rsidR="00825614" w:rsidRPr="00F66162">
              <w:rPr>
                <w:noProof/>
                <w:color w:val="000000" w:themeColor="text1"/>
                <w:sz w:val="18"/>
              </w:rPr>
              <w:t xml:space="preserve"> o</w:t>
            </w:r>
            <w:r w:rsidR="00825614">
              <w:rPr>
                <w:noProof/>
                <w:color w:val="000000" w:themeColor="text1"/>
                <w:sz w:val="18"/>
              </w:rPr>
              <w:t> </w:t>
            </w:r>
            <w:r w:rsidR="00825614" w:rsidRPr="00F66162">
              <w:rPr>
                <w:noProof/>
                <w:color w:val="000000" w:themeColor="text1"/>
                <w:sz w:val="18"/>
              </w:rPr>
              <w:t>pro</w:t>
            </w:r>
            <w:r w:rsidRPr="00F66162">
              <w:rPr>
                <w:noProof/>
                <w:color w:val="000000" w:themeColor="text1"/>
                <w:sz w:val="18"/>
              </w:rPr>
              <w:t>cesy realizowane/rozpoczęte</w:t>
            </w:r>
            <w:r w:rsidR="00825614" w:rsidRPr="00F66162">
              <w:rPr>
                <w:noProof/>
                <w:color w:val="000000" w:themeColor="text1"/>
                <w:sz w:val="18"/>
              </w:rPr>
              <w:t xml:space="preserve"> w</w:t>
            </w:r>
            <w:r w:rsidR="00825614">
              <w:rPr>
                <w:noProof/>
                <w:color w:val="000000" w:themeColor="text1"/>
                <w:sz w:val="18"/>
              </w:rPr>
              <w:t> </w:t>
            </w:r>
            <w:r w:rsidR="00825614" w:rsidRPr="00F66162">
              <w:rPr>
                <w:noProof/>
                <w:color w:val="000000" w:themeColor="text1"/>
                <w:sz w:val="18"/>
              </w:rPr>
              <w:t>por</w:t>
            </w:r>
            <w:r w:rsidRPr="00F66162">
              <w:rPr>
                <w:noProof/>
                <w:color w:val="000000" w:themeColor="text1"/>
                <w:sz w:val="18"/>
              </w:rPr>
              <w:t>talu CBAM dla operatorów</w:t>
            </w:r>
            <w:r w:rsidR="00825614" w:rsidRPr="00F66162">
              <w:rPr>
                <w:noProof/>
                <w:color w:val="000000" w:themeColor="text1"/>
                <w:sz w:val="18"/>
              </w:rPr>
              <w:t xml:space="preserve"> i</w:t>
            </w:r>
            <w:r w:rsidR="00825614">
              <w:rPr>
                <w:noProof/>
                <w:color w:val="000000" w:themeColor="text1"/>
                <w:sz w:val="18"/>
              </w:rPr>
              <w:t> </w:t>
            </w:r>
            <w:r w:rsidR="00825614" w:rsidRPr="00F66162">
              <w:rPr>
                <w:noProof/>
                <w:color w:val="000000" w:themeColor="text1"/>
                <w:sz w:val="18"/>
              </w:rPr>
              <w:t>ins</w:t>
            </w:r>
            <w:r w:rsidRPr="00F66162">
              <w:rPr>
                <w:noProof/>
                <w:color w:val="000000" w:themeColor="text1"/>
                <w:sz w:val="18"/>
              </w:rPr>
              <w:t>talacji</w:t>
            </w:r>
            <w:r w:rsidR="00825614" w:rsidRPr="00F66162">
              <w:rPr>
                <w:noProof/>
                <w:color w:val="000000" w:themeColor="text1"/>
                <w:sz w:val="18"/>
              </w:rPr>
              <w:t xml:space="preserve"> z</w:t>
            </w:r>
            <w:r w:rsidR="00825614">
              <w:rPr>
                <w:noProof/>
                <w:color w:val="000000" w:themeColor="text1"/>
                <w:sz w:val="18"/>
              </w:rPr>
              <w:t> </w:t>
            </w:r>
            <w:r w:rsidR="00825614" w:rsidRPr="00F66162">
              <w:rPr>
                <w:noProof/>
                <w:color w:val="000000" w:themeColor="text1"/>
                <w:sz w:val="18"/>
              </w:rPr>
              <w:t>pań</w:t>
            </w:r>
            <w:r w:rsidRPr="00F66162">
              <w:rPr>
                <w:noProof/>
                <w:color w:val="000000" w:themeColor="text1"/>
                <w:sz w:val="18"/>
              </w:rPr>
              <w:t>stw trzecich.</w:t>
            </w:r>
          </w:p>
        </w:tc>
      </w:tr>
    </w:tbl>
    <w:p w14:paraId="5FED599F" w14:textId="77777777" w:rsidR="00FA5543" w:rsidRPr="00F66162" w:rsidRDefault="00FA5543" w:rsidP="00390489">
      <w:pPr>
        <w:pStyle w:val="ManualHeading2"/>
        <w:rPr>
          <w:noProof/>
        </w:rPr>
      </w:pPr>
      <w:r w:rsidRPr="00F66162">
        <w:rPr>
          <w:noProof/>
        </w:rPr>
        <w:lastRenderedPageBreak/>
        <w:t>4.3.</w:t>
      </w:r>
      <w:r w:rsidRPr="00F66162">
        <w:rPr>
          <w:noProof/>
        </w:rPr>
        <w:tab/>
        <w:t>Rozwiązania cyfrowe</w:t>
      </w:r>
    </w:p>
    <w:tbl>
      <w:tblPr>
        <w:tblStyle w:val="Tabela-Siatka"/>
        <w:tblpPr w:leftFromText="141" w:rightFromText="141" w:vertAnchor="text" w:horzAnchor="margin" w:tblpY="2"/>
        <w:tblW w:w="9067" w:type="dxa"/>
        <w:tblLook w:val="04A0" w:firstRow="1" w:lastRow="0" w:firstColumn="1" w:lastColumn="0" w:noHBand="0" w:noVBand="1"/>
      </w:tblPr>
      <w:tblGrid>
        <w:gridCol w:w="9456"/>
      </w:tblGrid>
      <w:tr w:rsidR="00FA5543" w:rsidRPr="00F66162" w14:paraId="6DC92F05" w14:textId="77777777" w:rsidTr="139DF8FE">
        <w:tc>
          <w:tcPr>
            <w:tcW w:w="9067" w:type="dxa"/>
          </w:tcPr>
          <w:p w14:paraId="5C48BEB6" w14:textId="7C0BD2EE" w:rsidR="00FA5543" w:rsidRPr="00F66162" w:rsidRDefault="00F0618E" w:rsidP="00390489">
            <w:pPr>
              <w:rPr>
                <w:noProof/>
              </w:rPr>
            </w:pPr>
            <w:r>
              <w:rPr>
                <w:noProof/>
                <w:lang w:val="en-GB" w:eastAsia="en-GB"/>
              </w:rPr>
              <w:drawing>
                <wp:inline distT="0" distB="0" distL="0" distR="0" wp14:anchorId="6CA7F9AE" wp14:editId="54043D87">
                  <wp:extent cx="5867296" cy="5295900"/>
                  <wp:effectExtent l="0" t="0" r="635" b="0"/>
                  <wp:docPr id="97810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03108" name=""/>
                          <pic:cNvPicPr/>
                        </pic:nvPicPr>
                        <pic:blipFill>
                          <a:blip r:embed="rId28"/>
                          <a:stretch>
                            <a:fillRect/>
                          </a:stretch>
                        </pic:blipFill>
                        <pic:spPr>
                          <a:xfrm>
                            <a:off x="0" y="0"/>
                            <a:ext cx="5870202" cy="5298523"/>
                          </a:xfrm>
                          <a:prstGeom prst="rect">
                            <a:avLst/>
                          </a:prstGeom>
                        </pic:spPr>
                      </pic:pic>
                    </a:graphicData>
                  </a:graphic>
                </wp:inline>
              </w:drawing>
            </w:r>
          </w:p>
        </w:tc>
      </w:tr>
      <w:tr w:rsidR="139DF8FE" w:rsidRPr="00F66162" w14:paraId="56BF2DF1" w14:textId="77777777" w:rsidTr="139DF8FE">
        <w:trPr>
          <w:trHeight w:val="300"/>
        </w:trPr>
        <w:tc>
          <w:tcPr>
            <w:tcW w:w="9067" w:type="dxa"/>
            <w:tcMar>
              <w:left w:w="141" w:type="dxa"/>
              <w:right w:w="141" w:type="dxa"/>
            </w:tcMar>
          </w:tcPr>
          <w:p w14:paraId="5A1DCA07" w14:textId="77777777" w:rsidR="139DF8FE" w:rsidRPr="00F66162" w:rsidRDefault="139DF8FE" w:rsidP="139DF8FE">
            <w:pPr>
              <w:spacing w:before="0"/>
              <w:rPr>
                <w:noProof/>
              </w:rPr>
            </w:pPr>
            <w:r w:rsidRPr="00F66162">
              <w:rPr>
                <w:rFonts w:ascii="Calibri" w:hAnsi="Calibri"/>
                <w:noProof/>
              </w:rPr>
              <w:t xml:space="preserve">Ogólny zarys architektury rejestru CBAM obejmuje trzy warstwy: </w:t>
            </w:r>
          </w:p>
          <w:p w14:paraId="43DC4815" w14:textId="70A83AE9" w:rsidR="139DF8FE" w:rsidRPr="00F66162" w:rsidRDefault="139DF8FE" w:rsidP="139DF8FE">
            <w:pPr>
              <w:pStyle w:val="Akapitzlist"/>
              <w:numPr>
                <w:ilvl w:val="0"/>
                <w:numId w:val="4"/>
              </w:numPr>
              <w:spacing w:before="0" w:after="0" w:line="257" w:lineRule="auto"/>
              <w:ind w:left="360"/>
              <w:rPr>
                <w:rFonts w:ascii="Calibri" w:eastAsia="Calibri" w:hAnsi="Calibri" w:cs="Calibri"/>
                <w:noProof/>
                <w:szCs w:val="24"/>
              </w:rPr>
            </w:pPr>
            <w:r w:rsidRPr="00F66162">
              <w:rPr>
                <w:rFonts w:ascii="Calibri" w:hAnsi="Calibri"/>
                <w:b/>
                <w:noProof/>
              </w:rPr>
              <w:t>Warstwa portalu</w:t>
            </w:r>
            <w:r w:rsidRPr="00F66162">
              <w:rPr>
                <w:rFonts w:ascii="Calibri" w:hAnsi="Calibri"/>
                <w:noProof/>
              </w:rPr>
              <w:t xml:space="preserve"> obejmująca różne portale dla poszczególnych grup użytkowników rejestru CBAM: CBAM dla zgłaszających</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ope</w:t>
            </w:r>
            <w:r w:rsidRPr="00F66162">
              <w:rPr>
                <w:rFonts w:ascii="Calibri" w:hAnsi="Calibri"/>
                <w:noProof/>
              </w:rPr>
              <w:t>ratorów instalacji</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pań</w:t>
            </w:r>
            <w:r w:rsidRPr="00F66162">
              <w:rPr>
                <w:rFonts w:ascii="Calibri" w:hAnsi="Calibri"/>
                <w:noProof/>
              </w:rPr>
              <w:t>stwach trzecich oraz CBAM dla właściwych organów krajowych, Komisji, krajowych administracji celnych, OLAF-u</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inn</w:t>
            </w:r>
            <w:r w:rsidRPr="00F66162">
              <w:rPr>
                <w:rFonts w:ascii="Calibri" w:hAnsi="Calibri"/>
                <w:noProof/>
              </w:rPr>
              <w:t>ych służb Komisji.</w:t>
            </w:r>
          </w:p>
          <w:p w14:paraId="74C629CA" w14:textId="35F31A8B" w:rsidR="139DF8FE" w:rsidRPr="00F66162" w:rsidRDefault="139DF8FE" w:rsidP="139DF8FE">
            <w:pPr>
              <w:pStyle w:val="Akapitzlist"/>
              <w:numPr>
                <w:ilvl w:val="0"/>
                <w:numId w:val="4"/>
              </w:numPr>
              <w:spacing w:before="0" w:after="0" w:line="257" w:lineRule="auto"/>
              <w:ind w:left="360"/>
              <w:rPr>
                <w:rFonts w:ascii="Calibri" w:eastAsia="Calibri" w:hAnsi="Calibri" w:cs="Calibri"/>
                <w:noProof/>
                <w:szCs w:val="24"/>
              </w:rPr>
            </w:pPr>
            <w:r w:rsidRPr="00F66162">
              <w:rPr>
                <w:rFonts w:ascii="Calibri" w:hAnsi="Calibri"/>
                <w:b/>
                <w:noProof/>
              </w:rPr>
              <w:t>Warstwa zarządzania dostępem użytkowników</w:t>
            </w:r>
            <w:r w:rsidRPr="00F66162">
              <w:rPr>
                <w:rFonts w:ascii="Calibri" w:hAnsi="Calibri"/>
                <w:noProof/>
              </w:rPr>
              <w:t>: do celów zarządzania uwierzytelnieniami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upo</w:t>
            </w:r>
            <w:r w:rsidRPr="00F66162">
              <w:rPr>
                <w:rFonts w:ascii="Calibri" w:hAnsi="Calibri"/>
                <w:noProof/>
              </w:rPr>
              <w:t>ważnieniami użytkowników rejestru CBAM. Właściwe organy krajowe będą musiały zapewnić dostęp zgłaszającym CBAM (oczekuje się, że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2</w:t>
            </w:r>
            <w:r w:rsidRPr="00F66162">
              <w:rPr>
                <w:rFonts w:ascii="Calibri" w:hAnsi="Calibri"/>
                <w:noProof/>
              </w:rPr>
              <w:t>0</w:t>
            </w:r>
            <w:r w:rsidRPr="00825614">
              <w:rPr>
                <w:rFonts w:ascii="Calibri" w:hAnsi="Calibri"/>
                <w:noProof/>
              </w:rPr>
              <w:t>26</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ich liczba przekroczy 200 000)</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tym</w:t>
            </w:r>
            <w:r w:rsidRPr="00F66162">
              <w:rPr>
                <w:rFonts w:ascii="Calibri" w:hAnsi="Calibri"/>
                <w:noProof/>
              </w:rPr>
              <w:t xml:space="preserve"> dostępem zarządzać, natomiast Komisja – operatorom</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pań</w:t>
            </w:r>
            <w:r w:rsidRPr="00F66162">
              <w:rPr>
                <w:rFonts w:ascii="Calibri" w:hAnsi="Calibri"/>
                <w:noProof/>
              </w:rPr>
              <w:t xml:space="preserve">stw trzecich (szacowanym </w:t>
            </w:r>
            <w:r w:rsidRPr="00825614">
              <w:rPr>
                <w:rFonts w:ascii="Calibri" w:hAnsi="Calibri"/>
                <w:noProof/>
              </w:rPr>
              <w:t>na</w:t>
            </w:r>
            <w:r w:rsidR="00825614" w:rsidRPr="00825614">
              <w:rPr>
                <w:rFonts w:ascii="Calibri" w:hAnsi="Calibri"/>
                <w:noProof/>
              </w:rPr>
              <w:t> </w:t>
            </w:r>
            <w:r w:rsidRPr="00825614">
              <w:rPr>
                <w:rFonts w:ascii="Calibri" w:hAnsi="Calibri"/>
                <w:noProof/>
              </w:rPr>
              <w:t>5</w:t>
            </w:r>
            <w:r w:rsidRPr="00F66162">
              <w:rPr>
                <w:rFonts w:ascii="Calibri" w:hAnsi="Calibri"/>
                <w:noProof/>
              </w:rPr>
              <w:t>0 000</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2</w:t>
            </w:r>
            <w:r w:rsidRPr="00F66162">
              <w:rPr>
                <w:rFonts w:ascii="Calibri" w:hAnsi="Calibri"/>
                <w:noProof/>
              </w:rPr>
              <w:t>0</w:t>
            </w:r>
            <w:r w:rsidRPr="00825614">
              <w:rPr>
                <w:rFonts w:ascii="Calibri" w:hAnsi="Calibri"/>
                <w:noProof/>
              </w:rPr>
              <w:t>26</w:t>
            </w:r>
            <w:r w:rsidR="00825614" w:rsidRPr="00825614">
              <w:rPr>
                <w:rFonts w:ascii="Calibri" w:hAnsi="Calibri"/>
                <w:noProof/>
              </w:rPr>
              <w:t> </w:t>
            </w:r>
            <w:r w:rsidRPr="00825614">
              <w:rPr>
                <w:rFonts w:ascii="Calibri" w:hAnsi="Calibri"/>
                <w:noProof/>
              </w:rPr>
              <w:t>r.</w:t>
            </w:r>
            <w:r w:rsidRPr="00F66162">
              <w:rPr>
                <w:rFonts w:ascii="Calibri" w:hAnsi="Calibri"/>
                <w:noProof/>
              </w:rPr>
              <w:t>). Każde państwo członkowskie</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adm</w:t>
            </w:r>
            <w:r w:rsidRPr="00F66162">
              <w:rPr>
                <w:rFonts w:ascii="Calibri" w:hAnsi="Calibri"/>
                <w:noProof/>
              </w:rPr>
              <w:t>inistracja UE będą odpowiedzialne za dostęp swoich użytkowników.</w:t>
            </w:r>
          </w:p>
          <w:p w14:paraId="713E1441" w14:textId="5BE1C0CC" w:rsidR="139DF8FE" w:rsidRPr="00F66162" w:rsidRDefault="139DF8FE" w:rsidP="139DF8FE">
            <w:pPr>
              <w:pStyle w:val="Akapitzlist"/>
              <w:numPr>
                <w:ilvl w:val="0"/>
                <w:numId w:val="4"/>
              </w:numPr>
              <w:spacing w:before="0" w:after="0" w:line="257" w:lineRule="auto"/>
              <w:ind w:left="360"/>
              <w:rPr>
                <w:rFonts w:ascii="Calibri" w:eastAsia="Calibri" w:hAnsi="Calibri" w:cs="Calibri"/>
                <w:noProof/>
                <w:szCs w:val="24"/>
              </w:rPr>
            </w:pPr>
            <w:r w:rsidRPr="00F66162">
              <w:rPr>
                <w:rFonts w:ascii="Calibri" w:hAnsi="Calibri"/>
                <w:noProof/>
              </w:rPr>
              <w:t xml:space="preserve">Segment </w:t>
            </w:r>
            <w:r w:rsidRPr="00F66162">
              <w:rPr>
                <w:rFonts w:ascii="Calibri" w:hAnsi="Calibri"/>
                <w:b/>
                <w:noProof/>
              </w:rPr>
              <w:t>back-end</w:t>
            </w:r>
            <w:r w:rsidRPr="00F66162">
              <w:rPr>
                <w:rFonts w:ascii="Calibri" w:hAnsi="Calibri"/>
                <w:noProof/>
              </w:rPr>
              <w:t>: do celów wspierania wszelkiego zarządzania danymi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zas</w:t>
            </w:r>
            <w:r w:rsidRPr="00F66162">
              <w:rPr>
                <w:rFonts w:ascii="Calibri" w:hAnsi="Calibri"/>
                <w:noProof/>
              </w:rPr>
              <w:t>adami wymaganymi</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odn</w:t>
            </w:r>
            <w:r w:rsidRPr="00F66162">
              <w:rPr>
                <w:rFonts w:ascii="Calibri" w:hAnsi="Calibri"/>
                <w:noProof/>
              </w:rPr>
              <w:t>iesieniu do CBAM,</w:t>
            </w:r>
            <w:r w:rsidR="00825614" w:rsidRPr="00F66162">
              <w:rPr>
                <w:rFonts w:ascii="Calibri" w:hAnsi="Calibri"/>
                <w:noProof/>
              </w:rPr>
              <w:t xml:space="preserve"> a</w:t>
            </w:r>
            <w:r w:rsidR="00825614">
              <w:rPr>
                <w:rFonts w:ascii="Calibri" w:hAnsi="Calibri"/>
                <w:noProof/>
              </w:rPr>
              <w:t> </w:t>
            </w:r>
            <w:r w:rsidR="00825614" w:rsidRPr="00F66162">
              <w:rPr>
                <w:rFonts w:ascii="Calibri" w:hAnsi="Calibri"/>
                <w:noProof/>
              </w:rPr>
              <w:t>tak</w:t>
            </w:r>
            <w:r w:rsidRPr="00F66162">
              <w:rPr>
                <w:rFonts w:ascii="Calibri" w:hAnsi="Calibri"/>
                <w:noProof/>
              </w:rPr>
              <w:t>że wspierania wszelkich interakcji</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sys</w:t>
            </w:r>
            <w:r w:rsidRPr="00F66162">
              <w:rPr>
                <w:rFonts w:ascii="Calibri" w:hAnsi="Calibri"/>
                <w:noProof/>
              </w:rPr>
              <w:t>temami zewnętrznymi. Należy zaznaczyć, że:</w:t>
            </w:r>
          </w:p>
          <w:p w14:paraId="759BF4C6" w14:textId="028EDA76" w:rsidR="139DF8FE" w:rsidRPr="00F66162" w:rsidRDefault="139DF8FE" w:rsidP="139DF8FE">
            <w:pPr>
              <w:pStyle w:val="Akapitzlist"/>
              <w:numPr>
                <w:ilvl w:val="1"/>
                <w:numId w:val="4"/>
              </w:numPr>
              <w:spacing w:before="0" w:after="0" w:line="257" w:lineRule="auto"/>
              <w:ind w:left="1080"/>
              <w:rPr>
                <w:rFonts w:ascii="Calibri" w:eastAsia="Calibri" w:hAnsi="Calibri" w:cs="Calibri"/>
                <w:noProof/>
                <w:szCs w:val="24"/>
              </w:rPr>
            </w:pPr>
            <w:r w:rsidRPr="00F66162">
              <w:rPr>
                <w:rFonts w:ascii="Calibri" w:hAnsi="Calibri"/>
                <w:noProof/>
              </w:rPr>
              <w:t>w ramach CBAM zostaną wdrożone liczne procedury, powiadomienia</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wym</w:t>
            </w:r>
            <w:r w:rsidRPr="00F66162">
              <w:rPr>
                <w:rFonts w:ascii="Calibri" w:hAnsi="Calibri"/>
                <w:noProof/>
              </w:rPr>
              <w:t xml:space="preserve">iany </w:t>
            </w:r>
            <w:r w:rsidRPr="00F66162">
              <w:rPr>
                <w:rFonts w:ascii="Calibri" w:hAnsi="Calibri"/>
                <w:noProof/>
              </w:rPr>
              <w:lastRenderedPageBreak/>
              <w:t>informacji między Komisją, właściwymi organami krajowymi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pod</w:t>
            </w:r>
            <w:r w:rsidRPr="00F66162">
              <w:rPr>
                <w:rFonts w:ascii="Calibri" w:hAnsi="Calibri"/>
                <w:noProof/>
              </w:rPr>
              <w:t>miotami zgłaszającymi CBAM,</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szc</w:t>
            </w:r>
            <w:r w:rsidRPr="00F66162">
              <w:rPr>
                <w:rFonts w:ascii="Calibri" w:hAnsi="Calibri"/>
                <w:noProof/>
              </w:rPr>
              <w:t>zególności</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obs</w:t>
            </w:r>
            <w:r w:rsidRPr="00F66162">
              <w:rPr>
                <w:rFonts w:ascii="Calibri" w:hAnsi="Calibri"/>
                <w:noProof/>
              </w:rPr>
              <w:t>zarach składania deklaracji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ich</w:t>
            </w:r>
            <w:r w:rsidRPr="00F66162">
              <w:rPr>
                <w:rFonts w:ascii="Calibri" w:hAnsi="Calibri"/>
                <w:noProof/>
              </w:rPr>
              <w:t xml:space="preserve"> przeglądu (w tym oceny ryzyka);</w:t>
            </w:r>
          </w:p>
          <w:p w14:paraId="7B0A572C" w14:textId="199F53E6" w:rsidR="139DF8FE" w:rsidRPr="00F66162" w:rsidRDefault="139DF8FE" w:rsidP="139DF8FE">
            <w:pPr>
              <w:pStyle w:val="Akapitzlist"/>
              <w:numPr>
                <w:ilvl w:val="1"/>
                <w:numId w:val="4"/>
              </w:numPr>
              <w:spacing w:before="0" w:after="0" w:line="257" w:lineRule="auto"/>
              <w:ind w:left="1080"/>
              <w:rPr>
                <w:rFonts w:ascii="Calibri" w:eastAsia="Calibri" w:hAnsi="Calibri" w:cs="Calibri"/>
                <w:noProof/>
                <w:szCs w:val="24"/>
              </w:rPr>
            </w:pPr>
            <w:r w:rsidRPr="00F66162">
              <w:rPr>
                <w:rFonts w:ascii="Calibri" w:hAnsi="Calibri"/>
                <w:noProof/>
              </w:rPr>
              <w:t>zarządzanie rachunkami zgłaszających</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cer</w:t>
            </w:r>
            <w:r w:rsidRPr="00F66162">
              <w:rPr>
                <w:rFonts w:ascii="Calibri" w:hAnsi="Calibri"/>
                <w:noProof/>
              </w:rPr>
              <w:t>tyfikatami CBAM (potencjalnie aktywa finansowe), zarządzanie ryzykiem</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bez</w:t>
            </w:r>
            <w:r w:rsidRPr="00F66162">
              <w:rPr>
                <w:rFonts w:ascii="Calibri" w:hAnsi="Calibri"/>
                <w:noProof/>
              </w:rPr>
              <w:t>pieczna wymiana informacji wiążą się</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wys</w:t>
            </w:r>
            <w:r w:rsidRPr="00F66162">
              <w:rPr>
                <w:rFonts w:ascii="Calibri" w:hAnsi="Calibri"/>
                <w:noProof/>
              </w:rPr>
              <w:t>okimi wymaganiami</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zak</w:t>
            </w:r>
            <w:r w:rsidRPr="00F66162">
              <w:rPr>
                <w:rFonts w:ascii="Calibri" w:hAnsi="Calibri"/>
                <w:noProof/>
              </w:rPr>
              <w:t>resie bezpieczeństwa.</w:t>
            </w:r>
          </w:p>
        </w:tc>
      </w:tr>
    </w:tbl>
    <w:p w14:paraId="14501917" w14:textId="77777777" w:rsidR="00FA5543" w:rsidRPr="00825614" w:rsidRDefault="00FA5543" w:rsidP="00390489">
      <w:pPr>
        <w:pStyle w:val="ManualHeading2"/>
        <w:rPr>
          <w:rStyle w:val="Uwydatnienie"/>
          <w:b w:val="0"/>
          <w:bCs/>
          <w:noProof/>
        </w:rPr>
      </w:pPr>
      <w:r w:rsidRPr="00825614">
        <w:rPr>
          <w:rStyle w:val="Uwydatnienie"/>
          <w:noProof/>
        </w:rPr>
        <w:lastRenderedPageBreak/>
        <w:t>4.4.</w:t>
      </w:r>
      <w:r w:rsidRPr="00825614">
        <w:rPr>
          <w:noProof/>
        </w:rPr>
        <w:tab/>
      </w:r>
      <w:r w:rsidRPr="00825614">
        <w:rPr>
          <w:rStyle w:val="Uwydatnienie"/>
          <w:noProof/>
        </w:rPr>
        <w:t>Ocena interoperacyjności</w:t>
      </w:r>
    </w:p>
    <w:tbl>
      <w:tblPr>
        <w:tblStyle w:val="Tabela-Siatka"/>
        <w:tblpPr w:leftFromText="141" w:rightFromText="141" w:vertAnchor="text" w:horzAnchor="margin" w:tblpY="36"/>
        <w:tblW w:w="9067" w:type="dxa"/>
        <w:tblLayout w:type="fixed"/>
        <w:tblLook w:val="06A0" w:firstRow="1" w:lastRow="0" w:firstColumn="1" w:lastColumn="0" w:noHBand="1" w:noVBand="1"/>
      </w:tblPr>
      <w:tblGrid>
        <w:gridCol w:w="9067"/>
      </w:tblGrid>
      <w:tr w:rsidR="00FA5543" w:rsidRPr="00F66162" w14:paraId="700E9747" w14:textId="77777777" w:rsidTr="139DF8FE">
        <w:trPr>
          <w:trHeight w:val="300"/>
        </w:trPr>
        <w:tc>
          <w:tcPr>
            <w:tcW w:w="9067" w:type="dxa"/>
          </w:tcPr>
          <w:p w14:paraId="5FDF373C" w14:textId="7B16BC93" w:rsidR="139DF8FE" w:rsidRPr="00F66162" w:rsidRDefault="139DF8FE" w:rsidP="139DF8FE">
            <w:pPr>
              <w:spacing w:line="257" w:lineRule="auto"/>
              <w:rPr>
                <w:noProof/>
                <w:szCs w:val="24"/>
              </w:rPr>
            </w:pPr>
            <w:r w:rsidRPr="00F66162">
              <w:rPr>
                <w:noProof/>
              </w:rPr>
              <w:t>CBAM jest</w:t>
            </w:r>
            <w:r w:rsidR="00825614" w:rsidRPr="00F66162">
              <w:rPr>
                <w:noProof/>
              </w:rPr>
              <w:t xml:space="preserve"> z</w:t>
            </w:r>
            <w:r w:rsidR="00825614">
              <w:rPr>
                <w:noProof/>
              </w:rPr>
              <w:t> </w:t>
            </w:r>
            <w:r w:rsidR="00825614" w:rsidRPr="00F66162">
              <w:rPr>
                <w:noProof/>
              </w:rPr>
              <w:t>zał</w:t>
            </w:r>
            <w:r w:rsidRPr="00F66162">
              <w:rPr>
                <w:noProof/>
              </w:rPr>
              <w:t>ożenia mechanizmem transgranicznym, ponieważ wspiera on</w:t>
            </w:r>
            <w:r w:rsidR="00825614" w:rsidRPr="00F66162">
              <w:rPr>
                <w:noProof/>
              </w:rPr>
              <w:t xml:space="preserve"> w</w:t>
            </w:r>
            <w:r w:rsidR="00825614">
              <w:rPr>
                <w:noProof/>
              </w:rPr>
              <w:t> </w:t>
            </w:r>
            <w:r w:rsidR="00825614" w:rsidRPr="00F66162">
              <w:rPr>
                <w:noProof/>
              </w:rPr>
              <w:t>cał</w:t>
            </w:r>
            <w:r w:rsidRPr="00F66162">
              <w:rPr>
                <w:noProof/>
              </w:rPr>
              <w:t>ej UE cykl życia CBAM,</w:t>
            </w:r>
            <w:r w:rsidR="00825614" w:rsidRPr="00F66162">
              <w:rPr>
                <w:noProof/>
              </w:rPr>
              <w:t xml:space="preserve"> w</w:t>
            </w:r>
            <w:r w:rsidR="00825614">
              <w:rPr>
                <w:noProof/>
              </w:rPr>
              <w:t> </w:t>
            </w:r>
            <w:r w:rsidR="00825614" w:rsidRPr="00F66162">
              <w:rPr>
                <w:noProof/>
              </w:rPr>
              <w:t>szc</w:t>
            </w:r>
            <w:r w:rsidRPr="00F66162">
              <w:rPr>
                <w:noProof/>
              </w:rPr>
              <w:t>zególności organizację ocen ryzyka</w:t>
            </w:r>
            <w:r w:rsidR="00825614" w:rsidRPr="00F66162">
              <w:rPr>
                <w:noProof/>
              </w:rPr>
              <w:t xml:space="preserve"> i</w:t>
            </w:r>
            <w:r w:rsidR="00825614">
              <w:rPr>
                <w:noProof/>
              </w:rPr>
              <w:t> </w:t>
            </w:r>
            <w:r w:rsidR="00825614" w:rsidRPr="00F66162">
              <w:rPr>
                <w:noProof/>
              </w:rPr>
              <w:t>prz</w:t>
            </w:r>
            <w:r w:rsidRPr="00F66162">
              <w:rPr>
                <w:noProof/>
              </w:rPr>
              <w:t>eglądów deklaracji CBAM przez wszystkie właściwe organy krajowe</w:t>
            </w:r>
            <w:r w:rsidR="00825614" w:rsidRPr="00F66162">
              <w:rPr>
                <w:noProof/>
              </w:rPr>
              <w:t xml:space="preserve"> i</w:t>
            </w:r>
            <w:r w:rsidR="00825614">
              <w:rPr>
                <w:noProof/>
              </w:rPr>
              <w:t> </w:t>
            </w:r>
            <w:r w:rsidR="00825614" w:rsidRPr="00F66162">
              <w:rPr>
                <w:noProof/>
              </w:rPr>
              <w:t>Kom</w:t>
            </w:r>
            <w:r w:rsidRPr="00F66162">
              <w:rPr>
                <w:noProof/>
              </w:rPr>
              <w:t xml:space="preserve">isję. </w:t>
            </w:r>
          </w:p>
          <w:p w14:paraId="1156D543" w14:textId="3135BE56" w:rsidR="139DF8FE" w:rsidRPr="00F66162" w:rsidRDefault="139DF8FE" w:rsidP="139DF8FE">
            <w:pPr>
              <w:spacing w:line="257" w:lineRule="auto"/>
              <w:rPr>
                <w:noProof/>
                <w:szCs w:val="24"/>
              </w:rPr>
            </w:pPr>
            <w:r w:rsidRPr="00F66162">
              <w:rPr>
                <w:noProof/>
              </w:rPr>
              <w:t>Współpraca krajowych systemów celnych zostanie zapewniona</w:t>
            </w:r>
            <w:r w:rsidR="00825614" w:rsidRPr="00F66162">
              <w:rPr>
                <w:noProof/>
              </w:rPr>
              <w:t xml:space="preserve"> w</w:t>
            </w:r>
            <w:r w:rsidR="00825614">
              <w:rPr>
                <w:noProof/>
              </w:rPr>
              <w:t> </w:t>
            </w:r>
            <w:r w:rsidR="00825614" w:rsidRPr="00F66162">
              <w:rPr>
                <w:noProof/>
              </w:rPr>
              <w:t>opa</w:t>
            </w:r>
            <w:r w:rsidRPr="00F66162">
              <w:rPr>
                <w:noProof/>
              </w:rPr>
              <w:t>rciu</w:t>
            </w:r>
            <w:r w:rsidR="00825614" w:rsidRPr="00F66162">
              <w:rPr>
                <w:noProof/>
              </w:rPr>
              <w:t xml:space="preserve"> o</w:t>
            </w:r>
            <w:r w:rsidR="00825614">
              <w:rPr>
                <w:noProof/>
              </w:rPr>
              <w:t> </w:t>
            </w:r>
            <w:r w:rsidR="00825614" w:rsidRPr="00F66162">
              <w:rPr>
                <w:noProof/>
              </w:rPr>
              <w:t>usł</w:t>
            </w:r>
            <w:r w:rsidRPr="00F66162">
              <w:rPr>
                <w:noProof/>
              </w:rPr>
              <w:t>ugi</w:t>
            </w:r>
            <w:r w:rsidR="00825614" w:rsidRPr="00F66162">
              <w:rPr>
                <w:noProof/>
              </w:rPr>
              <w:t xml:space="preserve"> i</w:t>
            </w:r>
            <w:r w:rsidR="00825614">
              <w:rPr>
                <w:noProof/>
              </w:rPr>
              <w:t> </w:t>
            </w:r>
            <w:r w:rsidR="00825614" w:rsidRPr="00F66162">
              <w:rPr>
                <w:noProof/>
              </w:rPr>
              <w:t>int</w:t>
            </w:r>
            <w:r w:rsidRPr="00F66162">
              <w:rPr>
                <w:noProof/>
              </w:rPr>
              <w:t>erfejsy informatyczne Komisji (takie jak SURV3 i EU CSW – CERTEX),</w:t>
            </w:r>
            <w:r w:rsidR="00825614" w:rsidRPr="00F66162">
              <w:rPr>
                <w:noProof/>
              </w:rPr>
              <w:t xml:space="preserve"> a</w:t>
            </w:r>
            <w:r w:rsidR="00825614">
              <w:rPr>
                <w:noProof/>
              </w:rPr>
              <w:t> </w:t>
            </w:r>
            <w:r w:rsidR="00825614" w:rsidRPr="00F66162">
              <w:rPr>
                <w:noProof/>
              </w:rPr>
              <w:t>tak</w:t>
            </w:r>
            <w:r w:rsidRPr="00F66162">
              <w:rPr>
                <w:noProof/>
              </w:rPr>
              <w:t xml:space="preserve">że nowe komponenty, zaprojektowane specjalnie na potrzeby CBAM. </w:t>
            </w:r>
          </w:p>
          <w:p w14:paraId="4B40245C" w14:textId="23E42DBA" w:rsidR="139DF8FE" w:rsidRPr="00F66162" w:rsidRDefault="139DF8FE" w:rsidP="139DF8FE">
            <w:pPr>
              <w:spacing w:line="257" w:lineRule="auto"/>
              <w:rPr>
                <w:noProof/>
                <w:szCs w:val="24"/>
              </w:rPr>
            </w:pPr>
            <w:r w:rsidRPr="00F66162">
              <w:rPr>
                <w:noProof/>
              </w:rPr>
              <w:t>Rejestr CBAM zaprojektowano</w:t>
            </w:r>
            <w:r w:rsidR="00825614" w:rsidRPr="00F66162">
              <w:rPr>
                <w:noProof/>
              </w:rPr>
              <w:t xml:space="preserve"> z</w:t>
            </w:r>
            <w:r w:rsidR="00825614">
              <w:rPr>
                <w:noProof/>
              </w:rPr>
              <w:t> </w:t>
            </w:r>
            <w:r w:rsidR="00825614" w:rsidRPr="00F66162">
              <w:rPr>
                <w:noProof/>
              </w:rPr>
              <w:t>myś</w:t>
            </w:r>
            <w:r w:rsidRPr="00F66162">
              <w:rPr>
                <w:noProof/>
              </w:rPr>
              <w:t>lą</w:t>
            </w:r>
            <w:r w:rsidR="00825614" w:rsidRPr="00F66162">
              <w:rPr>
                <w:noProof/>
              </w:rPr>
              <w:t xml:space="preserve"> o</w:t>
            </w:r>
            <w:r w:rsidR="00825614">
              <w:rPr>
                <w:noProof/>
              </w:rPr>
              <w:t> </w:t>
            </w:r>
            <w:r w:rsidR="00825614" w:rsidRPr="00F66162">
              <w:rPr>
                <w:noProof/>
              </w:rPr>
              <w:t>wsp</w:t>
            </w:r>
            <w:r w:rsidRPr="00F66162">
              <w:rPr>
                <w:noProof/>
              </w:rPr>
              <w:t>ieraniu interoperacyjności poprzez nacisk na otwartość, modułowość, ograniczanie współzależności</w:t>
            </w:r>
            <w:r w:rsidR="00825614" w:rsidRPr="00F66162">
              <w:rPr>
                <w:noProof/>
              </w:rPr>
              <w:t xml:space="preserve"> i</w:t>
            </w:r>
            <w:r w:rsidR="00825614">
              <w:rPr>
                <w:noProof/>
              </w:rPr>
              <w:t> </w:t>
            </w:r>
            <w:r w:rsidR="00825614" w:rsidRPr="00F66162">
              <w:rPr>
                <w:noProof/>
              </w:rPr>
              <w:t>sol</w:t>
            </w:r>
            <w:r w:rsidRPr="00F66162">
              <w:rPr>
                <w:noProof/>
              </w:rPr>
              <w:t>idne interfejsy. Rejestr ten będzie współdziałać</w:t>
            </w:r>
            <w:r w:rsidR="00825614" w:rsidRPr="00F66162">
              <w:rPr>
                <w:noProof/>
              </w:rPr>
              <w:t xml:space="preserve"> z</w:t>
            </w:r>
            <w:r w:rsidR="00825614">
              <w:rPr>
                <w:noProof/>
              </w:rPr>
              <w:t> </w:t>
            </w:r>
            <w:r w:rsidR="00825614" w:rsidRPr="00F66162">
              <w:rPr>
                <w:noProof/>
              </w:rPr>
              <w:t>kra</w:t>
            </w:r>
            <w:r w:rsidRPr="00F66162">
              <w:rPr>
                <w:noProof/>
              </w:rPr>
              <w:t>jowymi systemami CBAM, ze wspólną centralną platformą,</w:t>
            </w:r>
            <w:r w:rsidR="00825614" w:rsidRPr="00F66162">
              <w:rPr>
                <w:noProof/>
              </w:rPr>
              <w:t xml:space="preserve"> z</w:t>
            </w:r>
            <w:r w:rsidR="00825614">
              <w:rPr>
                <w:noProof/>
              </w:rPr>
              <w:t> </w:t>
            </w:r>
            <w:r w:rsidR="00825614" w:rsidRPr="00F66162">
              <w:rPr>
                <w:noProof/>
              </w:rPr>
              <w:t>uni</w:t>
            </w:r>
            <w:r w:rsidRPr="00F66162">
              <w:rPr>
                <w:noProof/>
              </w:rPr>
              <w:t>jnymi systemami celnymi DG TAXUD</w:t>
            </w:r>
            <w:r w:rsidR="00825614" w:rsidRPr="00F66162">
              <w:rPr>
                <w:noProof/>
              </w:rPr>
              <w:t xml:space="preserve"> i</w:t>
            </w:r>
            <w:r w:rsidR="00825614">
              <w:rPr>
                <w:noProof/>
              </w:rPr>
              <w:t> </w:t>
            </w:r>
            <w:r w:rsidR="00825614" w:rsidRPr="00F66162">
              <w:rPr>
                <w:noProof/>
              </w:rPr>
              <w:t>kra</w:t>
            </w:r>
            <w:r w:rsidRPr="00F66162">
              <w:rPr>
                <w:noProof/>
              </w:rPr>
              <w:t>jowych administracji celnych,</w:t>
            </w:r>
            <w:r w:rsidR="00825614" w:rsidRPr="00F66162">
              <w:rPr>
                <w:noProof/>
              </w:rPr>
              <w:t xml:space="preserve"> a</w:t>
            </w:r>
            <w:r w:rsidR="00825614">
              <w:rPr>
                <w:noProof/>
              </w:rPr>
              <w:t> </w:t>
            </w:r>
            <w:r w:rsidR="00825614" w:rsidRPr="00F66162">
              <w:rPr>
                <w:noProof/>
              </w:rPr>
              <w:t>tak</w:t>
            </w:r>
            <w:r w:rsidRPr="00F66162">
              <w:rPr>
                <w:noProof/>
              </w:rPr>
              <w:t>że</w:t>
            </w:r>
            <w:r w:rsidR="00825614" w:rsidRPr="00F66162">
              <w:rPr>
                <w:noProof/>
              </w:rPr>
              <w:t xml:space="preserve"> z</w:t>
            </w:r>
            <w:r w:rsidR="00825614">
              <w:rPr>
                <w:noProof/>
              </w:rPr>
              <w:t> </w:t>
            </w:r>
            <w:r w:rsidR="00825614" w:rsidRPr="00F66162">
              <w:rPr>
                <w:noProof/>
              </w:rPr>
              <w:t>sys</w:t>
            </w:r>
            <w:r w:rsidRPr="00F66162">
              <w:rPr>
                <w:noProof/>
              </w:rPr>
              <w:t>temami pozostałych dyrekcji generalnych za pośrednictwem otwartych interfejsów.</w:t>
            </w:r>
          </w:p>
          <w:p w14:paraId="76BFC006" w14:textId="5207C6C0" w:rsidR="139DF8FE" w:rsidRPr="00F66162" w:rsidRDefault="139DF8FE" w:rsidP="139DF8FE">
            <w:pPr>
              <w:spacing w:line="257" w:lineRule="auto"/>
              <w:rPr>
                <w:noProof/>
              </w:rPr>
            </w:pPr>
            <w:r w:rsidRPr="00F66162">
              <w:rPr>
                <w:noProof/>
              </w:rPr>
              <w:t>Centralne repozytorium CBAM będzie korzystać</w:t>
            </w:r>
            <w:r w:rsidR="00825614" w:rsidRPr="00F66162">
              <w:rPr>
                <w:noProof/>
              </w:rPr>
              <w:t xml:space="preserve"> z</w:t>
            </w:r>
            <w:r w:rsidR="00825614">
              <w:rPr>
                <w:noProof/>
              </w:rPr>
              <w:t> </w:t>
            </w:r>
            <w:r w:rsidR="00825614" w:rsidRPr="00F66162">
              <w:rPr>
                <w:noProof/>
              </w:rPr>
              <w:t>ist</w:t>
            </w:r>
            <w:r w:rsidRPr="00F66162">
              <w:rPr>
                <w:noProof/>
              </w:rPr>
              <w:t>niejących interfejsów unijnych systemów celnych zarządzanych przez DG TAXUD. Określone zostaną specjalne formaty wpisów celnych dotyczących przywozu</w:t>
            </w:r>
            <w:r w:rsidR="00825614" w:rsidRPr="00F66162">
              <w:rPr>
                <w:noProof/>
              </w:rPr>
              <w:t xml:space="preserve"> i</w:t>
            </w:r>
            <w:r w:rsidR="00825614">
              <w:rPr>
                <w:noProof/>
              </w:rPr>
              <w:t> </w:t>
            </w:r>
            <w:r w:rsidR="00825614" w:rsidRPr="00F66162">
              <w:rPr>
                <w:noProof/>
              </w:rPr>
              <w:t>usz</w:t>
            </w:r>
            <w:r w:rsidRPr="00F66162">
              <w:rPr>
                <w:noProof/>
              </w:rPr>
              <w:t>lachetniania czynnego, dokonywanych przez krajowe administracje celne. Nowe interfejsy służące powiązaniu CBAM</w:t>
            </w:r>
            <w:r w:rsidR="00825614" w:rsidRPr="00F66162">
              <w:rPr>
                <w:noProof/>
              </w:rPr>
              <w:t xml:space="preserve"> z</w:t>
            </w:r>
            <w:r w:rsidR="00825614">
              <w:rPr>
                <w:noProof/>
              </w:rPr>
              <w:t> </w:t>
            </w:r>
            <w:r w:rsidR="00825614" w:rsidRPr="00F66162">
              <w:rPr>
                <w:noProof/>
              </w:rPr>
              <w:t>kra</w:t>
            </w:r>
            <w:r w:rsidRPr="00F66162">
              <w:rPr>
                <w:noProof/>
              </w:rPr>
              <w:t>jowymi systemami celnymi zostaną opublikowane na początku 20</w:t>
            </w:r>
            <w:r w:rsidRPr="00825614">
              <w:rPr>
                <w:noProof/>
              </w:rPr>
              <w:t>24</w:t>
            </w:r>
            <w:r w:rsidR="00825614" w:rsidRPr="00825614">
              <w:rPr>
                <w:noProof/>
              </w:rPr>
              <w:t> </w:t>
            </w:r>
            <w:r w:rsidRPr="00825614">
              <w:rPr>
                <w:noProof/>
              </w:rPr>
              <w:t>r.</w:t>
            </w:r>
            <w:r w:rsidRPr="00F66162">
              <w:rPr>
                <w:noProof/>
              </w:rPr>
              <w:t>, aby zapewnić krajowym administracjom celnym wystarczająco dużo czasu na odpowiednie przygotowanie swoich systemów.</w:t>
            </w:r>
          </w:p>
          <w:p w14:paraId="3536A7E2" w14:textId="682A8803" w:rsidR="139DF8FE" w:rsidRPr="00F66162" w:rsidRDefault="139DF8FE" w:rsidP="139DF8FE">
            <w:pPr>
              <w:spacing w:before="0" w:line="257" w:lineRule="auto"/>
              <w:rPr>
                <w:noProof/>
              </w:rPr>
            </w:pPr>
            <w:r w:rsidRPr="00F66162">
              <w:rPr>
                <w:noProof/>
              </w:rPr>
              <w:t>Interfejs S2S łączący rejestr CBAM z CCP będzie oparty na ustrukturyzowanej wymianie komunikatów</w:t>
            </w:r>
            <w:r w:rsidR="00825614" w:rsidRPr="00F66162">
              <w:rPr>
                <w:noProof/>
              </w:rPr>
              <w:t xml:space="preserve"> i</w:t>
            </w:r>
            <w:r w:rsidR="00825614">
              <w:rPr>
                <w:noProof/>
              </w:rPr>
              <w:t> </w:t>
            </w:r>
            <w:r w:rsidR="00825614" w:rsidRPr="00F66162">
              <w:rPr>
                <w:noProof/>
              </w:rPr>
              <w:t>dos</w:t>
            </w:r>
            <w:r w:rsidRPr="00F66162">
              <w:rPr>
                <w:noProof/>
              </w:rPr>
              <w:t>tępny na początku 20</w:t>
            </w:r>
            <w:r w:rsidRPr="00825614">
              <w:rPr>
                <w:noProof/>
              </w:rPr>
              <w:t>24</w:t>
            </w:r>
            <w:r w:rsidR="00825614" w:rsidRPr="00825614">
              <w:rPr>
                <w:noProof/>
              </w:rPr>
              <w:t> </w:t>
            </w:r>
            <w:r w:rsidRPr="00825614">
              <w:rPr>
                <w:noProof/>
              </w:rPr>
              <w:t>r.</w:t>
            </w:r>
            <w:r w:rsidRPr="00F66162">
              <w:rPr>
                <w:noProof/>
              </w:rPr>
              <w:t>, tak aby zapewnić wystarczająco dużo czasu na zintegrowanie odpowiednich interfejsów rejestru CBAM i CCP do połowy 20</w:t>
            </w:r>
            <w:r w:rsidRPr="00825614">
              <w:rPr>
                <w:noProof/>
              </w:rPr>
              <w:t>25</w:t>
            </w:r>
            <w:r w:rsidR="00825614" w:rsidRPr="00825614">
              <w:rPr>
                <w:noProof/>
              </w:rPr>
              <w:t> </w:t>
            </w:r>
            <w:r w:rsidRPr="00825614">
              <w:rPr>
                <w:noProof/>
              </w:rPr>
              <w:t>r.</w:t>
            </w:r>
          </w:p>
          <w:p w14:paraId="0CD34CC4" w14:textId="45D725D9" w:rsidR="139DF8FE" w:rsidRPr="00F66162" w:rsidRDefault="139DF8FE" w:rsidP="139DF8FE">
            <w:pPr>
              <w:spacing w:before="0" w:line="257" w:lineRule="auto"/>
              <w:rPr>
                <w:noProof/>
              </w:rPr>
            </w:pPr>
            <w:r w:rsidRPr="00F66162">
              <w:rPr>
                <w:noProof/>
              </w:rPr>
              <w:t>Także Interfejs S2S łączący rejestr CBAM</w:t>
            </w:r>
            <w:r w:rsidR="00825614" w:rsidRPr="00F66162">
              <w:rPr>
                <w:noProof/>
              </w:rPr>
              <w:t xml:space="preserve"> z</w:t>
            </w:r>
            <w:r w:rsidR="00825614">
              <w:rPr>
                <w:noProof/>
              </w:rPr>
              <w:t> </w:t>
            </w:r>
            <w:r w:rsidR="00825614" w:rsidRPr="00F66162">
              <w:rPr>
                <w:noProof/>
              </w:rPr>
              <w:t>kra</w:t>
            </w:r>
            <w:r w:rsidRPr="00F66162">
              <w:rPr>
                <w:noProof/>
              </w:rPr>
              <w:t>jowymi systemami CBAM (które zostaną opracowane przez państwa członkowskie) będzie oparty na ustrukturyzowanej wymianie komunikatów</w:t>
            </w:r>
            <w:r w:rsidR="00825614" w:rsidRPr="00F66162">
              <w:rPr>
                <w:noProof/>
              </w:rPr>
              <w:t xml:space="preserve"> i</w:t>
            </w:r>
            <w:r w:rsidR="00825614">
              <w:rPr>
                <w:noProof/>
              </w:rPr>
              <w:t> </w:t>
            </w:r>
            <w:r w:rsidR="00825614" w:rsidRPr="00F66162">
              <w:rPr>
                <w:noProof/>
              </w:rPr>
              <w:t>dos</w:t>
            </w:r>
            <w:r w:rsidRPr="00F66162">
              <w:rPr>
                <w:noProof/>
              </w:rPr>
              <w:t>tępny na początku 20</w:t>
            </w:r>
            <w:r w:rsidRPr="00825614">
              <w:rPr>
                <w:noProof/>
              </w:rPr>
              <w:t>24</w:t>
            </w:r>
            <w:r w:rsidR="00825614" w:rsidRPr="00825614">
              <w:rPr>
                <w:noProof/>
              </w:rPr>
              <w:t> </w:t>
            </w:r>
            <w:r w:rsidRPr="00825614">
              <w:rPr>
                <w:noProof/>
              </w:rPr>
              <w:t>r.</w:t>
            </w:r>
            <w:r w:rsidRPr="00F66162">
              <w:rPr>
                <w:noProof/>
              </w:rPr>
              <w:t xml:space="preserve"> </w:t>
            </w:r>
          </w:p>
          <w:p w14:paraId="2134AF81" w14:textId="2F74D654" w:rsidR="139DF8FE" w:rsidRPr="00F66162" w:rsidRDefault="139DF8FE" w:rsidP="139DF8FE">
            <w:pPr>
              <w:spacing w:before="0" w:line="257" w:lineRule="auto"/>
              <w:rPr>
                <w:noProof/>
              </w:rPr>
            </w:pPr>
            <w:r w:rsidRPr="00F66162">
              <w:rPr>
                <w:noProof/>
              </w:rPr>
              <w:t>Interfejs S2S łączący rejestr CBAM</w:t>
            </w:r>
            <w:r w:rsidR="00825614" w:rsidRPr="00F66162">
              <w:rPr>
                <w:noProof/>
              </w:rPr>
              <w:t xml:space="preserve"> z</w:t>
            </w:r>
            <w:r w:rsidR="00825614">
              <w:rPr>
                <w:noProof/>
              </w:rPr>
              <w:t> </w:t>
            </w:r>
            <w:r w:rsidR="00825614" w:rsidRPr="00F66162">
              <w:rPr>
                <w:noProof/>
              </w:rPr>
              <w:t>sys</w:t>
            </w:r>
            <w:r w:rsidRPr="00F66162">
              <w:rPr>
                <w:noProof/>
              </w:rPr>
              <w:t>temami innych organów UE zostanie określony</w:t>
            </w:r>
            <w:r w:rsidR="00825614" w:rsidRPr="00F66162">
              <w:rPr>
                <w:noProof/>
              </w:rPr>
              <w:t xml:space="preserve"> i</w:t>
            </w:r>
            <w:r w:rsidR="00825614">
              <w:rPr>
                <w:noProof/>
              </w:rPr>
              <w:t> </w:t>
            </w:r>
            <w:r w:rsidR="00825614" w:rsidRPr="00F66162">
              <w:rPr>
                <w:noProof/>
              </w:rPr>
              <w:t>opr</w:t>
            </w:r>
            <w:r w:rsidRPr="00F66162">
              <w:rPr>
                <w:noProof/>
              </w:rPr>
              <w:t>acowany</w:t>
            </w:r>
            <w:r w:rsidR="00825614" w:rsidRPr="00F66162">
              <w:rPr>
                <w:noProof/>
              </w:rPr>
              <w:t xml:space="preserve"> w</w:t>
            </w:r>
            <w:r w:rsidR="00825614">
              <w:rPr>
                <w:noProof/>
              </w:rPr>
              <w:t> </w:t>
            </w:r>
            <w:r w:rsidR="00825614" w:rsidRPr="00F66162">
              <w:rPr>
                <w:noProof/>
              </w:rPr>
              <w:t>ram</w:t>
            </w:r>
            <w:r w:rsidRPr="00F66162">
              <w:rPr>
                <w:noProof/>
              </w:rPr>
              <w:t>ach współpracy dwustronnej podczas opracowywania</w:t>
            </w:r>
            <w:r w:rsidR="00825614" w:rsidRPr="00F66162">
              <w:rPr>
                <w:noProof/>
              </w:rPr>
              <w:t xml:space="preserve"> i</w:t>
            </w:r>
            <w:r w:rsidR="00825614">
              <w:rPr>
                <w:noProof/>
              </w:rPr>
              <w:t> </w:t>
            </w:r>
            <w:r w:rsidR="00825614" w:rsidRPr="00F66162">
              <w:rPr>
                <w:noProof/>
              </w:rPr>
              <w:t>two</w:t>
            </w:r>
            <w:r w:rsidRPr="00F66162">
              <w:rPr>
                <w:noProof/>
              </w:rPr>
              <w:t>rzenia rejestru CBAM.</w:t>
            </w:r>
          </w:p>
          <w:p w14:paraId="7D3DB975" w14:textId="3D009566" w:rsidR="139DF8FE" w:rsidRPr="00F66162" w:rsidRDefault="139DF8FE" w:rsidP="139DF8FE">
            <w:pPr>
              <w:spacing w:before="0" w:line="257" w:lineRule="auto"/>
              <w:rPr>
                <w:noProof/>
              </w:rPr>
            </w:pPr>
            <w:r w:rsidRPr="00F66162">
              <w:rPr>
                <w:noProof/>
              </w:rPr>
              <w:t>Wszystkie te interfejsy będą oparte na ustrukturyzowanej wymianie komunikatów i,</w:t>
            </w:r>
            <w:r w:rsidR="00825614" w:rsidRPr="00F66162">
              <w:rPr>
                <w:noProof/>
              </w:rPr>
              <w:t xml:space="preserve"> w</w:t>
            </w:r>
            <w:r w:rsidR="00825614">
              <w:rPr>
                <w:noProof/>
              </w:rPr>
              <w:t> </w:t>
            </w:r>
            <w:r w:rsidR="00825614" w:rsidRPr="00F66162">
              <w:rPr>
                <w:noProof/>
              </w:rPr>
              <w:t>mia</w:t>
            </w:r>
            <w:r w:rsidRPr="00F66162">
              <w:rPr>
                <w:noProof/>
              </w:rPr>
              <w:t>rę możliwości, zgodne z EUCDM</w:t>
            </w:r>
            <w:r w:rsidR="00825614" w:rsidRPr="00F66162">
              <w:rPr>
                <w:noProof/>
              </w:rPr>
              <w:t xml:space="preserve"> i</w:t>
            </w:r>
            <w:r w:rsidR="00825614">
              <w:rPr>
                <w:noProof/>
              </w:rPr>
              <w:t> </w:t>
            </w:r>
            <w:r w:rsidR="00825614" w:rsidRPr="00F66162">
              <w:rPr>
                <w:noProof/>
              </w:rPr>
              <w:t>zał</w:t>
            </w:r>
            <w:r w:rsidRPr="00F66162">
              <w:rPr>
                <w:noProof/>
              </w:rPr>
              <w:t>ącznikiem B do unijnego kodeksu celnego. Specyfikacje techniczne dotyczące transakcji A2B i B2B zostaną wskazane</w:t>
            </w:r>
            <w:r w:rsidR="00825614" w:rsidRPr="00F66162">
              <w:rPr>
                <w:noProof/>
              </w:rPr>
              <w:t xml:space="preserve"> w</w:t>
            </w:r>
            <w:r w:rsidR="00825614">
              <w:rPr>
                <w:noProof/>
              </w:rPr>
              <w:t> </w:t>
            </w:r>
            <w:r w:rsidR="00825614" w:rsidRPr="00F66162">
              <w:rPr>
                <w:noProof/>
              </w:rPr>
              <w:t>akc</w:t>
            </w:r>
            <w:r w:rsidRPr="00F66162">
              <w:rPr>
                <w:noProof/>
              </w:rPr>
              <w:t>ie wykonawczym do CBAM.</w:t>
            </w:r>
          </w:p>
          <w:p w14:paraId="4400B64A" w14:textId="77777777" w:rsidR="139DF8FE" w:rsidRPr="00F66162" w:rsidRDefault="139DF8FE" w:rsidP="139DF8FE">
            <w:pPr>
              <w:spacing w:before="0" w:line="257" w:lineRule="auto"/>
              <w:rPr>
                <w:noProof/>
              </w:rPr>
            </w:pPr>
            <w:r w:rsidRPr="00F66162">
              <w:rPr>
                <w:noProof/>
                <w:sz w:val="28"/>
              </w:rPr>
              <w:t>Ograniczenia możliwości ponownego użycia</w:t>
            </w:r>
          </w:p>
          <w:p w14:paraId="6A5E073A" w14:textId="73D2A370" w:rsidR="139DF8FE" w:rsidRPr="00F66162" w:rsidRDefault="139DF8FE" w:rsidP="139DF8FE">
            <w:pPr>
              <w:spacing w:before="0" w:line="257" w:lineRule="auto"/>
              <w:rPr>
                <w:noProof/>
              </w:rPr>
            </w:pPr>
            <w:r w:rsidRPr="00F66162">
              <w:rPr>
                <w:noProof/>
              </w:rPr>
              <w:t>Możliwość ponownego użycia to jedna</w:t>
            </w:r>
            <w:r w:rsidR="00825614" w:rsidRPr="00F66162">
              <w:rPr>
                <w:noProof/>
              </w:rPr>
              <w:t xml:space="preserve"> z</w:t>
            </w:r>
            <w:r w:rsidR="00825614">
              <w:rPr>
                <w:noProof/>
              </w:rPr>
              <w:t> </w:t>
            </w:r>
            <w:r w:rsidR="00825614" w:rsidRPr="00F66162">
              <w:rPr>
                <w:noProof/>
              </w:rPr>
              <w:t>pod</w:t>
            </w:r>
            <w:r w:rsidRPr="00F66162">
              <w:rPr>
                <w:noProof/>
              </w:rPr>
              <w:t>stawowych zasad architektury centralnego rejestru CBAM. Możliwość ponownego użycia obejmuje dwie kwestie: wykorzystanie usług zewnętrznych</w:t>
            </w:r>
            <w:r w:rsidR="00825614" w:rsidRPr="00F66162">
              <w:rPr>
                <w:noProof/>
              </w:rPr>
              <w:t xml:space="preserve"> w</w:t>
            </w:r>
            <w:r w:rsidR="00825614">
              <w:rPr>
                <w:noProof/>
              </w:rPr>
              <w:t> </w:t>
            </w:r>
            <w:r w:rsidR="00825614" w:rsidRPr="00F66162">
              <w:rPr>
                <w:noProof/>
              </w:rPr>
              <w:t>rej</w:t>
            </w:r>
            <w:r w:rsidRPr="00F66162">
              <w:rPr>
                <w:noProof/>
              </w:rPr>
              <w:t>estrze CBAM</w:t>
            </w:r>
            <w:r w:rsidR="00825614" w:rsidRPr="00F66162">
              <w:rPr>
                <w:noProof/>
              </w:rPr>
              <w:t xml:space="preserve"> i</w:t>
            </w:r>
            <w:r w:rsidR="00825614">
              <w:rPr>
                <w:noProof/>
              </w:rPr>
              <w:t> </w:t>
            </w:r>
            <w:r w:rsidR="00825614" w:rsidRPr="00F66162">
              <w:rPr>
                <w:noProof/>
              </w:rPr>
              <w:t>pon</w:t>
            </w:r>
            <w:r w:rsidRPr="00F66162">
              <w:rPr>
                <w:noProof/>
              </w:rPr>
              <w:t xml:space="preserve">owne wykorzystanie istniejących </w:t>
            </w:r>
            <w:r w:rsidRPr="00F66162">
              <w:rPr>
                <w:noProof/>
              </w:rPr>
              <w:lastRenderedPageBreak/>
              <w:t xml:space="preserve">komponentów do budowy rejestru CBAM. </w:t>
            </w:r>
          </w:p>
          <w:p w14:paraId="34482DD0" w14:textId="7D94A7CA" w:rsidR="139DF8FE" w:rsidRPr="00F66162" w:rsidRDefault="139DF8FE" w:rsidP="139DF8FE">
            <w:pPr>
              <w:spacing w:before="0" w:line="264" w:lineRule="auto"/>
              <w:rPr>
                <w:noProof/>
              </w:rPr>
            </w:pPr>
            <w:r w:rsidRPr="00F66162">
              <w:rPr>
                <w:b/>
                <w:noProof/>
                <w:u w:val="single"/>
              </w:rPr>
              <w:t>Możliwość ponownego wykorzystania usług</w:t>
            </w:r>
            <w:r w:rsidR="00825614" w:rsidRPr="00F66162">
              <w:rPr>
                <w:b/>
                <w:noProof/>
                <w:u w:val="single"/>
              </w:rPr>
              <w:t xml:space="preserve"> i</w:t>
            </w:r>
            <w:r w:rsidR="00825614">
              <w:rPr>
                <w:b/>
                <w:noProof/>
                <w:u w:val="single"/>
              </w:rPr>
              <w:t> </w:t>
            </w:r>
            <w:r w:rsidR="00825614" w:rsidRPr="00F66162">
              <w:rPr>
                <w:b/>
                <w:noProof/>
                <w:u w:val="single"/>
              </w:rPr>
              <w:t>kom</w:t>
            </w:r>
            <w:r w:rsidRPr="00F66162">
              <w:rPr>
                <w:b/>
                <w:noProof/>
                <w:u w:val="single"/>
              </w:rPr>
              <w:t>ponentów DG TAXUD</w:t>
            </w:r>
          </w:p>
          <w:p w14:paraId="50125410" w14:textId="30EA6F24" w:rsidR="139DF8FE" w:rsidRPr="00F66162" w:rsidRDefault="139DF8FE" w:rsidP="139DF8FE">
            <w:pPr>
              <w:spacing w:before="0" w:line="264" w:lineRule="auto"/>
              <w:rPr>
                <w:noProof/>
              </w:rPr>
            </w:pPr>
            <w:r w:rsidRPr="00F66162">
              <w:rPr>
                <w:noProof/>
              </w:rPr>
              <w:t>Usługi unijnej administracji celnej oferowane przez DG TAXUD zostaną wykorzystane</w:t>
            </w:r>
            <w:r w:rsidR="00825614" w:rsidRPr="00F66162">
              <w:rPr>
                <w:noProof/>
              </w:rPr>
              <w:t xml:space="preserve"> w</w:t>
            </w:r>
            <w:r w:rsidR="00825614">
              <w:rPr>
                <w:noProof/>
              </w:rPr>
              <w:t> </w:t>
            </w:r>
            <w:r w:rsidR="00825614" w:rsidRPr="00F66162">
              <w:rPr>
                <w:noProof/>
              </w:rPr>
              <w:t>rej</w:t>
            </w:r>
            <w:r w:rsidRPr="00F66162">
              <w:rPr>
                <w:noProof/>
              </w:rPr>
              <w:t>estrze CBAM do celów:</w:t>
            </w:r>
          </w:p>
          <w:p w14:paraId="6A2FB8EF" w14:textId="77777777" w:rsidR="139DF8FE" w:rsidRPr="00F66162" w:rsidRDefault="139DF8FE" w:rsidP="139DF8FE">
            <w:pPr>
              <w:pStyle w:val="Akapitzlist"/>
              <w:numPr>
                <w:ilvl w:val="0"/>
                <w:numId w:val="3"/>
              </w:numPr>
              <w:spacing w:before="0" w:after="0" w:line="257" w:lineRule="auto"/>
              <w:ind w:left="357" w:hanging="357"/>
              <w:rPr>
                <w:noProof/>
                <w:szCs w:val="24"/>
              </w:rPr>
            </w:pPr>
            <w:r w:rsidRPr="00F66162">
              <w:rPr>
                <w:noProof/>
              </w:rPr>
              <w:t>pobierania informacji o EORI przedsiębiorcy;</w:t>
            </w:r>
          </w:p>
          <w:p w14:paraId="43D6A1D5" w14:textId="6FCFA3CD" w:rsidR="139DF8FE" w:rsidRPr="00F66162" w:rsidRDefault="139DF8FE" w:rsidP="139DF8FE">
            <w:pPr>
              <w:pStyle w:val="Akapitzlist"/>
              <w:numPr>
                <w:ilvl w:val="0"/>
                <w:numId w:val="3"/>
              </w:numPr>
              <w:spacing w:before="0" w:after="0" w:line="257" w:lineRule="auto"/>
              <w:ind w:left="357" w:hanging="357"/>
              <w:rPr>
                <w:noProof/>
                <w:szCs w:val="24"/>
              </w:rPr>
            </w:pPr>
            <w:r w:rsidRPr="00F66162">
              <w:rPr>
                <w:noProof/>
              </w:rPr>
              <w:t>dostępu do ewidencji celnej przywozu</w:t>
            </w:r>
            <w:r w:rsidR="00825614" w:rsidRPr="00F66162">
              <w:rPr>
                <w:noProof/>
              </w:rPr>
              <w:t xml:space="preserve"> w</w:t>
            </w:r>
            <w:r w:rsidR="00825614">
              <w:rPr>
                <w:noProof/>
              </w:rPr>
              <w:t> </w:t>
            </w:r>
            <w:r w:rsidR="00825614" w:rsidRPr="00F66162">
              <w:rPr>
                <w:noProof/>
              </w:rPr>
              <w:t>sys</w:t>
            </w:r>
            <w:r w:rsidRPr="00F66162">
              <w:rPr>
                <w:noProof/>
              </w:rPr>
              <w:t>temie Surveillance 3;</w:t>
            </w:r>
          </w:p>
          <w:p w14:paraId="1C0B4FA2" w14:textId="7FC20240" w:rsidR="139DF8FE" w:rsidRPr="00F66162" w:rsidRDefault="139DF8FE" w:rsidP="139DF8FE">
            <w:pPr>
              <w:pStyle w:val="Akapitzlist"/>
              <w:numPr>
                <w:ilvl w:val="0"/>
                <w:numId w:val="3"/>
              </w:numPr>
              <w:spacing w:before="0" w:after="0" w:line="257" w:lineRule="auto"/>
              <w:ind w:left="357" w:hanging="357"/>
              <w:rPr>
                <w:noProof/>
                <w:szCs w:val="24"/>
              </w:rPr>
            </w:pPr>
            <w:r w:rsidRPr="00F66162">
              <w:rPr>
                <w:noProof/>
              </w:rPr>
              <w:t>pobierania informacji</w:t>
            </w:r>
            <w:r w:rsidR="00825614" w:rsidRPr="00F66162">
              <w:rPr>
                <w:noProof/>
              </w:rPr>
              <w:t xml:space="preserve"> o</w:t>
            </w:r>
            <w:r w:rsidR="00825614">
              <w:rPr>
                <w:noProof/>
              </w:rPr>
              <w:t> </w:t>
            </w:r>
            <w:r w:rsidR="00825614" w:rsidRPr="00F66162">
              <w:rPr>
                <w:noProof/>
              </w:rPr>
              <w:t>tow</w:t>
            </w:r>
            <w:r w:rsidRPr="00F66162">
              <w:rPr>
                <w:noProof/>
              </w:rPr>
              <w:t>arach CBAM</w:t>
            </w:r>
            <w:r w:rsidR="00825614" w:rsidRPr="00F66162">
              <w:rPr>
                <w:noProof/>
              </w:rPr>
              <w:t xml:space="preserve"> z</w:t>
            </w:r>
            <w:r w:rsidR="00825614">
              <w:rPr>
                <w:noProof/>
              </w:rPr>
              <w:t> </w:t>
            </w:r>
            <w:r w:rsidR="00825614" w:rsidRPr="00F66162">
              <w:rPr>
                <w:noProof/>
              </w:rPr>
              <w:t>sys</w:t>
            </w:r>
            <w:r w:rsidRPr="00F66162">
              <w:rPr>
                <w:noProof/>
              </w:rPr>
              <w:t xml:space="preserve">temu TARIC; </w:t>
            </w:r>
          </w:p>
          <w:p w14:paraId="78FAB8DD" w14:textId="6C95A7D8" w:rsidR="139DF8FE" w:rsidRPr="00F66162" w:rsidRDefault="139DF8FE" w:rsidP="139DF8FE">
            <w:pPr>
              <w:pStyle w:val="Akapitzlist"/>
              <w:numPr>
                <w:ilvl w:val="0"/>
                <w:numId w:val="3"/>
              </w:numPr>
              <w:spacing w:before="0" w:after="0" w:line="257" w:lineRule="auto"/>
              <w:ind w:left="357" w:hanging="357"/>
              <w:rPr>
                <w:noProof/>
                <w:szCs w:val="24"/>
              </w:rPr>
            </w:pPr>
            <w:r w:rsidRPr="00F66162">
              <w:rPr>
                <w:noProof/>
              </w:rPr>
              <w:t>udostępniania usługi replikacji</w:t>
            </w:r>
            <w:r w:rsidR="00825614" w:rsidRPr="00F66162">
              <w:rPr>
                <w:noProof/>
              </w:rPr>
              <w:t xml:space="preserve"> i</w:t>
            </w:r>
            <w:r w:rsidR="00825614">
              <w:rPr>
                <w:noProof/>
              </w:rPr>
              <w:t> </w:t>
            </w:r>
            <w:r w:rsidR="00825614" w:rsidRPr="00F66162">
              <w:rPr>
                <w:noProof/>
              </w:rPr>
              <w:t>wal</w:t>
            </w:r>
            <w:r w:rsidRPr="00F66162">
              <w:rPr>
                <w:noProof/>
              </w:rPr>
              <w:t>idacji upoważnień CBAM krajowym systemom celnym za pośrednictwem EU CSW-CERTEX oraz</w:t>
            </w:r>
          </w:p>
          <w:p w14:paraId="4592ED45" w14:textId="78A2DFAA" w:rsidR="139DF8FE" w:rsidRPr="00F66162" w:rsidRDefault="139DF8FE" w:rsidP="139DF8FE">
            <w:pPr>
              <w:pStyle w:val="Akapitzlist"/>
              <w:numPr>
                <w:ilvl w:val="0"/>
                <w:numId w:val="3"/>
              </w:numPr>
              <w:spacing w:before="0" w:after="0" w:line="257" w:lineRule="auto"/>
              <w:ind w:left="357" w:hanging="357"/>
              <w:rPr>
                <w:noProof/>
                <w:szCs w:val="24"/>
              </w:rPr>
            </w:pPr>
            <w:r w:rsidRPr="00F66162">
              <w:rPr>
                <w:noProof/>
              </w:rPr>
              <w:t>wymiany bezpiecznych informacji</w:t>
            </w:r>
            <w:r w:rsidR="00825614" w:rsidRPr="00F66162">
              <w:rPr>
                <w:noProof/>
              </w:rPr>
              <w:t xml:space="preserve"> z</w:t>
            </w:r>
            <w:r w:rsidR="00825614">
              <w:rPr>
                <w:noProof/>
              </w:rPr>
              <w:t> </w:t>
            </w:r>
            <w:r w:rsidR="00825614" w:rsidRPr="00F66162">
              <w:rPr>
                <w:noProof/>
              </w:rPr>
              <w:t>sys</w:t>
            </w:r>
            <w:r w:rsidRPr="00F66162">
              <w:rPr>
                <w:noProof/>
              </w:rPr>
              <w:t xml:space="preserve">temem CRMS2. </w:t>
            </w:r>
          </w:p>
          <w:p w14:paraId="30A55AFE" w14:textId="4D9595C0" w:rsidR="139DF8FE" w:rsidRPr="00F66162" w:rsidRDefault="139DF8FE" w:rsidP="139DF8FE">
            <w:pPr>
              <w:spacing w:before="0" w:line="257" w:lineRule="auto"/>
              <w:rPr>
                <w:noProof/>
              </w:rPr>
            </w:pPr>
            <w:r w:rsidRPr="00F66162">
              <w:rPr>
                <w:noProof/>
              </w:rPr>
              <w:t>Dostępem użytkowników do portali rejestru CBAM będzie zarządzać UUM&amp;DS, dzięki czemu zainteresowane państwa członkowskie będą mogły ponownie wykorzystać dane uwierzytelniające zgłaszających CBAM</w:t>
            </w:r>
            <w:r w:rsidR="00825614" w:rsidRPr="00F66162">
              <w:rPr>
                <w:noProof/>
              </w:rPr>
              <w:t xml:space="preserve"> w</w:t>
            </w:r>
            <w:r w:rsidR="00825614">
              <w:rPr>
                <w:noProof/>
              </w:rPr>
              <w:t> </w:t>
            </w:r>
            <w:r w:rsidR="00825614" w:rsidRPr="00F66162">
              <w:rPr>
                <w:noProof/>
              </w:rPr>
              <w:t>sys</w:t>
            </w:r>
            <w:r w:rsidRPr="00F66162">
              <w:rPr>
                <w:noProof/>
              </w:rPr>
              <w:t>temach celnych, aby zapewnić im dostęp do portalu CBAM dla zgłaszającego,</w:t>
            </w:r>
            <w:r w:rsidR="00825614" w:rsidRPr="00F66162">
              <w:rPr>
                <w:noProof/>
              </w:rPr>
              <w:t xml:space="preserve"> a</w:t>
            </w:r>
            <w:r w:rsidR="00825614">
              <w:rPr>
                <w:noProof/>
              </w:rPr>
              <w:t> </w:t>
            </w:r>
            <w:r w:rsidR="00825614" w:rsidRPr="00F66162">
              <w:rPr>
                <w:noProof/>
              </w:rPr>
              <w:t>Kom</w:t>
            </w:r>
            <w:r w:rsidRPr="00F66162">
              <w:rPr>
                <w:noProof/>
              </w:rPr>
              <w:t>isja (lub zaufane osoby trzecie) będzie mogła przyznać operatorom instalacji</w:t>
            </w:r>
            <w:r w:rsidR="00825614" w:rsidRPr="00F66162">
              <w:rPr>
                <w:noProof/>
              </w:rPr>
              <w:t xml:space="preserve"> w</w:t>
            </w:r>
            <w:r w:rsidR="00825614">
              <w:rPr>
                <w:noProof/>
              </w:rPr>
              <w:t> </w:t>
            </w:r>
            <w:r w:rsidR="00825614" w:rsidRPr="00F66162">
              <w:rPr>
                <w:noProof/>
              </w:rPr>
              <w:t>pań</w:t>
            </w:r>
            <w:r w:rsidRPr="00F66162">
              <w:rPr>
                <w:noProof/>
              </w:rPr>
              <w:t>stwach trzecich prawo dostępu</w:t>
            </w:r>
            <w:r w:rsidR="00825614" w:rsidRPr="00F66162">
              <w:rPr>
                <w:noProof/>
              </w:rPr>
              <w:t xml:space="preserve"> w</w:t>
            </w:r>
            <w:r w:rsidR="00825614">
              <w:rPr>
                <w:noProof/>
              </w:rPr>
              <w:t> </w:t>
            </w:r>
            <w:r w:rsidR="00825614" w:rsidRPr="00F66162">
              <w:rPr>
                <w:noProof/>
              </w:rPr>
              <w:t>opa</w:t>
            </w:r>
            <w:r w:rsidRPr="00F66162">
              <w:rPr>
                <w:noProof/>
              </w:rPr>
              <w:t>rciu</w:t>
            </w:r>
            <w:r w:rsidR="00825614" w:rsidRPr="00F66162">
              <w:rPr>
                <w:noProof/>
              </w:rPr>
              <w:t xml:space="preserve"> o</w:t>
            </w:r>
            <w:r w:rsidR="00825614">
              <w:rPr>
                <w:noProof/>
              </w:rPr>
              <w:t> </w:t>
            </w:r>
            <w:r w:rsidR="00825614" w:rsidRPr="00F66162">
              <w:rPr>
                <w:noProof/>
              </w:rPr>
              <w:t>ich</w:t>
            </w:r>
            <w:r w:rsidRPr="00F66162">
              <w:rPr>
                <w:noProof/>
              </w:rPr>
              <w:t xml:space="preserve"> dane uwierzytelniające EU Login.</w:t>
            </w:r>
          </w:p>
          <w:p w14:paraId="52A07D77" w14:textId="6DACB19A" w:rsidR="139DF8FE" w:rsidRPr="00F66162" w:rsidRDefault="139DF8FE" w:rsidP="139DF8FE">
            <w:pPr>
              <w:spacing w:before="0" w:line="264" w:lineRule="auto"/>
              <w:rPr>
                <w:noProof/>
              </w:rPr>
            </w:pPr>
            <w:r w:rsidRPr="00F66162">
              <w:rPr>
                <w:noProof/>
              </w:rPr>
              <w:t>W rejestrze CBAM zostanie ponownie wykorzystanych kilka komponentów technologicznych DG TAXUD</w:t>
            </w:r>
            <w:r w:rsidR="00825614" w:rsidRPr="00F66162">
              <w:rPr>
                <w:noProof/>
              </w:rPr>
              <w:t xml:space="preserve"> i</w:t>
            </w:r>
            <w:r w:rsidR="00825614">
              <w:rPr>
                <w:noProof/>
              </w:rPr>
              <w:t> </w:t>
            </w:r>
            <w:r w:rsidR="00825614" w:rsidRPr="00F66162">
              <w:rPr>
                <w:noProof/>
              </w:rPr>
              <w:t>ins</w:t>
            </w:r>
            <w:r w:rsidRPr="00F66162">
              <w:rPr>
                <w:noProof/>
              </w:rPr>
              <w:t>tytucjonalnych systemów informatycznych bez uszczerbku dla zgodności</w:t>
            </w:r>
            <w:r w:rsidR="00825614" w:rsidRPr="00F66162">
              <w:rPr>
                <w:noProof/>
              </w:rPr>
              <w:t xml:space="preserve"> z</w:t>
            </w:r>
            <w:r w:rsidR="00825614">
              <w:rPr>
                <w:noProof/>
              </w:rPr>
              <w:t> </w:t>
            </w:r>
            <w:r w:rsidR="00825614" w:rsidRPr="00F66162">
              <w:rPr>
                <w:noProof/>
              </w:rPr>
              <w:t>zas</w:t>
            </w:r>
            <w:r w:rsidRPr="00F66162">
              <w:rPr>
                <w:noProof/>
              </w:rPr>
              <w:t>adą płynności określoną</w:t>
            </w:r>
            <w:r w:rsidR="00825614" w:rsidRPr="00F66162">
              <w:rPr>
                <w:noProof/>
              </w:rPr>
              <w:t xml:space="preserve"> w</w:t>
            </w:r>
            <w:r w:rsidR="00825614">
              <w:rPr>
                <w:noProof/>
              </w:rPr>
              <w:t> </w:t>
            </w:r>
            <w:r w:rsidR="00825614" w:rsidRPr="00F66162">
              <w:rPr>
                <w:noProof/>
              </w:rPr>
              <w:t>prz</w:t>
            </w:r>
            <w:r w:rsidRPr="00F66162">
              <w:rPr>
                <w:noProof/>
              </w:rPr>
              <w:t>eglądzie architektury</w:t>
            </w:r>
            <w:r w:rsidR="00825614" w:rsidRPr="00F66162">
              <w:rPr>
                <w:noProof/>
              </w:rPr>
              <w:t xml:space="preserve"> w</w:t>
            </w:r>
            <w:r w:rsidR="00825614">
              <w:rPr>
                <w:noProof/>
              </w:rPr>
              <w:t> </w:t>
            </w:r>
            <w:r w:rsidR="00825614" w:rsidRPr="00F66162">
              <w:rPr>
                <w:noProof/>
              </w:rPr>
              <w:t>zał</w:t>
            </w:r>
            <w:r w:rsidRPr="00F66162">
              <w:rPr>
                <w:noProof/>
              </w:rPr>
              <w:t>ączniku 2,</w:t>
            </w:r>
            <w:r w:rsidR="00825614" w:rsidRPr="00F66162">
              <w:rPr>
                <w:noProof/>
              </w:rPr>
              <w:t xml:space="preserve"> a</w:t>
            </w:r>
            <w:r w:rsidR="00825614">
              <w:rPr>
                <w:noProof/>
              </w:rPr>
              <w:t> </w:t>
            </w:r>
            <w:r w:rsidR="00825614" w:rsidRPr="00F66162">
              <w:rPr>
                <w:noProof/>
              </w:rPr>
              <w:t>mia</w:t>
            </w:r>
            <w:r w:rsidRPr="00F66162">
              <w:rPr>
                <w:noProof/>
              </w:rPr>
              <w:t>nowicie:</w:t>
            </w:r>
          </w:p>
          <w:p w14:paraId="71FA2B19" w14:textId="122DFE9A" w:rsidR="139DF8FE" w:rsidRPr="00F66162" w:rsidRDefault="139DF8FE" w:rsidP="139DF8FE">
            <w:pPr>
              <w:pStyle w:val="Akapitzlist"/>
              <w:numPr>
                <w:ilvl w:val="0"/>
                <w:numId w:val="2"/>
              </w:numPr>
              <w:spacing w:before="0" w:after="0" w:line="257" w:lineRule="auto"/>
              <w:ind w:left="1077" w:hanging="357"/>
              <w:rPr>
                <w:noProof/>
                <w:szCs w:val="24"/>
              </w:rPr>
            </w:pPr>
            <w:r w:rsidRPr="00F66162">
              <w:rPr>
                <w:noProof/>
              </w:rPr>
              <w:t>architektura oprogramowania pośredniczącego TSOAP DG TAXUD, która zostanie ponownie wykorzystana</w:t>
            </w:r>
            <w:r w:rsidR="00825614" w:rsidRPr="00F66162">
              <w:rPr>
                <w:noProof/>
              </w:rPr>
              <w:t xml:space="preserve"> w</w:t>
            </w:r>
            <w:r w:rsidR="00825614">
              <w:rPr>
                <w:noProof/>
              </w:rPr>
              <w:t> </w:t>
            </w:r>
            <w:r w:rsidR="00825614" w:rsidRPr="00F66162">
              <w:rPr>
                <w:noProof/>
              </w:rPr>
              <w:t>każ</w:t>
            </w:r>
            <w:r w:rsidRPr="00F66162">
              <w:rPr>
                <w:noProof/>
              </w:rPr>
              <w:t>dym</w:t>
            </w:r>
            <w:r w:rsidR="00825614" w:rsidRPr="00F66162">
              <w:rPr>
                <w:noProof/>
              </w:rPr>
              <w:t xml:space="preserve"> z</w:t>
            </w:r>
            <w:r w:rsidR="00825614">
              <w:rPr>
                <w:noProof/>
              </w:rPr>
              <w:t> </w:t>
            </w:r>
            <w:r w:rsidR="00825614" w:rsidRPr="00F66162">
              <w:rPr>
                <w:noProof/>
              </w:rPr>
              <w:t>mod</w:t>
            </w:r>
            <w:r w:rsidRPr="00F66162">
              <w:rPr>
                <w:noProof/>
              </w:rPr>
              <w:t>ułów rejestru CBAM;</w:t>
            </w:r>
          </w:p>
          <w:p w14:paraId="25545B5D" w14:textId="72A1833D" w:rsidR="139DF8FE" w:rsidRPr="00F66162" w:rsidRDefault="139DF8FE" w:rsidP="139DF8FE">
            <w:pPr>
              <w:pStyle w:val="Akapitzlist"/>
              <w:numPr>
                <w:ilvl w:val="0"/>
                <w:numId w:val="2"/>
              </w:numPr>
              <w:spacing w:before="0" w:after="0" w:line="257" w:lineRule="auto"/>
              <w:ind w:left="1077" w:hanging="357"/>
              <w:rPr>
                <w:noProof/>
                <w:szCs w:val="24"/>
              </w:rPr>
            </w:pPr>
            <w:r w:rsidRPr="00F66162">
              <w:rPr>
                <w:noProof/>
              </w:rPr>
              <w:t>monitorowanie</w:t>
            </w:r>
            <w:r w:rsidR="00825614" w:rsidRPr="00F66162">
              <w:rPr>
                <w:noProof/>
              </w:rPr>
              <w:t xml:space="preserve"> i</w:t>
            </w:r>
            <w:r w:rsidR="00825614">
              <w:rPr>
                <w:noProof/>
              </w:rPr>
              <w:t> </w:t>
            </w:r>
            <w:r w:rsidR="00825614" w:rsidRPr="00F66162">
              <w:rPr>
                <w:noProof/>
              </w:rPr>
              <w:t>aud</w:t>
            </w:r>
            <w:r w:rsidRPr="00F66162">
              <w:rPr>
                <w:noProof/>
              </w:rPr>
              <w:t>yt COTS Elk</w:t>
            </w:r>
            <w:r w:rsidR="00825614" w:rsidRPr="00F66162">
              <w:rPr>
                <w:noProof/>
              </w:rPr>
              <w:t xml:space="preserve"> i</w:t>
            </w:r>
            <w:r w:rsidR="00825614">
              <w:rPr>
                <w:noProof/>
              </w:rPr>
              <w:t> </w:t>
            </w:r>
            <w:r w:rsidR="00825614" w:rsidRPr="00F66162">
              <w:rPr>
                <w:noProof/>
              </w:rPr>
              <w:t>Kaf</w:t>
            </w:r>
            <w:r w:rsidRPr="00F66162">
              <w:rPr>
                <w:noProof/>
              </w:rPr>
              <w:t>ka;</w:t>
            </w:r>
          </w:p>
          <w:p w14:paraId="3041CD3D" w14:textId="77777777" w:rsidR="139DF8FE" w:rsidRPr="00F66162" w:rsidRDefault="139DF8FE" w:rsidP="139DF8FE">
            <w:pPr>
              <w:pStyle w:val="Akapitzlist"/>
              <w:numPr>
                <w:ilvl w:val="0"/>
                <w:numId w:val="2"/>
              </w:numPr>
              <w:spacing w:before="0" w:after="0" w:line="257" w:lineRule="auto"/>
              <w:ind w:left="1077" w:hanging="357"/>
              <w:rPr>
                <w:noProof/>
                <w:szCs w:val="24"/>
              </w:rPr>
            </w:pPr>
            <w:r w:rsidRPr="00F66162">
              <w:rPr>
                <w:noProof/>
              </w:rPr>
              <w:t>źródła zarządzania ramami aplikacji celnych (TATAFng) DG TAXUD;</w:t>
            </w:r>
          </w:p>
          <w:p w14:paraId="676B5774" w14:textId="2BD51A70" w:rsidR="139DF8FE" w:rsidRPr="00F66162" w:rsidRDefault="139DF8FE" w:rsidP="139DF8FE">
            <w:pPr>
              <w:pStyle w:val="Akapitzlist"/>
              <w:numPr>
                <w:ilvl w:val="0"/>
                <w:numId w:val="2"/>
              </w:numPr>
              <w:spacing w:before="0" w:after="0" w:line="257" w:lineRule="auto"/>
              <w:ind w:left="1077" w:hanging="357"/>
              <w:rPr>
                <w:noProof/>
                <w:szCs w:val="24"/>
              </w:rPr>
            </w:pPr>
            <w:r w:rsidRPr="00F66162">
              <w:rPr>
                <w:noProof/>
              </w:rPr>
              <w:t>dokumentacja</w:t>
            </w:r>
            <w:r w:rsidR="00825614" w:rsidRPr="00F66162">
              <w:rPr>
                <w:noProof/>
              </w:rPr>
              <w:t xml:space="preserve"> i</w:t>
            </w:r>
            <w:r w:rsidR="00825614">
              <w:rPr>
                <w:noProof/>
              </w:rPr>
              <w:t> </w:t>
            </w:r>
            <w:r w:rsidR="00825614" w:rsidRPr="00F66162">
              <w:rPr>
                <w:noProof/>
              </w:rPr>
              <w:t>kod</w:t>
            </w:r>
            <w:r w:rsidRPr="00F66162">
              <w:rPr>
                <w:noProof/>
              </w:rPr>
              <w:t xml:space="preserve"> źródłowy systemu zarządzania decyzjami celnymi DG TAXUD na potrzeby budowy systemu upoważnień CBAM;</w:t>
            </w:r>
          </w:p>
          <w:p w14:paraId="1C06E31F" w14:textId="2071D715" w:rsidR="139DF8FE" w:rsidRPr="00F66162" w:rsidRDefault="139DF8FE" w:rsidP="139DF8FE">
            <w:pPr>
              <w:pStyle w:val="Akapitzlist"/>
              <w:numPr>
                <w:ilvl w:val="0"/>
                <w:numId w:val="2"/>
              </w:numPr>
              <w:spacing w:before="0" w:after="0" w:line="257" w:lineRule="auto"/>
              <w:ind w:left="1077" w:hanging="357"/>
              <w:rPr>
                <w:noProof/>
                <w:szCs w:val="24"/>
              </w:rPr>
            </w:pPr>
            <w:r w:rsidRPr="00F66162">
              <w:rPr>
                <w:noProof/>
              </w:rPr>
              <w:t>dokumentacja</w:t>
            </w:r>
            <w:r w:rsidR="00825614" w:rsidRPr="00F66162">
              <w:rPr>
                <w:noProof/>
              </w:rPr>
              <w:t xml:space="preserve"> i</w:t>
            </w:r>
            <w:r w:rsidR="00825614">
              <w:rPr>
                <w:noProof/>
              </w:rPr>
              <w:t> </w:t>
            </w:r>
            <w:r w:rsidR="00825614" w:rsidRPr="00F66162">
              <w:rPr>
                <w:noProof/>
              </w:rPr>
              <w:t>kod</w:t>
            </w:r>
            <w:r w:rsidRPr="00F66162">
              <w:rPr>
                <w:noProof/>
              </w:rPr>
              <w:t xml:space="preserve"> źródłowy bazy referencyjnej pozwoleń celnych DG TAXUD na potrzeby udostępniania krajowym systemom celnym upoważnień CBAM, które mają być kontrolowane podczas odprawy przywozowej;</w:t>
            </w:r>
          </w:p>
          <w:p w14:paraId="4F43D7E7" w14:textId="13BED36D" w:rsidR="139DF8FE" w:rsidRPr="00F66162" w:rsidRDefault="139DF8FE" w:rsidP="139DF8FE">
            <w:pPr>
              <w:pStyle w:val="Akapitzlist"/>
              <w:numPr>
                <w:ilvl w:val="0"/>
                <w:numId w:val="2"/>
              </w:numPr>
              <w:spacing w:before="0" w:after="0" w:line="257" w:lineRule="auto"/>
              <w:ind w:left="1077" w:hanging="357"/>
              <w:rPr>
                <w:noProof/>
                <w:szCs w:val="24"/>
              </w:rPr>
            </w:pPr>
            <w:r w:rsidRPr="00F66162">
              <w:rPr>
                <w:noProof/>
              </w:rPr>
              <w:t>dokumentacja</w:t>
            </w:r>
            <w:r w:rsidR="00825614" w:rsidRPr="00F66162">
              <w:rPr>
                <w:noProof/>
              </w:rPr>
              <w:t xml:space="preserve"> i</w:t>
            </w:r>
            <w:r w:rsidR="00825614">
              <w:rPr>
                <w:noProof/>
              </w:rPr>
              <w:t> </w:t>
            </w:r>
            <w:r w:rsidR="00825614" w:rsidRPr="00F66162">
              <w:rPr>
                <w:noProof/>
              </w:rPr>
              <w:t>kod</w:t>
            </w:r>
            <w:r w:rsidRPr="00F66162">
              <w:rPr>
                <w:noProof/>
              </w:rPr>
              <w:t xml:space="preserve"> źródłowy systemu zarządzania ryzykiem celnym 2 (CRMS2) DG TAXUD</w:t>
            </w:r>
            <w:r w:rsidR="00825614" w:rsidRPr="00F66162">
              <w:rPr>
                <w:noProof/>
              </w:rPr>
              <w:t xml:space="preserve"> w</w:t>
            </w:r>
            <w:r w:rsidR="00825614">
              <w:rPr>
                <w:noProof/>
              </w:rPr>
              <w:t> </w:t>
            </w:r>
            <w:r w:rsidR="00825614" w:rsidRPr="00F66162">
              <w:rPr>
                <w:noProof/>
              </w:rPr>
              <w:t>cel</w:t>
            </w:r>
            <w:r w:rsidRPr="00F66162">
              <w:rPr>
                <w:noProof/>
              </w:rPr>
              <w:t>u zapewnienia bezpiecznego forum wymiany informacji;</w:t>
            </w:r>
          </w:p>
          <w:p w14:paraId="78BEA93B" w14:textId="3E4ADEF8" w:rsidR="139DF8FE" w:rsidRPr="00F66162" w:rsidRDefault="139DF8FE" w:rsidP="139DF8FE">
            <w:pPr>
              <w:pStyle w:val="Akapitzlist"/>
              <w:numPr>
                <w:ilvl w:val="0"/>
                <w:numId w:val="2"/>
              </w:numPr>
              <w:spacing w:before="0" w:after="0" w:line="257" w:lineRule="auto"/>
              <w:ind w:left="1077" w:hanging="357"/>
              <w:rPr>
                <w:noProof/>
                <w:szCs w:val="24"/>
              </w:rPr>
            </w:pPr>
            <w:r w:rsidRPr="00F66162">
              <w:rPr>
                <w:noProof/>
              </w:rPr>
              <w:t>metodyka DG TAXUD TEMPO,</w:t>
            </w:r>
            <w:r w:rsidR="00825614" w:rsidRPr="00F66162">
              <w:rPr>
                <w:noProof/>
              </w:rPr>
              <w:t xml:space="preserve"> w</w:t>
            </w:r>
            <w:r w:rsidR="00825614">
              <w:rPr>
                <w:noProof/>
              </w:rPr>
              <w:t> </w:t>
            </w:r>
            <w:r w:rsidR="00825614" w:rsidRPr="00F66162">
              <w:rPr>
                <w:noProof/>
              </w:rPr>
              <w:t>tym</w:t>
            </w:r>
            <w:r w:rsidRPr="00F66162">
              <w:rPr>
                <w:noProof/>
              </w:rPr>
              <w:t xml:space="preserve"> PM</w:t>
            </w:r>
            <w:r w:rsidRPr="00F66162">
              <w:rPr>
                <w:noProof/>
                <w:vertAlign w:val="superscript"/>
              </w:rPr>
              <w:t>2</w:t>
            </w:r>
            <w:r w:rsidRPr="00F66162">
              <w:rPr>
                <w:noProof/>
              </w:rPr>
              <w:t>;</w:t>
            </w:r>
          </w:p>
          <w:p w14:paraId="456F475A" w14:textId="31E76D2A" w:rsidR="139DF8FE" w:rsidRPr="00F66162" w:rsidRDefault="139DF8FE" w:rsidP="139DF8FE">
            <w:pPr>
              <w:pStyle w:val="Akapitzlist"/>
              <w:numPr>
                <w:ilvl w:val="0"/>
                <w:numId w:val="2"/>
              </w:numPr>
              <w:spacing w:before="0" w:after="0" w:line="257" w:lineRule="auto"/>
              <w:ind w:left="1077" w:hanging="357"/>
              <w:rPr>
                <w:noProof/>
                <w:szCs w:val="24"/>
              </w:rPr>
            </w:pPr>
            <w:r w:rsidRPr="00F66162">
              <w:rPr>
                <w:noProof/>
              </w:rPr>
              <w:t>dopóki obsługa rejestru CBAM będzie należała do zadań DG TAXUD – dwa centra danych DG TAXUD na potrzeby testowania</w:t>
            </w:r>
            <w:r w:rsidR="00825614" w:rsidRPr="00F66162">
              <w:rPr>
                <w:noProof/>
              </w:rPr>
              <w:t xml:space="preserve"> i</w:t>
            </w:r>
            <w:r w:rsidR="00825614">
              <w:rPr>
                <w:noProof/>
              </w:rPr>
              <w:t> </w:t>
            </w:r>
            <w:r w:rsidR="00825614" w:rsidRPr="00F66162">
              <w:rPr>
                <w:noProof/>
              </w:rPr>
              <w:t>int</w:t>
            </w:r>
            <w:r w:rsidRPr="00F66162">
              <w:rPr>
                <w:noProof/>
              </w:rPr>
              <w:t>egracji, wraz</w:t>
            </w:r>
            <w:r w:rsidR="00825614" w:rsidRPr="00F66162">
              <w:rPr>
                <w:noProof/>
              </w:rPr>
              <w:t xml:space="preserve"> z</w:t>
            </w:r>
            <w:r w:rsidR="00825614">
              <w:rPr>
                <w:noProof/>
              </w:rPr>
              <w:t> </w:t>
            </w:r>
            <w:r w:rsidR="00825614" w:rsidRPr="00F66162">
              <w:rPr>
                <w:noProof/>
              </w:rPr>
              <w:t>ich</w:t>
            </w:r>
            <w:r w:rsidRPr="00F66162">
              <w:rPr>
                <w:noProof/>
              </w:rPr>
              <w:t xml:space="preserve"> zaporami sieciowymi, aktywno-aktywnymi klastrami, bilansowaniem obciążenia</w:t>
            </w:r>
            <w:r w:rsidR="00825614" w:rsidRPr="00F66162">
              <w:rPr>
                <w:noProof/>
              </w:rPr>
              <w:t xml:space="preserve"> i</w:t>
            </w:r>
            <w:r w:rsidR="00825614">
              <w:rPr>
                <w:noProof/>
              </w:rPr>
              <w:t> </w:t>
            </w:r>
            <w:r w:rsidR="00825614" w:rsidRPr="00F66162">
              <w:rPr>
                <w:noProof/>
              </w:rPr>
              <w:t>dwo</w:t>
            </w:r>
            <w:r w:rsidRPr="00F66162">
              <w:rPr>
                <w:noProof/>
              </w:rPr>
              <w:t>ma aktywno-pasywnymi centrami danych, aby zapewnić skalowalność, wysoką dostępność</w:t>
            </w:r>
            <w:r w:rsidR="00825614" w:rsidRPr="00F66162">
              <w:rPr>
                <w:noProof/>
              </w:rPr>
              <w:t xml:space="preserve"> i</w:t>
            </w:r>
            <w:r w:rsidR="00825614">
              <w:rPr>
                <w:noProof/>
              </w:rPr>
              <w:t> </w:t>
            </w:r>
            <w:r w:rsidR="00825614" w:rsidRPr="00F66162">
              <w:rPr>
                <w:noProof/>
              </w:rPr>
              <w:t>prz</w:t>
            </w:r>
            <w:r w:rsidRPr="00F66162">
              <w:rPr>
                <w:noProof/>
              </w:rPr>
              <w:t>ywrócenie gotowości do pracy po wystąpieniu sytuacji nadzwyczajnej, czyli elementy zabezpieczeń potrzebnych</w:t>
            </w:r>
            <w:r w:rsidR="00825614" w:rsidRPr="00F66162">
              <w:rPr>
                <w:noProof/>
              </w:rPr>
              <w:t xml:space="preserve"> w</w:t>
            </w:r>
            <w:r w:rsidR="00825614">
              <w:rPr>
                <w:noProof/>
              </w:rPr>
              <w:t> </w:t>
            </w:r>
            <w:r w:rsidR="00825614" w:rsidRPr="00F66162">
              <w:rPr>
                <w:noProof/>
              </w:rPr>
              <w:t>rej</w:t>
            </w:r>
            <w:r w:rsidRPr="00F66162">
              <w:rPr>
                <w:noProof/>
              </w:rPr>
              <w:t>estrze CBAM.</w:t>
            </w:r>
          </w:p>
          <w:p w14:paraId="5911188B" w14:textId="2C7B63B4" w:rsidR="139DF8FE" w:rsidRPr="00F66162" w:rsidRDefault="139DF8FE" w:rsidP="139DF8FE">
            <w:pPr>
              <w:spacing w:before="0" w:line="257" w:lineRule="auto"/>
              <w:rPr>
                <w:noProof/>
              </w:rPr>
            </w:pPr>
            <w:r w:rsidRPr="00F66162">
              <w:rPr>
                <w:noProof/>
              </w:rPr>
              <w:t xml:space="preserve">Należy zauważyć, że </w:t>
            </w:r>
            <w:r w:rsidRPr="00825614">
              <w:rPr>
                <w:noProof/>
              </w:rPr>
              <w:t>od</w:t>
            </w:r>
            <w:r w:rsidR="00825614" w:rsidRPr="00825614">
              <w:rPr>
                <w:noProof/>
              </w:rPr>
              <w:t> </w:t>
            </w:r>
            <w:r w:rsidRPr="00825614">
              <w:rPr>
                <w:noProof/>
              </w:rPr>
              <w:t>2</w:t>
            </w:r>
            <w:r w:rsidRPr="00F66162">
              <w:rPr>
                <w:noProof/>
              </w:rPr>
              <w:t>0</w:t>
            </w:r>
            <w:r w:rsidRPr="00825614">
              <w:rPr>
                <w:noProof/>
              </w:rPr>
              <w:t>14</w:t>
            </w:r>
            <w:r w:rsidR="00825614" w:rsidRPr="00825614">
              <w:rPr>
                <w:noProof/>
              </w:rPr>
              <w:t> </w:t>
            </w:r>
            <w:r w:rsidRPr="00825614">
              <w:rPr>
                <w:noProof/>
              </w:rPr>
              <w:t>r.</w:t>
            </w:r>
            <w:r w:rsidRPr="00F66162">
              <w:rPr>
                <w:noProof/>
              </w:rPr>
              <w:t xml:space="preserve"> DG TAXUD stosuje się do wszystkich zaleceń DIGIT przy opracowywaniu usług aplikacji biznesowych, usług</w:t>
            </w:r>
            <w:r w:rsidR="00825614" w:rsidRPr="00F66162">
              <w:rPr>
                <w:noProof/>
              </w:rPr>
              <w:t xml:space="preserve"> w</w:t>
            </w:r>
            <w:r w:rsidR="00825614">
              <w:rPr>
                <w:noProof/>
              </w:rPr>
              <w:t> </w:t>
            </w:r>
            <w:r w:rsidR="00825614" w:rsidRPr="00F66162">
              <w:rPr>
                <w:noProof/>
              </w:rPr>
              <w:t>zak</w:t>
            </w:r>
            <w:r w:rsidRPr="00F66162">
              <w:rPr>
                <w:noProof/>
              </w:rPr>
              <w:t>resie danych</w:t>
            </w:r>
            <w:r w:rsidR="00825614" w:rsidRPr="00F66162">
              <w:rPr>
                <w:noProof/>
              </w:rPr>
              <w:t xml:space="preserve"> i</w:t>
            </w:r>
            <w:r w:rsidR="00825614">
              <w:rPr>
                <w:noProof/>
              </w:rPr>
              <w:t> </w:t>
            </w:r>
            <w:r w:rsidR="00825614" w:rsidRPr="00F66162">
              <w:rPr>
                <w:noProof/>
              </w:rPr>
              <w:t>usł</w:t>
            </w:r>
            <w:r w:rsidRPr="00F66162">
              <w:rPr>
                <w:noProof/>
              </w:rPr>
              <w:t>ug użyteczności publicznej na potrzeby swoich aplikacji SOA.</w:t>
            </w:r>
          </w:p>
          <w:p w14:paraId="7FE765F5" w14:textId="3B18054B" w:rsidR="139DF8FE" w:rsidRPr="00F66162" w:rsidRDefault="139DF8FE" w:rsidP="139DF8FE">
            <w:pPr>
              <w:spacing w:before="0" w:line="264" w:lineRule="auto"/>
              <w:rPr>
                <w:noProof/>
              </w:rPr>
            </w:pPr>
            <w:r w:rsidRPr="00F66162">
              <w:rPr>
                <w:b/>
                <w:noProof/>
                <w:u w:val="single"/>
              </w:rPr>
              <w:lastRenderedPageBreak/>
              <w:t>Możliwość ponownego wykorzystania unijnych usług</w:t>
            </w:r>
            <w:r w:rsidR="00825614" w:rsidRPr="00F66162">
              <w:rPr>
                <w:b/>
                <w:noProof/>
                <w:u w:val="single"/>
              </w:rPr>
              <w:t xml:space="preserve"> i</w:t>
            </w:r>
            <w:r w:rsidR="00825614">
              <w:rPr>
                <w:b/>
                <w:noProof/>
                <w:u w:val="single"/>
              </w:rPr>
              <w:t> </w:t>
            </w:r>
            <w:r w:rsidR="00825614" w:rsidRPr="00F66162">
              <w:rPr>
                <w:b/>
                <w:noProof/>
                <w:u w:val="single"/>
              </w:rPr>
              <w:t>kom</w:t>
            </w:r>
            <w:r w:rsidRPr="00F66162">
              <w:rPr>
                <w:b/>
                <w:noProof/>
                <w:u w:val="single"/>
              </w:rPr>
              <w:t>ponentów korporacyjnych</w:t>
            </w:r>
          </w:p>
          <w:p w14:paraId="6B3F638F" w14:textId="2A0EFBB8" w:rsidR="139DF8FE" w:rsidRPr="00F66162" w:rsidRDefault="139DF8FE" w:rsidP="139DF8FE">
            <w:pPr>
              <w:spacing w:before="0" w:line="257" w:lineRule="auto"/>
              <w:rPr>
                <w:noProof/>
              </w:rPr>
            </w:pPr>
            <w:r w:rsidRPr="00F66162">
              <w:rPr>
                <w:noProof/>
              </w:rPr>
              <w:t>Rejestr CBAM będzie wykorzystywał system EU Login do uwierzytelnienia zgłaszających CBAM</w:t>
            </w:r>
            <w:r w:rsidR="00825614" w:rsidRPr="00F66162">
              <w:rPr>
                <w:noProof/>
              </w:rPr>
              <w:t xml:space="preserve"> z</w:t>
            </w:r>
            <w:r w:rsidR="00825614">
              <w:rPr>
                <w:noProof/>
              </w:rPr>
              <w:t> </w:t>
            </w:r>
            <w:r w:rsidR="00825614" w:rsidRPr="00F66162">
              <w:rPr>
                <w:noProof/>
              </w:rPr>
              <w:t>pań</w:t>
            </w:r>
            <w:r w:rsidRPr="00F66162">
              <w:rPr>
                <w:noProof/>
              </w:rPr>
              <w:t>stw członkowskich sklasyfikowanych</w:t>
            </w:r>
            <w:r w:rsidR="00825614" w:rsidRPr="00F66162">
              <w:rPr>
                <w:noProof/>
              </w:rPr>
              <w:t xml:space="preserve"> w</w:t>
            </w:r>
            <w:r w:rsidR="00825614">
              <w:rPr>
                <w:noProof/>
              </w:rPr>
              <w:t> </w:t>
            </w:r>
            <w:r w:rsidR="00825614" w:rsidRPr="00F66162">
              <w:rPr>
                <w:noProof/>
              </w:rPr>
              <w:t>sys</w:t>
            </w:r>
            <w:r w:rsidRPr="00F66162">
              <w:rPr>
                <w:noProof/>
              </w:rPr>
              <w:t>temie UUM&amp;DS jako typ D, operatorów instalacji</w:t>
            </w:r>
            <w:r w:rsidR="00825614" w:rsidRPr="00F66162">
              <w:rPr>
                <w:noProof/>
              </w:rPr>
              <w:t xml:space="preserve"> w</w:t>
            </w:r>
            <w:r w:rsidR="00825614">
              <w:rPr>
                <w:noProof/>
              </w:rPr>
              <w:t> </w:t>
            </w:r>
            <w:r w:rsidR="00825614" w:rsidRPr="00F66162">
              <w:rPr>
                <w:noProof/>
              </w:rPr>
              <w:t>pań</w:t>
            </w:r>
            <w:r w:rsidRPr="00F66162">
              <w:rPr>
                <w:noProof/>
              </w:rPr>
              <w:t>stwach trzecich oraz wszystkich urzędników właściwych organów krajowych, Komisji, krajowych administracji celnych</w:t>
            </w:r>
            <w:r w:rsidR="00825614" w:rsidRPr="00F66162">
              <w:rPr>
                <w:noProof/>
              </w:rPr>
              <w:t xml:space="preserve"> i</w:t>
            </w:r>
            <w:r w:rsidR="00825614">
              <w:rPr>
                <w:noProof/>
              </w:rPr>
              <w:t> </w:t>
            </w:r>
            <w:r w:rsidR="00825614" w:rsidRPr="00F66162">
              <w:rPr>
                <w:noProof/>
              </w:rPr>
              <w:t>inn</w:t>
            </w:r>
            <w:r w:rsidRPr="00F66162">
              <w:rPr>
                <w:noProof/>
              </w:rPr>
              <w:t>ych służb Komisji. Rejestr CBAM będzie korzystał</w:t>
            </w:r>
            <w:r w:rsidR="00825614" w:rsidRPr="00F66162">
              <w:rPr>
                <w:noProof/>
              </w:rPr>
              <w:t xml:space="preserve"> z</w:t>
            </w:r>
            <w:r w:rsidR="00825614">
              <w:rPr>
                <w:noProof/>
              </w:rPr>
              <w:t> </w:t>
            </w:r>
            <w:r w:rsidR="00825614" w:rsidRPr="00F66162">
              <w:rPr>
                <w:noProof/>
              </w:rPr>
              <w:t>sie</w:t>
            </w:r>
            <w:r w:rsidRPr="00F66162">
              <w:rPr>
                <w:noProof/>
              </w:rPr>
              <w:t>ci identyfikacji elektronicznej organów celnych eIDAS</w:t>
            </w:r>
            <w:r w:rsidR="00825614" w:rsidRPr="00F66162">
              <w:rPr>
                <w:noProof/>
              </w:rPr>
              <w:t xml:space="preserve"> w</w:t>
            </w:r>
            <w:r w:rsidR="00825614">
              <w:rPr>
                <w:noProof/>
              </w:rPr>
              <w:t> </w:t>
            </w:r>
            <w:r w:rsidR="00825614" w:rsidRPr="00F66162">
              <w:rPr>
                <w:noProof/>
              </w:rPr>
              <w:t>cel</w:t>
            </w:r>
            <w:r w:rsidRPr="00F66162">
              <w:rPr>
                <w:noProof/>
              </w:rPr>
              <w:t>u uwierzytelnienia zgłaszających CBAM</w:t>
            </w:r>
            <w:r w:rsidR="00825614" w:rsidRPr="00F66162">
              <w:rPr>
                <w:noProof/>
              </w:rPr>
              <w:t xml:space="preserve"> z</w:t>
            </w:r>
            <w:r w:rsidR="00825614">
              <w:rPr>
                <w:noProof/>
              </w:rPr>
              <w:t> </w:t>
            </w:r>
            <w:r w:rsidR="00825614" w:rsidRPr="00F66162">
              <w:rPr>
                <w:noProof/>
              </w:rPr>
              <w:t>pań</w:t>
            </w:r>
            <w:r w:rsidRPr="00F66162">
              <w:rPr>
                <w:noProof/>
              </w:rPr>
              <w:t>stw członkowskich sklasyfikowanych</w:t>
            </w:r>
            <w:r w:rsidR="00825614" w:rsidRPr="00F66162">
              <w:rPr>
                <w:noProof/>
              </w:rPr>
              <w:t xml:space="preserve"> w</w:t>
            </w:r>
            <w:r w:rsidR="00825614">
              <w:rPr>
                <w:noProof/>
              </w:rPr>
              <w:t> </w:t>
            </w:r>
            <w:r w:rsidR="00825614" w:rsidRPr="00F66162">
              <w:rPr>
                <w:noProof/>
              </w:rPr>
              <w:t>sys</w:t>
            </w:r>
            <w:r w:rsidRPr="00F66162">
              <w:rPr>
                <w:noProof/>
              </w:rPr>
              <w:t xml:space="preserve">temie UUM&amp;DS jako typ A, B lub C. </w:t>
            </w:r>
          </w:p>
          <w:p w14:paraId="79DB5304" w14:textId="77777777" w:rsidR="139DF8FE" w:rsidRPr="00F66162" w:rsidRDefault="139DF8FE" w:rsidP="139DF8FE">
            <w:pPr>
              <w:spacing w:before="0" w:line="257" w:lineRule="auto"/>
              <w:rPr>
                <w:noProof/>
              </w:rPr>
            </w:pPr>
            <w:r w:rsidRPr="00F66162">
              <w:rPr>
                <w:noProof/>
              </w:rPr>
              <w:t>Rejestr CBAM będzie wykorzystywał UUM&amp;DS do udzielania upoważnień wszystkim użytkownikom.</w:t>
            </w:r>
          </w:p>
          <w:p w14:paraId="6E0CBA36" w14:textId="60269C2D" w:rsidR="139DF8FE" w:rsidRPr="00F66162" w:rsidRDefault="139DF8FE" w:rsidP="139DF8FE">
            <w:pPr>
              <w:spacing w:before="0" w:line="257" w:lineRule="auto"/>
              <w:rPr>
                <w:noProof/>
              </w:rPr>
            </w:pPr>
            <w:r w:rsidRPr="00F66162">
              <w:rPr>
                <w:noProof/>
              </w:rPr>
              <w:t>Możliwość przejścia</w:t>
            </w:r>
            <w:r w:rsidR="00825614" w:rsidRPr="00F66162">
              <w:rPr>
                <w:noProof/>
              </w:rPr>
              <w:t xml:space="preserve"> z</w:t>
            </w:r>
            <w:r w:rsidR="00825614">
              <w:rPr>
                <w:noProof/>
              </w:rPr>
              <w:t> </w:t>
            </w:r>
            <w:r w:rsidR="00825614" w:rsidRPr="00F66162">
              <w:rPr>
                <w:noProof/>
              </w:rPr>
              <w:t>sys</w:t>
            </w:r>
            <w:r w:rsidRPr="00F66162">
              <w:rPr>
                <w:noProof/>
              </w:rPr>
              <w:t>temu UUM&amp;DS do systemu UE Access zostanie rozważona, gdy system UE Access zacznie oferować wszystkie funkcje UUM&amp;DS,</w:t>
            </w:r>
            <w:r w:rsidR="00825614" w:rsidRPr="00F66162">
              <w:rPr>
                <w:noProof/>
              </w:rPr>
              <w:t xml:space="preserve"> w</w:t>
            </w:r>
            <w:r w:rsidR="00825614">
              <w:rPr>
                <w:noProof/>
              </w:rPr>
              <w:t> </w:t>
            </w:r>
            <w:r w:rsidR="00825614" w:rsidRPr="00F66162">
              <w:rPr>
                <w:noProof/>
              </w:rPr>
              <w:t>tym</w:t>
            </w:r>
            <w:r w:rsidRPr="00F66162">
              <w:rPr>
                <w:noProof/>
              </w:rPr>
              <w:t xml:space="preserve"> wsparcie ze strony sieci eIDAS. </w:t>
            </w:r>
          </w:p>
          <w:p w14:paraId="795089E6" w14:textId="074234DE" w:rsidR="139DF8FE" w:rsidRPr="00F66162" w:rsidRDefault="139DF8FE" w:rsidP="139DF8FE">
            <w:pPr>
              <w:spacing w:before="0" w:line="257" w:lineRule="auto"/>
              <w:rPr>
                <w:noProof/>
              </w:rPr>
            </w:pPr>
            <w:r w:rsidRPr="00F66162">
              <w:rPr>
                <w:noProof/>
              </w:rPr>
              <w:t>Publiczne informacje o CBAM</w:t>
            </w:r>
            <w:r w:rsidR="00825614" w:rsidRPr="00F66162">
              <w:rPr>
                <w:noProof/>
              </w:rPr>
              <w:t xml:space="preserve"> z</w:t>
            </w:r>
            <w:r w:rsidR="00825614">
              <w:rPr>
                <w:noProof/>
              </w:rPr>
              <w:t> </w:t>
            </w:r>
            <w:r w:rsidR="00825614" w:rsidRPr="00F66162">
              <w:rPr>
                <w:noProof/>
              </w:rPr>
              <w:t>rej</w:t>
            </w:r>
            <w:r w:rsidRPr="00F66162">
              <w:rPr>
                <w:noProof/>
              </w:rPr>
              <w:t>estru CBAM będą publikowane na portalu Europa.</w:t>
            </w:r>
          </w:p>
          <w:p w14:paraId="21C72621" w14:textId="78F3EA5B" w:rsidR="139DF8FE" w:rsidRPr="00F66162" w:rsidRDefault="139DF8FE" w:rsidP="139DF8FE">
            <w:pPr>
              <w:spacing w:before="0" w:line="257" w:lineRule="auto"/>
              <w:rPr>
                <w:noProof/>
              </w:rPr>
            </w:pPr>
            <w:r w:rsidRPr="00F66162">
              <w:rPr>
                <w:noProof/>
              </w:rPr>
              <w:t>DG TAXUD pragnie także zmaksymalizować ponowne wykorzystanie usług</w:t>
            </w:r>
            <w:r w:rsidR="00825614" w:rsidRPr="00F66162">
              <w:rPr>
                <w:noProof/>
              </w:rPr>
              <w:t xml:space="preserve"> i</w:t>
            </w:r>
            <w:r w:rsidR="00825614">
              <w:rPr>
                <w:noProof/>
              </w:rPr>
              <w:t> </w:t>
            </w:r>
            <w:r w:rsidR="00825614" w:rsidRPr="00F66162">
              <w:rPr>
                <w:noProof/>
              </w:rPr>
              <w:t>kom</w:t>
            </w:r>
            <w:r w:rsidRPr="00F66162">
              <w:rPr>
                <w:noProof/>
              </w:rPr>
              <w:t>ponentów korporacyjnych, które spełniałyby niektóre wymogi CBAM, ograniczyć ryzyko ich nieterminowego wdrożenia</w:t>
            </w:r>
            <w:r w:rsidR="00825614" w:rsidRPr="00F66162">
              <w:rPr>
                <w:noProof/>
              </w:rPr>
              <w:t xml:space="preserve"> i</w:t>
            </w:r>
            <w:r w:rsidR="00825614">
              <w:rPr>
                <w:noProof/>
              </w:rPr>
              <w:t> </w:t>
            </w:r>
            <w:r w:rsidR="00825614" w:rsidRPr="00F66162">
              <w:rPr>
                <w:noProof/>
              </w:rPr>
              <w:t>zab</w:t>
            </w:r>
            <w:r w:rsidRPr="00F66162">
              <w:rPr>
                <w:noProof/>
              </w:rPr>
              <w:t>ezpieczyć jakość swojej działalności,</w:t>
            </w:r>
            <w:r w:rsidR="00825614" w:rsidRPr="00F66162">
              <w:rPr>
                <w:noProof/>
              </w:rPr>
              <w:t xml:space="preserve"> a</w:t>
            </w:r>
            <w:r w:rsidR="00825614">
              <w:rPr>
                <w:noProof/>
              </w:rPr>
              <w:t> </w:t>
            </w:r>
            <w:r w:rsidR="00825614" w:rsidRPr="00F66162">
              <w:rPr>
                <w:noProof/>
              </w:rPr>
              <w:t>jed</w:t>
            </w:r>
            <w:r w:rsidRPr="00F66162">
              <w:rPr>
                <w:noProof/>
              </w:rPr>
              <w:t>nocześnie obniżyć wydatki kapitałowe</w:t>
            </w:r>
            <w:r w:rsidR="00825614" w:rsidRPr="00F66162">
              <w:rPr>
                <w:noProof/>
              </w:rPr>
              <w:t xml:space="preserve"> i</w:t>
            </w:r>
            <w:r w:rsidR="00825614">
              <w:rPr>
                <w:noProof/>
              </w:rPr>
              <w:t> </w:t>
            </w:r>
            <w:r w:rsidR="00825614" w:rsidRPr="00F66162">
              <w:rPr>
                <w:noProof/>
              </w:rPr>
              <w:t>ope</w:t>
            </w:r>
            <w:r w:rsidRPr="00F66162">
              <w:rPr>
                <w:noProof/>
              </w:rPr>
              <w:t>racyjne.</w:t>
            </w:r>
          </w:p>
        </w:tc>
      </w:tr>
    </w:tbl>
    <w:p w14:paraId="7ACE7015" w14:textId="77777777" w:rsidR="00FA5543" w:rsidRPr="00F66162" w:rsidRDefault="00FA5543" w:rsidP="00390489">
      <w:pPr>
        <w:pStyle w:val="ManualHeading2"/>
        <w:rPr>
          <w:noProof/>
        </w:rPr>
      </w:pPr>
      <w:r w:rsidRPr="00F66162">
        <w:rPr>
          <w:noProof/>
        </w:rPr>
        <w:lastRenderedPageBreak/>
        <w:t>4.5.</w:t>
      </w:r>
      <w:r w:rsidRPr="00F66162">
        <w:rPr>
          <w:noProof/>
        </w:rPr>
        <w:tab/>
        <w:t>Środki wspierające cyfrowe wdrażanie</w:t>
      </w:r>
    </w:p>
    <w:tbl>
      <w:tblPr>
        <w:tblStyle w:val="Tabela-Siatka"/>
        <w:tblpPr w:leftFromText="141" w:rightFromText="141" w:vertAnchor="text" w:horzAnchor="margin" w:tblpY="49"/>
        <w:tblW w:w="9067" w:type="dxa"/>
        <w:tblLook w:val="04A0" w:firstRow="1" w:lastRow="0" w:firstColumn="1" w:lastColumn="0" w:noHBand="0" w:noVBand="1"/>
      </w:tblPr>
      <w:tblGrid>
        <w:gridCol w:w="9067"/>
      </w:tblGrid>
      <w:tr w:rsidR="00FA5543" w:rsidRPr="00F66162" w14:paraId="150BC358" w14:textId="77777777" w:rsidTr="139DF8FE">
        <w:tc>
          <w:tcPr>
            <w:tcW w:w="9067" w:type="dxa"/>
          </w:tcPr>
          <w:p w14:paraId="5CAEC80B" w14:textId="18BE418E" w:rsidR="139DF8FE" w:rsidRPr="00F66162" w:rsidRDefault="139DF8FE" w:rsidP="139DF8FE">
            <w:pPr>
              <w:rPr>
                <w:noProof/>
              </w:rPr>
            </w:pPr>
            <w:r w:rsidRPr="00F66162">
              <w:rPr>
                <w:rFonts w:ascii="Calibri" w:hAnsi="Calibri"/>
                <w:noProof/>
              </w:rPr>
              <w:t>W rozporządzeniu</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spr</w:t>
            </w:r>
            <w:r w:rsidRPr="00F66162">
              <w:rPr>
                <w:rFonts w:ascii="Calibri" w:hAnsi="Calibri"/>
                <w:noProof/>
              </w:rPr>
              <w:t>awie CBAM określono, że rejestr CBAM będzie wdrażany</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dwó</w:t>
            </w:r>
            <w:r w:rsidRPr="00F66162">
              <w:rPr>
                <w:rFonts w:ascii="Calibri" w:hAnsi="Calibri"/>
                <w:noProof/>
              </w:rPr>
              <w:t>ch okresach, podzielonych na trzy następujące po sobie etapy:</w:t>
            </w:r>
          </w:p>
          <w:p w14:paraId="383D35EC" w14:textId="5244C780" w:rsidR="139DF8FE" w:rsidRPr="00F66162" w:rsidRDefault="139DF8FE" w:rsidP="139DF8FE">
            <w:pPr>
              <w:pStyle w:val="Akapitzlist"/>
              <w:numPr>
                <w:ilvl w:val="0"/>
                <w:numId w:val="1"/>
              </w:numPr>
              <w:spacing w:before="0" w:after="0"/>
              <w:ind w:left="360"/>
              <w:rPr>
                <w:rFonts w:ascii="Calibri" w:eastAsia="Calibri" w:hAnsi="Calibri" w:cs="Calibri"/>
                <w:noProof/>
                <w:szCs w:val="24"/>
              </w:rPr>
            </w:pPr>
            <w:r w:rsidRPr="00F66162">
              <w:rPr>
                <w:rFonts w:ascii="Calibri" w:hAnsi="Calibri"/>
                <w:b/>
                <w:noProof/>
              </w:rPr>
              <w:t>Ramy czasowe:</w:t>
            </w:r>
            <w:r w:rsidRPr="00F66162">
              <w:rPr>
                <w:rFonts w:ascii="Calibri" w:hAnsi="Calibri"/>
                <w:noProof/>
              </w:rPr>
              <w:t xml:space="preserve"> stopniowe wdrażanie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okr</w:t>
            </w:r>
            <w:r w:rsidRPr="00F66162">
              <w:rPr>
                <w:rFonts w:ascii="Calibri" w:hAnsi="Calibri"/>
                <w:noProof/>
              </w:rPr>
              <w:t>esie przejściowym – od IV kwartału 20</w:t>
            </w:r>
            <w:r w:rsidRPr="00825614">
              <w:rPr>
                <w:rFonts w:ascii="Calibri" w:hAnsi="Calibri"/>
                <w:noProof/>
              </w:rPr>
              <w:t>23</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do IV kwartału 20</w:t>
            </w:r>
            <w:r w:rsidRPr="00825614">
              <w:rPr>
                <w:rFonts w:ascii="Calibri" w:hAnsi="Calibri"/>
                <w:noProof/>
              </w:rPr>
              <w:t>25</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 po którym, od I kwartału 20</w:t>
            </w:r>
            <w:r w:rsidRPr="00825614">
              <w:rPr>
                <w:rFonts w:ascii="Calibri" w:hAnsi="Calibri"/>
                <w:noProof/>
              </w:rPr>
              <w:t>26</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nastąpi okres docelowy. </w:t>
            </w:r>
          </w:p>
          <w:p w14:paraId="1F4A761A" w14:textId="2DFDC5F4" w:rsidR="139DF8FE" w:rsidRPr="00F66162" w:rsidRDefault="139DF8FE" w:rsidP="139DF8FE">
            <w:pPr>
              <w:pStyle w:val="Akapitzlist"/>
              <w:numPr>
                <w:ilvl w:val="1"/>
                <w:numId w:val="1"/>
              </w:numPr>
              <w:spacing w:before="0" w:after="0"/>
              <w:ind w:left="1080"/>
              <w:rPr>
                <w:rFonts w:ascii="Calibri" w:eastAsia="Calibri" w:hAnsi="Calibri" w:cs="Calibri"/>
                <w:noProof/>
                <w:szCs w:val="24"/>
              </w:rPr>
            </w:pPr>
            <w:r w:rsidRPr="00F66162">
              <w:rPr>
                <w:rFonts w:ascii="Calibri" w:hAnsi="Calibri"/>
                <w:noProof/>
              </w:rPr>
              <w:t xml:space="preserve">W </w:t>
            </w:r>
            <w:r w:rsidRPr="00F66162">
              <w:rPr>
                <w:rFonts w:ascii="Calibri" w:hAnsi="Calibri"/>
                <w:b/>
                <w:noProof/>
              </w:rPr>
              <w:t>okresie przejściowym</w:t>
            </w:r>
            <w:r w:rsidRPr="00F66162">
              <w:rPr>
                <w:rFonts w:ascii="Calibri" w:hAnsi="Calibri"/>
                <w:noProof/>
              </w:rPr>
              <w:t xml:space="preserve"> importerzy CBAM co kwartał zgłaszają emisje związane</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prz</w:t>
            </w:r>
            <w:r w:rsidRPr="00F66162">
              <w:rPr>
                <w:rFonts w:ascii="Calibri" w:hAnsi="Calibri"/>
                <w:noProof/>
              </w:rPr>
              <w:t xml:space="preserve">ywożonymi towarami, ale nie muszą kupować ani umarzać certyfikatów. Jest to okres docierania się systemu CBAM. </w:t>
            </w:r>
          </w:p>
          <w:p w14:paraId="06A19559" w14:textId="2F2F1850" w:rsidR="139DF8FE" w:rsidRPr="00F66162" w:rsidRDefault="139DF8FE" w:rsidP="139DF8FE">
            <w:pPr>
              <w:pStyle w:val="Akapitzlist"/>
              <w:numPr>
                <w:ilvl w:val="1"/>
                <w:numId w:val="1"/>
              </w:numPr>
              <w:spacing w:before="0" w:after="0"/>
              <w:ind w:left="1080"/>
              <w:rPr>
                <w:rFonts w:ascii="Calibri" w:eastAsia="Calibri" w:hAnsi="Calibri" w:cs="Calibri"/>
                <w:noProof/>
                <w:szCs w:val="24"/>
              </w:rPr>
            </w:pPr>
            <w:r w:rsidRPr="00F66162">
              <w:rPr>
                <w:rFonts w:ascii="Calibri" w:hAnsi="Calibri"/>
                <w:noProof/>
              </w:rPr>
              <w:t xml:space="preserve">W </w:t>
            </w:r>
            <w:r w:rsidRPr="00F66162">
              <w:rPr>
                <w:rFonts w:ascii="Calibri" w:hAnsi="Calibri"/>
                <w:b/>
                <w:noProof/>
              </w:rPr>
              <w:t>okresie docelowym</w:t>
            </w:r>
            <w:r w:rsidRPr="00F66162">
              <w:rPr>
                <w:rFonts w:ascii="Calibri" w:hAnsi="Calibri"/>
                <w:noProof/>
              </w:rPr>
              <w:t xml:space="preserve">, rozpoczynającym </w:t>
            </w:r>
            <w:r w:rsidRPr="00825614">
              <w:rPr>
                <w:rFonts w:ascii="Calibri" w:hAnsi="Calibri"/>
                <w:noProof/>
              </w:rPr>
              <w:t>się</w:t>
            </w:r>
            <w:r w:rsidR="00825614" w:rsidRPr="00825614">
              <w:rPr>
                <w:rFonts w:ascii="Calibri" w:hAnsi="Calibri"/>
                <w:noProof/>
              </w:rPr>
              <w:t> </w:t>
            </w:r>
            <w:r w:rsidRPr="00825614">
              <w:rPr>
                <w:rFonts w:ascii="Calibri" w:hAnsi="Calibri"/>
                <w:noProof/>
              </w:rPr>
              <w:t>1</w:t>
            </w:r>
            <w:r w:rsidRPr="00F66162">
              <w:rPr>
                <w:rFonts w:ascii="Calibri" w:hAnsi="Calibri"/>
                <w:noProof/>
              </w:rPr>
              <w:t xml:space="preserve"> stycznia 20</w:t>
            </w:r>
            <w:r w:rsidRPr="00825614">
              <w:rPr>
                <w:rFonts w:ascii="Calibri" w:hAnsi="Calibri"/>
                <w:noProof/>
              </w:rPr>
              <w:t>26</w:t>
            </w:r>
            <w:r w:rsidR="00825614" w:rsidRPr="00825614">
              <w:rPr>
                <w:rFonts w:ascii="Calibri" w:hAnsi="Calibri"/>
                <w:noProof/>
              </w:rPr>
              <w:t> </w:t>
            </w:r>
            <w:r w:rsidRPr="00825614">
              <w:rPr>
                <w:rFonts w:ascii="Calibri" w:hAnsi="Calibri"/>
                <w:noProof/>
              </w:rPr>
              <w:t>r.</w:t>
            </w:r>
            <w:r w:rsidRPr="00F66162">
              <w:rPr>
                <w:rFonts w:ascii="Calibri" w:hAnsi="Calibri"/>
                <w:noProof/>
              </w:rPr>
              <w:t>, zgłaszający CBAM będą musieli posiadać upoważnienie, co roku deklarować emisje, kupować certyfikaty, aby zachować stosunek między zakupionymi certyfikatami</w:t>
            </w:r>
            <w:r w:rsidR="00825614" w:rsidRPr="00F66162">
              <w:rPr>
                <w:rFonts w:ascii="Calibri" w:hAnsi="Calibri"/>
                <w:noProof/>
              </w:rPr>
              <w:t xml:space="preserve"> a</w:t>
            </w:r>
            <w:r w:rsidR="00825614">
              <w:rPr>
                <w:rFonts w:ascii="Calibri" w:hAnsi="Calibri"/>
                <w:noProof/>
              </w:rPr>
              <w:t> </w:t>
            </w:r>
            <w:r w:rsidR="00825614" w:rsidRPr="00F66162">
              <w:rPr>
                <w:rFonts w:ascii="Calibri" w:hAnsi="Calibri"/>
                <w:noProof/>
              </w:rPr>
              <w:t>emi</w:t>
            </w:r>
            <w:r w:rsidRPr="00F66162">
              <w:rPr>
                <w:rFonts w:ascii="Calibri" w:hAnsi="Calibri"/>
                <w:noProof/>
              </w:rPr>
              <w:t>sjami wynoszący co najmniej 80 %,</w:t>
            </w:r>
            <w:r w:rsidR="00825614" w:rsidRPr="00F66162">
              <w:rPr>
                <w:rFonts w:ascii="Calibri" w:hAnsi="Calibri"/>
                <w:noProof/>
              </w:rPr>
              <w:t xml:space="preserve"> a</w:t>
            </w:r>
            <w:r w:rsidR="00825614">
              <w:rPr>
                <w:rFonts w:ascii="Calibri" w:hAnsi="Calibri"/>
                <w:noProof/>
              </w:rPr>
              <w:t> </w:t>
            </w:r>
            <w:r w:rsidR="00825614" w:rsidRPr="00F66162">
              <w:rPr>
                <w:rFonts w:ascii="Calibri" w:hAnsi="Calibri"/>
                <w:noProof/>
              </w:rPr>
              <w:t>tak</w:t>
            </w:r>
            <w:r w:rsidRPr="00F66162">
              <w:rPr>
                <w:rFonts w:ascii="Calibri" w:hAnsi="Calibri"/>
                <w:noProof/>
              </w:rPr>
              <w:t>że umarzać certyfikaty przy składaniu deklaracji rocznych.</w:t>
            </w:r>
          </w:p>
          <w:p w14:paraId="7FEB18E5" w14:textId="1B4B3A22" w:rsidR="139DF8FE" w:rsidRPr="00F66162" w:rsidRDefault="139DF8FE" w:rsidP="139DF8FE">
            <w:pPr>
              <w:pStyle w:val="Akapitzlist"/>
              <w:numPr>
                <w:ilvl w:val="0"/>
                <w:numId w:val="1"/>
              </w:numPr>
              <w:spacing w:before="0" w:after="0"/>
              <w:ind w:left="360"/>
              <w:rPr>
                <w:rFonts w:ascii="Calibri" w:eastAsia="Calibri" w:hAnsi="Calibri" w:cs="Calibri"/>
                <w:noProof/>
                <w:szCs w:val="24"/>
              </w:rPr>
            </w:pPr>
            <w:r w:rsidRPr="00F66162">
              <w:rPr>
                <w:rFonts w:ascii="Calibri" w:hAnsi="Calibri"/>
                <w:b/>
                <w:noProof/>
              </w:rPr>
              <w:t>Etapy</w:t>
            </w:r>
            <w:r w:rsidR="00825614" w:rsidRPr="00F66162">
              <w:rPr>
                <w:rFonts w:ascii="Calibri" w:hAnsi="Calibri"/>
                <w:b/>
                <w:noProof/>
              </w:rPr>
              <w:t xml:space="preserve"> i</w:t>
            </w:r>
            <w:r w:rsidR="00825614">
              <w:rPr>
                <w:rFonts w:ascii="Calibri" w:hAnsi="Calibri"/>
                <w:b/>
                <w:noProof/>
              </w:rPr>
              <w:t> </w:t>
            </w:r>
            <w:r w:rsidR="00825614" w:rsidRPr="00F66162">
              <w:rPr>
                <w:rFonts w:ascii="Calibri" w:hAnsi="Calibri"/>
                <w:b/>
                <w:noProof/>
              </w:rPr>
              <w:t>czę</w:t>
            </w:r>
            <w:r w:rsidRPr="00F66162">
              <w:rPr>
                <w:rFonts w:ascii="Calibri" w:hAnsi="Calibri"/>
                <w:b/>
                <w:noProof/>
              </w:rPr>
              <w:t>ści:</w:t>
            </w:r>
          </w:p>
          <w:p w14:paraId="792717C7" w14:textId="6E4CE4DA" w:rsidR="139DF8FE" w:rsidRPr="00F66162" w:rsidRDefault="139DF8FE" w:rsidP="139DF8FE">
            <w:pPr>
              <w:pStyle w:val="Akapitzlist"/>
              <w:numPr>
                <w:ilvl w:val="1"/>
                <w:numId w:val="1"/>
              </w:numPr>
              <w:spacing w:before="0" w:after="0"/>
              <w:ind w:left="1080"/>
              <w:rPr>
                <w:rFonts w:ascii="Calibri" w:eastAsia="Calibri" w:hAnsi="Calibri" w:cs="Calibri"/>
                <w:noProof/>
                <w:szCs w:val="24"/>
              </w:rPr>
            </w:pPr>
            <w:r w:rsidRPr="00F66162">
              <w:rPr>
                <w:rFonts w:ascii="Calibri" w:hAnsi="Calibri"/>
                <w:b/>
                <w:noProof/>
              </w:rPr>
              <w:t>Etap 1 CBAM:</w:t>
            </w:r>
            <w:r w:rsidRPr="00F66162">
              <w:rPr>
                <w:rFonts w:ascii="Calibri" w:hAnsi="Calibri"/>
                <w:noProof/>
              </w:rPr>
              <w:t xml:space="preserve"> „sprawozdania CBAM” sporządzane przez importerów towarów objętych CBAM (tzw. część 1) – etap trwający przez cały okres przejściowy od IV kwartału 20</w:t>
            </w:r>
            <w:r w:rsidRPr="00825614">
              <w:rPr>
                <w:rFonts w:ascii="Calibri" w:hAnsi="Calibri"/>
                <w:noProof/>
              </w:rPr>
              <w:t>23</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(poza zakresem Karty Projektu);</w:t>
            </w:r>
          </w:p>
          <w:p w14:paraId="6BC8209B" w14:textId="1A5F0D8C" w:rsidR="139DF8FE" w:rsidRPr="00F66162" w:rsidRDefault="139DF8FE" w:rsidP="139DF8FE">
            <w:pPr>
              <w:pStyle w:val="Akapitzlist"/>
              <w:numPr>
                <w:ilvl w:val="1"/>
                <w:numId w:val="1"/>
              </w:numPr>
              <w:spacing w:before="0" w:after="0"/>
              <w:ind w:left="1080"/>
              <w:rPr>
                <w:rFonts w:ascii="Calibri" w:eastAsia="Calibri" w:hAnsi="Calibri" w:cs="Calibri"/>
                <w:noProof/>
                <w:szCs w:val="24"/>
              </w:rPr>
            </w:pPr>
            <w:r w:rsidRPr="00F66162">
              <w:rPr>
                <w:rFonts w:ascii="Calibri" w:hAnsi="Calibri"/>
                <w:b/>
                <w:noProof/>
              </w:rPr>
              <w:t>Etap 2 CBAM:</w:t>
            </w:r>
            <w:r w:rsidRPr="00F66162">
              <w:rPr>
                <w:rFonts w:ascii="Calibri" w:hAnsi="Calibri"/>
                <w:noProof/>
              </w:rPr>
              <w:t xml:space="preserve"> „sprawozdania CBAM” sporządzane przez importerów towarów objętych CBAM (część 1), upoważnienie zgłaszającego CBAM oraz rejestracja operatorów instalacji</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pań</w:t>
            </w:r>
            <w:r w:rsidRPr="00F66162">
              <w:rPr>
                <w:rFonts w:ascii="Calibri" w:hAnsi="Calibri"/>
                <w:noProof/>
              </w:rPr>
              <w:t xml:space="preserve">stwach trzecich (tzw. część 2) – etap trwający </w:t>
            </w:r>
            <w:r w:rsidRPr="00825614">
              <w:rPr>
                <w:rFonts w:ascii="Calibri" w:hAnsi="Calibri"/>
                <w:noProof/>
              </w:rPr>
              <w:t>od</w:t>
            </w:r>
            <w:r w:rsidR="00825614" w:rsidRPr="00825614">
              <w:rPr>
                <w:rFonts w:ascii="Calibri" w:hAnsi="Calibri"/>
                <w:noProof/>
              </w:rPr>
              <w:t> </w:t>
            </w:r>
            <w:r w:rsidRPr="00825614">
              <w:rPr>
                <w:rFonts w:ascii="Calibri" w:hAnsi="Calibri"/>
                <w:noProof/>
              </w:rPr>
              <w:t>3</w:t>
            </w:r>
            <w:r w:rsidRPr="00F66162">
              <w:rPr>
                <w:rFonts w:ascii="Calibri" w:hAnsi="Calibri"/>
                <w:noProof/>
              </w:rPr>
              <w:t>1 grudnia 20</w:t>
            </w:r>
            <w:r w:rsidRPr="00825614">
              <w:rPr>
                <w:rFonts w:ascii="Calibri" w:hAnsi="Calibri"/>
                <w:noProof/>
              </w:rPr>
              <w:t>24</w:t>
            </w:r>
            <w:r w:rsidR="00825614" w:rsidRPr="00825614">
              <w:rPr>
                <w:rFonts w:ascii="Calibri" w:hAnsi="Calibri"/>
                <w:noProof/>
              </w:rPr>
              <w:t> </w:t>
            </w:r>
            <w:r w:rsidRPr="00825614">
              <w:rPr>
                <w:rFonts w:ascii="Calibri" w:hAnsi="Calibri"/>
                <w:noProof/>
              </w:rPr>
              <w:t>r.</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prz</w:t>
            </w:r>
            <w:r w:rsidRPr="00F66162">
              <w:rPr>
                <w:rFonts w:ascii="Calibri" w:hAnsi="Calibri"/>
                <w:noProof/>
              </w:rPr>
              <w:t>ygotowaniu na okres docelowy;</w:t>
            </w:r>
          </w:p>
          <w:p w14:paraId="7797C920" w14:textId="679E945B" w:rsidR="139DF8FE" w:rsidRPr="00F66162" w:rsidRDefault="139DF8FE" w:rsidP="139DF8FE">
            <w:pPr>
              <w:pStyle w:val="Akapitzlist"/>
              <w:numPr>
                <w:ilvl w:val="1"/>
                <w:numId w:val="1"/>
              </w:numPr>
              <w:spacing w:before="0" w:after="0"/>
              <w:ind w:left="1080"/>
              <w:rPr>
                <w:rFonts w:ascii="Calibri" w:eastAsia="Calibri" w:hAnsi="Calibri" w:cs="Calibri"/>
                <w:noProof/>
                <w:szCs w:val="24"/>
              </w:rPr>
            </w:pPr>
            <w:r w:rsidRPr="00F66162">
              <w:rPr>
                <w:rFonts w:ascii="Calibri" w:hAnsi="Calibri"/>
                <w:b/>
                <w:noProof/>
              </w:rPr>
              <w:t>Etap 3 CBAM:</w:t>
            </w:r>
            <w:r w:rsidRPr="00F66162">
              <w:rPr>
                <w:rFonts w:ascii="Calibri" w:hAnsi="Calibri"/>
                <w:noProof/>
              </w:rPr>
              <w:t xml:space="preserve"> część 2 rozszerzona</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dek</w:t>
            </w:r>
            <w:r w:rsidRPr="00F66162">
              <w:rPr>
                <w:rFonts w:ascii="Calibri" w:hAnsi="Calibri"/>
                <w:noProof/>
              </w:rPr>
              <w:t>laracje</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cer</w:t>
            </w:r>
            <w:r w:rsidRPr="00F66162">
              <w:rPr>
                <w:rFonts w:ascii="Calibri" w:hAnsi="Calibri"/>
                <w:noProof/>
              </w:rPr>
              <w:t>tyfikaty CBAM oraz</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peł</w:t>
            </w:r>
            <w:r w:rsidRPr="00F66162">
              <w:rPr>
                <w:rFonts w:ascii="Calibri" w:hAnsi="Calibri"/>
                <w:noProof/>
              </w:rPr>
              <w:t>ne zarządzanie rachunkiem CBAM (tzw. część 3) od początku okresu docelowego, ale bez części 1 „sprawozdania CBAM” – etap ten rozpocznie się</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koń</w:t>
            </w:r>
            <w:r w:rsidRPr="00F66162">
              <w:rPr>
                <w:rFonts w:ascii="Calibri" w:hAnsi="Calibri"/>
                <w:noProof/>
              </w:rPr>
              <w:t>cem okresu przejściowego, 31 grudnia 20</w:t>
            </w:r>
            <w:r w:rsidRPr="00825614">
              <w:rPr>
                <w:rFonts w:ascii="Calibri" w:hAnsi="Calibri"/>
                <w:noProof/>
              </w:rPr>
              <w:t>25</w:t>
            </w:r>
            <w:r w:rsidR="00825614" w:rsidRPr="00825614">
              <w:rPr>
                <w:rFonts w:ascii="Calibri" w:hAnsi="Calibri"/>
                <w:noProof/>
              </w:rPr>
              <w:t> </w:t>
            </w:r>
            <w:r w:rsidRPr="00825614">
              <w:rPr>
                <w:rFonts w:ascii="Calibri" w:hAnsi="Calibri"/>
                <w:noProof/>
              </w:rPr>
              <w:t>r.</w:t>
            </w:r>
          </w:p>
        </w:tc>
      </w:tr>
    </w:tbl>
    <w:bookmarkEnd w:id="3"/>
    <w:p w14:paraId="7F51BE0A" w14:textId="6E72E019" w:rsidR="39BBB1F1" w:rsidRPr="00F66162" w:rsidRDefault="0015314B">
      <w:pPr>
        <w:rPr>
          <w:noProof/>
        </w:rPr>
      </w:pPr>
      <w:r>
        <w:rPr>
          <w:noProof/>
          <w:lang w:val="en-GB" w:eastAsia="en-GB"/>
        </w:rPr>
        <w:lastRenderedPageBreak/>
        <w:drawing>
          <wp:inline distT="0" distB="0" distL="0" distR="0" wp14:anchorId="15184028" wp14:editId="4B846CED">
            <wp:extent cx="5657850" cy="1341346"/>
            <wp:effectExtent l="0" t="0" r="0" b="0"/>
            <wp:docPr id="545005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05460" name=""/>
                    <pic:cNvPicPr/>
                  </pic:nvPicPr>
                  <pic:blipFill>
                    <a:blip r:embed="rId29"/>
                    <a:stretch>
                      <a:fillRect/>
                    </a:stretch>
                  </pic:blipFill>
                  <pic:spPr>
                    <a:xfrm>
                      <a:off x="0" y="0"/>
                      <a:ext cx="5662621" cy="1342477"/>
                    </a:xfrm>
                    <a:prstGeom prst="rect">
                      <a:avLst/>
                    </a:prstGeom>
                  </pic:spPr>
                </pic:pic>
              </a:graphicData>
            </a:graphic>
          </wp:inline>
        </w:drawing>
      </w:r>
    </w:p>
    <w:tbl>
      <w:tblPr>
        <w:tblW w:w="0" w:type="auto"/>
        <w:tblLayout w:type="fixed"/>
        <w:tblLook w:val="06A0" w:firstRow="1" w:lastRow="0" w:firstColumn="1" w:lastColumn="0" w:noHBand="1" w:noVBand="1"/>
      </w:tblPr>
      <w:tblGrid>
        <w:gridCol w:w="9060"/>
      </w:tblGrid>
      <w:tr w:rsidR="139DF8FE" w:rsidRPr="00F66162" w14:paraId="5BF6E3BB" w14:textId="77777777" w:rsidTr="139DF8FE">
        <w:trPr>
          <w:trHeight w:val="300"/>
        </w:trPr>
        <w:tc>
          <w:tcPr>
            <w:tcW w:w="9060" w:type="dxa"/>
            <w:tcMar>
              <w:left w:w="141" w:type="dxa"/>
              <w:right w:w="141" w:type="dxa"/>
            </w:tcMar>
          </w:tcPr>
          <w:p w14:paraId="7DF472E0" w14:textId="77777777" w:rsidR="139DF8FE" w:rsidRPr="00F66162" w:rsidRDefault="139DF8FE" w:rsidP="139DF8FE">
            <w:pPr>
              <w:jc w:val="center"/>
              <w:rPr>
                <w:noProof/>
              </w:rPr>
            </w:pPr>
            <w:r w:rsidRPr="00F66162">
              <w:rPr>
                <w:rFonts w:ascii="Calibri" w:hAnsi="Calibri"/>
                <w:b/>
                <w:noProof/>
              </w:rPr>
              <w:t>Dwuetapowe (dwuczęściowe) wdrażanie rejestru CBAM</w:t>
            </w:r>
          </w:p>
          <w:p w14:paraId="25E7F549" w14:textId="7617AA67" w:rsidR="139DF8FE" w:rsidRPr="00F66162" w:rsidRDefault="139DF8FE" w:rsidP="139DF8FE">
            <w:pPr>
              <w:spacing w:before="0"/>
              <w:rPr>
                <w:noProof/>
              </w:rPr>
            </w:pPr>
            <w:r w:rsidRPr="00F66162">
              <w:rPr>
                <w:rFonts w:ascii="Calibri" w:hAnsi="Calibri"/>
                <w:noProof/>
              </w:rPr>
              <w:t>Etap 1 CBAM (wdrożenie części 1 CBAM</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jej</w:t>
            </w:r>
            <w:r w:rsidRPr="00F66162">
              <w:rPr>
                <w:rFonts w:ascii="Calibri" w:hAnsi="Calibri"/>
                <w:noProof/>
              </w:rPr>
              <w:t xml:space="preserve"> funkcjonowanie od IV kwartału 20</w:t>
            </w:r>
            <w:r w:rsidRPr="00825614">
              <w:rPr>
                <w:rFonts w:ascii="Calibri" w:hAnsi="Calibri"/>
                <w:noProof/>
              </w:rPr>
              <w:t>23</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do końca 20</w:t>
            </w:r>
            <w:r w:rsidRPr="00825614">
              <w:rPr>
                <w:rFonts w:ascii="Calibri" w:hAnsi="Calibri"/>
                <w:noProof/>
              </w:rPr>
              <w:t>25</w:t>
            </w:r>
            <w:r w:rsidR="00825614" w:rsidRPr="00825614">
              <w:rPr>
                <w:rFonts w:ascii="Calibri" w:hAnsi="Calibri"/>
                <w:noProof/>
              </w:rPr>
              <w:t> </w:t>
            </w:r>
            <w:r w:rsidRPr="00825614">
              <w:rPr>
                <w:rFonts w:ascii="Calibri" w:hAnsi="Calibri"/>
                <w:noProof/>
              </w:rPr>
              <w:t>r.</w:t>
            </w:r>
            <w:r w:rsidRPr="00F66162">
              <w:rPr>
                <w:rFonts w:ascii="Calibri" w:hAnsi="Calibri"/>
                <w:noProof/>
              </w:rPr>
              <w:t>) jest</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cał</w:t>
            </w:r>
            <w:r w:rsidRPr="00F66162">
              <w:rPr>
                <w:rFonts w:ascii="Calibri" w:hAnsi="Calibri"/>
                <w:noProof/>
              </w:rPr>
              <w:t xml:space="preserve">ości objęty kartą projektu okresu przejściowego. </w:t>
            </w:r>
          </w:p>
          <w:p w14:paraId="4EB9B960" w14:textId="0206ED4B" w:rsidR="139DF8FE" w:rsidRPr="00F66162" w:rsidRDefault="139DF8FE" w:rsidP="139DF8FE">
            <w:pPr>
              <w:spacing w:before="0"/>
              <w:rPr>
                <w:noProof/>
              </w:rPr>
            </w:pPr>
            <w:r w:rsidRPr="00F66162">
              <w:rPr>
                <w:rFonts w:ascii="Calibri" w:hAnsi="Calibri"/>
                <w:noProof/>
              </w:rPr>
              <w:t>Dwie poniższe ryciny ilustrują podejście polegające na zapewnieniu pełnego zakresu funkcjonowania systemu docelowego</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dwó</w:t>
            </w:r>
            <w:r w:rsidRPr="00F66162">
              <w:rPr>
                <w:rFonts w:ascii="Calibri" w:hAnsi="Calibri"/>
                <w:noProof/>
              </w:rPr>
              <w:t>ch etapach. Poniżej określono społeczności użytkowników, odnośne systemy zewnętrzne oraz główne podmioty, których dotyczą poszczególne etapy. Odnośne zewnętrzne systemy</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pod</w:t>
            </w:r>
            <w:r w:rsidRPr="00F66162">
              <w:rPr>
                <w:rFonts w:ascii="Calibri" w:hAnsi="Calibri"/>
                <w:noProof/>
              </w:rPr>
              <w:t>mioty określono</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kol</w:t>
            </w:r>
            <w:r w:rsidRPr="00F66162">
              <w:rPr>
                <w:rFonts w:ascii="Calibri" w:hAnsi="Calibri"/>
                <w:noProof/>
              </w:rPr>
              <w:t>ejnej sekcji.</w:t>
            </w:r>
          </w:p>
          <w:p w14:paraId="46097922" w14:textId="3DD31BE0" w:rsidR="139DF8FE" w:rsidRPr="00F66162" w:rsidRDefault="139DF8FE" w:rsidP="139DF8FE">
            <w:pPr>
              <w:spacing w:before="0"/>
              <w:rPr>
                <w:noProof/>
              </w:rPr>
            </w:pPr>
            <w:r w:rsidRPr="00F66162">
              <w:rPr>
                <w:rFonts w:ascii="Calibri" w:hAnsi="Calibri"/>
                <w:b/>
                <w:noProof/>
              </w:rPr>
              <w:t>Zakres części 2 CBAM:</w:t>
            </w:r>
            <w:r w:rsidRPr="00F66162">
              <w:rPr>
                <w:rFonts w:ascii="Calibri" w:hAnsi="Calibri"/>
                <w:noProof/>
              </w:rPr>
              <w:t xml:space="preserve"> do części 1 – „sprawozdania CBAM” sporządzane przez importerów towarów objętych CBAM – dodaje się część 2 –„Upoważnienia</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ins</w:t>
            </w:r>
            <w:r w:rsidRPr="00F66162">
              <w:rPr>
                <w:rFonts w:ascii="Calibri" w:hAnsi="Calibri"/>
                <w:noProof/>
              </w:rPr>
              <w:t>talacje CBAM” (obie poniżej na zielono), która zacznie być stosowana 31 grudnia 20</w:t>
            </w:r>
            <w:r w:rsidRPr="00825614">
              <w:rPr>
                <w:rFonts w:ascii="Calibri" w:hAnsi="Calibri"/>
                <w:noProof/>
              </w:rPr>
              <w:t>24</w:t>
            </w:r>
            <w:r w:rsidR="00825614" w:rsidRPr="00825614">
              <w:rPr>
                <w:rFonts w:ascii="Calibri" w:hAnsi="Calibri"/>
                <w:noProof/>
              </w:rPr>
              <w:t> </w:t>
            </w:r>
            <w:r w:rsidRPr="00825614">
              <w:rPr>
                <w:rFonts w:ascii="Calibri" w:hAnsi="Calibri"/>
                <w:noProof/>
              </w:rPr>
              <w:t>r.</w:t>
            </w:r>
            <w:r w:rsidRPr="00F66162">
              <w:rPr>
                <w:rFonts w:ascii="Calibri" w:hAnsi="Calibri"/>
                <w:noProof/>
              </w:rPr>
              <w:t>, zgodnie</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roz</w:t>
            </w:r>
            <w:r w:rsidRPr="00F66162">
              <w:rPr>
                <w:rFonts w:ascii="Calibri" w:hAnsi="Calibri"/>
                <w:noProof/>
              </w:rPr>
              <w:t>porządzeniem</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spr</w:t>
            </w:r>
            <w:r w:rsidRPr="00F66162">
              <w:rPr>
                <w:rFonts w:ascii="Calibri" w:hAnsi="Calibri"/>
                <w:noProof/>
              </w:rPr>
              <w:t>awie CBAM. Obie te części będą następnie utrzymywane</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roz</w:t>
            </w:r>
            <w:r w:rsidRPr="00F66162">
              <w:rPr>
                <w:rFonts w:ascii="Calibri" w:hAnsi="Calibri"/>
                <w:noProof/>
              </w:rPr>
              <w:t>wijane przez pozostały czas okresu przejściowego. „Upoważnienia</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ins</w:t>
            </w:r>
            <w:r w:rsidRPr="00F66162">
              <w:rPr>
                <w:rFonts w:ascii="Calibri" w:hAnsi="Calibri"/>
                <w:noProof/>
              </w:rPr>
              <w:t>talacje CBAM” zostaną włączone do docelowego systemu CBAM, natomiast „sprawozdania CBAM” zostaną wycofane na koniec okresu przejściowego. Części 1</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2</w:t>
            </w:r>
            <w:r w:rsidRPr="00F66162">
              <w:rPr>
                <w:rFonts w:ascii="Calibri" w:hAnsi="Calibri"/>
                <w:noProof/>
              </w:rPr>
              <w:t xml:space="preserve"> łączą rejestr CBAM</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kra</w:t>
            </w:r>
            <w:r w:rsidRPr="00F66162">
              <w:rPr>
                <w:rFonts w:ascii="Calibri" w:hAnsi="Calibri"/>
                <w:noProof/>
              </w:rPr>
              <w:t>jowymi systemami celnymi przywozu,</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kra</w:t>
            </w:r>
            <w:r w:rsidRPr="00F66162">
              <w:rPr>
                <w:rFonts w:ascii="Calibri" w:hAnsi="Calibri"/>
                <w:noProof/>
              </w:rPr>
              <w:t>jowymi systemami celnymi uszlachetniania czynnego</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w:t>
            </w:r>
            <w:r w:rsidR="00825614">
              <w:rPr>
                <w:rFonts w:ascii="Calibri" w:hAnsi="Calibri"/>
                <w:noProof/>
              </w:rPr>
              <w:t> </w:t>
            </w:r>
            <w:r w:rsidR="00825614" w:rsidRPr="00F66162">
              <w:rPr>
                <w:rFonts w:ascii="Calibri" w:hAnsi="Calibri"/>
                <w:noProof/>
              </w:rPr>
              <w:t>uni</w:t>
            </w:r>
            <w:r w:rsidRPr="00F66162">
              <w:rPr>
                <w:rFonts w:ascii="Calibri" w:hAnsi="Calibri"/>
                <w:noProof/>
              </w:rPr>
              <w:t>jnymi wspierającymi systemami celnymi DG TAXUD, aby wspierać przestrzeganie przepisów przy minimalnym obciążeniu przedsiębiorców. Część 2 CBAM stanowi przygotowanie do docelowego systemu poprzez realizację jego pierwszego komponentu.</w:t>
            </w:r>
          </w:p>
          <w:p w14:paraId="7478DE59" w14:textId="2F7AD8AE" w:rsidR="139DF8FE" w:rsidRPr="00F66162" w:rsidRDefault="139DF8FE" w:rsidP="139DF8FE">
            <w:pPr>
              <w:spacing w:before="0"/>
              <w:rPr>
                <w:noProof/>
              </w:rPr>
            </w:pPr>
            <w:r w:rsidRPr="00F66162">
              <w:rPr>
                <w:rFonts w:ascii="Calibri" w:hAnsi="Calibri"/>
                <w:b/>
                <w:noProof/>
              </w:rPr>
              <w:t>Harmonogram etapu 2 CBAM:</w:t>
            </w:r>
            <w:r w:rsidRPr="00F66162">
              <w:rPr>
                <w:rFonts w:ascii="Calibri" w:hAnsi="Calibri"/>
                <w:noProof/>
              </w:rPr>
              <w:t xml:space="preserve"> etap ten rozpocznie </w:t>
            </w:r>
            <w:r w:rsidRPr="00825614">
              <w:rPr>
                <w:rFonts w:ascii="Calibri" w:hAnsi="Calibri"/>
                <w:noProof/>
              </w:rPr>
              <w:t>się</w:t>
            </w:r>
            <w:r w:rsidR="00825614" w:rsidRPr="00825614">
              <w:rPr>
                <w:rFonts w:ascii="Calibri" w:hAnsi="Calibri"/>
                <w:noProof/>
              </w:rPr>
              <w:t> </w:t>
            </w:r>
            <w:r w:rsidRPr="00825614">
              <w:rPr>
                <w:rFonts w:ascii="Calibri" w:hAnsi="Calibri"/>
                <w:noProof/>
              </w:rPr>
              <w:t>3</w:t>
            </w:r>
            <w:r w:rsidRPr="00F66162">
              <w:rPr>
                <w:rFonts w:ascii="Calibri" w:hAnsi="Calibri"/>
                <w:noProof/>
              </w:rPr>
              <w:t>1 grudnia 2024 r.</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zak</w:t>
            </w:r>
            <w:r w:rsidRPr="00F66162">
              <w:rPr>
                <w:rFonts w:ascii="Calibri" w:hAnsi="Calibri"/>
                <w:noProof/>
              </w:rPr>
              <w:t>ończy 31 grudnia 2025 r., na dzień przed rozpoczęciem okresu docelowego. Społeczność użytkowników zostanie rozszerzona</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ope</w:t>
            </w:r>
            <w:r w:rsidRPr="00F66162">
              <w:rPr>
                <w:rFonts w:ascii="Calibri" w:hAnsi="Calibri"/>
                <w:noProof/>
              </w:rPr>
              <w:t>ratorów instalacji</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pań</w:t>
            </w:r>
            <w:r w:rsidRPr="00F66162">
              <w:rPr>
                <w:rFonts w:ascii="Calibri" w:hAnsi="Calibri"/>
                <w:noProof/>
              </w:rPr>
              <w:t>stwach trzecich,</w:t>
            </w:r>
            <w:r w:rsidR="00825614" w:rsidRPr="00F66162">
              <w:rPr>
                <w:rFonts w:ascii="Calibri" w:hAnsi="Calibri"/>
                <w:noProof/>
              </w:rPr>
              <w:t xml:space="preserve"> a</w:t>
            </w:r>
            <w:r w:rsidR="00825614">
              <w:rPr>
                <w:rFonts w:ascii="Calibri" w:hAnsi="Calibri"/>
                <w:noProof/>
              </w:rPr>
              <w:t> </w:t>
            </w:r>
            <w:r w:rsidR="00825614" w:rsidRPr="00F66162">
              <w:rPr>
                <w:rFonts w:ascii="Calibri" w:hAnsi="Calibri"/>
                <w:noProof/>
              </w:rPr>
              <w:t>zgł</w:t>
            </w:r>
            <w:r w:rsidRPr="00F66162">
              <w:rPr>
                <w:rFonts w:ascii="Calibri" w:hAnsi="Calibri"/>
                <w:noProof/>
              </w:rPr>
              <w:t>aszający CBAM będą musieli uzyskać wymagane upoważnienia na okres docelowy.</w:t>
            </w:r>
          </w:p>
        </w:tc>
      </w:tr>
    </w:tbl>
    <w:p w14:paraId="298B7040" w14:textId="28BFE151" w:rsidR="4A63214D" w:rsidRPr="00F66162" w:rsidRDefault="00D27957">
      <w:pPr>
        <w:rPr>
          <w:noProof/>
        </w:rPr>
      </w:pPr>
      <w:r>
        <w:rPr>
          <w:noProof/>
          <w:lang w:val="en-GB" w:eastAsia="en-GB"/>
        </w:rPr>
        <w:lastRenderedPageBreak/>
        <w:drawing>
          <wp:inline distT="0" distB="0" distL="0" distR="0" wp14:anchorId="22BFA7C5" wp14:editId="2D93F9FF">
            <wp:extent cx="4114800" cy="7839075"/>
            <wp:effectExtent l="0" t="0" r="0" b="9525"/>
            <wp:docPr id="226689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89585" name=""/>
                    <pic:cNvPicPr/>
                  </pic:nvPicPr>
                  <pic:blipFill>
                    <a:blip r:embed="rId30"/>
                    <a:stretch>
                      <a:fillRect/>
                    </a:stretch>
                  </pic:blipFill>
                  <pic:spPr>
                    <a:xfrm>
                      <a:off x="0" y="0"/>
                      <a:ext cx="4114800" cy="7839075"/>
                    </a:xfrm>
                    <a:prstGeom prst="rect">
                      <a:avLst/>
                    </a:prstGeom>
                  </pic:spPr>
                </pic:pic>
              </a:graphicData>
            </a:graphic>
          </wp:inline>
        </w:drawing>
      </w:r>
    </w:p>
    <w:tbl>
      <w:tblPr>
        <w:tblW w:w="0" w:type="auto"/>
        <w:tblLayout w:type="fixed"/>
        <w:tblLook w:val="06A0" w:firstRow="1" w:lastRow="0" w:firstColumn="1" w:lastColumn="0" w:noHBand="1" w:noVBand="1"/>
      </w:tblPr>
      <w:tblGrid>
        <w:gridCol w:w="9060"/>
      </w:tblGrid>
      <w:tr w:rsidR="139DF8FE" w:rsidRPr="00F66162" w14:paraId="0F798E81" w14:textId="77777777" w:rsidTr="139DF8FE">
        <w:trPr>
          <w:trHeight w:val="300"/>
        </w:trPr>
        <w:tc>
          <w:tcPr>
            <w:tcW w:w="9060" w:type="dxa"/>
            <w:tcMar>
              <w:left w:w="141" w:type="dxa"/>
              <w:right w:w="141" w:type="dxa"/>
            </w:tcMar>
          </w:tcPr>
          <w:p w14:paraId="655E0FA1" w14:textId="78F92868" w:rsidR="139DF8FE" w:rsidRPr="00F66162" w:rsidRDefault="139DF8FE" w:rsidP="139DF8FE">
            <w:pPr>
              <w:spacing w:before="0"/>
              <w:ind w:left="284"/>
              <w:rPr>
                <w:noProof/>
              </w:rPr>
            </w:pPr>
            <w:r w:rsidRPr="00F66162">
              <w:rPr>
                <w:rFonts w:ascii="Calibri" w:hAnsi="Calibri"/>
                <w:b/>
                <w:noProof/>
              </w:rPr>
              <w:t>Zakres części 3 CBAM:</w:t>
            </w:r>
            <w:r w:rsidRPr="00F66162">
              <w:rPr>
                <w:rFonts w:ascii="Calibri" w:hAnsi="Calibri"/>
                <w:noProof/>
              </w:rPr>
              <w:t xml:space="preserve"> Część „deklaracje CBAM, rachunki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zar</w:t>
            </w:r>
            <w:r w:rsidRPr="00F66162">
              <w:rPr>
                <w:rFonts w:ascii="Calibri" w:hAnsi="Calibri"/>
                <w:noProof/>
              </w:rPr>
              <w:t>ządzanie ryzykiem” (poniżej na fioletowo) wejdzie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życ</w:t>
            </w:r>
            <w:r w:rsidRPr="00F66162">
              <w:rPr>
                <w:rFonts w:ascii="Calibri" w:hAnsi="Calibri"/>
                <w:noProof/>
              </w:rPr>
              <w:t>ie</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poc</w:t>
            </w:r>
            <w:r w:rsidRPr="00F66162">
              <w:rPr>
                <w:rFonts w:ascii="Calibri" w:hAnsi="Calibri"/>
                <w:noProof/>
              </w:rPr>
              <w:t>zątkiem okresu docelowego, który ma się rozpocząć 1 stycznia 20</w:t>
            </w:r>
            <w:r w:rsidRPr="00825614">
              <w:rPr>
                <w:rFonts w:ascii="Calibri" w:hAnsi="Calibri"/>
                <w:noProof/>
              </w:rPr>
              <w:t>26</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Część ta stanowi podstawę docelowego systemu CBAM. Część 3 CBAM obejmuje również interfejsy łączące system za pośrednictwem EU CSW-CERTEX</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kra</w:t>
            </w:r>
            <w:r w:rsidRPr="00F66162">
              <w:rPr>
                <w:rFonts w:ascii="Calibri" w:hAnsi="Calibri"/>
                <w:noProof/>
              </w:rPr>
              <w:t xml:space="preserve">jowymi systemami importu na potrzeby upoważnień CBAM, ze wspólną </w:t>
            </w:r>
            <w:r w:rsidRPr="00F66162">
              <w:rPr>
                <w:rFonts w:ascii="Calibri" w:hAnsi="Calibri"/>
                <w:noProof/>
              </w:rPr>
              <w:lastRenderedPageBreak/>
              <w:t>centralną platformą zakupu certyfikatów CBAM, z ETS, OLAF-em oraz systemami właściwych organów krajowych</w:t>
            </w:r>
            <w:r w:rsidR="00825614" w:rsidRPr="00F66162">
              <w:rPr>
                <w:rFonts w:ascii="Calibri" w:hAnsi="Calibri"/>
                <w:noProof/>
              </w:rPr>
              <w:t>. W</w:t>
            </w:r>
            <w:r w:rsidR="00825614">
              <w:rPr>
                <w:rFonts w:ascii="Calibri" w:hAnsi="Calibri"/>
                <w:noProof/>
              </w:rPr>
              <w:t> </w:t>
            </w:r>
            <w:r w:rsidR="00825614" w:rsidRPr="00F66162">
              <w:rPr>
                <w:rFonts w:ascii="Calibri" w:hAnsi="Calibri"/>
                <w:noProof/>
              </w:rPr>
              <w:t>ram</w:t>
            </w:r>
            <w:r w:rsidRPr="00F66162">
              <w:rPr>
                <w:rFonts w:ascii="Calibri" w:hAnsi="Calibri"/>
                <w:noProof/>
              </w:rPr>
              <w:t xml:space="preserve">ach tej części do rejestru CBAM zostaną także dodane </w:t>
            </w:r>
            <w:r w:rsidRPr="00F66162">
              <w:rPr>
                <w:rFonts w:ascii="Calibri" w:hAnsi="Calibri"/>
                <w:b/>
                <w:noProof/>
              </w:rPr>
              <w:t>zdolności</w:t>
            </w:r>
            <w:r w:rsidR="00825614" w:rsidRPr="00F66162">
              <w:rPr>
                <w:rFonts w:ascii="Calibri" w:hAnsi="Calibri"/>
                <w:b/>
                <w:noProof/>
              </w:rPr>
              <w:t xml:space="preserve"> w</w:t>
            </w:r>
            <w:r w:rsidR="00825614">
              <w:rPr>
                <w:rFonts w:ascii="Calibri" w:hAnsi="Calibri"/>
                <w:b/>
                <w:noProof/>
              </w:rPr>
              <w:t> </w:t>
            </w:r>
            <w:r w:rsidR="00825614" w:rsidRPr="00F66162">
              <w:rPr>
                <w:rFonts w:ascii="Calibri" w:hAnsi="Calibri"/>
                <w:b/>
                <w:noProof/>
              </w:rPr>
              <w:t>zak</w:t>
            </w:r>
            <w:r w:rsidRPr="00F66162">
              <w:rPr>
                <w:rFonts w:ascii="Calibri" w:hAnsi="Calibri"/>
                <w:b/>
                <w:noProof/>
              </w:rPr>
              <w:t>resie certyfikatów CBAM</w:t>
            </w:r>
            <w:r w:rsidRPr="00F66162">
              <w:rPr>
                <w:rFonts w:ascii="Calibri" w:hAnsi="Calibri"/>
                <w:noProof/>
              </w:rPr>
              <w:t xml:space="preserve"> oraz zarządzania ryzykiem. Ponieważ moduły certyfikatów CBAM</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zar</w:t>
            </w:r>
            <w:r w:rsidRPr="00F66162">
              <w:rPr>
                <w:rFonts w:ascii="Calibri" w:hAnsi="Calibri"/>
                <w:noProof/>
              </w:rPr>
              <w:t>ządzania ryzykiem posłużą do przetwarzania informacji poufnych</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mon</w:t>
            </w:r>
            <w:r w:rsidRPr="00F66162">
              <w:rPr>
                <w:rFonts w:ascii="Calibri" w:hAnsi="Calibri"/>
                <w:noProof/>
              </w:rPr>
              <w:t>itorowania przypadków obchodzenia</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nie</w:t>
            </w:r>
            <w:r w:rsidRPr="00F66162">
              <w:rPr>
                <w:rFonts w:ascii="Calibri" w:hAnsi="Calibri"/>
                <w:noProof/>
              </w:rPr>
              <w:t>przestrzegania przepisów, część 3 CBAM obejmuje zarządzanie informacjami szczególnie chronionymi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wym</w:t>
            </w:r>
            <w:r w:rsidRPr="00F66162">
              <w:rPr>
                <w:rFonts w:ascii="Calibri" w:hAnsi="Calibri"/>
                <w:noProof/>
              </w:rPr>
              <w:t>aga wysoce bezpiecznych procesów. Część ta będzie nadal utrzymywana</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roz</w:t>
            </w:r>
            <w:r w:rsidRPr="00F66162">
              <w:rPr>
                <w:rFonts w:ascii="Calibri" w:hAnsi="Calibri"/>
                <w:noProof/>
              </w:rPr>
              <w:t>wijana</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okr</w:t>
            </w:r>
            <w:r w:rsidRPr="00F66162">
              <w:rPr>
                <w:rFonts w:ascii="Calibri" w:hAnsi="Calibri"/>
                <w:noProof/>
              </w:rPr>
              <w:t xml:space="preserve">esie docelowym. </w:t>
            </w:r>
          </w:p>
          <w:p w14:paraId="648A7F29" w14:textId="417CBD29" w:rsidR="139DF8FE" w:rsidRPr="00F66162" w:rsidRDefault="139DF8FE" w:rsidP="139DF8FE">
            <w:pPr>
              <w:spacing w:before="0"/>
              <w:ind w:left="284"/>
              <w:rPr>
                <w:noProof/>
              </w:rPr>
            </w:pPr>
            <w:r w:rsidRPr="00F66162">
              <w:rPr>
                <w:rFonts w:ascii="Calibri" w:hAnsi="Calibri"/>
                <w:b/>
                <w:noProof/>
              </w:rPr>
              <w:t>Harmonogram etapu 3 CBAM:</w:t>
            </w:r>
            <w:r w:rsidRPr="00F66162">
              <w:rPr>
                <w:rFonts w:ascii="Calibri" w:hAnsi="Calibri"/>
                <w:noProof/>
              </w:rPr>
              <w:t xml:space="preserve"> etap ten rozpocznie </w:t>
            </w:r>
            <w:r w:rsidRPr="00825614">
              <w:rPr>
                <w:rFonts w:ascii="Calibri" w:hAnsi="Calibri"/>
                <w:noProof/>
              </w:rPr>
              <w:t>się</w:t>
            </w:r>
            <w:r w:rsidR="00825614" w:rsidRPr="00825614">
              <w:rPr>
                <w:rFonts w:ascii="Calibri" w:hAnsi="Calibri"/>
                <w:noProof/>
              </w:rPr>
              <w:t> </w:t>
            </w:r>
            <w:r w:rsidRPr="00825614">
              <w:rPr>
                <w:rFonts w:ascii="Calibri" w:hAnsi="Calibri"/>
                <w:noProof/>
              </w:rPr>
              <w:t>1</w:t>
            </w:r>
            <w:r w:rsidRPr="00F66162">
              <w:rPr>
                <w:rFonts w:ascii="Calibri" w:hAnsi="Calibri"/>
                <w:noProof/>
              </w:rPr>
              <w:t xml:space="preserve"> stycznia 2026 r., tak samo jak okres docelowy. Na tym etapie tylko części 2</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3</w:t>
            </w:r>
            <w:r w:rsidRPr="00F66162">
              <w:rPr>
                <w:rFonts w:ascii="Calibri" w:hAnsi="Calibri"/>
                <w:noProof/>
              </w:rPr>
              <w:t xml:space="preserve"> CBAM będą funkcjonować równolegle,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ści</w:t>
            </w:r>
            <w:r w:rsidRPr="00F66162">
              <w:rPr>
                <w:rFonts w:ascii="Calibri" w:hAnsi="Calibri"/>
                <w:noProof/>
              </w:rPr>
              <w:t>słej interakcji. Część 1 zostanie wycofana, gdyż dotyczyła ona wyłącznie okresu przejściowego. Społeczność użytkowników zostanie rozszerzona</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kra</w:t>
            </w:r>
            <w:r w:rsidRPr="00F66162">
              <w:rPr>
                <w:rFonts w:ascii="Calibri" w:hAnsi="Calibri"/>
                <w:noProof/>
              </w:rPr>
              <w:t>jowe administracje celne.</w:t>
            </w:r>
          </w:p>
          <w:p w14:paraId="303D2269" w14:textId="4E3A38F0" w:rsidR="139DF8FE" w:rsidRPr="00F66162" w:rsidRDefault="139DF8FE" w:rsidP="139DF8FE">
            <w:pPr>
              <w:spacing w:before="0"/>
              <w:ind w:left="284"/>
              <w:rPr>
                <w:noProof/>
              </w:rPr>
            </w:pPr>
            <w:r w:rsidRPr="00F66162">
              <w:rPr>
                <w:rFonts w:ascii="Calibri" w:hAnsi="Calibri"/>
                <w:b/>
                <w:noProof/>
              </w:rPr>
              <w:t>Zakres części 3 CBAM:</w:t>
            </w:r>
            <w:r w:rsidRPr="00F66162">
              <w:rPr>
                <w:rFonts w:ascii="Calibri" w:hAnsi="Calibri"/>
                <w:noProof/>
              </w:rPr>
              <w:t xml:space="preserve"> Część „deklaracje CBAM, rachunki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zar</w:t>
            </w:r>
            <w:r w:rsidRPr="00F66162">
              <w:rPr>
                <w:rFonts w:ascii="Calibri" w:hAnsi="Calibri"/>
                <w:noProof/>
              </w:rPr>
              <w:t>ządzanie ryzykiem” (poniżej na fioletowo) wejdzie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życ</w:t>
            </w:r>
            <w:r w:rsidRPr="00F66162">
              <w:rPr>
                <w:rFonts w:ascii="Calibri" w:hAnsi="Calibri"/>
                <w:noProof/>
              </w:rPr>
              <w:t>ie</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poc</w:t>
            </w:r>
            <w:r w:rsidRPr="00F66162">
              <w:rPr>
                <w:rFonts w:ascii="Calibri" w:hAnsi="Calibri"/>
                <w:noProof/>
              </w:rPr>
              <w:t>zątkiem okresu docelowego, który ma się rozpocząć 1 stycznia 20</w:t>
            </w:r>
            <w:r w:rsidRPr="00825614">
              <w:rPr>
                <w:rFonts w:ascii="Calibri" w:hAnsi="Calibri"/>
                <w:noProof/>
              </w:rPr>
              <w:t>26</w:t>
            </w:r>
            <w:r w:rsidR="00825614" w:rsidRPr="00825614">
              <w:rPr>
                <w:rFonts w:ascii="Calibri" w:hAnsi="Calibri"/>
                <w:noProof/>
              </w:rPr>
              <w:t> </w:t>
            </w:r>
            <w:r w:rsidRPr="00825614">
              <w:rPr>
                <w:rFonts w:ascii="Calibri" w:hAnsi="Calibri"/>
                <w:noProof/>
              </w:rPr>
              <w:t>r.</w:t>
            </w:r>
            <w:r w:rsidRPr="00F66162">
              <w:rPr>
                <w:rFonts w:ascii="Calibri" w:hAnsi="Calibri"/>
                <w:noProof/>
              </w:rPr>
              <w:t xml:space="preserve"> Część ta stanowi podstawę docelowego systemu CBAM. Część 3 CBAM obejmuje również interfejsy łączące system za pośrednictwem EU CSW-CERTEX</w:t>
            </w:r>
            <w:r w:rsidR="00825614" w:rsidRPr="00F66162">
              <w:rPr>
                <w:rFonts w:ascii="Calibri" w:hAnsi="Calibri"/>
                <w:noProof/>
              </w:rPr>
              <w:t xml:space="preserve"> z</w:t>
            </w:r>
            <w:r w:rsidR="00825614">
              <w:rPr>
                <w:rFonts w:ascii="Calibri" w:hAnsi="Calibri"/>
                <w:noProof/>
              </w:rPr>
              <w:t> </w:t>
            </w:r>
            <w:r w:rsidR="00825614" w:rsidRPr="00F66162">
              <w:rPr>
                <w:rFonts w:ascii="Calibri" w:hAnsi="Calibri"/>
                <w:noProof/>
              </w:rPr>
              <w:t>kra</w:t>
            </w:r>
            <w:r w:rsidRPr="00F66162">
              <w:rPr>
                <w:rFonts w:ascii="Calibri" w:hAnsi="Calibri"/>
                <w:noProof/>
              </w:rPr>
              <w:t>jowymi systemami importu na potrzeby upoważnień CBAM, ze wspólną centralną platformą zakupu certyfikatów CBAM, z ETS, OLAF-em oraz systemami właściwych organów krajowych</w:t>
            </w:r>
            <w:r w:rsidR="00825614" w:rsidRPr="00F66162">
              <w:rPr>
                <w:rFonts w:ascii="Calibri" w:hAnsi="Calibri"/>
                <w:noProof/>
              </w:rPr>
              <w:t>. W</w:t>
            </w:r>
            <w:r w:rsidR="00825614">
              <w:rPr>
                <w:rFonts w:ascii="Calibri" w:hAnsi="Calibri"/>
                <w:noProof/>
              </w:rPr>
              <w:t> </w:t>
            </w:r>
            <w:r w:rsidR="00825614" w:rsidRPr="00F66162">
              <w:rPr>
                <w:rFonts w:ascii="Calibri" w:hAnsi="Calibri"/>
                <w:noProof/>
              </w:rPr>
              <w:t>ram</w:t>
            </w:r>
            <w:r w:rsidRPr="00F66162">
              <w:rPr>
                <w:rFonts w:ascii="Calibri" w:hAnsi="Calibri"/>
                <w:noProof/>
              </w:rPr>
              <w:t xml:space="preserve">ach tej części do rejestru CBAM zostaną także dodane </w:t>
            </w:r>
            <w:r w:rsidRPr="00F66162">
              <w:rPr>
                <w:rFonts w:ascii="Calibri" w:hAnsi="Calibri"/>
                <w:b/>
                <w:noProof/>
              </w:rPr>
              <w:t>zdolności</w:t>
            </w:r>
            <w:r w:rsidR="00825614" w:rsidRPr="00F66162">
              <w:rPr>
                <w:rFonts w:ascii="Calibri" w:hAnsi="Calibri"/>
                <w:b/>
                <w:noProof/>
              </w:rPr>
              <w:t xml:space="preserve"> w</w:t>
            </w:r>
            <w:r w:rsidR="00825614">
              <w:rPr>
                <w:rFonts w:ascii="Calibri" w:hAnsi="Calibri"/>
                <w:b/>
                <w:noProof/>
              </w:rPr>
              <w:t> </w:t>
            </w:r>
            <w:r w:rsidR="00825614" w:rsidRPr="00F66162">
              <w:rPr>
                <w:rFonts w:ascii="Calibri" w:hAnsi="Calibri"/>
                <w:b/>
                <w:noProof/>
              </w:rPr>
              <w:t>zak</w:t>
            </w:r>
            <w:r w:rsidRPr="00F66162">
              <w:rPr>
                <w:rFonts w:ascii="Calibri" w:hAnsi="Calibri"/>
                <w:b/>
                <w:noProof/>
              </w:rPr>
              <w:t>resie certyfikatów CBAM</w:t>
            </w:r>
            <w:r w:rsidRPr="00F66162">
              <w:rPr>
                <w:rFonts w:ascii="Calibri" w:hAnsi="Calibri"/>
                <w:noProof/>
              </w:rPr>
              <w:t xml:space="preserve"> oraz zarządzania ryzykiem. Ponieważ moduły certyfikatów CBAM</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zar</w:t>
            </w:r>
            <w:r w:rsidRPr="00F66162">
              <w:rPr>
                <w:rFonts w:ascii="Calibri" w:hAnsi="Calibri"/>
                <w:noProof/>
              </w:rPr>
              <w:t>ządzania ryzykiem posłużą do przetwarzania informacji poufnych</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mon</w:t>
            </w:r>
            <w:r w:rsidRPr="00F66162">
              <w:rPr>
                <w:rFonts w:ascii="Calibri" w:hAnsi="Calibri"/>
                <w:noProof/>
              </w:rPr>
              <w:t>itorowania przypadków obchodzenia</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nie</w:t>
            </w:r>
            <w:r w:rsidRPr="00F66162">
              <w:rPr>
                <w:rFonts w:ascii="Calibri" w:hAnsi="Calibri"/>
                <w:noProof/>
              </w:rPr>
              <w:t>przestrzegania przepisów, część 3 CBAM obejmuje zarządzanie informacjami szczególnie chronionymi</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wym</w:t>
            </w:r>
            <w:r w:rsidRPr="00F66162">
              <w:rPr>
                <w:rFonts w:ascii="Calibri" w:hAnsi="Calibri"/>
                <w:noProof/>
              </w:rPr>
              <w:t>aga wysoce bezpiecznych procesów. Część ta będzie nadal utrzymywana</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roz</w:t>
            </w:r>
            <w:r w:rsidRPr="00F66162">
              <w:rPr>
                <w:rFonts w:ascii="Calibri" w:hAnsi="Calibri"/>
                <w:noProof/>
              </w:rPr>
              <w:t>wijana</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okr</w:t>
            </w:r>
            <w:r w:rsidRPr="00F66162">
              <w:rPr>
                <w:rFonts w:ascii="Calibri" w:hAnsi="Calibri"/>
                <w:noProof/>
              </w:rPr>
              <w:t xml:space="preserve">esie docelowym. </w:t>
            </w:r>
          </w:p>
          <w:p w14:paraId="345DD9CE" w14:textId="650822DC" w:rsidR="139DF8FE" w:rsidRPr="00F66162" w:rsidRDefault="139DF8FE" w:rsidP="139DF8FE">
            <w:pPr>
              <w:spacing w:before="0"/>
              <w:ind w:left="284"/>
              <w:rPr>
                <w:noProof/>
              </w:rPr>
            </w:pPr>
            <w:r w:rsidRPr="00F66162">
              <w:rPr>
                <w:rFonts w:ascii="Calibri" w:hAnsi="Calibri"/>
                <w:b/>
                <w:noProof/>
              </w:rPr>
              <w:t>Harmonogram etapu 3 CBAM:</w:t>
            </w:r>
            <w:r w:rsidRPr="00F66162">
              <w:rPr>
                <w:rFonts w:ascii="Calibri" w:hAnsi="Calibri"/>
                <w:noProof/>
              </w:rPr>
              <w:t xml:space="preserve"> etap ten rozpocznie </w:t>
            </w:r>
            <w:r w:rsidRPr="00825614">
              <w:rPr>
                <w:rFonts w:ascii="Calibri" w:hAnsi="Calibri"/>
                <w:noProof/>
              </w:rPr>
              <w:t>się</w:t>
            </w:r>
            <w:r w:rsidR="00825614" w:rsidRPr="00825614">
              <w:rPr>
                <w:rFonts w:ascii="Calibri" w:hAnsi="Calibri"/>
                <w:noProof/>
              </w:rPr>
              <w:t> </w:t>
            </w:r>
            <w:r w:rsidRPr="00825614">
              <w:rPr>
                <w:rFonts w:ascii="Calibri" w:hAnsi="Calibri"/>
                <w:noProof/>
              </w:rPr>
              <w:t>1</w:t>
            </w:r>
            <w:r w:rsidRPr="00F66162">
              <w:rPr>
                <w:rFonts w:ascii="Calibri" w:hAnsi="Calibri"/>
                <w:noProof/>
              </w:rPr>
              <w:t xml:space="preserve"> stycznia 2026 r., tak samo jak okres docelowy. Na tym etapie tylko części 2</w:t>
            </w:r>
            <w:r w:rsidR="00825614" w:rsidRPr="00F66162">
              <w:rPr>
                <w:rFonts w:ascii="Calibri" w:hAnsi="Calibri"/>
                <w:noProof/>
              </w:rPr>
              <w:t xml:space="preserve"> i</w:t>
            </w:r>
            <w:r w:rsidR="00825614">
              <w:rPr>
                <w:rFonts w:ascii="Calibri" w:hAnsi="Calibri"/>
                <w:noProof/>
              </w:rPr>
              <w:t> </w:t>
            </w:r>
            <w:r w:rsidR="00825614" w:rsidRPr="00F66162">
              <w:rPr>
                <w:rFonts w:ascii="Calibri" w:hAnsi="Calibri"/>
                <w:noProof/>
              </w:rPr>
              <w:t>3</w:t>
            </w:r>
            <w:r w:rsidRPr="00F66162">
              <w:rPr>
                <w:rFonts w:ascii="Calibri" w:hAnsi="Calibri"/>
                <w:noProof/>
              </w:rPr>
              <w:t xml:space="preserve"> CBAM będą funkcjonować równolegle,</w:t>
            </w:r>
            <w:r w:rsidR="00825614" w:rsidRPr="00F66162">
              <w:rPr>
                <w:rFonts w:ascii="Calibri" w:hAnsi="Calibri"/>
                <w:noProof/>
              </w:rPr>
              <w:t xml:space="preserve"> w</w:t>
            </w:r>
            <w:r w:rsidR="00825614">
              <w:rPr>
                <w:rFonts w:ascii="Calibri" w:hAnsi="Calibri"/>
                <w:noProof/>
              </w:rPr>
              <w:t> </w:t>
            </w:r>
            <w:r w:rsidR="00825614" w:rsidRPr="00F66162">
              <w:rPr>
                <w:rFonts w:ascii="Calibri" w:hAnsi="Calibri"/>
                <w:noProof/>
              </w:rPr>
              <w:t>ści</w:t>
            </w:r>
            <w:r w:rsidRPr="00F66162">
              <w:rPr>
                <w:rFonts w:ascii="Calibri" w:hAnsi="Calibri"/>
                <w:noProof/>
              </w:rPr>
              <w:t>słej interakcji. Część 1 zostanie wycofana, gdyż dotyczyła ona wyłącznie okresu przejściowego. Społeczność użytkowników zostanie rozszerzona</w:t>
            </w:r>
            <w:r w:rsidR="00825614" w:rsidRPr="00F66162">
              <w:rPr>
                <w:rFonts w:ascii="Calibri" w:hAnsi="Calibri"/>
                <w:noProof/>
              </w:rPr>
              <w:t xml:space="preserve"> o</w:t>
            </w:r>
            <w:r w:rsidR="00825614">
              <w:rPr>
                <w:rFonts w:ascii="Calibri" w:hAnsi="Calibri"/>
                <w:noProof/>
              </w:rPr>
              <w:t> </w:t>
            </w:r>
            <w:r w:rsidR="00825614" w:rsidRPr="00F66162">
              <w:rPr>
                <w:rFonts w:ascii="Calibri" w:hAnsi="Calibri"/>
                <w:noProof/>
              </w:rPr>
              <w:t>kra</w:t>
            </w:r>
            <w:r w:rsidRPr="00F66162">
              <w:rPr>
                <w:rFonts w:ascii="Calibri" w:hAnsi="Calibri"/>
                <w:noProof/>
              </w:rPr>
              <w:t>jowe administracje celne.</w:t>
            </w:r>
          </w:p>
        </w:tc>
      </w:tr>
    </w:tbl>
    <w:p w14:paraId="455C9619" w14:textId="57596D2F" w:rsidR="5F38D6BE" w:rsidRPr="00F66162" w:rsidRDefault="00D27957">
      <w:pPr>
        <w:rPr>
          <w:noProof/>
        </w:rPr>
      </w:pPr>
      <w:r>
        <w:rPr>
          <w:noProof/>
          <w:lang w:val="en-GB" w:eastAsia="en-GB"/>
        </w:rPr>
        <w:lastRenderedPageBreak/>
        <w:drawing>
          <wp:inline distT="0" distB="0" distL="0" distR="0" wp14:anchorId="1A1DC4A0" wp14:editId="7BFCC186">
            <wp:extent cx="6077952" cy="6534150"/>
            <wp:effectExtent l="0" t="0" r="0" b="0"/>
            <wp:docPr id="35270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06041" name=""/>
                    <pic:cNvPicPr/>
                  </pic:nvPicPr>
                  <pic:blipFill>
                    <a:blip r:embed="rId31"/>
                    <a:stretch>
                      <a:fillRect/>
                    </a:stretch>
                  </pic:blipFill>
                  <pic:spPr>
                    <a:xfrm>
                      <a:off x="0" y="0"/>
                      <a:ext cx="6081908" cy="6538403"/>
                    </a:xfrm>
                    <a:prstGeom prst="rect">
                      <a:avLst/>
                    </a:prstGeom>
                  </pic:spPr>
                </pic:pic>
              </a:graphicData>
            </a:graphic>
          </wp:inline>
        </w:drawing>
      </w:r>
    </w:p>
    <w:tbl>
      <w:tblPr>
        <w:tblW w:w="0" w:type="auto"/>
        <w:tblLayout w:type="fixed"/>
        <w:tblLook w:val="06A0" w:firstRow="1" w:lastRow="0" w:firstColumn="1" w:lastColumn="0" w:noHBand="1" w:noVBand="1"/>
      </w:tblPr>
      <w:tblGrid>
        <w:gridCol w:w="4279"/>
      </w:tblGrid>
      <w:tr w:rsidR="139DF8FE" w:rsidRPr="00F66162" w14:paraId="201A9A36" w14:textId="77777777" w:rsidTr="139DF8FE">
        <w:trPr>
          <w:trHeight w:val="300"/>
        </w:trPr>
        <w:tc>
          <w:tcPr>
            <w:tcW w:w="4279" w:type="dxa"/>
            <w:tcMar>
              <w:left w:w="141" w:type="dxa"/>
              <w:right w:w="141" w:type="dxa"/>
            </w:tcMar>
          </w:tcPr>
          <w:p w14:paraId="0BF70F82" w14:textId="7D8A7F80" w:rsidR="139DF8FE" w:rsidRPr="00F66162" w:rsidRDefault="139DF8FE" w:rsidP="139DF8FE">
            <w:pPr>
              <w:jc w:val="left"/>
              <w:rPr>
                <w:noProof/>
              </w:rPr>
            </w:pPr>
            <w:r w:rsidRPr="00F66162">
              <w:rPr>
                <w:rFonts w:ascii="Calibri" w:hAnsi="Calibri"/>
                <w:b/>
                <w:noProof/>
              </w:rPr>
              <w:t>Etap 3 CBAM – ogólny zarys</w:t>
            </w:r>
            <w:r w:rsidR="00F0618E">
              <w:rPr>
                <w:rFonts w:ascii="Calibri" w:hAnsi="Calibri"/>
                <w:b/>
                <w:noProof/>
              </w:rPr>
              <w:t xml:space="preserve"> </w:t>
            </w:r>
            <w:r w:rsidRPr="00F66162">
              <w:rPr>
                <w:rFonts w:ascii="Calibri" w:hAnsi="Calibri"/>
                <w:b/>
                <w:noProof/>
              </w:rPr>
              <w:t>architektury</w:t>
            </w:r>
          </w:p>
        </w:tc>
      </w:tr>
    </w:tbl>
    <w:p w14:paraId="379AD4FF" w14:textId="77777777" w:rsidR="003B3A9D" w:rsidRPr="00F66162" w:rsidRDefault="003B3A9D">
      <w:pPr>
        <w:rPr>
          <w:noProof/>
        </w:rPr>
      </w:pPr>
    </w:p>
    <w:sectPr w:rsidR="003B3A9D" w:rsidRPr="00F66162" w:rsidSect="00AB396E">
      <w:headerReference w:type="default" r:id="rId32"/>
      <w:footerReference w:type="default" r:id="rId3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2F6E" w14:textId="77777777" w:rsidR="00A94226" w:rsidRDefault="00A94226" w:rsidP="00FA5543">
      <w:pPr>
        <w:spacing w:before="0" w:after="0"/>
      </w:pPr>
      <w:r>
        <w:separator/>
      </w:r>
    </w:p>
  </w:endnote>
  <w:endnote w:type="continuationSeparator" w:id="0">
    <w:p w14:paraId="74264B56" w14:textId="77777777" w:rsidR="00A94226" w:rsidRDefault="00A94226" w:rsidP="00FA5543">
      <w:pPr>
        <w:spacing w:before="0" w:after="0"/>
      </w:pPr>
      <w:r>
        <w:continuationSeparator/>
      </w:r>
    </w:p>
  </w:endnote>
  <w:endnote w:type="continuationNotice" w:id="1">
    <w:p w14:paraId="36F7E920" w14:textId="77777777" w:rsidR="00A94226" w:rsidRDefault="00A942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EUAlbertina">
    <w:charset w:val="00"/>
    <w:family w:val="auto"/>
    <w:pitch w:val="variable"/>
    <w:sig w:usb0="800002EF" w:usb1="1000E0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82EB" w14:textId="199634B8" w:rsidR="00AB396E" w:rsidRPr="00AB396E" w:rsidRDefault="00AB396E" w:rsidP="00AB396E">
    <w:pPr>
      <w:pStyle w:val="Stopka"/>
      <w:rPr>
        <w:rFonts w:ascii="Arial" w:hAnsi="Arial" w:cs="Arial"/>
        <w:b/>
        <w:sz w:val="48"/>
      </w:rPr>
    </w:pPr>
    <w:r w:rsidRPr="00AB396E">
      <w:rPr>
        <w:rFonts w:ascii="Arial" w:hAnsi="Arial" w:cs="Arial"/>
        <w:b/>
        <w:sz w:val="48"/>
      </w:rPr>
      <w:t>PL</w:t>
    </w:r>
    <w:r w:rsidRPr="00AB396E">
      <w:rPr>
        <w:rFonts w:ascii="Arial" w:hAnsi="Arial" w:cs="Arial"/>
        <w:b/>
        <w:sz w:val="48"/>
      </w:rPr>
      <w:tab/>
    </w:r>
    <w:r w:rsidRPr="00AB396E">
      <w:rPr>
        <w:rFonts w:ascii="Arial" w:hAnsi="Arial" w:cs="Arial"/>
        <w:b/>
        <w:sz w:val="48"/>
      </w:rPr>
      <w:tab/>
    </w:r>
    <w:r w:rsidRPr="00AB396E">
      <w:tab/>
    </w:r>
    <w:r w:rsidRPr="00AB396E">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CD13" w14:textId="30FF48EA" w:rsidR="00AB396E" w:rsidRPr="00AB396E" w:rsidRDefault="00AB396E" w:rsidP="00AB396E">
    <w:pPr>
      <w:pStyle w:val="Stopka"/>
      <w:rPr>
        <w:rFonts w:ascii="Arial" w:hAnsi="Arial" w:cs="Arial"/>
        <w:b/>
        <w:sz w:val="48"/>
      </w:rPr>
    </w:pPr>
    <w:r w:rsidRPr="00AB396E">
      <w:rPr>
        <w:rFonts w:ascii="Arial" w:hAnsi="Arial" w:cs="Arial"/>
        <w:b/>
        <w:sz w:val="48"/>
      </w:rPr>
      <w:t>PL</w:t>
    </w:r>
    <w:r w:rsidRPr="00AB396E">
      <w:rPr>
        <w:rFonts w:ascii="Arial" w:hAnsi="Arial" w:cs="Arial"/>
        <w:b/>
        <w:sz w:val="48"/>
      </w:rPr>
      <w:tab/>
    </w:r>
    <w:r w:rsidRPr="00AB396E">
      <w:rPr>
        <w:rFonts w:ascii="Arial" w:hAnsi="Arial" w:cs="Arial"/>
        <w:b/>
        <w:sz w:val="48"/>
      </w:rPr>
      <w:tab/>
    </w:r>
    <w:r w:rsidRPr="00AB396E">
      <w:tab/>
    </w:r>
    <w:r w:rsidRPr="00AB396E">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1B55" w14:textId="77777777" w:rsidR="00AB396E" w:rsidRDefault="00AB396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D833" w14:textId="016314AD" w:rsidR="00AB396E" w:rsidRPr="00AB396E" w:rsidRDefault="00AB396E" w:rsidP="00AB396E">
    <w:pPr>
      <w:pStyle w:val="Stopka"/>
      <w:rPr>
        <w:rFonts w:ascii="Arial" w:hAnsi="Arial" w:cs="Arial"/>
        <w:b/>
        <w:sz w:val="48"/>
      </w:rPr>
    </w:pPr>
    <w:r w:rsidRPr="00AB396E">
      <w:rPr>
        <w:rFonts w:ascii="Arial" w:hAnsi="Arial" w:cs="Arial"/>
        <w:b/>
        <w:sz w:val="48"/>
      </w:rPr>
      <w:t>PL</w:t>
    </w:r>
    <w:r w:rsidRPr="00AB396E">
      <w:rPr>
        <w:rFonts w:ascii="Arial" w:hAnsi="Arial" w:cs="Arial"/>
        <w:b/>
        <w:sz w:val="48"/>
      </w:rPr>
      <w:tab/>
    </w:r>
    <w:r>
      <w:fldChar w:fldCharType="begin"/>
    </w:r>
    <w:r>
      <w:instrText xml:space="preserve"> PAGE  \* MERGEFORMAT </w:instrText>
    </w:r>
    <w:r>
      <w:fldChar w:fldCharType="separate"/>
    </w:r>
    <w:r w:rsidR="007B2A2F">
      <w:rPr>
        <w:noProof/>
      </w:rPr>
      <w:t>19</w:t>
    </w:r>
    <w:r>
      <w:fldChar w:fldCharType="end"/>
    </w:r>
    <w:r>
      <w:tab/>
    </w:r>
    <w:r w:rsidRPr="00AB396E">
      <w:tab/>
    </w:r>
    <w:r w:rsidRPr="00AB396E">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62DB" w14:textId="77777777" w:rsidR="00AB396E" w:rsidRDefault="00AB396E" w:rsidP="00AB396E">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BA1E" w14:textId="1F87DCFE" w:rsidR="00AB396E" w:rsidRPr="00AB396E" w:rsidRDefault="00AB396E" w:rsidP="00AB396E">
    <w:pPr>
      <w:pStyle w:val="FooterLandscape"/>
      <w:rPr>
        <w:rFonts w:ascii="Arial" w:hAnsi="Arial" w:cs="Arial"/>
        <w:b/>
        <w:sz w:val="48"/>
      </w:rPr>
    </w:pPr>
    <w:r w:rsidRPr="00AB396E">
      <w:rPr>
        <w:rFonts w:ascii="Arial" w:hAnsi="Arial" w:cs="Arial"/>
        <w:b/>
        <w:sz w:val="48"/>
      </w:rPr>
      <w:t>PL</w:t>
    </w:r>
    <w:r w:rsidRPr="00AB396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B396E">
      <w:tab/>
    </w:r>
    <w:r w:rsidRPr="00AB396E">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C63C" w14:textId="30685DE0" w:rsidR="00AB396E" w:rsidRPr="00AB396E" w:rsidRDefault="00AB396E" w:rsidP="00AB396E">
    <w:pPr>
      <w:pStyle w:val="Stopka"/>
      <w:rPr>
        <w:rFonts w:ascii="Arial" w:hAnsi="Arial" w:cs="Arial"/>
        <w:b/>
        <w:sz w:val="48"/>
      </w:rPr>
    </w:pPr>
    <w:r w:rsidRPr="00AB396E">
      <w:rPr>
        <w:rFonts w:ascii="Arial" w:hAnsi="Arial" w:cs="Arial"/>
        <w:b/>
        <w:sz w:val="48"/>
      </w:rPr>
      <w:t>PL</w:t>
    </w:r>
    <w:r w:rsidRPr="00AB396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B396E">
      <w:tab/>
    </w:r>
    <w:r w:rsidRPr="00AB396E">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5745" w14:textId="77777777" w:rsidR="00A94226" w:rsidRDefault="00A94226" w:rsidP="00FA5543">
      <w:pPr>
        <w:spacing w:before="0" w:after="0"/>
      </w:pPr>
      <w:r>
        <w:separator/>
      </w:r>
    </w:p>
  </w:footnote>
  <w:footnote w:type="continuationSeparator" w:id="0">
    <w:p w14:paraId="005286CA" w14:textId="77777777" w:rsidR="00A94226" w:rsidRDefault="00A94226" w:rsidP="00FA5543">
      <w:pPr>
        <w:spacing w:before="0" w:after="0"/>
      </w:pPr>
      <w:r>
        <w:continuationSeparator/>
      </w:r>
    </w:p>
  </w:footnote>
  <w:footnote w:type="continuationNotice" w:id="1">
    <w:p w14:paraId="003F4F86" w14:textId="77777777" w:rsidR="00A94226" w:rsidRDefault="00A94226">
      <w:pPr>
        <w:spacing w:before="0" w:after="0"/>
      </w:pPr>
    </w:p>
  </w:footnote>
  <w:footnote w:id="2">
    <w:p w14:paraId="67F9F27C" w14:textId="7951BA9C" w:rsidR="00A5393E" w:rsidRPr="00F66162" w:rsidRDefault="00A5393E" w:rsidP="00547CFA">
      <w:pPr>
        <w:pStyle w:val="Tekstprzypisudolnego"/>
        <w:ind w:left="0" w:firstLine="0"/>
      </w:pPr>
      <w:r>
        <w:rPr>
          <w:rStyle w:val="Odwoanieprzypisudolnego"/>
        </w:rPr>
        <w:footnoteRef/>
      </w:r>
      <w:r w:rsidRPr="00F66162">
        <w:tab/>
        <w:t>„Przyszłość europejskiej konkurencyjności”, wrzesień 20</w:t>
      </w:r>
      <w:r w:rsidRPr="00825614">
        <w:t>24</w:t>
      </w:r>
      <w:r w:rsidR="00825614" w:rsidRPr="00825614">
        <w:t> </w:t>
      </w:r>
      <w:r w:rsidRPr="00825614">
        <w:t>r.</w:t>
      </w:r>
      <w:r w:rsidRPr="00F66162">
        <w:t> </w:t>
      </w:r>
    </w:p>
  </w:footnote>
  <w:footnote w:id="3">
    <w:p w14:paraId="7AD86ACA" w14:textId="696508DC" w:rsidR="00547CFA" w:rsidRPr="00F66162" w:rsidRDefault="00547CFA">
      <w:pPr>
        <w:pStyle w:val="Tekstprzypisudolnego"/>
      </w:pPr>
      <w:r>
        <w:rPr>
          <w:rStyle w:val="Odwoanieprzypisudolnego"/>
        </w:rPr>
        <w:footnoteRef/>
      </w:r>
      <w:r w:rsidRPr="00F66162">
        <w:tab/>
        <w:t>Deklaracja budapeszteńska</w:t>
      </w:r>
      <w:r w:rsidR="00825614" w:rsidRPr="00F66162">
        <w:t xml:space="preserve"> w</w:t>
      </w:r>
      <w:r w:rsidR="00825614">
        <w:t> </w:t>
      </w:r>
      <w:r w:rsidR="00825614" w:rsidRPr="00F66162">
        <w:t>spr</w:t>
      </w:r>
      <w:r w:rsidRPr="00F66162">
        <w:t>awie nowego ładu na rzecz europejskiej konkurencyjności, 8 listopada 20</w:t>
      </w:r>
      <w:r w:rsidRPr="00825614">
        <w:t>24</w:t>
      </w:r>
      <w:r w:rsidR="00825614" w:rsidRPr="00825614">
        <w:t> </w:t>
      </w:r>
      <w:r w:rsidRPr="00825614">
        <w:t>r.</w:t>
      </w:r>
    </w:p>
  </w:footnote>
  <w:footnote w:id="4">
    <w:p w14:paraId="5B85CF3A" w14:textId="358A4161" w:rsidR="00573190" w:rsidRPr="00F66162" w:rsidRDefault="00573190">
      <w:pPr>
        <w:pStyle w:val="Tekstprzypisudolnego"/>
      </w:pPr>
      <w:r>
        <w:rPr>
          <w:rStyle w:val="Odwoanieprzypisudolnego"/>
        </w:rPr>
        <w:footnoteRef/>
      </w:r>
      <w:r w:rsidRPr="00F66162">
        <w:tab/>
        <w:t>Rozporządzenie Parlamentu Europejskiego</w:t>
      </w:r>
      <w:r w:rsidR="00825614" w:rsidRPr="00F66162">
        <w:t xml:space="preserve"> i</w:t>
      </w:r>
      <w:r w:rsidR="00825614">
        <w:t> </w:t>
      </w:r>
      <w:r w:rsidR="00825614" w:rsidRPr="00F66162">
        <w:t>Rad</w:t>
      </w:r>
      <w:r w:rsidRPr="00F66162">
        <w:t>y (UE) 2023/956</w:t>
      </w:r>
      <w:r w:rsidR="00825614" w:rsidRPr="00F66162">
        <w:t xml:space="preserve"> z</w:t>
      </w:r>
      <w:r w:rsidR="00825614">
        <w:t> </w:t>
      </w:r>
      <w:r w:rsidR="00825614" w:rsidRPr="00F66162">
        <w:t>dni</w:t>
      </w:r>
      <w:r w:rsidRPr="00F66162">
        <w:t>a 10 maja 2023 r. ustanawiające mechanizm dostosowywania cen na granicach</w:t>
      </w:r>
      <w:r w:rsidR="00825614" w:rsidRPr="00F66162">
        <w:t xml:space="preserve"> z</w:t>
      </w:r>
      <w:r w:rsidR="00825614">
        <w:t> </w:t>
      </w:r>
      <w:r w:rsidR="00825614" w:rsidRPr="00F66162">
        <w:t>uwz</w:t>
      </w:r>
      <w:r w:rsidRPr="00F66162">
        <w:t>ględnieniem emisji CO</w:t>
      </w:r>
      <w:r w:rsidRPr="00F66162">
        <w:rPr>
          <w:vertAlign w:val="subscript"/>
        </w:rPr>
        <w:t>2</w:t>
      </w:r>
      <w:r w:rsidRPr="00F66162">
        <w:t xml:space="preserve"> (Dz.U. L 130</w:t>
      </w:r>
      <w:r w:rsidR="00825614" w:rsidRPr="00F66162">
        <w:t xml:space="preserve"> z</w:t>
      </w:r>
      <w:r w:rsidR="00825614">
        <w:t> </w:t>
      </w:r>
      <w:r w:rsidR="00825614" w:rsidRPr="00F66162">
        <w:t>1</w:t>
      </w:r>
      <w:r w:rsidRPr="00F66162">
        <w:t>6.5.2023, s. 52, ELI: </w:t>
      </w:r>
      <w:hyperlink r:id="rId1" w:tgtFrame="_blank" w:history="1">
        <w:r w:rsidRPr="00F66162">
          <w:rPr>
            <w:rStyle w:val="Hipercze"/>
            <w:u w:val="none"/>
          </w:rPr>
          <w:t>http://data.europa.eu/eli/reg/2023/956/oj</w:t>
        </w:r>
      </w:hyperlink>
      <w:r w:rsidRPr="00F66162">
        <w:t>).</w:t>
      </w:r>
    </w:p>
  </w:footnote>
  <w:footnote w:id="5">
    <w:p w14:paraId="376BCA0C" w14:textId="0212D244" w:rsidR="00E6373D" w:rsidRPr="00F66162" w:rsidRDefault="00E6373D">
      <w:pPr>
        <w:pStyle w:val="Tekstprzypisudolnego"/>
      </w:pPr>
      <w:r>
        <w:rPr>
          <w:rStyle w:val="Odwoanieprzypisudolnego"/>
        </w:rPr>
        <w:footnoteRef/>
      </w:r>
      <w:r w:rsidRPr="00F66162">
        <w:tab/>
        <w:t>Komunikat Komisji do Parlamentu Europejskiego, Rady, Europejskiego Komitetu Ekonomiczno-Społecznego</w:t>
      </w:r>
      <w:r w:rsidR="00825614" w:rsidRPr="00F66162">
        <w:t xml:space="preserve"> i</w:t>
      </w:r>
      <w:r w:rsidR="00825614">
        <w:t> </w:t>
      </w:r>
      <w:r w:rsidR="00825614" w:rsidRPr="00F66162">
        <w:t>Kom</w:t>
      </w:r>
      <w:r w:rsidRPr="00F66162">
        <w:t>itetu Regionów, „Prostsza</w:t>
      </w:r>
      <w:r w:rsidR="00825614" w:rsidRPr="00F66162">
        <w:t xml:space="preserve"> i</w:t>
      </w:r>
      <w:r w:rsidR="00825614">
        <w:t> </w:t>
      </w:r>
      <w:r w:rsidR="00825614" w:rsidRPr="00F66162">
        <w:t>szy</w:t>
      </w:r>
      <w:r w:rsidRPr="00F66162">
        <w:t>bsza Europa: komunikat dotyczący wdrażania</w:t>
      </w:r>
      <w:r w:rsidR="00825614" w:rsidRPr="00F66162">
        <w:t xml:space="preserve"> i</w:t>
      </w:r>
      <w:r w:rsidR="00825614">
        <w:t> </w:t>
      </w:r>
      <w:r w:rsidR="00825614" w:rsidRPr="00F66162">
        <w:t>upr</w:t>
      </w:r>
      <w:r w:rsidRPr="00F66162">
        <w:t>aszczania”, COM(2025) 47 final.</w:t>
      </w:r>
    </w:p>
  </w:footnote>
  <w:footnote w:id="6">
    <w:p w14:paraId="3D33105E" w14:textId="08F7CFB5" w:rsidR="00C40371" w:rsidRPr="00F66162" w:rsidRDefault="00C40371" w:rsidP="00C7519A">
      <w:pPr>
        <w:pStyle w:val="Tekstprzypisudolnego"/>
        <w:ind w:left="0" w:firstLine="0"/>
      </w:pPr>
      <w:r>
        <w:rPr>
          <w:rStyle w:val="Odwoanieprzypisudolnego"/>
        </w:rPr>
        <w:footnoteRef/>
      </w:r>
      <w:r w:rsidRPr="00F66162">
        <w:tab/>
        <w:t>Rozporządzenie wykonawcze Komisji (UE) 2023/1773</w:t>
      </w:r>
      <w:r w:rsidR="00825614" w:rsidRPr="00F66162">
        <w:t xml:space="preserve"> z</w:t>
      </w:r>
      <w:r w:rsidR="00825614">
        <w:t> </w:t>
      </w:r>
      <w:r w:rsidR="00825614" w:rsidRPr="00F66162">
        <w:t>dni</w:t>
      </w:r>
      <w:r w:rsidRPr="00F66162">
        <w:t>a 17 sierpnia 2023 r. ustanawiające zasady stosowania rozporządzenia Parlamentu Europejskiego</w:t>
      </w:r>
      <w:r w:rsidR="00825614" w:rsidRPr="00F66162">
        <w:t xml:space="preserve"> i</w:t>
      </w:r>
      <w:r w:rsidR="00825614">
        <w:t> </w:t>
      </w:r>
      <w:r w:rsidR="00825614" w:rsidRPr="00F66162">
        <w:t>Rad</w:t>
      </w:r>
      <w:r w:rsidRPr="00F66162">
        <w:t>y (UE) 2023/956</w:t>
      </w:r>
      <w:r w:rsidR="00825614" w:rsidRPr="00F66162">
        <w:t xml:space="preserve"> w</w:t>
      </w:r>
      <w:r w:rsidR="00825614">
        <w:t> </w:t>
      </w:r>
      <w:r w:rsidR="00825614" w:rsidRPr="00F66162">
        <w:t>odn</w:t>
      </w:r>
      <w:r w:rsidRPr="00F66162">
        <w:t>iesieniu do obowiązków sprawozdawczych do celów mechanizmu dostosowywania cen na granicach</w:t>
      </w:r>
      <w:r w:rsidR="00825614" w:rsidRPr="00F66162">
        <w:t xml:space="preserve"> z</w:t>
      </w:r>
      <w:r w:rsidR="00825614">
        <w:t> </w:t>
      </w:r>
      <w:r w:rsidR="00825614" w:rsidRPr="00F66162">
        <w:t>uwz</w:t>
      </w:r>
      <w:r w:rsidRPr="00F66162">
        <w:t>ględnieniem emisji CO</w:t>
      </w:r>
      <w:r w:rsidRPr="00F66162">
        <w:rPr>
          <w:vertAlign w:val="subscript"/>
        </w:rPr>
        <w:t>2</w:t>
      </w:r>
      <w:r w:rsidR="00825614" w:rsidRPr="00F66162">
        <w:t xml:space="preserve"> w</w:t>
      </w:r>
      <w:r w:rsidR="00825614">
        <w:t> </w:t>
      </w:r>
      <w:r w:rsidR="00825614" w:rsidRPr="00F66162">
        <w:t>okr</w:t>
      </w:r>
      <w:r w:rsidRPr="00F66162">
        <w:t>esie przejściowym (Dz.U. L 228</w:t>
      </w:r>
      <w:r w:rsidR="00825614" w:rsidRPr="00F66162">
        <w:t xml:space="preserve"> z</w:t>
      </w:r>
      <w:r w:rsidR="00825614">
        <w:t> </w:t>
      </w:r>
      <w:r w:rsidR="00825614" w:rsidRPr="00F66162">
        <w:t>1</w:t>
      </w:r>
      <w:r w:rsidRPr="00F66162">
        <w:t xml:space="preserve">5.9.2023, s. 94, ELI: </w:t>
      </w:r>
      <w:hyperlink r:id="rId2" w:history="1">
        <w:r w:rsidRPr="00F66162">
          <w:rPr>
            <w:rStyle w:val="Hipercze"/>
          </w:rPr>
          <w:t>http://data.europa.eu/eli/reg_impl/2023/1773/oj</w:t>
        </w:r>
      </w:hyperlink>
      <w:r w:rsidRPr="00F66162">
        <w:t xml:space="preserve">). </w:t>
      </w:r>
    </w:p>
  </w:footnote>
  <w:footnote w:id="7">
    <w:p w14:paraId="6B07B01A" w14:textId="20BB52EB" w:rsidR="00C40371" w:rsidRPr="00F66162" w:rsidRDefault="00C40371" w:rsidP="00390489">
      <w:pPr>
        <w:pStyle w:val="Tekstprzypisudolnego"/>
        <w:ind w:left="0" w:firstLine="0"/>
      </w:pPr>
      <w:r>
        <w:rPr>
          <w:rStyle w:val="Odwoanieprzypisudolnego"/>
        </w:rPr>
        <w:footnoteRef/>
      </w:r>
      <w:r w:rsidRPr="00F66162">
        <w:tab/>
        <w:t>Rozporządzenie wykonawcze Komisji (UE) 2024/3210</w:t>
      </w:r>
      <w:r w:rsidR="00825614" w:rsidRPr="00F66162">
        <w:t xml:space="preserve"> z</w:t>
      </w:r>
      <w:r w:rsidR="00825614">
        <w:t> </w:t>
      </w:r>
      <w:r w:rsidR="00825614" w:rsidRPr="00F66162">
        <w:t>dni</w:t>
      </w:r>
      <w:r w:rsidRPr="00F66162">
        <w:t>a 18 grudnia 2024 r. ustanawiające zasady stosowania rozporządzenia Parlamentu Europejskiego</w:t>
      </w:r>
      <w:r w:rsidR="00825614" w:rsidRPr="00F66162">
        <w:t xml:space="preserve"> i</w:t>
      </w:r>
      <w:r w:rsidR="00825614">
        <w:t> </w:t>
      </w:r>
      <w:r w:rsidR="00825614" w:rsidRPr="00F66162">
        <w:t>Rad</w:t>
      </w:r>
      <w:r w:rsidRPr="00F66162">
        <w:t>y (UE) 2023/956</w:t>
      </w:r>
      <w:r w:rsidR="00825614" w:rsidRPr="00F66162">
        <w:t xml:space="preserve"> w</w:t>
      </w:r>
      <w:r w:rsidR="00825614">
        <w:t> </w:t>
      </w:r>
      <w:r w:rsidR="00825614" w:rsidRPr="00F66162">
        <w:t>odn</w:t>
      </w:r>
      <w:r w:rsidRPr="00F66162">
        <w:t>iesieniu do rejestru CBAM (Dz.U.</w:t>
      </w:r>
      <w:r w:rsidR="00825614" w:rsidRPr="00F66162">
        <w:t xml:space="preserve"> z</w:t>
      </w:r>
      <w:r w:rsidR="00825614">
        <w:t> </w:t>
      </w:r>
      <w:r w:rsidR="00825614" w:rsidRPr="00F66162">
        <w:t>3</w:t>
      </w:r>
      <w:r w:rsidRPr="00F66162">
        <w:t xml:space="preserve">0.12.2024, ELI: </w:t>
      </w:r>
      <w:hyperlink r:id="rId3" w:history="1">
        <w:r w:rsidRPr="00F66162">
          <w:rPr>
            <w:rStyle w:val="Hipercze"/>
          </w:rPr>
          <w:t>http://data.europa.eu/eli/reg_impl/2024/3210/oj</w:t>
        </w:r>
      </w:hyperlink>
      <w:r w:rsidRPr="00F66162">
        <w:t>).</w:t>
      </w:r>
    </w:p>
  </w:footnote>
  <w:footnote w:id="8">
    <w:p w14:paraId="20FBBA00" w14:textId="77777777" w:rsidR="00CD1B1D" w:rsidRPr="00F66162" w:rsidRDefault="00CD1B1D" w:rsidP="000464FB">
      <w:pPr>
        <w:pStyle w:val="Tekstprzypisudolnego"/>
        <w:ind w:left="0" w:firstLine="0"/>
      </w:pPr>
      <w:r>
        <w:rPr>
          <w:rStyle w:val="Odwoanieprzypisudolnego"/>
        </w:rPr>
        <w:footnoteRef/>
      </w:r>
      <w:r w:rsidRPr="00F66162">
        <w:tab/>
      </w:r>
      <w:hyperlink r:id="rId4" w:history="1">
        <w:r w:rsidRPr="00F66162">
          <w:rPr>
            <w:rStyle w:val="Hipercze"/>
          </w:rPr>
          <w:t>https://ec.europa.eu/transparency/expert-groups-register/screen/expert-groups/consult?lang=pl&amp;groupID=3927</w:t>
        </w:r>
      </w:hyperlink>
      <w:r w:rsidRPr="00F66162">
        <w:t xml:space="preserve">. </w:t>
      </w:r>
    </w:p>
  </w:footnote>
  <w:footnote w:id="9">
    <w:p w14:paraId="741B62D8" w14:textId="77777777" w:rsidR="00CD1B1D" w:rsidRPr="00F66162" w:rsidRDefault="00CD1B1D">
      <w:pPr>
        <w:pStyle w:val="Tekstprzypisudolnego"/>
      </w:pPr>
      <w:r>
        <w:rPr>
          <w:rStyle w:val="Odwoanieprzypisudolnego"/>
        </w:rPr>
        <w:footnoteRef/>
      </w:r>
      <w:r w:rsidRPr="00F66162">
        <w:tab/>
        <w:t xml:space="preserve"> </w:t>
      </w:r>
      <w:r w:rsidRPr="00F66162">
        <w:rPr>
          <w:rStyle w:val="Hipercze"/>
        </w:rPr>
        <w:t>https://taxation-customs.ec.europa.eu/carbon-border-adjustment-mechanism_pl.</w:t>
      </w:r>
    </w:p>
  </w:footnote>
  <w:footnote w:id="10">
    <w:p w14:paraId="59ABF84C" w14:textId="77777777" w:rsidR="00733279" w:rsidRPr="008067CE" w:rsidRDefault="00733279" w:rsidP="005F2B8C">
      <w:pPr>
        <w:pStyle w:val="Tekstprzypisudolnego"/>
        <w:rPr>
          <w:lang w:val="en-US"/>
        </w:rPr>
      </w:pPr>
      <w:r>
        <w:rPr>
          <w:rStyle w:val="Odwoanieprzypisudolnego"/>
        </w:rPr>
        <w:footnoteRef/>
      </w:r>
      <w:r w:rsidRPr="008067CE">
        <w:rPr>
          <w:lang w:val="en-US"/>
        </w:rPr>
        <w:tab/>
        <w:t>XXX.</w:t>
      </w:r>
    </w:p>
  </w:footnote>
  <w:footnote w:id="11">
    <w:p w14:paraId="356150F4" w14:textId="77777777" w:rsidR="00AD2CD3" w:rsidRPr="008067CE" w:rsidRDefault="00AD2CD3">
      <w:pPr>
        <w:pStyle w:val="Tekstprzypisudolnego"/>
        <w:rPr>
          <w:lang w:val="en-US"/>
        </w:rPr>
      </w:pPr>
      <w:r>
        <w:rPr>
          <w:rStyle w:val="Odwoanieprzypisudolnego"/>
        </w:rPr>
        <w:footnoteRef/>
      </w:r>
      <w:r w:rsidRPr="008067CE">
        <w:rPr>
          <w:lang w:val="en-US"/>
        </w:rPr>
        <w:tab/>
        <w:t>SWD(2021)643 final.</w:t>
      </w:r>
    </w:p>
  </w:footnote>
  <w:footnote w:id="12">
    <w:p w14:paraId="716B7635" w14:textId="77777777" w:rsidR="00ED0DEA" w:rsidRPr="008067CE" w:rsidRDefault="00ED0DEA" w:rsidP="00ED0DEA">
      <w:pPr>
        <w:pStyle w:val="Tekstprzypisudolnego"/>
        <w:ind w:left="0" w:firstLine="0"/>
        <w:rPr>
          <w:lang w:val="en-US"/>
        </w:rPr>
      </w:pPr>
      <w:r>
        <w:rPr>
          <w:rStyle w:val="Odwoanieprzypisudolnego"/>
        </w:rPr>
        <w:footnoteRef/>
      </w:r>
      <w:r w:rsidRPr="008067CE">
        <w:rPr>
          <w:lang w:val="en-US"/>
        </w:rPr>
        <w:tab/>
        <w:t>COM(2020)690 final.</w:t>
      </w:r>
    </w:p>
  </w:footnote>
  <w:footnote w:id="13">
    <w:p w14:paraId="42A2B9BA" w14:textId="256E6A87" w:rsidR="00FA5543" w:rsidRPr="00F66162" w:rsidRDefault="00FA5543" w:rsidP="00390489">
      <w:pPr>
        <w:pStyle w:val="Tekstprzypisudolnego"/>
      </w:pPr>
      <w:r>
        <w:rPr>
          <w:rStyle w:val="Odwoanieprzypisudolnego"/>
        </w:rPr>
        <w:footnoteRef/>
      </w:r>
      <w:r w:rsidRPr="00F66162">
        <w:tab/>
        <w:t>Dz.U. C,</w:t>
      </w:r>
      <w:r w:rsidR="00825614" w:rsidRPr="00825614">
        <w:t xml:space="preserve">, </w:t>
      </w:r>
      <w:r w:rsidRPr="00F66162">
        <w:t>s. .</w:t>
      </w:r>
    </w:p>
  </w:footnote>
  <w:footnote w:id="14">
    <w:p w14:paraId="77BBF2C1" w14:textId="1E6A4594" w:rsidR="00FA5543" w:rsidRPr="00F66162" w:rsidRDefault="00FA5543" w:rsidP="00390489">
      <w:pPr>
        <w:pStyle w:val="Tekstprzypisudolnego"/>
      </w:pPr>
      <w:r>
        <w:rPr>
          <w:rStyle w:val="Odwoanieprzypisudolnego"/>
        </w:rPr>
        <w:footnoteRef/>
      </w:r>
      <w:r w:rsidRPr="00F66162">
        <w:tab/>
        <w:t>Dz.U. C,</w:t>
      </w:r>
      <w:r w:rsidR="00825614" w:rsidRPr="00825614">
        <w:t xml:space="preserve">, </w:t>
      </w:r>
      <w:r w:rsidRPr="00F66162">
        <w:t>s. .</w:t>
      </w:r>
    </w:p>
  </w:footnote>
  <w:footnote w:id="15">
    <w:p w14:paraId="005CBC52" w14:textId="1635F256" w:rsidR="003F4D14" w:rsidRPr="00F66162" w:rsidRDefault="003F4D14" w:rsidP="00DC6F9F">
      <w:pPr>
        <w:pStyle w:val="Tekstprzypisudolnego"/>
      </w:pPr>
      <w:r>
        <w:rPr>
          <w:rStyle w:val="Odwoanieprzypisudolnego"/>
        </w:rPr>
        <w:footnoteRef/>
      </w:r>
      <w:r w:rsidRPr="00F66162">
        <w:tab/>
        <w:t>Rozporządzenie Parlamentu Europejskiego</w:t>
      </w:r>
      <w:r w:rsidR="00825614" w:rsidRPr="00F66162">
        <w:t xml:space="preserve"> i</w:t>
      </w:r>
      <w:r w:rsidR="00825614">
        <w:t> </w:t>
      </w:r>
      <w:r w:rsidR="00825614" w:rsidRPr="00F66162">
        <w:t>Rad</w:t>
      </w:r>
      <w:r w:rsidRPr="00F66162">
        <w:t>y (UE) 2023/956</w:t>
      </w:r>
      <w:r w:rsidR="00825614" w:rsidRPr="00F66162">
        <w:t xml:space="preserve"> z</w:t>
      </w:r>
      <w:r w:rsidR="00825614">
        <w:t> </w:t>
      </w:r>
      <w:r w:rsidR="00825614" w:rsidRPr="00F66162">
        <w:t>dni</w:t>
      </w:r>
      <w:r w:rsidRPr="00F66162">
        <w:t>a 10 maja 2023 r. ustanawiające mechanizm dostosowywania cen na granicach</w:t>
      </w:r>
      <w:r w:rsidR="00825614" w:rsidRPr="00F66162">
        <w:t xml:space="preserve"> z</w:t>
      </w:r>
      <w:r w:rsidR="00825614">
        <w:t> </w:t>
      </w:r>
      <w:r w:rsidR="00825614" w:rsidRPr="00F66162">
        <w:t>uwz</w:t>
      </w:r>
      <w:r w:rsidRPr="00F66162">
        <w:t>ględnieniem emisji CO</w:t>
      </w:r>
      <w:r w:rsidRPr="00F66162">
        <w:rPr>
          <w:vertAlign w:val="subscript"/>
        </w:rPr>
        <w:t>2</w:t>
      </w:r>
      <w:r w:rsidRPr="00F66162">
        <w:t xml:space="preserve"> (Dz.U. L 130</w:t>
      </w:r>
      <w:r w:rsidR="00825614" w:rsidRPr="00F66162">
        <w:t xml:space="preserve"> z</w:t>
      </w:r>
      <w:r w:rsidR="00825614">
        <w:t> </w:t>
      </w:r>
      <w:r w:rsidR="00825614" w:rsidRPr="00F66162">
        <w:t>1</w:t>
      </w:r>
      <w:r w:rsidRPr="00F66162">
        <w:t xml:space="preserve">6.5.2023, s. 52, ELI: </w:t>
      </w:r>
      <w:hyperlink r:id="rId5" w:history="1">
        <w:r w:rsidRPr="00F66162">
          <w:rPr>
            <w:rStyle w:val="Hipercze"/>
          </w:rPr>
          <w:t>http://data.europa.eu/eli/reg/2023/956/oj</w:t>
        </w:r>
      </w:hyperlink>
      <w:r w:rsidRPr="00F66162">
        <w:t>).</w:t>
      </w:r>
    </w:p>
  </w:footnote>
  <w:footnote w:id="16">
    <w:p w14:paraId="00B13FFA" w14:textId="155AA250" w:rsidR="7A72F46F" w:rsidRPr="00F66162" w:rsidRDefault="7A72F46F" w:rsidP="00F605F1">
      <w:pPr>
        <w:pStyle w:val="Tekstprzypisudolnego"/>
        <w:ind w:left="0" w:firstLine="0"/>
        <w:rPr>
          <w:rFonts w:eastAsia="Times New Roman"/>
        </w:rPr>
      </w:pPr>
      <w:r>
        <w:rPr>
          <w:rStyle w:val="Odwoanieprzypisudolnego"/>
        </w:rPr>
        <w:footnoteRef/>
      </w:r>
      <w:r w:rsidRPr="00F66162">
        <w:tab/>
        <w:t>Wniosek dotyczący ROZPORZĄDZENIA RADY zmieniającego rozporządzenie (EWG) nr 2658/87</w:t>
      </w:r>
      <w:r w:rsidR="00825614" w:rsidRPr="00F66162">
        <w:t xml:space="preserve"> w</w:t>
      </w:r>
      <w:r w:rsidR="00825614">
        <w:t> </w:t>
      </w:r>
      <w:r w:rsidR="00825614" w:rsidRPr="00F66162">
        <w:t>odn</w:t>
      </w:r>
      <w:r w:rsidRPr="00F66162">
        <w:t>iesieniu do wprowadzenia uproszczonego traktowania taryfowego sprzedaży na odległość towarów oraz rozporządzenie (WE) nr 1186/2009</w:t>
      </w:r>
      <w:r w:rsidR="00825614" w:rsidRPr="00F66162">
        <w:t xml:space="preserve"> w</w:t>
      </w:r>
      <w:r w:rsidR="00825614">
        <w:t> </w:t>
      </w:r>
      <w:r w:rsidR="00825614" w:rsidRPr="00F66162">
        <w:t>odn</w:t>
      </w:r>
      <w:r w:rsidRPr="00F66162">
        <w:t>iesieniu do zniesienia progu zwolnienia</w:t>
      </w:r>
      <w:r w:rsidR="00825614" w:rsidRPr="00F66162">
        <w:t xml:space="preserve"> z</w:t>
      </w:r>
      <w:r w:rsidR="00825614">
        <w:t> </w:t>
      </w:r>
      <w:r w:rsidR="00825614" w:rsidRPr="00F66162">
        <w:t>nal</w:t>
      </w:r>
      <w:r w:rsidRPr="00F66162">
        <w:t>eżności celnych, COM(2023) 259 final.</w:t>
      </w:r>
    </w:p>
  </w:footnote>
  <w:footnote w:id="17">
    <w:p w14:paraId="2AF0176A" w14:textId="301CBF77" w:rsidR="00BA78D2" w:rsidRPr="00F66162" w:rsidRDefault="00BA78D2" w:rsidP="00DC6F9F">
      <w:pPr>
        <w:pStyle w:val="Tekstprzypisudolnego"/>
      </w:pPr>
      <w:r>
        <w:rPr>
          <w:rStyle w:val="Odwoanieprzypisudolnego"/>
        </w:rPr>
        <w:footnoteRef/>
      </w:r>
      <w:r w:rsidRPr="00F66162">
        <w:tab/>
        <w:t>Rozporządzenie delegowane Komisji (UE) 2015/2446</w:t>
      </w:r>
      <w:r w:rsidR="00825614" w:rsidRPr="00F66162">
        <w:t xml:space="preserve"> z</w:t>
      </w:r>
      <w:r w:rsidR="00825614">
        <w:t> </w:t>
      </w:r>
      <w:r w:rsidR="00825614" w:rsidRPr="00F66162">
        <w:t>dni</w:t>
      </w:r>
      <w:r w:rsidRPr="00F66162">
        <w:t>a 28 lipca 2015 r. uzupełniające rozporządzenie Parlamentu Europejskiego</w:t>
      </w:r>
      <w:r w:rsidR="00825614" w:rsidRPr="00F66162">
        <w:t xml:space="preserve"> i</w:t>
      </w:r>
      <w:r w:rsidR="00825614">
        <w:t> </w:t>
      </w:r>
      <w:r w:rsidR="00825614" w:rsidRPr="00F66162">
        <w:t>Rad</w:t>
      </w:r>
      <w:r w:rsidRPr="00F66162">
        <w:t>y (UE) nr 952/2013</w:t>
      </w:r>
      <w:r w:rsidR="00825614" w:rsidRPr="00F66162">
        <w:t xml:space="preserve"> w</w:t>
      </w:r>
      <w:r w:rsidR="00825614">
        <w:t> </w:t>
      </w:r>
      <w:r w:rsidR="00825614" w:rsidRPr="00F66162">
        <w:t>odn</w:t>
      </w:r>
      <w:r w:rsidRPr="00F66162">
        <w:t>iesieniu do szczegółowych zasad dotyczących niektórych przepisów unijnego kodeksu celnego (Dz.U. L 343</w:t>
      </w:r>
      <w:r w:rsidR="00825614" w:rsidRPr="00F66162">
        <w:t xml:space="preserve"> z</w:t>
      </w:r>
      <w:r w:rsidR="00825614">
        <w:t> </w:t>
      </w:r>
      <w:r w:rsidR="00825614" w:rsidRPr="00F66162">
        <w:t>2</w:t>
      </w:r>
      <w:r w:rsidRPr="00F66162">
        <w:t xml:space="preserve">9.12.2015, s. 1, ELI: </w:t>
      </w:r>
      <w:hyperlink r:id="rId6" w:history="1">
        <w:r w:rsidRPr="00F66162">
          <w:rPr>
            <w:rStyle w:val="Hipercze"/>
          </w:rPr>
          <w:t>http://data.europa.eu/eli/reg_del/2015/2446/oj</w:t>
        </w:r>
      </w:hyperlink>
      <w:r w:rsidRPr="00F66162">
        <w:t>).</w:t>
      </w:r>
    </w:p>
  </w:footnote>
  <w:footnote w:id="18">
    <w:p w14:paraId="57BF0B32" w14:textId="71C09C0F" w:rsidR="00A3576B" w:rsidRPr="00F66162" w:rsidRDefault="00A3576B" w:rsidP="00D91B38">
      <w:pPr>
        <w:pStyle w:val="Tekstprzypisudolnego"/>
      </w:pPr>
      <w:r>
        <w:rPr>
          <w:rStyle w:val="Odwoanieprzypisudolnego"/>
        </w:rPr>
        <w:footnoteRef/>
      </w:r>
      <w:r w:rsidRPr="00F66162">
        <w:tab/>
        <w:t>Dyrektywa 2003/87/WE Parlamentu Europejskiego</w:t>
      </w:r>
      <w:r w:rsidR="00825614" w:rsidRPr="00F66162">
        <w:t xml:space="preserve"> i</w:t>
      </w:r>
      <w:r w:rsidR="00825614">
        <w:t> </w:t>
      </w:r>
      <w:r w:rsidR="00825614" w:rsidRPr="00F66162">
        <w:t>Rad</w:t>
      </w:r>
      <w:r w:rsidRPr="00F66162">
        <w:t>y</w:t>
      </w:r>
      <w:r w:rsidR="00825614" w:rsidRPr="00F66162">
        <w:t xml:space="preserve"> z</w:t>
      </w:r>
      <w:r w:rsidR="00825614">
        <w:t> </w:t>
      </w:r>
      <w:r w:rsidR="00825614" w:rsidRPr="00F66162">
        <w:t>dni</w:t>
      </w:r>
      <w:r w:rsidRPr="00F66162">
        <w:t>a 13 października 20</w:t>
      </w:r>
      <w:r w:rsidRPr="00825614">
        <w:t>03</w:t>
      </w:r>
      <w:r w:rsidR="00825614" w:rsidRPr="00825614">
        <w:t> </w:t>
      </w:r>
      <w:r w:rsidRPr="00825614">
        <w:t>r.</w:t>
      </w:r>
      <w:r w:rsidRPr="00F66162">
        <w:t xml:space="preserve"> ustanawiająca system handlu przydziałami emisji gazów cieplarnianych</w:t>
      </w:r>
      <w:r w:rsidR="00825614" w:rsidRPr="00F66162">
        <w:t xml:space="preserve"> w</w:t>
      </w:r>
      <w:r w:rsidR="00825614">
        <w:t> </w:t>
      </w:r>
      <w:r w:rsidR="00825614" w:rsidRPr="00F66162">
        <w:t>Uni</w:t>
      </w:r>
      <w:r w:rsidRPr="00F66162">
        <w:t>i oraz zmieniająca dyrektywę Rady 96/61/WE (Dz.U. L 275</w:t>
      </w:r>
      <w:r w:rsidR="00825614" w:rsidRPr="00F66162">
        <w:t xml:space="preserve"> z</w:t>
      </w:r>
      <w:r w:rsidR="00825614">
        <w:t> </w:t>
      </w:r>
      <w:r w:rsidR="00825614" w:rsidRPr="00F66162">
        <w:t>2</w:t>
      </w:r>
      <w:r w:rsidRPr="00F66162">
        <w:t xml:space="preserve">5.10.2003, s. 32, ELI: </w:t>
      </w:r>
      <w:hyperlink r:id="rId7" w:history="1">
        <w:r w:rsidRPr="00F66162">
          <w:rPr>
            <w:rStyle w:val="Hipercze"/>
          </w:rPr>
          <w:t>http://data.europa.eu/eli/dir/2003/87/oj</w:t>
        </w:r>
      </w:hyperlink>
      <w:r w:rsidRPr="00F66162">
        <w:t>).</w:t>
      </w:r>
    </w:p>
  </w:footnote>
  <w:footnote w:id="19">
    <w:p w14:paraId="571D597A" w14:textId="18121DDF" w:rsidR="00FA5543" w:rsidRPr="00F66162" w:rsidRDefault="00FA5543" w:rsidP="00390489">
      <w:pPr>
        <w:pStyle w:val="Tekstprzypisudolnego"/>
      </w:pPr>
      <w:r>
        <w:rPr>
          <w:rStyle w:val="Odwoanieprzypisudolnego"/>
        </w:rPr>
        <w:footnoteRef/>
      </w:r>
      <w:r w:rsidRPr="00F66162">
        <w:tab/>
        <w:t>O którym mowa</w:t>
      </w:r>
      <w:r w:rsidR="00825614" w:rsidRPr="00F66162">
        <w:t xml:space="preserve"> w</w:t>
      </w:r>
      <w:r w:rsidR="00825614">
        <w:t> </w:t>
      </w:r>
      <w:r w:rsidR="00825614" w:rsidRPr="00825614">
        <w:t>art</w:t>
      </w:r>
      <w:r w:rsidRPr="00825614">
        <w:t>.</w:t>
      </w:r>
      <w:r w:rsidR="00825614" w:rsidRPr="00825614">
        <w:t> </w:t>
      </w:r>
      <w:r w:rsidRPr="00825614">
        <w:t>5</w:t>
      </w:r>
      <w:r w:rsidRPr="00F66162">
        <w:t xml:space="preserve">8 </w:t>
      </w:r>
      <w:r w:rsidRPr="00825614">
        <w:t>ust.</w:t>
      </w:r>
      <w:r w:rsidR="00825614" w:rsidRPr="00825614">
        <w:t> </w:t>
      </w:r>
      <w:r w:rsidRPr="00825614">
        <w:t>2</w:t>
      </w:r>
      <w:r w:rsidRPr="00F66162">
        <w:t xml:space="preserve"> </w:t>
      </w:r>
      <w:r w:rsidRPr="00825614">
        <w:t>lit.</w:t>
      </w:r>
      <w:r w:rsidR="00825614" w:rsidRPr="00825614">
        <w:t> </w:t>
      </w:r>
      <w:r w:rsidRPr="00825614">
        <w:t>a)</w:t>
      </w:r>
      <w:r w:rsidRPr="00F66162">
        <w:t xml:space="preserve"> lub b) rozporządzenia finansowego.</w:t>
      </w:r>
    </w:p>
  </w:footnote>
  <w:footnote w:id="20">
    <w:p w14:paraId="1BFE6EC5" w14:textId="77777777" w:rsidR="00FA5543" w:rsidRPr="00F66162" w:rsidRDefault="00FA5543" w:rsidP="00390489">
      <w:pPr>
        <w:pStyle w:val="Tekstprzypisudolnego"/>
        <w:jc w:val="left"/>
        <w:rPr>
          <w:szCs w:val="24"/>
        </w:rPr>
      </w:pPr>
      <w:r>
        <w:rPr>
          <w:rStyle w:val="Odwoanieprzypisudolnego"/>
        </w:rPr>
        <w:footnoteRef/>
      </w:r>
      <w:r w:rsidRPr="00F66162">
        <w:tab/>
        <w:t xml:space="preserve">Wyjaśnienia dotyczące metod wykonania budżetu oraz odniesienia do rozporządzenia finansowego znajdują się na następującej stronie BUDGpedia: </w:t>
      </w:r>
      <w:hyperlink r:id="rId8" w:history="1">
        <w:r w:rsidRPr="00F66162">
          <w:rPr>
            <w:rStyle w:val="Hipercze"/>
          </w:rPr>
          <w:t>https://myintracomm.ec.europa.eu/corp/budget/financial-rules/budget-implementation/Pages/implementation-methods.aspx</w:t>
        </w:r>
      </w:hyperlink>
      <w:r w:rsidRPr="00F66162">
        <w:t>.</w:t>
      </w:r>
    </w:p>
  </w:footnote>
  <w:footnote w:id="21">
    <w:p w14:paraId="0AEC400E" w14:textId="77777777" w:rsidR="00FA5543" w:rsidRPr="00F66162" w:rsidRDefault="00FA5543" w:rsidP="00390489">
      <w:pPr>
        <w:pStyle w:val="Tekstprzypisudolnego"/>
        <w:rPr>
          <w:szCs w:val="24"/>
        </w:rPr>
      </w:pPr>
      <w:r>
        <w:rPr>
          <w:rStyle w:val="Odwoanieprzypisudolnego"/>
        </w:rPr>
        <w:footnoteRef/>
      </w:r>
      <w:r w:rsidRPr="00F66162">
        <w:tab/>
        <w:t>Środki zróżnicowane/środki niezróżnicowane.</w:t>
      </w:r>
    </w:p>
  </w:footnote>
  <w:footnote w:id="22">
    <w:p w14:paraId="24620D50" w14:textId="77777777" w:rsidR="00FA5543" w:rsidRPr="00F66162" w:rsidRDefault="00FA5543" w:rsidP="00390489">
      <w:pPr>
        <w:pStyle w:val="Tekstprzypisudolnego"/>
        <w:rPr>
          <w:szCs w:val="24"/>
        </w:rPr>
      </w:pPr>
      <w:r>
        <w:rPr>
          <w:rStyle w:val="Odwoanieprzypisudolnego"/>
        </w:rPr>
        <w:footnoteRef/>
      </w:r>
      <w:r w:rsidRPr="00F66162">
        <w:tab/>
        <w:t xml:space="preserve">EFTA: Europejskie Stowarzyszenie Wolnego Handlu. </w:t>
      </w:r>
    </w:p>
  </w:footnote>
  <w:footnote w:id="23">
    <w:p w14:paraId="60A580B0" w14:textId="111B1A34" w:rsidR="00FA5543" w:rsidRPr="00F66162" w:rsidRDefault="00FA5543" w:rsidP="00390489">
      <w:pPr>
        <w:pStyle w:val="Tekstprzypisudolnego"/>
        <w:rPr>
          <w:szCs w:val="24"/>
        </w:rPr>
      </w:pPr>
      <w:r>
        <w:rPr>
          <w:rStyle w:val="Odwoanieprzypisudolnego"/>
        </w:rPr>
        <w:footnoteRef/>
      </w:r>
      <w:r w:rsidRPr="00F66162">
        <w:tab/>
        <w:t>Kraje kandydujące oraz,</w:t>
      </w:r>
      <w:r w:rsidR="00825614" w:rsidRPr="00F66162">
        <w:t xml:space="preserve"> w</w:t>
      </w:r>
      <w:r w:rsidR="00825614">
        <w:t> </w:t>
      </w:r>
      <w:r w:rsidR="00825614" w:rsidRPr="00F66162">
        <w:t>sto</w:t>
      </w:r>
      <w:r w:rsidRPr="00F66162">
        <w:t>sownych przypadkach, potencjalni kandydaci</w:t>
      </w:r>
      <w:r w:rsidR="00825614" w:rsidRPr="00F66162">
        <w:t xml:space="preserve"> z</w:t>
      </w:r>
      <w:r w:rsidR="00825614">
        <w:t> </w:t>
      </w:r>
      <w:r w:rsidR="00825614" w:rsidRPr="00F66162">
        <w:t>Bał</w:t>
      </w:r>
      <w:r w:rsidRPr="00F66162">
        <w:t>kanów Zachodnich.</w:t>
      </w:r>
    </w:p>
  </w:footnote>
  <w:footnote w:id="24">
    <w:p w14:paraId="4846DCD8" w14:textId="77777777" w:rsidR="00FA5543" w:rsidRPr="00F66162" w:rsidRDefault="00FA5543" w:rsidP="00390489">
      <w:pPr>
        <w:pStyle w:val="Tekstprzypisudolnego"/>
      </w:pPr>
      <w:r>
        <w:rPr>
          <w:rStyle w:val="Odwoanieprzypisudolnego"/>
        </w:rPr>
        <w:footnoteRef/>
      </w:r>
      <w:r w:rsidRPr="00F66162">
        <w:tab/>
        <w:t>Wsparcie techniczne lub administracyjne oraz wydatki na wsparcie realizacji programów lub działań UE (dawne linie „BA”), pośrednie badania naukowe, bezpośrednie badania naukowe.</w:t>
      </w:r>
    </w:p>
  </w:footnote>
  <w:footnote w:id="25">
    <w:p w14:paraId="61931C70" w14:textId="77777777" w:rsidR="00FA5543" w:rsidRPr="00F66162" w:rsidRDefault="00FA5543" w:rsidP="00390489">
      <w:pPr>
        <w:pStyle w:val="Tekstprzypisudolnego"/>
      </w:pPr>
      <w:r>
        <w:rPr>
          <w:rStyle w:val="Odwoanieprzypisudolnego"/>
        </w:rPr>
        <w:footnoteRef/>
      </w:r>
      <w:r w:rsidRPr="00F66162">
        <w:tab/>
      </w:r>
      <w:r w:rsidRPr="00F66162">
        <w:rPr>
          <w:color w:val="374151"/>
          <w:sz w:val="18"/>
        </w:rPr>
        <w:t>Niezbędne środki należy określić na podstawie danych dotyczących średnich rocznych kosztów, dostępnych na odpowiedniej stronie internetowej BUDGpedia</w:t>
      </w:r>
      <w:r w:rsidRPr="00F66162">
        <w:rPr>
          <w:rFonts w:ascii="Segoe UI" w:hAnsi="Segoe UI"/>
          <w:color w:val="374151"/>
        </w:rPr>
        <w:t>.</w:t>
      </w:r>
    </w:p>
  </w:footnote>
  <w:footnote w:id="26">
    <w:p w14:paraId="63B6E9F3" w14:textId="77777777" w:rsidR="00FA5543" w:rsidRPr="00F66162" w:rsidRDefault="00FA5543" w:rsidP="00390489">
      <w:pPr>
        <w:pStyle w:val="Tekstprzypisudolnego"/>
      </w:pPr>
      <w:r>
        <w:rPr>
          <w:rStyle w:val="Odwoanieprzypisudolnego"/>
        </w:rPr>
        <w:footnoteRef/>
      </w:r>
      <w:r w:rsidRPr="00F66162">
        <w:tab/>
      </w:r>
      <w:r w:rsidRPr="00F66162">
        <w:rPr>
          <w:color w:val="374151"/>
          <w:sz w:val="18"/>
        </w:rPr>
        <w:t>Niezbędne środki należy określić na podstawie danych dotyczących średnich rocznych kosztów, dostępnych na odpowiedniej stronie internetowej BUDGpedia.</w:t>
      </w:r>
    </w:p>
  </w:footnote>
  <w:footnote w:id="27">
    <w:p w14:paraId="7B39F361" w14:textId="286FCB57" w:rsidR="00FA5543" w:rsidRPr="00F66162" w:rsidRDefault="00FA5543" w:rsidP="00390489">
      <w:pPr>
        <w:pStyle w:val="Tekstprzypisudolnego"/>
        <w:rPr>
          <w:szCs w:val="24"/>
        </w:rPr>
      </w:pPr>
      <w:r>
        <w:rPr>
          <w:rStyle w:val="Odwoanieprzypisudolnego"/>
        </w:rPr>
        <w:footnoteRef/>
      </w:r>
      <w:r w:rsidRPr="00F66162">
        <w:tab/>
        <w:t>Produkty odnoszą się do produktów</w:t>
      </w:r>
      <w:r w:rsidR="00825614" w:rsidRPr="00F66162">
        <w:t xml:space="preserve"> i</w:t>
      </w:r>
      <w:r w:rsidR="00825614">
        <w:t> </w:t>
      </w:r>
      <w:r w:rsidR="00825614" w:rsidRPr="00F66162">
        <w:t>usł</w:t>
      </w:r>
      <w:r w:rsidRPr="00F66162">
        <w:t>ug, które mają zostać zapewnione (np. liczba sfinansowanych wymian studentów, liczba kilometrów zbudowanych dróg itp.).</w:t>
      </w:r>
    </w:p>
  </w:footnote>
  <w:footnote w:id="28">
    <w:p w14:paraId="793AC3D9" w14:textId="0A77B6D2" w:rsidR="00FA5543" w:rsidRPr="00F66162" w:rsidRDefault="00FA5543" w:rsidP="00390489">
      <w:pPr>
        <w:pStyle w:val="Tekstprzypisudolnego"/>
        <w:rPr>
          <w:szCs w:val="24"/>
        </w:rPr>
      </w:pPr>
      <w:r>
        <w:rPr>
          <w:rStyle w:val="Odwoanieprzypisudolnego"/>
        </w:rPr>
        <w:footnoteRef/>
      </w:r>
      <w:r w:rsidRPr="00F66162">
        <w:tab/>
        <w:t>Zgodnie</w:t>
      </w:r>
      <w:r w:rsidR="00825614" w:rsidRPr="00F66162">
        <w:t xml:space="preserve"> z</w:t>
      </w:r>
      <w:r w:rsidR="00825614">
        <w:t> </w:t>
      </w:r>
      <w:r w:rsidR="00825614" w:rsidRPr="00F66162">
        <w:t>opi</w:t>
      </w:r>
      <w:r w:rsidRPr="00F66162">
        <w:t>sem</w:t>
      </w:r>
      <w:r w:rsidR="00825614" w:rsidRPr="00F66162">
        <w:t xml:space="preserve"> w</w:t>
      </w:r>
      <w:r w:rsidR="00825614">
        <w:t> </w:t>
      </w:r>
      <w:r w:rsidR="00825614" w:rsidRPr="00F66162">
        <w:t>sek</w:t>
      </w:r>
      <w:r w:rsidRPr="00F66162">
        <w:t xml:space="preserve">cji 1.3.2. „Cel(e) szczegółowy(-e)”. </w:t>
      </w:r>
    </w:p>
  </w:footnote>
  <w:footnote w:id="29">
    <w:p w14:paraId="5E786686" w14:textId="35E60299" w:rsidR="00FA5543" w:rsidRPr="00F66162" w:rsidRDefault="00FA5543" w:rsidP="00390489">
      <w:pPr>
        <w:pStyle w:val="Tekstprzypisudolnego"/>
      </w:pPr>
      <w:r>
        <w:rPr>
          <w:rStyle w:val="Odwoanieprzypisudolnego"/>
        </w:rPr>
        <w:footnoteRef/>
      </w:r>
      <w:r w:rsidRPr="00F66162">
        <w:tab/>
        <w:t>Proszę określić</w:t>
      </w:r>
      <w:r w:rsidR="00825614" w:rsidRPr="00F66162">
        <w:t xml:space="preserve"> w</w:t>
      </w:r>
      <w:r w:rsidR="00825614">
        <w:t> </w:t>
      </w:r>
      <w:r w:rsidR="00825614" w:rsidRPr="00F66162">
        <w:t>tab</w:t>
      </w:r>
      <w:r w:rsidRPr="00F66162">
        <w:t>eli poniżej, ile EPC</w:t>
      </w:r>
      <w:r w:rsidR="00825614" w:rsidRPr="00F66162">
        <w:t xml:space="preserve"> w</w:t>
      </w:r>
      <w:r w:rsidR="00825614">
        <w:t> </w:t>
      </w:r>
      <w:r w:rsidR="00825614" w:rsidRPr="00F66162">
        <w:t>ram</w:t>
      </w:r>
      <w:r w:rsidRPr="00F66162">
        <w:t>ach wskazanej liczby jest już przydzielonych na zarządzanie tym działaniem lub może zostać przesuniętych</w:t>
      </w:r>
      <w:r w:rsidR="00825614" w:rsidRPr="00F66162">
        <w:t xml:space="preserve"> w</w:t>
      </w:r>
      <w:r w:rsidR="00825614">
        <w:t> </w:t>
      </w:r>
      <w:r w:rsidR="00825614" w:rsidRPr="00F66162">
        <w:t>ram</w:t>
      </w:r>
      <w:r w:rsidRPr="00F66162">
        <w:t>ach Państwa dyrekcji generalnej oraz jakie są Państwa potrzeby netto.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8BFE" w14:textId="77777777" w:rsidR="00AB396E" w:rsidRDefault="00AB39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1728" w14:textId="77777777" w:rsidR="00AB396E" w:rsidRDefault="00AB396E" w:rsidP="00AB396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45E4" w14:textId="77777777" w:rsidR="00AB396E" w:rsidRPr="00AB396E" w:rsidRDefault="00AB396E" w:rsidP="00AB396E">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6D7B" w14:textId="77777777" w:rsidR="00AB396E" w:rsidRPr="00AB396E" w:rsidRDefault="00AB396E" w:rsidP="00AB39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53F572F"/>
    <w:multiLevelType w:val="hybridMultilevel"/>
    <w:tmpl w:val="7B5E3DA2"/>
    <w:lvl w:ilvl="0" w:tplc="D33AFC6A">
      <w:start w:val="1"/>
      <w:numFmt w:val="bullet"/>
      <w:lvlText w:val="·"/>
      <w:lvlJc w:val="left"/>
      <w:pPr>
        <w:ind w:left="720" w:hanging="360"/>
      </w:pPr>
      <w:rPr>
        <w:rFonts w:ascii="Symbol" w:hAnsi="Symbol" w:hint="default"/>
      </w:rPr>
    </w:lvl>
    <w:lvl w:ilvl="1" w:tplc="2A183480">
      <w:start w:val="1"/>
      <w:numFmt w:val="bullet"/>
      <w:lvlText w:val="o"/>
      <w:lvlJc w:val="left"/>
      <w:pPr>
        <w:ind w:left="1440" w:hanging="360"/>
      </w:pPr>
      <w:rPr>
        <w:rFonts w:ascii="Symbol" w:hAnsi="Symbol" w:hint="default"/>
      </w:rPr>
    </w:lvl>
    <w:lvl w:ilvl="2" w:tplc="91D2C294">
      <w:start w:val="1"/>
      <w:numFmt w:val="bullet"/>
      <w:lvlText w:val=""/>
      <w:lvlJc w:val="left"/>
      <w:pPr>
        <w:ind w:left="2160" w:hanging="360"/>
      </w:pPr>
      <w:rPr>
        <w:rFonts w:ascii="Wingdings" w:hAnsi="Wingdings" w:hint="default"/>
      </w:rPr>
    </w:lvl>
    <w:lvl w:ilvl="3" w:tplc="2206BA0E">
      <w:start w:val="1"/>
      <w:numFmt w:val="bullet"/>
      <w:lvlText w:val=""/>
      <w:lvlJc w:val="left"/>
      <w:pPr>
        <w:ind w:left="2880" w:hanging="360"/>
      </w:pPr>
      <w:rPr>
        <w:rFonts w:ascii="Symbol" w:hAnsi="Symbol" w:hint="default"/>
      </w:rPr>
    </w:lvl>
    <w:lvl w:ilvl="4" w:tplc="24B47058">
      <w:start w:val="1"/>
      <w:numFmt w:val="bullet"/>
      <w:lvlText w:val="o"/>
      <w:lvlJc w:val="left"/>
      <w:pPr>
        <w:ind w:left="3600" w:hanging="360"/>
      </w:pPr>
      <w:rPr>
        <w:rFonts w:ascii="Courier New" w:hAnsi="Courier New" w:hint="default"/>
      </w:rPr>
    </w:lvl>
    <w:lvl w:ilvl="5" w:tplc="4A0884EA">
      <w:start w:val="1"/>
      <w:numFmt w:val="bullet"/>
      <w:lvlText w:val=""/>
      <w:lvlJc w:val="left"/>
      <w:pPr>
        <w:ind w:left="4320" w:hanging="360"/>
      </w:pPr>
      <w:rPr>
        <w:rFonts w:ascii="Wingdings" w:hAnsi="Wingdings" w:hint="default"/>
      </w:rPr>
    </w:lvl>
    <w:lvl w:ilvl="6" w:tplc="68666ECC">
      <w:start w:val="1"/>
      <w:numFmt w:val="bullet"/>
      <w:lvlText w:val=""/>
      <w:lvlJc w:val="left"/>
      <w:pPr>
        <w:ind w:left="5040" w:hanging="360"/>
      </w:pPr>
      <w:rPr>
        <w:rFonts w:ascii="Symbol" w:hAnsi="Symbol" w:hint="default"/>
      </w:rPr>
    </w:lvl>
    <w:lvl w:ilvl="7" w:tplc="F7D66BA8">
      <w:start w:val="1"/>
      <w:numFmt w:val="bullet"/>
      <w:lvlText w:val="o"/>
      <w:lvlJc w:val="left"/>
      <w:pPr>
        <w:ind w:left="5760" w:hanging="360"/>
      </w:pPr>
      <w:rPr>
        <w:rFonts w:ascii="Courier New" w:hAnsi="Courier New" w:hint="default"/>
      </w:rPr>
    </w:lvl>
    <w:lvl w:ilvl="8" w:tplc="76F4EF48">
      <w:start w:val="1"/>
      <w:numFmt w:val="bullet"/>
      <w:lvlText w:val=""/>
      <w:lvlJc w:val="left"/>
      <w:pPr>
        <w:ind w:left="6480" w:hanging="360"/>
      </w:pPr>
      <w:rPr>
        <w:rFonts w:ascii="Wingdings" w:hAnsi="Wingdings" w:hint="default"/>
      </w:rPr>
    </w:lvl>
  </w:abstractNum>
  <w:abstractNum w:abstractNumId="4" w15:restartNumberingAfterBreak="0">
    <w:nsid w:val="1585FEF6"/>
    <w:multiLevelType w:val="hybridMultilevel"/>
    <w:tmpl w:val="6868B344"/>
    <w:lvl w:ilvl="0" w:tplc="C362FF04">
      <w:start w:val="1"/>
      <w:numFmt w:val="bullet"/>
      <w:lvlText w:val="·"/>
      <w:lvlJc w:val="left"/>
      <w:pPr>
        <w:ind w:left="720" w:hanging="360"/>
      </w:pPr>
      <w:rPr>
        <w:rFonts w:ascii="Symbol" w:hAnsi="Symbol" w:hint="default"/>
      </w:rPr>
    </w:lvl>
    <w:lvl w:ilvl="1" w:tplc="F474BE12">
      <w:start w:val="1"/>
      <w:numFmt w:val="bullet"/>
      <w:lvlText w:val="o"/>
      <w:lvlJc w:val="left"/>
      <w:pPr>
        <w:ind w:left="1440" w:hanging="360"/>
      </w:pPr>
      <w:rPr>
        <w:rFonts w:ascii="Courier New" w:hAnsi="Courier New" w:hint="default"/>
      </w:rPr>
    </w:lvl>
    <w:lvl w:ilvl="2" w:tplc="5D5AA4A4">
      <w:start w:val="1"/>
      <w:numFmt w:val="bullet"/>
      <w:lvlText w:val=""/>
      <w:lvlJc w:val="left"/>
      <w:pPr>
        <w:ind w:left="2160" w:hanging="360"/>
      </w:pPr>
      <w:rPr>
        <w:rFonts w:ascii="Wingdings" w:hAnsi="Wingdings" w:hint="default"/>
      </w:rPr>
    </w:lvl>
    <w:lvl w:ilvl="3" w:tplc="B32AECF2">
      <w:start w:val="1"/>
      <w:numFmt w:val="bullet"/>
      <w:lvlText w:val=""/>
      <w:lvlJc w:val="left"/>
      <w:pPr>
        <w:ind w:left="2880" w:hanging="360"/>
      </w:pPr>
      <w:rPr>
        <w:rFonts w:ascii="Symbol" w:hAnsi="Symbol" w:hint="default"/>
      </w:rPr>
    </w:lvl>
    <w:lvl w:ilvl="4" w:tplc="BCFA59BE">
      <w:start w:val="1"/>
      <w:numFmt w:val="bullet"/>
      <w:lvlText w:val="o"/>
      <w:lvlJc w:val="left"/>
      <w:pPr>
        <w:ind w:left="3600" w:hanging="360"/>
      </w:pPr>
      <w:rPr>
        <w:rFonts w:ascii="Courier New" w:hAnsi="Courier New" w:hint="default"/>
      </w:rPr>
    </w:lvl>
    <w:lvl w:ilvl="5" w:tplc="469053E6">
      <w:start w:val="1"/>
      <w:numFmt w:val="bullet"/>
      <w:lvlText w:val=""/>
      <w:lvlJc w:val="left"/>
      <w:pPr>
        <w:ind w:left="4320" w:hanging="360"/>
      </w:pPr>
      <w:rPr>
        <w:rFonts w:ascii="Wingdings" w:hAnsi="Wingdings" w:hint="default"/>
      </w:rPr>
    </w:lvl>
    <w:lvl w:ilvl="6" w:tplc="34F628F0">
      <w:start w:val="1"/>
      <w:numFmt w:val="bullet"/>
      <w:lvlText w:val=""/>
      <w:lvlJc w:val="left"/>
      <w:pPr>
        <w:ind w:left="5040" w:hanging="360"/>
      </w:pPr>
      <w:rPr>
        <w:rFonts w:ascii="Symbol" w:hAnsi="Symbol" w:hint="default"/>
      </w:rPr>
    </w:lvl>
    <w:lvl w:ilvl="7" w:tplc="045CB354">
      <w:start w:val="1"/>
      <w:numFmt w:val="bullet"/>
      <w:lvlText w:val="o"/>
      <w:lvlJc w:val="left"/>
      <w:pPr>
        <w:ind w:left="5760" w:hanging="360"/>
      </w:pPr>
      <w:rPr>
        <w:rFonts w:ascii="Courier New" w:hAnsi="Courier New" w:hint="default"/>
      </w:rPr>
    </w:lvl>
    <w:lvl w:ilvl="8" w:tplc="20A23DAE">
      <w:start w:val="1"/>
      <w:numFmt w:val="bullet"/>
      <w:lvlText w:val=""/>
      <w:lvlJc w:val="left"/>
      <w:pPr>
        <w:ind w:left="6480" w:hanging="360"/>
      </w:pPr>
      <w:rPr>
        <w:rFonts w:ascii="Wingdings" w:hAnsi="Wingding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1AFE3"/>
    <w:multiLevelType w:val="hybridMultilevel"/>
    <w:tmpl w:val="54AEF0BA"/>
    <w:lvl w:ilvl="0" w:tplc="9BEE67FE">
      <w:start w:val="1"/>
      <w:numFmt w:val="bullet"/>
      <w:lvlText w:val="·"/>
      <w:lvlJc w:val="left"/>
      <w:pPr>
        <w:ind w:left="720" w:hanging="360"/>
      </w:pPr>
      <w:rPr>
        <w:rFonts w:ascii="Symbol" w:hAnsi="Symbol" w:hint="default"/>
      </w:rPr>
    </w:lvl>
    <w:lvl w:ilvl="1" w:tplc="11A2B056">
      <w:start w:val="1"/>
      <w:numFmt w:val="bullet"/>
      <w:lvlText w:val="o"/>
      <w:lvlJc w:val="left"/>
      <w:pPr>
        <w:ind w:left="1440" w:hanging="360"/>
      </w:pPr>
      <w:rPr>
        <w:rFonts w:ascii="Courier New" w:hAnsi="Courier New" w:hint="default"/>
      </w:rPr>
    </w:lvl>
    <w:lvl w:ilvl="2" w:tplc="848A215E">
      <w:start w:val="1"/>
      <w:numFmt w:val="bullet"/>
      <w:lvlText w:val=""/>
      <w:lvlJc w:val="left"/>
      <w:pPr>
        <w:ind w:left="2160" w:hanging="360"/>
      </w:pPr>
      <w:rPr>
        <w:rFonts w:ascii="Wingdings" w:hAnsi="Wingdings" w:hint="default"/>
      </w:rPr>
    </w:lvl>
    <w:lvl w:ilvl="3" w:tplc="79029DE6">
      <w:start w:val="1"/>
      <w:numFmt w:val="bullet"/>
      <w:lvlText w:val=""/>
      <w:lvlJc w:val="left"/>
      <w:pPr>
        <w:ind w:left="2880" w:hanging="360"/>
      </w:pPr>
      <w:rPr>
        <w:rFonts w:ascii="Symbol" w:hAnsi="Symbol" w:hint="default"/>
      </w:rPr>
    </w:lvl>
    <w:lvl w:ilvl="4" w:tplc="1FEA9AF8">
      <w:start w:val="1"/>
      <w:numFmt w:val="bullet"/>
      <w:lvlText w:val="o"/>
      <w:lvlJc w:val="left"/>
      <w:pPr>
        <w:ind w:left="3600" w:hanging="360"/>
      </w:pPr>
      <w:rPr>
        <w:rFonts w:ascii="Courier New" w:hAnsi="Courier New" w:hint="default"/>
      </w:rPr>
    </w:lvl>
    <w:lvl w:ilvl="5" w:tplc="B3E61206">
      <w:start w:val="1"/>
      <w:numFmt w:val="bullet"/>
      <w:lvlText w:val=""/>
      <w:lvlJc w:val="left"/>
      <w:pPr>
        <w:ind w:left="4320" w:hanging="360"/>
      </w:pPr>
      <w:rPr>
        <w:rFonts w:ascii="Wingdings" w:hAnsi="Wingdings" w:hint="default"/>
      </w:rPr>
    </w:lvl>
    <w:lvl w:ilvl="6" w:tplc="C05E51C0">
      <w:start w:val="1"/>
      <w:numFmt w:val="bullet"/>
      <w:lvlText w:val=""/>
      <w:lvlJc w:val="left"/>
      <w:pPr>
        <w:ind w:left="5040" w:hanging="360"/>
      </w:pPr>
      <w:rPr>
        <w:rFonts w:ascii="Symbol" w:hAnsi="Symbol" w:hint="default"/>
      </w:rPr>
    </w:lvl>
    <w:lvl w:ilvl="7" w:tplc="A838DAAC">
      <w:start w:val="1"/>
      <w:numFmt w:val="bullet"/>
      <w:lvlText w:val="o"/>
      <w:lvlJc w:val="left"/>
      <w:pPr>
        <w:ind w:left="5760" w:hanging="360"/>
      </w:pPr>
      <w:rPr>
        <w:rFonts w:ascii="Courier New" w:hAnsi="Courier New" w:hint="default"/>
      </w:rPr>
    </w:lvl>
    <w:lvl w:ilvl="8" w:tplc="9BE642E4">
      <w:start w:val="1"/>
      <w:numFmt w:val="bullet"/>
      <w:lvlText w:val=""/>
      <w:lvlJc w:val="left"/>
      <w:pPr>
        <w:ind w:left="6480" w:hanging="360"/>
      </w:pPr>
      <w:rPr>
        <w:rFonts w:ascii="Wingdings" w:hAnsi="Wingdings" w:hint="default"/>
      </w:r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FC9ED8B"/>
    <w:multiLevelType w:val="hybridMultilevel"/>
    <w:tmpl w:val="C3D2D766"/>
    <w:lvl w:ilvl="0" w:tplc="16F07A88">
      <w:start w:val="1"/>
      <w:numFmt w:val="bullet"/>
      <w:lvlText w:val="·"/>
      <w:lvlJc w:val="left"/>
      <w:pPr>
        <w:ind w:left="720" w:hanging="360"/>
      </w:pPr>
      <w:rPr>
        <w:rFonts w:ascii="Symbol" w:hAnsi="Symbol" w:hint="default"/>
      </w:rPr>
    </w:lvl>
    <w:lvl w:ilvl="1" w:tplc="2B6079FE">
      <w:start w:val="1"/>
      <w:numFmt w:val="bullet"/>
      <w:lvlText w:val="o"/>
      <w:lvlJc w:val="left"/>
      <w:pPr>
        <w:ind w:left="1440" w:hanging="360"/>
      </w:pPr>
      <w:rPr>
        <w:rFonts w:ascii="Courier New" w:hAnsi="Courier New" w:hint="default"/>
      </w:rPr>
    </w:lvl>
    <w:lvl w:ilvl="2" w:tplc="A5B8F816">
      <w:start w:val="1"/>
      <w:numFmt w:val="bullet"/>
      <w:lvlText w:val=""/>
      <w:lvlJc w:val="left"/>
      <w:pPr>
        <w:ind w:left="2160" w:hanging="360"/>
      </w:pPr>
      <w:rPr>
        <w:rFonts w:ascii="Wingdings" w:hAnsi="Wingdings" w:hint="default"/>
      </w:rPr>
    </w:lvl>
    <w:lvl w:ilvl="3" w:tplc="2760068E">
      <w:start w:val="1"/>
      <w:numFmt w:val="bullet"/>
      <w:lvlText w:val=""/>
      <w:lvlJc w:val="left"/>
      <w:pPr>
        <w:ind w:left="2880" w:hanging="360"/>
      </w:pPr>
      <w:rPr>
        <w:rFonts w:ascii="Symbol" w:hAnsi="Symbol" w:hint="default"/>
      </w:rPr>
    </w:lvl>
    <w:lvl w:ilvl="4" w:tplc="EC3A27CE">
      <w:start w:val="1"/>
      <w:numFmt w:val="bullet"/>
      <w:lvlText w:val="o"/>
      <w:lvlJc w:val="left"/>
      <w:pPr>
        <w:ind w:left="3600" w:hanging="360"/>
      </w:pPr>
      <w:rPr>
        <w:rFonts w:ascii="Courier New" w:hAnsi="Courier New" w:hint="default"/>
      </w:rPr>
    </w:lvl>
    <w:lvl w:ilvl="5" w:tplc="577A7588">
      <w:start w:val="1"/>
      <w:numFmt w:val="bullet"/>
      <w:lvlText w:val=""/>
      <w:lvlJc w:val="left"/>
      <w:pPr>
        <w:ind w:left="4320" w:hanging="360"/>
      </w:pPr>
      <w:rPr>
        <w:rFonts w:ascii="Wingdings" w:hAnsi="Wingdings" w:hint="default"/>
      </w:rPr>
    </w:lvl>
    <w:lvl w:ilvl="6" w:tplc="47D4214C">
      <w:start w:val="1"/>
      <w:numFmt w:val="bullet"/>
      <w:lvlText w:val=""/>
      <w:lvlJc w:val="left"/>
      <w:pPr>
        <w:ind w:left="5040" w:hanging="360"/>
      </w:pPr>
      <w:rPr>
        <w:rFonts w:ascii="Symbol" w:hAnsi="Symbol" w:hint="default"/>
      </w:rPr>
    </w:lvl>
    <w:lvl w:ilvl="7" w:tplc="B9D844C8">
      <w:start w:val="1"/>
      <w:numFmt w:val="bullet"/>
      <w:lvlText w:val="o"/>
      <w:lvlJc w:val="left"/>
      <w:pPr>
        <w:ind w:left="5760" w:hanging="360"/>
      </w:pPr>
      <w:rPr>
        <w:rFonts w:ascii="Courier New" w:hAnsi="Courier New" w:hint="default"/>
      </w:rPr>
    </w:lvl>
    <w:lvl w:ilvl="8" w:tplc="328EE2CC">
      <w:start w:val="1"/>
      <w:numFmt w:val="bullet"/>
      <w:lvlText w:val=""/>
      <w:lvlJc w:val="left"/>
      <w:pPr>
        <w:ind w:left="6480" w:hanging="360"/>
      </w:pPr>
      <w:rPr>
        <w:rFonts w:ascii="Wingdings" w:hAnsi="Wingdings" w:hint="default"/>
      </w:rPr>
    </w:lvl>
  </w:abstractNum>
  <w:abstractNum w:abstractNumId="14" w15:restartNumberingAfterBreak="0">
    <w:nsid w:val="307E3DA9"/>
    <w:multiLevelType w:val="hybridMultilevel"/>
    <w:tmpl w:val="A6B2AD86"/>
    <w:lvl w:ilvl="0" w:tplc="6D7E09E6">
      <w:start w:val="1"/>
      <w:numFmt w:val="decimal"/>
      <w:lvlText w:val="%1."/>
      <w:lvlJc w:val="left"/>
      <w:pPr>
        <w:ind w:left="720" w:hanging="360"/>
      </w:pPr>
    </w:lvl>
    <w:lvl w:ilvl="1" w:tplc="2042CCE6">
      <w:start w:val="1"/>
      <w:numFmt w:val="lowerLetter"/>
      <w:lvlText w:val="%2."/>
      <w:lvlJc w:val="left"/>
      <w:pPr>
        <w:ind w:left="1440" w:hanging="360"/>
      </w:pPr>
    </w:lvl>
    <w:lvl w:ilvl="2" w:tplc="1A92D576">
      <w:start w:val="1"/>
      <w:numFmt w:val="lowerRoman"/>
      <w:lvlText w:val="%3."/>
      <w:lvlJc w:val="right"/>
      <w:pPr>
        <w:ind w:left="2160" w:hanging="180"/>
      </w:pPr>
    </w:lvl>
    <w:lvl w:ilvl="3" w:tplc="93A25672">
      <w:start w:val="1"/>
      <w:numFmt w:val="decimal"/>
      <w:lvlText w:val="%4."/>
      <w:lvlJc w:val="left"/>
      <w:pPr>
        <w:ind w:left="2880" w:hanging="360"/>
      </w:pPr>
    </w:lvl>
    <w:lvl w:ilvl="4" w:tplc="CFEC2254">
      <w:start w:val="1"/>
      <w:numFmt w:val="lowerLetter"/>
      <w:lvlText w:val="%5."/>
      <w:lvlJc w:val="left"/>
      <w:pPr>
        <w:ind w:left="3600" w:hanging="360"/>
      </w:pPr>
    </w:lvl>
    <w:lvl w:ilvl="5" w:tplc="57525546">
      <w:start w:val="1"/>
      <w:numFmt w:val="lowerRoman"/>
      <w:lvlText w:val="%6."/>
      <w:lvlJc w:val="right"/>
      <w:pPr>
        <w:ind w:left="4320" w:hanging="180"/>
      </w:pPr>
    </w:lvl>
    <w:lvl w:ilvl="6" w:tplc="DCFEB838">
      <w:start w:val="1"/>
      <w:numFmt w:val="decimal"/>
      <w:lvlText w:val="%7."/>
      <w:lvlJc w:val="left"/>
      <w:pPr>
        <w:ind w:left="5040" w:hanging="360"/>
      </w:pPr>
    </w:lvl>
    <w:lvl w:ilvl="7" w:tplc="D1FA13AC">
      <w:start w:val="1"/>
      <w:numFmt w:val="lowerLetter"/>
      <w:lvlText w:val="%8."/>
      <w:lvlJc w:val="left"/>
      <w:pPr>
        <w:ind w:left="5760" w:hanging="360"/>
      </w:pPr>
    </w:lvl>
    <w:lvl w:ilvl="8" w:tplc="0286352E">
      <w:start w:val="1"/>
      <w:numFmt w:val="lowerRoman"/>
      <w:lvlText w:val="%9."/>
      <w:lvlJc w:val="right"/>
      <w:pPr>
        <w:ind w:left="6480" w:hanging="180"/>
      </w:p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2D3A5FD"/>
    <w:multiLevelType w:val="hybridMultilevel"/>
    <w:tmpl w:val="C27C8B6C"/>
    <w:lvl w:ilvl="0" w:tplc="1D966950">
      <w:start w:val="1"/>
      <w:numFmt w:val="bullet"/>
      <w:lvlText w:val="·"/>
      <w:lvlJc w:val="left"/>
      <w:pPr>
        <w:ind w:left="720" w:hanging="360"/>
      </w:pPr>
      <w:rPr>
        <w:rFonts w:ascii="Symbol" w:hAnsi="Symbol" w:hint="default"/>
      </w:rPr>
    </w:lvl>
    <w:lvl w:ilvl="1" w:tplc="B3E291BC">
      <w:start w:val="1"/>
      <w:numFmt w:val="bullet"/>
      <w:lvlText w:val="o"/>
      <w:lvlJc w:val="left"/>
      <w:pPr>
        <w:ind w:left="1440" w:hanging="360"/>
      </w:pPr>
      <w:rPr>
        <w:rFonts w:ascii="Courier New" w:hAnsi="Courier New" w:hint="default"/>
      </w:rPr>
    </w:lvl>
    <w:lvl w:ilvl="2" w:tplc="702A6BAA">
      <w:start w:val="1"/>
      <w:numFmt w:val="bullet"/>
      <w:lvlText w:val=""/>
      <w:lvlJc w:val="left"/>
      <w:pPr>
        <w:ind w:left="2160" w:hanging="360"/>
      </w:pPr>
      <w:rPr>
        <w:rFonts w:ascii="Wingdings" w:hAnsi="Wingdings" w:hint="default"/>
      </w:rPr>
    </w:lvl>
    <w:lvl w:ilvl="3" w:tplc="F83466DC">
      <w:start w:val="1"/>
      <w:numFmt w:val="bullet"/>
      <w:lvlText w:val=""/>
      <w:lvlJc w:val="left"/>
      <w:pPr>
        <w:ind w:left="2880" w:hanging="360"/>
      </w:pPr>
      <w:rPr>
        <w:rFonts w:ascii="Symbol" w:hAnsi="Symbol" w:hint="default"/>
      </w:rPr>
    </w:lvl>
    <w:lvl w:ilvl="4" w:tplc="65784740">
      <w:start w:val="1"/>
      <w:numFmt w:val="bullet"/>
      <w:lvlText w:val="o"/>
      <w:lvlJc w:val="left"/>
      <w:pPr>
        <w:ind w:left="3600" w:hanging="360"/>
      </w:pPr>
      <w:rPr>
        <w:rFonts w:ascii="Courier New" w:hAnsi="Courier New" w:hint="default"/>
      </w:rPr>
    </w:lvl>
    <w:lvl w:ilvl="5" w:tplc="BA88AAA2">
      <w:start w:val="1"/>
      <w:numFmt w:val="bullet"/>
      <w:lvlText w:val=""/>
      <w:lvlJc w:val="left"/>
      <w:pPr>
        <w:ind w:left="4320" w:hanging="360"/>
      </w:pPr>
      <w:rPr>
        <w:rFonts w:ascii="Wingdings" w:hAnsi="Wingdings" w:hint="default"/>
      </w:rPr>
    </w:lvl>
    <w:lvl w:ilvl="6" w:tplc="76D8BDBE">
      <w:start w:val="1"/>
      <w:numFmt w:val="bullet"/>
      <w:lvlText w:val=""/>
      <w:lvlJc w:val="left"/>
      <w:pPr>
        <w:ind w:left="5040" w:hanging="360"/>
      </w:pPr>
      <w:rPr>
        <w:rFonts w:ascii="Symbol" w:hAnsi="Symbol" w:hint="default"/>
      </w:rPr>
    </w:lvl>
    <w:lvl w:ilvl="7" w:tplc="B0727310">
      <w:start w:val="1"/>
      <w:numFmt w:val="bullet"/>
      <w:lvlText w:val="o"/>
      <w:lvlJc w:val="left"/>
      <w:pPr>
        <w:ind w:left="5760" w:hanging="360"/>
      </w:pPr>
      <w:rPr>
        <w:rFonts w:ascii="Courier New" w:hAnsi="Courier New" w:hint="default"/>
      </w:rPr>
    </w:lvl>
    <w:lvl w:ilvl="8" w:tplc="9B64C5C0">
      <w:start w:val="1"/>
      <w:numFmt w:val="bullet"/>
      <w:lvlText w:val=""/>
      <w:lvlJc w:val="left"/>
      <w:pPr>
        <w:ind w:left="6480" w:hanging="360"/>
      </w:pPr>
      <w:rPr>
        <w:rFonts w:ascii="Wingdings" w:hAnsi="Wingdings" w:hint="default"/>
      </w:rPr>
    </w:lvl>
  </w:abstractNum>
  <w:abstractNum w:abstractNumId="17" w15:restartNumberingAfterBreak="0">
    <w:nsid w:val="398C015E"/>
    <w:multiLevelType w:val="multilevel"/>
    <w:tmpl w:val="027A66BA"/>
    <w:name w:val="List Dash 4"/>
    <w:lvl w:ilvl="0">
      <w:start w:val="1"/>
      <w:numFmt w:val="decimal"/>
      <w:pStyle w:val="Listanumerowan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21C0FC4"/>
    <w:multiLevelType w:val="hybridMultilevel"/>
    <w:tmpl w:val="B3B4AF3E"/>
    <w:lvl w:ilvl="0" w:tplc="6EE01010">
      <w:start w:val="1"/>
      <w:numFmt w:val="bullet"/>
      <w:lvlText w:val="·"/>
      <w:lvlJc w:val="left"/>
      <w:pPr>
        <w:ind w:left="720" w:hanging="360"/>
      </w:pPr>
      <w:rPr>
        <w:rFonts w:ascii="Symbol" w:hAnsi="Symbol" w:hint="default"/>
      </w:rPr>
    </w:lvl>
    <w:lvl w:ilvl="1" w:tplc="7F740258">
      <w:start w:val="1"/>
      <w:numFmt w:val="bullet"/>
      <w:lvlText w:val="o"/>
      <w:lvlJc w:val="left"/>
      <w:pPr>
        <w:ind w:left="1440" w:hanging="360"/>
      </w:pPr>
      <w:rPr>
        <w:rFonts w:ascii="Symbol" w:hAnsi="Symbol" w:hint="default"/>
      </w:rPr>
    </w:lvl>
    <w:lvl w:ilvl="2" w:tplc="2D6C0D48">
      <w:start w:val="1"/>
      <w:numFmt w:val="bullet"/>
      <w:lvlText w:val=""/>
      <w:lvlJc w:val="left"/>
      <w:pPr>
        <w:ind w:left="2160" w:hanging="360"/>
      </w:pPr>
      <w:rPr>
        <w:rFonts w:ascii="Wingdings" w:hAnsi="Wingdings" w:hint="default"/>
      </w:rPr>
    </w:lvl>
    <w:lvl w:ilvl="3" w:tplc="F1B6527E">
      <w:start w:val="1"/>
      <w:numFmt w:val="bullet"/>
      <w:lvlText w:val=""/>
      <w:lvlJc w:val="left"/>
      <w:pPr>
        <w:ind w:left="2880" w:hanging="360"/>
      </w:pPr>
      <w:rPr>
        <w:rFonts w:ascii="Symbol" w:hAnsi="Symbol" w:hint="default"/>
      </w:rPr>
    </w:lvl>
    <w:lvl w:ilvl="4" w:tplc="10A880DE">
      <w:start w:val="1"/>
      <w:numFmt w:val="bullet"/>
      <w:lvlText w:val="o"/>
      <w:lvlJc w:val="left"/>
      <w:pPr>
        <w:ind w:left="3600" w:hanging="360"/>
      </w:pPr>
      <w:rPr>
        <w:rFonts w:ascii="Courier New" w:hAnsi="Courier New" w:hint="default"/>
      </w:rPr>
    </w:lvl>
    <w:lvl w:ilvl="5" w:tplc="3C48E7E4">
      <w:start w:val="1"/>
      <w:numFmt w:val="bullet"/>
      <w:lvlText w:val=""/>
      <w:lvlJc w:val="left"/>
      <w:pPr>
        <w:ind w:left="4320" w:hanging="360"/>
      </w:pPr>
      <w:rPr>
        <w:rFonts w:ascii="Wingdings" w:hAnsi="Wingdings" w:hint="default"/>
      </w:rPr>
    </w:lvl>
    <w:lvl w:ilvl="6" w:tplc="B2EA43A2">
      <w:start w:val="1"/>
      <w:numFmt w:val="bullet"/>
      <w:lvlText w:val=""/>
      <w:lvlJc w:val="left"/>
      <w:pPr>
        <w:ind w:left="5040" w:hanging="360"/>
      </w:pPr>
      <w:rPr>
        <w:rFonts w:ascii="Symbol" w:hAnsi="Symbol" w:hint="default"/>
      </w:rPr>
    </w:lvl>
    <w:lvl w:ilvl="7" w:tplc="F56E2018">
      <w:start w:val="1"/>
      <w:numFmt w:val="bullet"/>
      <w:lvlText w:val="o"/>
      <w:lvlJc w:val="left"/>
      <w:pPr>
        <w:ind w:left="5760" w:hanging="360"/>
      </w:pPr>
      <w:rPr>
        <w:rFonts w:ascii="Courier New" w:hAnsi="Courier New" w:hint="default"/>
      </w:rPr>
    </w:lvl>
    <w:lvl w:ilvl="8" w:tplc="79F42500">
      <w:start w:val="1"/>
      <w:numFmt w:val="bullet"/>
      <w:lvlText w:val=""/>
      <w:lvlJc w:val="left"/>
      <w:pPr>
        <w:ind w:left="6480" w:hanging="360"/>
      </w:pPr>
      <w:rPr>
        <w:rFonts w:ascii="Wingdings" w:hAnsi="Wingdings" w:hint="default"/>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4"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5" w15:restartNumberingAfterBreak="0">
    <w:nsid w:val="542A1204"/>
    <w:multiLevelType w:val="multilevel"/>
    <w:tmpl w:val="BC1E8404"/>
    <w:lvl w:ilvl="0">
      <w:start w:val="1"/>
      <w:numFmt w:val="decimal"/>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B0B0635"/>
    <w:multiLevelType w:val="singleLevel"/>
    <w:tmpl w:val="017E7CEE"/>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F84969"/>
    <w:multiLevelType w:val="singleLevel"/>
    <w:tmpl w:val="1E12021A"/>
    <w:lvl w:ilvl="0">
      <w:start w:val="1"/>
      <w:numFmt w:val="bullet"/>
      <w:pStyle w:val="Listapunktowana"/>
      <w:lvlText w:val=""/>
      <w:lvlJc w:val="left"/>
      <w:pPr>
        <w:tabs>
          <w:tab w:val="num" w:pos="283"/>
        </w:tabs>
        <w:ind w:left="283" w:hanging="283"/>
      </w:pPr>
      <w:rPr>
        <w:rFonts w:ascii="Symbol" w:hAnsi="Symbol" w:hint="default"/>
      </w:rPr>
    </w:lvl>
  </w:abstractNum>
  <w:abstractNum w:abstractNumId="32"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15:restartNumberingAfterBreak="0">
    <w:nsid w:val="71F06166"/>
    <w:multiLevelType w:val="multilevel"/>
    <w:tmpl w:val="C08066D2"/>
    <w:name w:val="0.6719891"/>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D73F7A"/>
    <w:multiLevelType w:val="singleLevel"/>
    <w:tmpl w:val="26365734"/>
    <w:lvl w:ilvl="0">
      <w:start w:val="1"/>
      <w:numFmt w:val="bullet"/>
      <w:pStyle w:val="Listapunktowana2"/>
      <w:lvlText w:val=""/>
      <w:lvlJc w:val="left"/>
      <w:pPr>
        <w:tabs>
          <w:tab w:val="num" w:pos="1134"/>
        </w:tabs>
        <w:ind w:left="1134" w:hanging="283"/>
      </w:pPr>
      <w:rPr>
        <w:rFonts w:ascii="Symbol" w:hAnsi="Symbol" w:hint="default"/>
      </w:rPr>
    </w:lvl>
  </w:abstractNum>
  <w:abstractNum w:abstractNumId="36" w15:restartNumberingAfterBreak="0">
    <w:nsid w:val="76BC5C11"/>
    <w:multiLevelType w:val="singleLevel"/>
    <w:tmpl w:val="E44CE82E"/>
    <w:lvl w:ilvl="0">
      <w:start w:val="1"/>
      <w:numFmt w:val="bullet"/>
      <w:pStyle w:val="Listapunktowana3"/>
      <w:lvlText w:val=""/>
      <w:lvlJc w:val="left"/>
      <w:pPr>
        <w:tabs>
          <w:tab w:val="num" w:pos="1134"/>
        </w:tabs>
        <w:ind w:left="1134" w:hanging="283"/>
      </w:pPr>
      <w:rPr>
        <w:rFonts w:ascii="Symbol" w:hAnsi="Symbol"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529904605">
    <w:abstractNumId w:val="18"/>
  </w:num>
  <w:num w:numId="2" w16cid:durableId="1929268205">
    <w:abstractNumId w:val="16"/>
  </w:num>
  <w:num w:numId="3" w16cid:durableId="1788154475">
    <w:abstractNumId w:val="4"/>
  </w:num>
  <w:num w:numId="4" w16cid:durableId="318659222">
    <w:abstractNumId w:val="3"/>
  </w:num>
  <w:num w:numId="5" w16cid:durableId="1118835208">
    <w:abstractNumId w:val="7"/>
  </w:num>
  <w:num w:numId="6" w16cid:durableId="1549143673">
    <w:abstractNumId w:val="13"/>
  </w:num>
  <w:num w:numId="7" w16cid:durableId="1461416175">
    <w:abstractNumId w:val="14"/>
  </w:num>
  <w:num w:numId="8" w16cid:durableId="460999731">
    <w:abstractNumId w:val="0"/>
  </w:num>
  <w:num w:numId="9" w16cid:durableId="730158550">
    <w:abstractNumId w:val="27"/>
  </w:num>
  <w:num w:numId="10" w16cid:durableId="223175579">
    <w:abstractNumId w:val="11"/>
  </w:num>
  <w:num w:numId="11" w16cid:durableId="20666811">
    <w:abstractNumId w:val="24"/>
  </w:num>
  <w:num w:numId="12" w16cid:durableId="118573613">
    <w:abstractNumId w:val="23"/>
  </w:num>
  <w:num w:numId="13" w16cid:durableId="1672753531">
    <w:abstractNumId w:val="34"/>
  </w:num>
  <w:num w:numId="14" w16cid:durableId="1073314152">
    <w:abstractNumId w:val="31"/>
  </w:num>
  <w:num w:numId="15" w16cid:durableId="329909567">
    <w:abstractNumId w:val="35"/>
  </w:num>
  <w:num w:numId="16" w16cid:durableId="1909000158">
    <w:abstractNumId w:val="36"/>
  </w:num>
  <w:num w:numId="17" w16cid:durableId="1400862550">
    <w:abstractNumId w:val="1"/>
  </w:num>
  <w:num w:numId="18" w16cid:durableId="651786670">
    <w:abstractNumId w:val="15"/>
  </w:num>
  <w:num w:numId="19" w16cid:durableId="1405029212">
    <w:abstractNumId w:val="2"/>
  </w:num>
  <w:num w:numId="20" w16cid:durableId="1903517706">
    <w:abstractNumId w:val="17"/>
  </w:num>
  <w:num w:numId="21" w16cid:durableId="276955396">
    <w:abstractNumId w:val="12"/>
  </w:num>
  <w:num w:numId="22" w16cid:durableId="1053701443">
    <w:abstractNumId w:val="25"/>
  </w:num>
  <w:num w:numId="23" w16cid:durableId="1298560668">
    <w:abstractNumId w:val="10"/>
  </w:num>
  <w:num w:numId="24" w16cid:durableId="715084842">
    <w:abstractNumId w:val="30"/>
  </w:num>
  <w:num w:numId="25" w16cid:durableId="299772183">
    <w:abstractNumId w:val="19"/>
  </w:num>
  <w:num w:numId="26" w16cid:durableId="1234587544">
    <w:abstractNumId w:val="33"/>
  </w:num>
  <w:num w:numId="27" w16cid:durableId="1685089450">
    <w:abstractNumId w:val="9"/>
  </w:num>
  <w:num w:numId="28" w16cid:durableId="1879269568">
    <w:abstractNumId w:val="20"/>
  </w:num>
  <w:num w:numId="29" w16cid:durableId="1169715813">
    <w:abstractNumId w:val="21"/>
  </w:num>
  <w:num w:numId="30" w16cid:durableId="1247763640">
    <w:abstractNumId w:val="6"/>
  </w:num>
  <w:num w:numId="31" w16cid:durableId="1861895156">
    <w:abstractNumId w:val="32"/>
  </w:num>
  <w:num w:numId="32" w16cid:durableId="1038159752">
    <w:abstractNumId w:val="5"/>
  </w:num>
  <w:num w:numId="33" w16cid:durableId="22675976">
    <w:abstractNumId w:val="22"/>
  </w:num>
  <w:num w:numId="34" w16cid:durableId="758336232">
    <w:abstractNumId w:val="28"/>
  </w:num>
  <w:num w:numId="35" w16cid:durableId="1825318965">
    <w:abstractNumId w:val="29"/>
  </w:num>
  <w:num w:numId="36" w16cid:durableId="746222655">
    <w:abstractNumId w:val="8"/>
  </w:num>
  <w:num w:numId="37" w16cid:durableId="326330764">
    <w:abstractNumId w:val="26"/>
  </w:num>
  <w:num w:numId="38" w16cid:durableId="1266384573">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3-28 13:51: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8E2B09E-82CB-40B6-BF5B-96B8A935CC5B"/>
    <w:docVar w:name="LW_COVERPAGE_TYPE" w:val="1"/>
    <w:docVar w:name="LW_CreatedUtc" w:val="2025-02-13T16:18:59.5316724Z"/>
    <w:docVar w:name="LW_CROSSREFERENCE" w:val="{SWD(2025) 58 final}"/>
    <w:docVar w:name="LW_DocType" w:val="COM"/>
    <w:docVar w:name="LW_EMISSION" w:val="26.2.2025"/>
    <w:docVar w:name="LW_EMISSION_ISODATE" w:val="2025-02-26"/>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039"/>
    <w:docVar w:name="LW_REF.II.NEW.CP_YEAR" w:val="2025"/>
    <w:docVar w:name="LW_REF.INST.NEW" w:val="COM"/>
    <w:docVar w:name="LW_REF.INST.NEW_ADOPTED" w:val="final"/>
    <w:docVar w:name="LW_REF.INST.NEW_TEXT" w:val="(2025)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e rozporz\u261?dzenie (UE) 2023/956 w odniesieniu do uproszczenia i wzmocnienia mechanizmu dostosowywania cen na granicach z uwzgl\u281?dnieniem emisji CO&lt;FMT:Subscript&gt;2&lt;/FMT&gt;"/>
    <w:docVar w:name="LW_TYPE.DOC.CP" w:val="ROZPORZ\u260?DZENIE PARLAMENTU EUROPEJSKIEGO I RADY"/>
    <w:docVar w:name="LwApiVersions" w:val="LW4CoDe 1.24.5.0; LW 9.0, Build 20240221"/>
  </w:docVars>
  <w:rsids>
    <w:rsidRoot w:val="00FA5543"/>
    <w:rsid w:val="000002D2"/>
    <w:rsid w:val="00000CE3"/>
    <w:rsid w:val="00000E2B"/>
    <w:rsid w:val="00001490"/>
    <w:rsid w:val="000014C6"/>
    <w:rsid w:val="00001717"/>
    <w:rsid w:val="00001777"/>
    <w:rsid w:val="000018AF"/>
    <w:rsid w:val="000029D9"/>
    <w:rsid w:val="00002C13"/>
    <w:rsid w:val="00002FD5"/>
    <w:rsid w:val="000036BC"/>
    <w:rsid w:val="00004037"/>
    <w:rsid w:val="000040AB"/>
    <w:rsid w:val="000040B4"/>
    <w:rsid w:val="0000443C"/>
    <w:rsid w:val="000047CD"/>
    <w:rsid w:val="00004B91"/>
    <w:rsid w:val="00005A01"/>
    <w:rsid w:val="00006041"/>
    <w:rsid w:val="0000629C"/>
    <w:rsid w:val="000062DB"/>
    <w:rsid w:val="000064E6"/>
    <w:rsid w:val="0000706F"/>
    <w:rsid w:val="000073EC"/>
    <w:rsid w:val="000074DC"/>
    <w:rsid w:val="0000753A"/>
    <w:rsid w:val="00007578"/>
    <w:rsid w:val="0000764C"/>
    <w:rsid w:val="00007814"/>
    <w:rsid w:val="00007841"/>
    <w:rsid w:val="00007A90"/>
    <w:rsid w:val="00007E30"/>
    <w:rsid w:val="000105CA"/>
    <w:rsid w:val="0001071D"/>
    <w:rsid w:val="00010C46"/>
    <w:rsid w:val="0001141A"/>
    <w:rsid w:val="0001142B"/>
    <w:rsid w:val="00011A22"/>
    <w:rsid w:val="00011C08"/>
    <w:rsid w:val="0001203C"/>
    <w:rsid w:val="000121A1"/>
    <w:rsid w:val="00012777"/>
    <w:rsid w:val="00012C1F"/>
    <w:rsid w:val="000133F0"/>
    <w:rsid w:val="00013423"/>
    <w:rsid w:val="000138F5"/>
    <w:rsid w:val="00013912"/>
    <w:rsid w:val="0001496D"/>
    <w:rsid w:val="00014E6A"/>
    <w:rsid w:val="00014F5C"/>
    <w:rsid w:val="00014FA9"/>
    <w:rsid w:val="0001515E"/>
    <w:rsid w:val="0001564C"/>
    <w:rsid w:val="00015FAA"/>
    <w:rsid w:val="000167E5"/>
    <w:rsid w:val="00016CA1"/>
    <w:rsid w:val="00017680"/>
    <w:rsid w:val="00017DB3"/>
    <w:rsid w:val="000208A3"/>
    <w:rsid w:val="00020D34"/>
    <w:rsid w:val="00021625"/>
    <w:rsid w:val="000223C1"/>
    <w:rsid w:val="000231D1"/>
    <w:rsid w:val="00023214"/>
    <w:rsid w:val="00023565"/>
    <w:rsid w:val="00023B0B"/>
    <w:rsid w:val="00023D01"/>
    <w:rsid w:val="00023FC3"/>
    <w:rsid w:val="00024136"/>
    <w:rsid w:val="00024272"/>
    <w:rsid w:val="000247EA"/>
    <w:rsid w:val="00024C68"/>
    <w:rsid w:val="00024DBD"/>
    <w:rsid w:val="00024DC2"/>
    <w:rsid w:val="00025AE0"/>
    <w:rsid w:val="00026B1F"/>
    <w:rsid w:val="000270B6"/>
    <w:rsid w:val="000274AF"/>
    <w:rsid w:val="000304A8"/>
    <w:rsid w:val="00030602"/>
    <w:rsid w:val="000307C3"/>
    <w:rsid w:val="0003086E"/>
    <w:rsid w:val="0003088B"/>
    <w:rsid w:val="00031291"/>
    <w:rsid w:val="000312D5"/>
    <w:rsid w:val="000314B1"/>
    <w:rsid w:val="00031501"/>
    <w:rsid w:val="0003153F"/>
    <w:rsid w:val="00031755"/>
    <w:rsid w:val="00031A9A"/>
    <w:rsid w:val="00032A71"/>
    <w:rsid w:val="00033DE2"/>
    <w:rsid w:val="00033FC1"/>
    <w:rsid w:val="000342CD"/>
    <w:rsid w:val="000342DB"/>
    <w:rsid w:val="0003542A"/>
    <w:rsid w:val="00035475"/>
    <w:rsid w:val="000355E2"/>
    <w:rsid w:val="000357C8"/>
    <w:rsid w:val="00035B48"/>
    <w:rsid w:val="00035EEC"/>
    <w:rsid w:val="0003632B"/>
    <w:rsid w:val="00036600"/>
    <w:rsid w:val="0003685A"/>
    <w:rsid w:val="00037269"/>
    <w:rsid w:val="00041125"/>
    <w:rsid w:val="00041406"/>
    <w:rsid w:val="00041947"/>
    <w:rsid w:val="000419E7"/>
    <w:rsid w:val="00041B21"/>
    <w:rsid w:val="00041D01"/>
    <w:rsid w:val="000424E8"/>
    <w:rsid w:val="0004258D"/>
    <w:rsid w:val="00042690"/>
    <w:rsid w:val="00042C12"/>
    <w:rsid w:val="00042C1F"/>
    <w:rsid w:val="00043492"/>
    <w:rsid w:val="00043926"/>
    <w:rsid w:val="00043CDE"/>
    <w:rsid w:val="00043CE5"/>
    <w:rsid w:val="00043F70"/>
    <w:rsid w:val="0004423F"/>
    <w:rsid w:val="00044258"/>
    <w:rsid w:val="00044632"/>
    <w:rsid w:val="00044723"/>
    <w:rsid w:val="00044785"/>
    <w:rsid w:val="0004480A"/>
    <w:rsid w:val="0004483A"/>
    <w:rsid w:val="00044E5E"/>
    <w:rsid w:val="0004525A"/>
    <w:rsid w:val="00045351"/>
    <w:rsid w:val="000453FD"/>
    <w:rsid w:val="00045692"/>
    <w:rsid w:val="00045814"/>
    <w:rsid w:val="000458EE"/>
    <w:rsid w:val="000464FB"/>
    <w:rsid w:val="00046E91"/>
    <w:rsid w:val="0004724F"/>
    <w:rsid w:val="00047842"/>
    <w:rsid w:val="00047927"/>
    <w:rsid w:val="00047FD3"/>
    <w:rsid w:val="00050155"/>
    <w:rsid w:val="00050DE7"/>
    <w:rsid w:val="00051499"/>
    <w:rsid w:val="000515A6"/>
    <w:rsid w:val="000518EC"/>
    <w:rsid w:val="00051930"/>
    <w:rsid w:val="00051B46"/>
    <w:rsid w:val="00051DAC"/>
    <w:rsid w:val="00051FDA"/>
    <w:rsid w:val="0005302A"/>
    <w:rsid w:val="0005364F"/>
    <w:rsid w:val="00053919"/>
    <w:rsid w:val="0005472D"/>
    <w:rsid w:val="0005517A"/>
    <w:rsid w:val="000551A2"/>
    <w:rsid w:val="0005578D"/>
    <w:rsid w:val="000559D0"/>
    <w:rsid w:val="00055B45"/>
    <w:rsid w:val="00055CFD"/>
    <w:rsid w:val="000568E9"/>
    <w:rsid w:val="00056950"/>
    <w:rsid w:val="000577D0"/>
    <w:rsid w:val="00057F9C"/>
    <w:rsid w:val="000601DD"/>
    <w:rsid w:val="00060250"/>
    <w:rsid w:val="000609C7"/>
    <w:rsid w:val="00061664"/>
    <w:rsid w:val="00061B9B"/>
    <w:rsid w:val="0006208E"/>
    <w:rsid w:val="000629D7"/>
    <w:rsid w:val="00062ADF"/>
    <w:rsid w:val="00063561"/>
    <w:rsid w:val="0006381A"/>
    <w:rsid w:val="000639FA"/>
    <w:rsid w:val="00063B4A"/>
    <w:rsid w:val="0006483A"/>
    <w:rsid w:val="00064CF6"/>
    <w:rsid w:val="00064ED4"/>
    <w:rsid w:val="000653D0"/>
    <w:rsid w:val="00065A01"/>
    <w:rsid w:val="00065AEC"/>
    <w:rsid w:val="00065E62"/>
    <w:rsid w:val="000661B9"/>
    <w:rsid w:val="00066644"/>
    <w:rsid w:val="00066744"/>
    <w:rsid w:val="00066EBC"/>
    <w:rsid w:val="000673FD"/>
    <w:rsid w:val="000678BA"/>
    <w:rsid w:val="00067BF0"/>
    <w:rsid w:val="0007054B"/>
    <w:rsid w:val="00070694"/>
    <w:rsid w:val="00070753"/>
    <w:rsid w:val="00070840"/>
    <w:rsid w:val="00071177"/>
    <w:rsid w:val="000724AC"/>
    <w:rsid w:val="0007281F"/>
    <w:rsid w:val="00072B00"/>
    <w:rsid w:val="00072BB9"/>
    <w:rsid w:val="00072F22"/>
    <w:rsid w:val="00073581"/>
    <w:rsid w:val="000735BB"/>
    <w:rsid w:val="00073C29"/>
    <w:rsid w:val="00073DA8"/>
    <w:rsid w:val="00074240"/>
    <w:rsid w:val="000742AE"/>
    <w:rsid w:val="00074B43"/>
    <w:rsid w:val="00075523"/>
    <w:rsid w:val="000759C2"/>
    <w:rsid w:val="00075D23"/>
    <w:rsid w:val="00076362"/>
    <w:rsid w:val="00076E17"/>
    <w:rsid w:val="0007705C"/>
    <w:rsid w:val="00080D20"/>
    <w:rsid w:val="00080E44"/>
    <w:rsid w:val="00081332"/>
    <w:rsid w:val="00081374"/>
    <w:rsid w:val="00081E85"/>
    <w:rsid w:val="00081FDA"/>
    <w:rsid w:val="000826C2"/>
    <w:rsid w:val="000827BF"/>
    <w:rsid w:val="0008297B"/>
    <w:rsid w:val="00083A01"/>
    <w:rsid w:val="000841DF"/>
    <w:rsid w:val="000847E0"/>
    <w:rsid w:val="00084888"/>
    <w:rsid w:val="00085164"/>
    <w:rsid w:val="0008521B"/>
    <w:rsid w:val="0008559C"/>
    <w:rsid w:val="000855E3"/>
    <w:rsid w:val="00085730"/>
    <w:rsid w:val="00085D6F"/>
    <w:rsid w:val="00085FE8"/>
    <w:rsid w:val="00086357"/>
    <w:rsid w:val="000869AC"/>
    <w:rsid w:val="000871B4"/>
    <w:rsid w:val="00087226"/>
    <w:rsid w:val="00087377"/>
    <w:rsid w:val="000875BF"/>
    <w:rsid w:val="000879B7"/>
    <w:rsid w:val="0009036B"/>
    <w:rsid w:val="00090637"/>
    <w:rsid w:val="0009072E"/>
    <w:rsid w:val="000908E1"/>
    <w:rsid w:val="00091234"/>
    <w:rsid w:val="0009190D"/>
    <w:rsid w:val="00091BF3"/>
    <w:rsid w:val="00091C8B"/>
    <w:rsid w:val="00091E62"/>
    <w:rsid w:val="00092128"/>
    <w:rsid w:val="0009297F"/>
    <w:rsid w:val="00092FFB"/>
    <w:rsid w:val="0009380D"/>
    <w:rsid w:val="00093AE7"/>
    <w:rsid w:val="00093B4C"/>
    <w:rsid w:val="00093EF0"/>
    <w:rsid w:val="00094490"/>
    <w:rsid w:val="000945BC"/>
    <w:rsid w:val="00094728"/>
    <w:rsid w:val="000950F7"/>
    <w:rsid w:val="00095723"/>
    <w:rsid w:val="00095740"/>
    <w:rsid w:val="00095C47"/>
    <w:rsid w:val="00095ECF"/>
    <w:rsid w:val="000966C7"/>
    <w:rsid w:val="000969AC"/>
    <w:rsid w:val="00096B76"/>
    <w:rsid w:val="00097450"/>
    <w:rsid w:val="000976DB"/>
    <w:rsid w:val="000978E4"/>
    <w:rsid w:val="00097C96"/>
    <w:rsid w:val="00097EAA"/>
    <w:rsid w:val="000A0037"/>
    <w:rsid w:val="000A01E6"/>
    <w:rsid w:val="000A021D"/>
    <w:rsid w:val="000A0824"/>
    <w:rsid w:val="000A0989"/>
    <w:rsid w:val="000A0DE6"/>
    <w:rsid w:val="000A292C"/>
    <w:rsid w:val="000A2BD3"/>
    <w:rsid w:val="000A2E84"/>
    <w:rsid w:val="000A3279"/>
    <w:rsid w:val="000A3508"/>
    <w:rsid w:val="000A3604"/>
    <w:rsid w:val="000A3A16"/>
    <w:rsid w:val="000A3BFA"/>
    <w:rsid w:val="000A484D"/>
    <w:rsid w:val="000A4866"/>
    <w:rsid w:val="000A4A69"/>
    <w:rsid w:val="000A5643"/>
    <w:rsid w:val="000A6A13"/>
    <w:rsid w:val="000A7111"/>
    <w:rsid w:val="000B00AD"/>
    <w:rsid w:val="000B01AB"/>
    <w:rsid w:val="000B05C1"/>
    <w:rsid w:val="000B05D5"/>
    <w:rsid w:val="000B168F"/>
    <w:rsid w:val="000B169B"/>
    <w:rsid w:val="000B1D36"/>
    <w:rsid w:val="000B225D"/>
    <w:rsid w:val="000B2721"/>
    <w:rsid w:val="000B320E"/>
    <w:rsid w:val="000B35C6"/>
    <w:rsid w:val="000B39FA"/>
    <w:rsid w:val="000B3CFB"/>
    <w:rsid w:val="000B40E6"/>
    <w:rsid w:val="000B43FC"/>
    <w:rsid w:val="000B453A"/>
    <w:rsid w:val="000B4701"/>
    <w:rsid w:val="000B4974"/>
    <w:rsid w:val="000B4AE0"/>
    <w:rsid w:val="000B522E"/>
    <w:rsid w:val="000B5B84"/>
    <w:rsid w:val="000B6971"/>
    <w:rsid w:val="000B6BCB"/>
    <w:rsid w:val="000B77C2"/>
    <w:rsid w:val="000C0022"/>
    <w:rsid w:val="000C01CF"/>
    <w:rsid w:val="000C02AB"/>
    <w:rsid w:val="000C0965"/>
    <w:rsid w:val="000C0C35"/>
    <w:rsid w:val="000C11DD"/>
    <w:rsid w:val="000C1995"/>
    <w:rsid w:val="000C1A7B"/>
    <w:rsid w:val="000C1F3A"/>
    <w:rsid w:val="000C2319"/>
    <w:rsid w:val="000C23EB"/>
    <w:rsid w:val="000C29ED"/>
    <w:rsid w:val="000C335B"/>
    <w:rsid w:val="000C35C3"/>
    <w:rsid w:val="000C405A"/>
    <w:rsid w:val="000C4102"/>
    <w:rsid w:val="000C428F"/>
    <w:rsid w:val="000C4D5F"/>
    <w:rsid w:val="000C5319"/>
    <w:rsid w:val="000C5D2D"/>
    <w:rsid w:val="000C5DCA"/>
    <w:rsid w:val="000C61B7"/>
    <w:rsid w:val="000C6C11"/>
    <w:rsid w:val="000C7264"/>
    <w:rsid w:val="000C7505"/>
    <w:rsid w:val="000C75FB"/>
    <w:rsid w:val="000C7781"/>
    <w:rsid w:val="000C7ED2"/>
    <w:rsid w:val="000C7F97"/>
    <w:rsid w:val="000D00A2"/>
    <w:rsid w:val="000D00C8"/>
    <w:rsid w:val="000D027A"/>
    <w:rsid w:val="000D05B1"/>
    <w:rsid w:val="000D0F40"/>
    <w:rsid w:val="000D18A1"/>
    <w:rsid w:val="000D3097"/>
    <w:rsid w:val="000D3170"/>
    <w:rsid w:val="000D3332"/>
    <w:rsid w:val="000D3EC4"/>
    <w:rsid w:val="000D40A4"/>
    <w:rsid w:val="000D426B"/>
    <w:rsid w:val="000D4AB6"/>
    <w:rsid w:val="000D52E0"/>
    <w:rsid w:val="000D5400"/>
    <w:rsid w:val="000D592D"/>
    <w:rsid w:val="000D5FB9"/>
    <w:rsid w:val="000D6017"/>
    <w:rsid w:val="000D6981"/>
    <w:rsid w:val="000D70F6"/>
    <w:rsid w:val="000D73E3"/>
    <w:rsid w:val="000D7583"/>
    <w:rsid w:val="000D7865"/>
    <w:rsid w:val="000D7E4B"/>
    <w:rsid w:val="000D7E64"/>
    <w:rsid w:val="000E04C4"/>
    <w:rsid w:val="000E07AF"/>
    <w:rsid w:val="000E07C7"/>
    <w:rsid w:val="000E09D8"/>
    <w:rsid w:val="000E0ECB"/>
    <w:rsid w:val="000E1705"/>
    <w:rsid w:val="000E1922"/>
    <w:rsid w:val="000E1CEB"/>
    <w:rsid w:val="000E1DF6"/>
    <w:rsid w:val="000E2018"/>
    <w:rsid w:val="000E201D"/>
    <w:rsid w:val="000E20C5"/>
    <w:rsid w:val="000E274D"/>
    <w:rsid w:val="000E279F"/>
    <w:rsid w:val="000E2892"/>
    <w:rsid w:val="000E3179"/>
    <w:rsid w:val="000E4E0B"/>
    <w:rsid w:val="000E62BE"/>
    <w:rsid w:val="000E634F"/>
    <w:rsid w:val="000E6771"/>
    <w:rsid w:val="000E6B89"/>
    <w:rsid w:val="000E70DF"/>
    <w:rsid w:val="000E7723"/>
    <w:rsid w:val="000E7A07"/>
    <w:rsid w:val="000E7A82"/>
    <w:rsid w:val="000E7B22"/>
    <w:rsid w:val="000F0C98"/>
    <w:rsid w:val="000F11D9"/>
    <w:rsid w:val="000F1797"/>
    <w:rsid w:val="000F17CB"/>
    <w:rsid w:val="000F2AE7"/>
    <w:rsid w:val="000F2D5F"/>
    <w:rsid w:val="000F39B5"/>
    <w:rsid w:val="000F4103"/>
    <w:rsid w:val="000F4668"/>
    <w:rsid w:val="000F46C5"/>
    <w:rsid w:val="000F46FA"/>
    <w:rsid w:val="000F4884"/>
    <w:rsid w:val="000F4A6A"/>
    <w:rsid w:val="000F4ACF"/>
    <w:rsid w:val="000F4B65"/>
    <w:rsid w:val="000F4F01"/>
    <w:rsid w:val="000F5D9C"/>
    <w:rsid w:val="000F68E7"/>
    <w:rsid w:val="000F69AA"/>
    <w:rsid w:val="000F6DE9"/>
    <w:rsid w:val="000F6DF8"/>
    <w:rsid w:val="000F6EA2"/>
    <w:rsid w:val="000F7C43"/>
    <w:rsid w:val="00100A19"/>
    <w:rsid w:val="00100E81"/>
    <w:rsid w:val="001013B7"/>
    <w:rsid w:val="001016FE"/>
    <w:rsid w:val="001017A4"/>
    <w:rsid w:val="00101EB5"/>
    <w:rsid w:val="0010209A"/>
    <w:rsid w:val="001021E4"/>
    <w:rsid w:val="00102266"/>
    <w:rsid w:val="0010229F"/>
    <w:rsid w:val="001022AC"/>
    <w:rsid w:val="00102491"/>
    <w:rsid w:val="0010276F"/>
    <w:rsid w:val="00102C83"/>
    <w:rsid w:val="001031B5"/>
    <w:rsid w:val="00103512"/>
    <w:rsid w:val="00103818"/>
    <w:rsid w:val="00103ECB"/>
    <w:rsid w:val="001051EA"/>
    <w:rsid w:val="001065F5"/>
    <w:rsid w:val="0010680F"/>
    <w:rsid w:val="00106DA6"/>
    <w:rsid w:val="00106E20"/>
    <w:rsid w:val="00106E82"/>
    <w:rsid w:val="0010737B"/>
    <w:rsid w:val="0010785F"/>
    <w:rsid w:val="0010788D"/>
    <w:rsid w:val="001100BB"/>
    <w:rsid w:val="001103C4"/>
    <w:rsid w:val="001104C7"/>
    <w:rsid w:val="00110BBB"/>
    <w:rsid w:val="00110DB1"/>
    <w:rsid w:val="001111EE"/>
    <w:rsid w:val="00111945"/>
    <w:rsid w:val="00111DA3"/>
    <w:rsid w:val="001120FA"/>
    <w:rsid w:val="00112200"/>
    <w:rsid w:val="001123AA"/>
    <w:rsid w:val="001123AD"/>
    <w:rsid w:val="00112C40"/>
    <w:rsid w:val="001135EF"/>
    <w:rsid w:val="00113A9F"/>
    <w:rsid w:val="00113B43"/>
    <w:rsid w:val="00114333"/>
    <w:rsid w:val="00114443"/>
    <w:rsid w:val="00114878"/>
    <w:rsid w:val="00114ACF"/>
    <w:rsid w:val="00114F8D"/>
    <w:rsid w:val="00115022"/>
    <w:rsid w:val="0011568A"/>
    <w:rsid w:val="001157B3"/>
    <w:rsid w:val="00115C96"/>
    <w:rsid w:val="0011632F"/>
    <w:rsid w:val="001165D9"/>
    <w:rsid w:val="00116EE6"/>
    <w:rsid w:val="001170B6"/>
    <w:rsid w:val="001173DA"/>
    <w:rsid w:val="001177D3"/>
    <w:rsid w:val="00117F31"/>
    <w:rsid w:val="00120360"/>
    <w:rsid w:val="0012064B"/>
    <w:rsid w:val="00120CF4"/>
    <w:rsid w:val="00121236"/>
    <w:rsid w:val="0012159F"/>
    <w:rsid w:val="00121895"/>
    <w:rsid w:val="00121CEF"/>
    <w:rsid w:val="00121DF2"/>
    <w:rsid w:val="00121E98"/>
    <w:rsid w:val="0012245D"/>
    <w:rsid w:val="00122FDB"/>
    <w:rsid w:val="001232C6"/>
    <w:rsid w:val="001238A1"/>
    <w:rsid w:val="001238EF"/>
    <w:rsid w:val="00123924"/>
    <w:rsid w:val="00123D1C"/>
    <w:rsid w:val="00123FF3"/>
    <w:rsid w:val="00124010"/>
    <w:rsid w:val="0012493D"/>
    <w:rsid w:val="00125229"/>
    <w:rsid w:val="0012542B"/>
    <w:rsid w:val="0012613D"/>
    <w:rsid w:val="001263E1"/>
    <w:rsid w:val="00126623"/>
    <w:rsid w:val="00126996"/>
    <w:rsid w:val="00127621"/>
    <w:rsid w:val="0012799D"/>
    <w:rsid w:val="001300C5"/>
    <w:rsid w:val="001300C6"/>
    <w:rsid w:val="001304AD"/>
    <w:rsid w:val="0013099B"/>
    <w:rsid w:val="00130D76"/>
    <w:rsid w:val="00131CBD"/>
    <w:rsid w:val="00132940"/>
    <w:rsid w:val="00132B34"/>
    <w:rsid w:val="00132D50"/>
    <w:rsid w:val="00132DDA"/>
    <w:rsid w:val="00132E2C"/>
    <w:rsid w:val="00132EF8"/>
    <w:rsid w:val="00133202"/>
    <w:rsid w:val="001334D0"/>
    <w:rsid w:val="0013384D"/>
    <w:rsid w:val="001338E8"/>
    <w:rsid w:val="001340E1"/>
    <w:rsid w:val="0013425D"/>
    <w:rsid w:val="00134819"/>
    <w:rsid w:val="00134E0D"/>
    <w:rsid w:val="00134E12"/>
    <w:rsid w:val="00134FBA"/>
    <w:rsid w:val="00135942"/>
    <w:rsid w:val="001359C2"/>
    <w:rsid w:val="001359EF"/>
    <w:rsid w:val="0013672A"/>
    <w:rsid w:val="00137233"/>
    <w:rsid w:val="0014065C"/>
    <w:rsid w:val="001410B5"/>
    <w:rsid w:val="00141511"/>
    <w:rsid w:val="001419CF"/>
    <w:rsid w:val="00141B31"/>
    <w:rsid w:val="00141C81"/>
    <w:rsid w:val="00141C8A"/>
    <w:rsid w:val="00141D56"/>
    <w:rsid w:val="00141E71"/>
    <w:rsid w:val="00142078"/>
    <w:rsid w:val="001423AB"/>
    <w:rsid w:val="00142FAE"/>
    <w:rsid w:val="0014319B"/>
    <w:rsid w:val="00143719"/>
    <w:rsid w:val="00143C87"/>
    <w:rsid w:val="00143F52"/>
    <w:rsid w:val="00144A0F"/>
    <w:rsid w:val="00145582"/>
    <w:rsid w:val="001459B0"/>
    <w:rsid w:val="00145C3A"/>
    <w:rsid w:val="00145F0C"/>
    <w:rsid w:val="00145F4D"/>
    <w:rsid w:val="00146527"/>
    <w:rsid w:val="001467AC"/>
    <w:rsid w:val="001467E7"/>
    <w:rsid w:val="00146881"/>
    <w:rsid w:val="00146885"/>
    <w:rsid w:val="0014694E"/>
    <w:rsid w:val="00147283"/>
    <w:rsid w:val="00147878"/>
    <w:rsid w:val="0014796E"/>
    <w:rsid w:val="00147D2D"/>
    <w:rsid w:val="00147EBF"/>
    <w:rsid w:val="001503FF"/>
    <w:rsid w:val="00150663"/>
    <w:rsid w:val="00150A3A"/>
    <w:rsid w:val="00150FA7"/>
    <w:rsid w:val="0015135A"/>
    <w:rsid w:val="0015137C"/>
    <w:rsid w:val="00151A03"/>
    <w:rsid w:val="00152217"/>
    <w:rsid w:val="00152331"/>
    <w:rsid w:val="00152425"/>
    <w:rsid w:val="001524D2"/>
    <w:rsid w:val="0015292B"/>
    <w:rsid w:val="00152AAF"/>
    <w:rsid w:val="00152DD9"/>
    <w:rsid w:val="00153040"/>
    <w:rsid w:val="0015314B"/>
    <w:rsid w:val="00155180"/>
    <w:rsid w:val="00155361"/>
    <w:rsid w:val="00155B54"/>
    <w:rsid w:val="00155B68"/>
    <w:rsid w:val="00155DEB"/>
    <w:rsid w:val="00155FF0"/>
    <w:rsid w:val="00156452"/>
    <w:rsid w:val="00156935"/>
    <w:rsid w:val="00157227"/>
    <w:rsid w:val="001574A1"/>
    <w:rsid w:val="00157EBF"/>
    <w:rsid w:val="0016068E"/>
    <w:rsid w:val="00160A0F"/>
    <w:rsid w:val="00161325"/>
    <w:rsid w:val="00161676"/>
    <w:rsid w:val="001616AE"/>
    <w:rsid w:val="00161E71"/>
    <w:rsid w:val="0016202E"/>
    <w:rsid w:val="00162F86"/>
    <w:rsid w:val="001637C2"/>
    <w:rsid w:val="00164D44"/>
    <w:rsid w:val="00164F09"/>
    <w:rsid w:val="001650A3"/>
    <w:rsid w:val="001651F8"/>
    <w:rsid w:val="001657CA"/>
    <w:rsid w:val="00166023"/>
    <w:rsid w:val="0016614F"/>
    <w:rsid w:val="00166789"/>
    <w:rsid w:val="00166BE1"/>
    <w:rsid w:val="00167109"/>
    <w:rsid w:val="001672DA"/>
    <w:rsid w:val="0016798A"/>
    <w:rsid w:val="00167C8C"/>
    <w:rsid w:val="00167E1E"/>
    <w:rsid w:val="00170207"/>
    <w:rsid w:val="00170236"/>
    <w:rsid w:val="001711E5"/>
    <w:rsid w:val="001712B2"/>
    <w:rsid w:val="0017140F"/>
    <w:rsid w:val="00171ACB"/>
    <w:rsid w:val="00172401"/>
    <w:rsid w:val="001729EE"/>
    <w:rsid w:val="00172B58"/>
    <w:rsid w:val="00172D57"/>
    <w:rsid w:val="001730AF"/>
    <w:rsid w:val="001731F9"/>
    <w:rsid w:val="00173291"/>
    <w:rsid w:val="001733EC"/>
    <w:rsid w:val="001734BE"/>
    <w:rsid w:val="001734E5"/>
    <w:rsid w:val="0017376C"/>
    <w:rsid w:val="00173BA3"/>
    <w:rsid w:val="0017414C"/>
    <w:rsid w:val="0017427B"/>
    <w:rsid w:val="001748A9"/>
    <w:rsid w:val="0017563D"/>
    <w:rsid w:val="001759A7"/>
    <w:rsid w:val="0017614A"/>
    <w:rsid w:val="0017618D"/>
    <w:rsid w:val="00176776"/>
    <w:rsid w:val="00176D32"/>
    <w:rsid w:val="001772E3"/>
    <w:rsid w:val="001775BA"/>
    <w:rsid w:val="00177971"/>
    <w:rsid w:val="00177EE3"/>
    <w:rsid w:val="00180871"/>
    <w:rsid w:val="00180E63"/>
    <w:rsid w:val="00180F45"/>
    <w:rsid w:val="00181331"/>
    <w:rsid w:val="00181679"/>
    <w:rsid w:val="00181DF2"/>
    <w:rsid w:val="00182739"/>
    <w:rsid w:val="00182E76"/>
    <w:rsid w:val="001832AB"/>
    <w:rsid w:val="00183365"/>
    <w:rsid w:val="00183583"/>
    <w:rsid w:val="001836A5"/>
    <w:rsid w:val="00183837"/>
    <w:rsid w:val="00184CCC"/>
    <w:rsid w:val="00184DBD"/>
    <w:rsid w:val="00184DBF"/>
    <w:rsid w:val="00185174"/>
    <w:rsid w:val="001851A3"/>
    <w:rsid w:val="00185D98"/>
    <w:rsid w:val="00185DC1"/>
    <w:rsid w:val="00185EA7"/>
    <w:rsid w:val="0018660C"/>
    <w:rsid w:val="00187126"/>
    <w:rsid w:val="00187C1F"/>
    <w:rsid w:val="00190043"/>
    <w:rsid w:val="00190D82"/>
    <w:rsid w:val="001915DC"/>
    <w:rsid w:val="0019167B"/>
    <w:rsid w:val="00191B07"/>
    <w:rsid w:val="00191B09"/>
    <w:rsid w:val="00191C31"/>
    <w:rsid w:val="00192384"/>
    <w:rsid w:val="00192427"/>
    <w:rsid w:val="001925C8"/>
    <w:rsid w:val="00192B55"/>
    <w:rsid w:val="00192FB6"/>
    <w:rsid w:val="00193849"/>
    <w:rsid w:val="001938AD"/>
    <w:rsid w:val="0019410F"/>
    <w:rsid w:val="00194505"/>
    <w:rsid w:val="00194D2D"/>
    <w:rsid w:val="001958A4"/>
    <w:rsid w:val="001958CC"/>
    <w:rsid w:val="00195CA0"/>
    <w:rsid w:val="00196B9C"/>
    <w:rsid w:val="00196FFC"/>
    <w:rsid w:val="001971E7"/>
    <w:rsid w:val="001972DB"/>
    <w:rsid w:val="00197302"/>
    <w:rsid w:val="00197613"/>
    <w:rsid w:val="001979FD"/>
    <w:rsid w:val="00197E14"/>
    <w:rsid w:val="001A032F"/>
    <w:rsid w:val="001A05E3"/>
    <w:rsid w:val="001A06FB"/>
    <w:rsid w:val="001A0934"/>
    <w:rsid w:val="001A114B"/>
    <w:rsid w:val="001A125C"/>
    <w:rsid w:val="001A16B6"/>
    <w:rsid w:val="001A16E8"/>
    <w:rsid w:val="001A1BCD"/>
    <w:rsid w:val="001A1E4A"/>
    <w:rsid w:val="001A2FCB"/>
    <w:rsid w:val="001A31A6"/>
    <w:rsid w:val="001A35DF"/>
    <w:rsid w:val="001A36FD"/>
    <w:rsid w:val="001A406F"/>
    <w:rsid w:val="001A4356"/>
    <w:rsid w:val="001A44ED"/>
    <w:rsid w:val="001A45FD"/>
    <w:rsid w:val="001A4854"/>
    <w:rsid w:val="001A4A1F"/>
    <w:rsid w:val="001A4A9E"/>
    <w:rsid w:val="001A4B55"/>
    <w:rsid w:val="001A4DEC"/>
    <w:rsid w:val="001A5304"/>
    <w:rsid w:val="001A58AE"/>
    <w:rsid w:val="001A61E8"/>
    <w:rsid w:val="001A6327"/>
    <w:rsid w:val="001A6558"/>
    <w:rsid w:val="001A6B92"/>
    <w:rsid w:val="001A7768"/>
    <w:rsid w:val="001A79FC"/>
    <w:rsid w:val="001A7B62"/>
    <w:rsid w:val="001A7BFD"/>
    <w:rsid w:val="001A7CBE"/>
    <w:rsid w:val="001B0334"/>
    <w:rsid w:val="001B050A"/>
    <w:rsid w:val="001B0CE2"/>
    <w:rsid w:val="001B1C1C"/>
    <w:rsid w:val="001B22DD"/>
    <w:rsid w:val="001B2923"/>
    <w:rsid w:val="001B2FBE"/>
    <w:rsid w:val="001B3717"/>
    <w:rsid w:val="001B376E"/>
    <w:rsid w:val="001B3F53"/>
    <w:rsid w:val="001B47E9"/>
    <w:rsid w:val="001B5777"/>
    <w:rsid w:val="001B66FB"/>
    <w:rsid w:val="001B674C"/>
    <w:rsid w:val="001B6D1B"/>
    <w:rsid w:val="001B73FE"/>
    <w:rsid w:val="001B77E7"/>
    <w:rsid w:val="001B78D5"/>
    <w:rsid w:val="001B7A32"/>
    <w:rsid w:val="001B7B29"/>
    <w:rsid w:val="001C0309"/>
    <w:rsid w:val="001C1005"/>
    <w:rsid w:val="001C1140"/>
    <w:rsid w:val="001C16A1"/>
    <w:rsid w:val="001C200C"/>
    <w:rsid w:val="001C2A6C"/>
    <w:rsid w:val="001C30D5"/>
    <w:rsid w:val="001C4679"/>
    <w:rsid w:val="001C4BF6"/>
    <w:rsid w:val="001C4E1C"/>
    <w:rsid w:val="001C55FF"/>
    <w:rsid w:val="001C5B8F"/>
    <w:rsid w:val="001C5EAF"/>
    <w:rsid w:val="001C624E"/>
    <w:rsid w:val="001C6524"/>
    <w:rsid w:val="001C6987"/>
    <w:rsid w:val="001C6BF0"/>
    <w:rsid w:val="001C6E07"/>
    <w:rsid w:val="001C703E"/>
    <w:rsid w:val="001C7704"/>
    <w:rsid w:val="001C7B39"/>
    <w:rsid w:val="001C7D7E"/>
    <w:rsid w:val="001D0309"/>
    <w:rsid w:val="001D0569"/>
    <w:rsid w:val="001D0B54"/>
    <w:rsid w:val="001D162A"/>
    <w:rsid w:val="001D1925"/>
    <w:rsid w:val="001D1E30"/>
    <w:rsid w:val="001D20D2"/>
    <w:rsid w:val="001D2374"/>
    <w:rsid w:val="001D2510"/>
    <w:rsid w:val="001D26F5"/>
    <w:rsid w:val="001D2911"/>
    <w:rsid w:val="001D2939"/>
    <w:rsid w:val="001D3041"/>
    <w:rsid w:val="001D318C"/>
    <w:rsid w:val="001D371E"/>
    <w:rsid w:val="001D3B26"/>
    <w:rsid w:val="001D5377"/>
    <w:rsid w:val="001D58B8"/>
    <w:rsid w:val="001D5C87"/>
    <w:rsid w:val="001D5EA5"/>
    <w:rsid w:val="001D5ED7"/>
    <w:rsid w:val="001D5F81"/>
    <w:rsid w:val="001D5FD4"/>
    <w:rsid w:val="001D60E0"/>
    <w:rsid w:val="001D6393"/>
    <w:rsid w:val="001D65CB"/>
    <w:rsid w:val="001D6891"/>
    <w:rsid w:val="001D69D4"/>
    <w:rsid w:val="001D6EF3"/>
    <w:rsid w:val="001D7165"/>
    <w:rsid w:val="001E0032"/>
    <w:rsid w:val="001E0481"/>
    <w:rsid w:val="001E06C2"/>
    <w:rsid w:val="001E09CA"/>
    <w:rsid w:val="001E0D44"/>
    <w:rsid w:val="001E1719"/>
    <w:rsid w:val="001E1920"/>
    <w:rsid w:val="001E1F6C"/>
    <w:rsid w:val="001E248F"/>
    <w:rsid w:val="001E2637"/>
    <w:rsid w:val="001E29DA"/>
    <w:rsid w:val="001E2CD1"/>
    <w:rsid w:val="001E2DC9"/>
    <w:rsid w:val="001E2DE8"/>
    <w:rsid w:val="001E346A"/>
    <w:rsid w:val="001E34C3"/>
    <w:rsid w:val="001E3891"/>
    <w:rsid w:val="001E3A04"/>
    <w:rsid w:val="001E3C05"/>
    <w:rsid w:val="001E3CBA"/>
    <w:rsid w:val="001E3EAD"/>
    <w:rsid w:val="001E4110"/>
    <w:rsid w:val="001E44A6"/>
    <w:rsid w:val="001E44BB"/>
    <w:rsid w:val="001E483F"/>
    <w:rsid w:val="001E48A2"/>
    <w:rsid w:val="001E4BA7"/>
    <w:rsid w:val="001E5AED"/>
    <w:rsid w:val="001E61D1"/>
    <w:rsid w:val="001E66BA"/>
    <w:rsid w:val="001E692A"/>
    <w:rsid w:val="001F010F"/>
    <w:rsid w:val="001F05A7"/>
    <w:rsid w:val="001F06AA"/>
    <w:rsid w:val="001F15A3"/>
    <w:rsid w:val="001F164E"/>
    <w:rsid w:val="001F1958"/>
    <w:rsid w:val="001F1C70"/>
    <w:rsid w:val="001F1E2E"/>
    <w:rsid w:val="001F21A2"/>
    <w:rsid w:val="001F2500"/>
    <w:rsid w:val="001F2618"/>
    <w:rsid w:val="001F2DB3"/>
    <w:rsid w:val="001F3E19"/>
    <w:rsid w:val="001F3F6F"/>
    <w:rsid w:val="001F4163"/>
    <w:rsid w:val="001F45ED"/>
    <w:rsid w:val="001F4DC7"/>
    <w:rsid w:val="001F508B"/>
    <w:rsid w:val="001F53B5"/>
    <w:rsid w:val="001F5482"/>
    <w:rsid w:val="001F5A18"/>
    <w:rsid w:val="001F5B8F"/>
    <w:rsid w:val="001F5F59"/>
    <w:rsid w:val="001F642B"/>
    <w:rsid w:val="001F6893"/>
    <w:rsid w:val="001F68B2"/>
    <w:rsid w:val="001F7122"/>
    <w:rsid w:val="001F73BA"/>
    <w:rsid w:val="001F73DE"/>
    <w:rsid w:val="001F7CFF"/>
    <w:rsid w:val="001F7F32"/>
    <w:rsid w:val="00200165"/>
    <w:rsid w:val="0020028F"/>
    <w:rsid w:val="00200523"/>
    <w:rsid w:val="00200937"/>
    <w:rsid w:val="00200F8E"/>
    <w:rsid w:val="00201311"/>
    <w:rsid w:val="00201BCB"/>
    <w:rsid w:val="00201D95"/>
    <w:rsid w:val="00201DB6"/>
    <w:rsid w:val="00202404"/>
    <w:rsid w:val="00202A3B"/>
    <w:rsid w:val="00202ACC"/>
    <w:rsid w:val="00202C23"/>
    <w:rsid w:val="00202CB8"/>
    <w:rsid w:val="002034DE"/>
    <w:rsid w:val="0020358D"/>
    <w:rsid w:val="00203E21"/>
    <w:rsid w:val="002040CC"/>
    <w:rsid w:val="00204249"/>
    <w:rsid w:val="00204D81"/>
    <w:rsid w:val="00205391"/>
    <w:rsid w:val="00205984"/>
    <w:rsid w:val="002059F7"/>
    <w:rsid w:val="00205D14"/>
    <w:rsid w:val="0020627B"/>
    <w:rsid w:val="00206281"/>
    <w:rsid w:val="00206537"/>
    <w:rsid w:val="00206E52"/>
    <w:rsid w:val="00207229"/>
    <w:rsid w:val="00207D68"/>
    <w:rsid w:val="00210891"/>
    <w:rsid w:val="00211CDE"/>
    <w:rsid w:val="0021298B"/>
    <w:rsid w:val="00212CE9"/>
    <w:rsid w:val="00212D51"/>
    <w:rsid w:val="00212EA0"/>
    <w:rsid w:val="002140A7"/>
    <w:rsid w:val="0021549C"/>
    <w:rsid w:val="00215773"/>
    <w:rsid w:val="00215A7A"/>
    <w:rsid w:val="00215E2F"/>
    <w:rsid w:val="0021614D"/>
    <w:rsid w:val="00216573"/>
    <w:rsid w:val="002168C3"/>
    <w:rsid w:val="00216A26"/>
    <w:rsid w:val="00216CC4"/>
    <w:rsid w:val="002178E4"/>
    <w:rsid w:val="00217B70"/>
    <w:rsid w:val="002205EB"/>
    <w:rsid w:val="002205FB"/>
    <w:rsid w:val="00220F9B"/>
    <w:rsid w:val="0022163F"/>
    <w:rsid w:val="0022187F"/>
    <w:rsid w:val="00222E52"/>
    <w:rsid w:val="002233B5"/>
    <w:rsid w:val="0022343D"/>
    <w:rsid w:val="00223F02"/>
    <w:rsid w:val="0022412C"/>
    <w:rsid w:val="0022437F"/>
    <w:rsid w:val="00224613"/>
    <w:rsid w:val="0022489D"/>
    <w:rsid w:val="002249CB"/>
    <w:rsid w:val="00224A1C"/>
    <w:rsid w:val="00224CEA"/>
    <w:rsid w:val="00224DD0"/>
    <w:rsid w:val="002254EC"/>
    <w:rsid w:val="00226011"/>
    <w:rsid w:val="00226A93"/>
    <w:rsid w:val="00226C19"/>
    <w:rsid w:val="00226EEB"/>
    <w:rsid w:val="00227913"/>
    <w:rsid w:val="00230B7B"/>
    <w:rsid w:val="00231056"/>
    <w:rsid w:val="00231295"/>
    <w:rsid w:val="0023134C"/>
    <w:rsid w:val="00231E4F"/>
    <w:rsid w:val="002322B2"/>
    <w:rsid w:val="002329BF"/>
    <w:rsid w:val="00232D80"/>
    <w:rsid w:val="00232DF7"/>
    <w:rsid w:val="0023346D"/>
    <w:rsid w:val="0023376E"/>
    <w:rsid w:val="0023382A"/>
    <w:rsid w:val="00233DB1"/>
    <w:rsid w:val="00233DC7"/>
    <w:rsid w:val="00233F42"/>
    <w:rsid w:val="00233FFE"/>
    <w:rsid w:val="00234099"/>
    <w:rsid w:val="00235E2E"/>
    <w:rsid w:val="002360E6"/>
    <w:rsid w:val="0023640A"/>
    <w:rsid w:val="0023696A"/>
    <w:rsid w:val="0023707B"/>
    <w:rsid w:val="00237413"/>
    <w:rsid w:val="002376E1"/>
    <w:rsid w:val="00237761"/>
    <w:rsid w:val="00237E44"/>
    <w:rsid w:val="00237EB2"/>
    <w:rsid w:val="002405F9"/>
    <w:rsid w:val="0024087D"/>
    <w:rsid w:val="002417D0"/>
    <w:rsid w:val="002426B7"/>
    <w:rsid w:val="00242AC4"/>
    <w:rsid w:val="00243074"/>
    <w:rsid w:val="002436B8"/>
    <w:rsid w:val="00243B2B"/>
    <w:rsid w:val="002444AC"/>
    <w:rsid w:val="002445E0"/>
    <w:rsid w:val="00245579"/>
    <w:rsid w:val="00245C1D"/>
    <w:rsid w:val="00245EE5"/>
    <w:rsid w:val="00245FE6"/>
    <w:rsid w:val="00246568"/>
    <w:rsid w:val="00246D0A"/>
    <w:rsid w:val="002475E4"/>
    <w:rsid w:val="00247779"/>
    <w:rsid w:val="002509E3"/>
    <w:rsid w:val="00250C88"/>
    <w:rsid w:val="00250DB7"/>
    <w:rsid w:val="002511BE"/>
    <w:rsid w:val="002512DB"/>
    <w:rsid w:val="00251CB7"/>
    <w:rsid w:val="00251E25"/>
    <w:rsid w:val="00251FB5"/>
    <w:rsid w:val="00252512"/>
    <w:rsid w:val="00252C7C"/>
    <w:rsid w:val="00252F12"/>
    <w:rsid w:val="00253CA8"/>
    <w:rsid w:val="00253DE0"/>
    <w:rsid w:val="00254401"/>
    <w:rsid w:val="00254DC2"/>
    <w:rsid w:val="002553FD"/>
    <w:rsid w:val="002555DC"/>
    <w:rsid w:val="00255BCF"/>
    <w:rsid w:val="00255E58"/>
    <w:rsid w:val="00255E71"/>
    <w:rsid w:val="00255F17"/>
    <w:rsid w:val="002563D4"/>
    <w:rsid w:val="00256911"/>
    <w:rsid w:val="0025696B"/>
    <w:rsid w:val="00257AE7"/>
    <w:rsid w:val="00257D7E"/>
    <w:rsid w:val="00260455"/>
    <w:rsid w:val="0026130C"/>
    <w:rsid w:val="0026148F"/>
    <w:rsid w:val="00262195"/>
    <w:rsid w:val="0026265A"/>
    <w:rsid w:val="00262667"/>
    <w:rsid w:val="00262FDF"/>
    <w:rsid w:val="00262FF8"/>
    <w:rsid w:val="00263AAF"/>
    <w:rsid w:val="00263B0F"/>
    <w:rsid w:val="002644CD"/>
    <w:rsid w:val="0026453C"/>
    <w:rsid w:val="00264901"/>
    <w:rsid w:val="00264B9D"/>
    <w:rsid w:val="00264E66"/>
    <w:rsid w:val="00265612"/>
    <w:rsid w:val="00265EEB"/>
    <w:rsid w:val="002664AA"/>
    <w:rsid w:val="00266522"/>
    <w:rsid w:val="002666D4"/>
    <w:rsid w:val="002669B8"/>
    <w:rsid w:val="00267265"/>
    <w:rsid w:val="002675B7"/>
    <w:rsid w:val="0026799F"/>
    <w:rsid w:val="002679D8"/>
    <w:rsid w:val="00267A37"/>
    <w:rsid w:val="00270147"/>
    <w:rsid w:val="00270B2A"/>
    <w:rsid w:val="0027131D"/>
    <w:rsid w:val="00271ADB"/>
    <w:rsid w:val="00271EFD"/>
    <w:rsid w:val="00272491"/>
    <w:rsid w:val="002724EA"/>
    <w:rsid w:val="00272DA2"/>
    <w:rsid w:val="0027323B"/>
    <w:rsid w:val="00274506"/>
    <w:rsid w:val="00274C71"/>
    <w:rsid w:val="0027512E"/>
    <w:rsid w:val="00275323"/>
    <w:rsid w:val="00275AFA"/>
    <w:rsid w:val="00275FD1"/>
    <w:rsid w:val="00276238"/>
    <w:rsid w:val="002766E8"/>
    <w:rsid w:val="00276A06"/>
    <w:rsid w:val="00276AD8"/>
    <w:rsid w:val="00276D2B"/>
    <w:rsid w:val="00277437"/>
    <w:rsid w:val="0027785F"/>
    <w:rsid w:val="00277B92"/>
    <w:rsid w:val="00277CB6"/>
    <w:rsid w:val="00277CD9"/>
    <w:rsid w:val="00277F10"/>
    <w:rsid w:val="00277F63"/>
    <w:rsid w:val="00280082"/>
    <w:rsid w:val="0028016C"/>
    <w:rsid w:val="002801A6"/>
    <w:rsid w:val="0028070B"/>
    <w:rsid w:val="00280876"/>
    <w:rsid w:val="002812AD"/>
    <w:rsid w:val="002813AB"/>
    <w:rsid w:val="00281532"/>
    <w:rsid w:val="0028165B"/>
    <w:rsid w:val="00281864"/>
    <w:rsid w:val="00281B4A"/>
    <w:rsid w:val="00281D36"/>
    <w:rsid w:val="00281E83"/>
    <w:rsid w:val="00281EC1"/>
    <w:rsid w:val="00281EEC"/>
    <w:rsid w:val="00282486"/>
    <w:rsid w:val="00282487"/>
    <w:rsid w:val="00282C77"/>
    <w:rsid w:val="00283207"/>
    <w:rsid w:val="002837D0"/>
    <w:rsid w:val="00283D01"/>
    <w:rsid w:val="002842D2"/>
    <w:rsid w:val="00284765"/>
    <w:rsid w:val="00285BEE"/>
    <w:rsid w:val="002862EA"/>
    <w:rsid w:val="00286579"/>
    <w:rsid w:val="00286B5A"/>
    <w:rsid w:val="00286DD4"/>
    <w:rsid w:val="00286E6F"/>
    <w:rsid w:val="002870C2"/>
    <w:rsid w:val="002871BA"/>
    <w:rsid w:val="0028798C"/>
    <w:rsid w:val="00287B13"/>
    <w:rsid w:val="00287D50"/>
    <w:rsid w:val="00287FED"/>
    <w:rsid w:val="0029006C"/>
    <w:rsid w:val="0029065A"/>
    <w:rsid w:val="00290D7C"/>
    <w:rsid w:val="00290E92"/>
    <w:rsid w:val="002910B2"/>
    <w:rsid w:val="002910CD"/>
    <w:rsid w:val="00291332"/>
    <w:rsid w:val="00291ACB"/>
    <w:rsid w:val="00291C1E"/>
    <w:rsid w:val="00292189"/>
    <w:rsid w:val="00292453"/>
    <w:rsid w:val="0029368C"/>
    <w:rsid w:val="00294345"/>
    <w:rsid w:val="00294828"/>
    <w:rsid w:val="00294829"/>
    <w:rsid w:val="00294E00"/>
    <w:rsid w:val="0029533F"/>
    <w:rsid w:val="00295CE1"/>
    <w:rsid w:val="00295DAA"/>
    <w:rsid w:val="00295DF6"/>
    <w:rsid w:val="002969FA"/>
    <w:rsid w:val="002974F0"/>
    <w:rsid w:val="00297CB2"/>
    <w:rsid w:val="002A00EB"/>
    <w:rsid w:val="002A02EB"/>
    <w:rsid w:val="002A047E"/>
    <w:rsid w:val="002A0621"/>
    <w:rsid w:val="002A1001"/>
    <w:rsid w:val="002A108C"/>
    <w:rsid w:val="002A2137"/>
    <w:rsid w:val="002A255F"/>
    <w:rsid w:val="002A3B75"/>
    <w:rsid w:val="002A3BA4"/>
    <w:rsid w:val="002A4847"/>
    <w:rsid w:val="002A4E95"/>
    <w:rsid w:val="002A4F4F"/>
    <w:rsid w:val="002A5068"/>
    <w:rsid w:val="002A6836"/>
    <w:rsid w:val="002A6B04"/>
    <w:rsid w:val="002A6FAB"/>
    <w:rsid w:val="002A7DDF"/>
    <w:rsid w:val="002A7EBD"/>
    <w:rsid w:val="002B023F"/>
    <w:rsid w:val="002B0CEB"/>
    <w:rsid w:val="002B125B"/>
    <w:rsid w:val="002B1289"/>
    <w:rsid w:val="002B1378"/>
    <w:rsid w:val="002B145C"/>
    <w:rsid w:val="002B1890"/>
    <w:rsid w:val="002B191D"/>
    <w:rsid w:val="002B1BE1"/>
    <w:rsid w:val="002B2778"/>
    <w:rsid w:val="002B2E17"/>
    <w:rsid w:val="002B2EF8"/>
    <w:rsid w:val="002B30AF"/>
    <w:rsid w:val="002B37EB"/>
    <w:rsid w:val="002B39B8"/>
    <w:rsid w:val="002B3ACA"/>
    <w:rsid w:val="002B3E63"/>
    <w:rsid w:val="002B4002"/>
    <w:rsid w:val="002B40DF"/>
    <w:rsid w:val="002B49CF"/>
    <w:rsid w:val="002B4DCA"/>
    <w:rsid w:val="002B5B5F"/>
    <w:rsid w:val="002B5EB8"/>
    <w:rsid w:val="002B6504"/>
    <w:rsid w:val="002B6932"/>
    <w:rsid w:val="002B6F25"/>
    <w:rsid w:val="002B7640"/>
    <w:rsid w:val="002B7AB4"/>
    <w:rsid w:val="002C0666"/>
    <w:rsid w:val="002C085D"/>
    <w:rsid w:val="002C14CF"/>
    <w:rsid w:val="002C1AC7"/>
    <w:rsid w:val="002C1D3C"/>
    <w:rsid w:val="002C24C4"/>
    <w:rsid w:val="002C2C7C"/>
    <w:rsid w:val="002C310B"/>
    <w:rsid w:val="002C3835"/>
    <w:rsid w:val="002C3BA6"/>
    <w:rsid w:val="002C3E12"/>
    <w:rsid w:val="002C3F5C"/>
    <w:rsid w:val="002C3FD5"/>
    <w:rsid w:val="002C4207"/>
    <w:rsid w:val="002C4220"/>
    <w:rsid w:val="002C4521"/>
    <w:rsid w:val="002C4B2C"/>
    <w:rsid w:val="002C5544"/>
    <w:rsid w:val="002C55DC"/>
    <w:rsid w:val="002C6174"/>
    <w:rsid w:val="002C625D"/>
    <w:rsid w:val="002C6915"/>
    <w:rsid w:val="002C691C"/>
    <w:rsid w:val="002C6C45"/>
    <w:rsid w:val="002C6F46"/>
    <w:rsid w:val="002C712D"/>
    <w:rsid w:val="002C732E"/>
    <w:rsid w:val="002C770B"/>
    <w:rsid w:val="002C7801"/>
    <w:rsid w:val="002C79D7"/>
    <w:rsid w:val="002C7CDC"/>
    <w:rsid w:val="002C7D53"/>
    <w:rsid w:val="002C7D65"/>
    <w:rsid w:val="002D042F"/>
    <w:rsid w:val="002D05A6"/>
    <w:rsid w:val="002D0DAC"/>
    <w:rsid w:val="002D157C"/>
    <w:rsid w:val="002D180A"/>
    <w:rsid w:val="002D2598"/>
    <w:rsid w:val="002D29FA"/>
    <w:rsid w:val="002D3A1F"/>
    <w:rsid w:val="002D3C41"/>
    <w:rsid w:val="002D3DEA"/>
    <w:rsid w:val="002D4482"/>
    <w:rsid w:val="002D5794"/>
    <w:rsid w:val="002D593D"/>
    <w:rsid w:val="002D639E"/>
    <w:rsid w:val="002D6686"/>
    <w:rsid w:val="002D66E1"/>
    <w:rsid w:val="002D68A3"/>
    <w:rsid w:val="002D696B"/>
    <w:rsid w:val="002D6CA9"/>
    <w:rsid w:val="002D6D65"/>
    <w:rsid w:val="002D6E2A"/>
    <w:rsid w:val="002D7314"/>
    <w:rsid w:val="002D7473"/>
    <w:rsid w:val="002D7B4F"/>
    <w:rsid w:val="002E00C3"/>
    <w:rsid w:val="002E0123"/>
    <w:rsid w:val="002E086A"/>
    <w:rsid w:val="002E1A7A"/>
    <w:rsid w:val="002E2354"/>
    <w:rsid w:val="002E237B"/>
    <w:rsid w:val="002E2388"/>
    <w:rsid w:val="002E3D7B"/>
    <w:rsid w:val="002E3E8C"/>
    <w:rsid w:val="002E3EEA"/>
    <w:rsid w:val="002E436E"/>
    <w:rsid w:val="002E463A"/>
    <w:rsid w:val="002E506F"/>
    <w:rsid w:val="002E51D9"/>
    <w:rsid w:val="002E6531"/>
    <w:rsid w:val="002E6A17"/>
    <w:rsid w:val="002E6C30"/>
    <w:rsid w:val="002E74D3"/>
    <w:rsid w:val="002E7AFE"/>
    <w:rsid w:val="002F026E"/>
    <w:rsid w:val="002F1148"/>
    <w:rsid w:val="002F1278"/>
    <w:rsid w:val="002F2E08"/>
    <w:rsid w:val="002F3084"/>
    <w:rsid w:val="002F33D7"/>
    <w:rsid w:val="002F3964"/>
    <w:rsid w:val="002F3C90"/>
    <w:rsid w:val="002F3E62"/>
    <w:rsid w:val="002F4043"/>
    <w:rsid w:val="002F40AD"/>
    <w:rsid w:val="002F42DF"/>
    <w:rsid w:val="002F436A"/>
    <w:rsid w:val="002F45BF"/>
    <w:rsid w:val="002F4753"/>
    <w:rsid w:val="002F487D"/>
    <w:rsid w:val="002F51FA"/>
    <w:rsid w:val="002F540A"/>
    <w:rsid w:val="002F6102"/>
    <w:rsid w:val="002F653D"/>
    <w:rsid w:val="002F6741"/>
    <w:rsid w:val="002F7043"/>
    <w:rsid w:val="002F7426"/>
    <w:rsid w:val="002F77CB"/>
    <w:rsid w:val="002F77D9"/>
    <w:rsid w:val="002F7A25"/>
    <w:rsid w:val="00300020"/>
    <w:rsid w:val="003002D1"/>
    <w:rsid w:val="0030089C"/>
    <w:rsid w:val="00300AF4"/>
    <w:rsid w:val="00300EBD"/>
    <w:rsid w:val="0030160E"/>
    <w:rsid w:val="0030161A"/>
    <w:rsid w:val="00301CE4"/>
    <w:rsid w:val="0030324F"/>
    <w:rsid w:val="0030381B"/>
    <w:rsid w:val="00303E12"/>
    <w:rsid w:val="00303F46"/>
    <w:rsid w:val="003041F3"/>
    <w:rsid w:val="003042BE"/>
    <w:rsid w:val="00304818"/>
    <w:rsid w:val="003056A5"/>
    <w:rsid w:val="003056AA"/>
    <w:rsid w:val="0030583F"/>
    <w:rsid w:val="00305F49"/>
    <w:rsid w:val="0030678E"/>
    <w:rsid w:val="0030693E"/>
    <w:rsid w:val="00306DFD"/>
    <w:rsid w:val="00306F66"/>
    <w:rsid w:val="00306FAE"/>
    <w:rsid w:val="003072F4"/>
    <w:rsid w:val="0030797E"/>
    <w:rsid w:val="00307BEE"/>
    <w:rsid w:val="003104C5"/>
    <w:rsid w:val="00310B23"/>
    <w:rsid w:val="00310F3B"/>
    <w:rsid w:val="003110D8"/>
    <w:rsid w:val="00311128"/>
    <w:rsid w:val="00311AB4"/>
    <w:rsid w:val="00311C2F"/>
    <w:rsid w:val="00312068"/>
    <w:rsid w:val="003124ED"/>
    <w:rsid w:val="0031263B"/>
    <w:rsid w:val="00312E8F"/>
    <w:rsid w:val="00313459"/>
    <w:rsid w:val="003140BD"/>
    <w:rsid w:val="00314C5F"/>
    <w:rsid w:val="003153C6"/>
    <w:rsid w:val="00315F38"/>
    <w:rsid w:val="00316391"/>
    <w:rsid w:val="00316C9E"/>
    <w:rsid w:val="00316E93"/>
    <w:rsid w:val="00316FB7"/>
    <w:rsid w:val="003172CD"/>
    <w:rsid w:val="00320ACD"/>
    <w:rsid w:val="00320B4A"/>
    <w:rsid w:val="003215AF"/>
    <w:rsid w:val="00321E4B"/>
    <w:rsid w:val="003222D1"/>
    <w:rsid w:val="003228B4"/>
    <w:rsid w:val="003237A2"/>
    <w:rsid w:val="00323EBA"/>
    <w:rsid w:val="0032428F"/>
    <w:rsid w:val="00324790"/>
    <w:rsid w:val="00324977"/>
    <w:rsid w:val="00324C95"/>
    <w:rsid w:val="00325174"/>
    <w:rsid w:val="0032538F"/>
    <w:rsid w:val="00325D0D"/>
    <w:rsid w:val="00327609"/>
    <w:rsid w:val="0032777B"/>
    <w:rsid w:val="003307AD"/>
    <w:rsid w:val="00331D1D"/>
    <w:rsid w:val="00331DBC"/>
    <w:rsid w:val="00331DC6"/>
    <w:rsid w:val="00332509"/>
    <w:rsid w:val="00332737"/>
    <w:rsid w:val="0033284F"/>
    <w:rsid w:val="003333B3"/>
    <w:rsid w:val="0033344A"/>
    <w:rsid w:val="003336EE"/>
    <w:rsid w:val="00333CC5"/>
    <w:rsid w:val="003345EA"/>
    <w:rsid w:val="00334658"/>
    <w:rsid w:val="003348FB"/>
    <w:rsid w:val="00334B77"/>
    <w:rsid w:val="00334FA7"/>
    <w:rsid w:val="00335961"/>
    <w:rsid w:val="00337000"/>
    <w:rsid w:val="00337503"/>
    <w:rsid w:val="003400AE"/>
    <w:rsid w:val="00340242"/>
    <w:rsid w:val="00340618"/>
    <w:rsid w:val="00340741"/>
    <w:rsid w:val="003409E4"/>
    <w:rsid w:val="00341125"/>
    <w:rsid w:val="0034113A"/>
    <w:rsid w:val="00341633"/>
    <w:rsid w:val="003424D6"/>
    <w:rsid w:val="00342AAD"/>
    <w:rsid w:val="00342E02"/>
    <w:rsid w:val="00342F24"/>
    <w:rsid w:val="0034397E"/>
    <w:rsid w:val="00343F01"/>
    <w:rsid w:val="0034497D"/>
    <w:rsid w:val="00344F95"/>
    <w:rsid w:val="0034557F"/>
    <w:rsid w:val="00345626"/>
    <w:rsid w:val="003458FB"/>
    <w:rsid w:val="00345A25"/>
    <w:rsid w:val="00345A51"/>
    <w:rsid w:val="00345D14"/>
    <w:rsid w:val="003460B0"/>
    <w:rsid w:val="003464F6"/>
    <w:rsid w:val="00346B03"/>
    <w:rsid w:val="00346B5C"/>
    <w:rsid w:val="00346E7C"/>
    <w:rsid w:val="00346FD2"/>
    <w:rsid w:val="003470B9"/>
    <w:rsid w:val="00347C86"/>
    <w:rsid w:val="00350179"/>
    <w:rsid w:val="00350538"/>
    <w:rsid w:val="0035091F"/>
    <w:rsid w:val="00351206"/>
    <w:rsid w:val="00351745"/>
    <w:rsid w:val="0035249E"/>
    <w:rsid w:val="00352BFC"/>
    <w:rsid w:val="00352DD0"/>
    <w:rsid w:val="00352F17"/>
    <w:rsid w:val="00353281"/>
    <w:rsid w:val="00353B0A"/>
    <w:rsid w:val="00353D7A"/>
    <w:rsid w:val="00354190"/>
    <w:rsid w:val="0035458B"/>
    <w:rsid w:val="003547BD"/>
    <w:rsid w:val="003549C6"/>
    <w:rsid w:val="00354A58"/>
    <w:rsid w:val="003556CE"/>
    <w:rsid w:val="003558C5"/>
    <w:rsid w:val="003559B5"/>
    <w:rsid w:val="0035642A"/>
    <w:rsid w:val="00356496"/>
    <w:rsid w:val="003565AD"/>
    <w:rsid w:val="00356600"/>
    <w:rsid w:val="00356E94"/>
    <w:rsid w:val="00357655"/>
    <w:rsid w:val="0035784E"/>
    <w:rsid w:val="0035792E"/>
    <w:rsid w:val="00357980"/>
    <w:rsid w:val="00357F5F"/>
    <w:rsid w:val="00360A9C"/>
    <w:rsid w:val="00360B52"/>
    <w:rsid w:val="00360D60"/>
    <w:rsid w:val="00361122"/>
    <w:rsid w:val="003618C8"/>
    <w:rsid w:val="00361B78"/>
    <w:rsid w:val="00361C44"/>
    <w:rsid w:val="00361CA6"/>
    <w:rsid w:val="00361EAB"/>
    <w:rsid w:val="00362061"/>
    <w:rsid w:val="0036212B"/>
    <w:rsid w:val="00362295"/>
    <w:rsid w:val="0036266C"/>
    <w:rsid w:val="00362B38"/>
    <w:rsid w:val="003636EA"/>
    <w:rsid w:val="00363CE6"/>
    <w:rsid w:val="00363DCA"/>
    <w:rsid w:val="00364456"/>
    <w:rsid w:val="0036445E"/>
    <w:rsid w:val="003644BD"/>
    <w:rsid w:val="00364998"/>
    <w:rsid w:val="00365FDC"/>
    <w:rsid w:val="003665D0"/>
    <w:rsid w:val="00366C0B"/>
    <w:rsid w:val="00367012"/>
    <w:rsid w:val="0036770A"/>
    <w:rsid w:val="00367A00"/>
    <w:rsid w:val="00367A53"/>
    <w:rsid w:val="00367DC0"/>
    <w:rsid w:val="0037019E"/>
    <w:rsid w:val="00370792"/>
    <w:rsid w:val="003708EC"/>
    <w:rsid w:val="00370AF1"/>
    <w:rsid w:val="00370B92"/>
    <w:rsid w:val="00370EA2"/>
    <w:rsid w:val="00370F5B"/>
    <w:rsid w:val="00371560"/>
    <w:rsid w:val="00371626"/>
    <w:rsid w:val="003717F6"/>
    <w:rsid w:val="00371839"/>
    <w:rsid w:val="00371D1E"/>
    <w:rsid w:val="00372C12"/>
    <w:rsid w:val="00372EDA"/>
    <w:rsid w:val="00373041"/>
    <w:rsid w:val="0037335F"/>
    <w:rsid w:val="0037349F"/>
    <w:rsid w:val="003736F6"/>
    <w:rsid w:val="003738FF"/>
    <w:rsid w:val="003746F9"/>
    <w:rsid w:val="00374AF7"/>
    <w:rsid w:val="00374C2F"/>
    <w:rsid w:val="003759F0"/>
    <w:rsid w:val="003760A9"/>
    <w:rsid w:val="003760E5"/>
    <w:rsid w:val="003761D9"/>
    <w:rsid w:val="00376548"/>
    <w:rsid w:val="00376C70"/>
    <w:rsid w:val="00377195"/>
    <w:rsid w:val="003777C3"/>
    <w:rsid w:val="00377B37"/>
    <w:rsid w:val="003803BF"/>
    <w:rsid w:val="00380411"/>
    <w:rsid w:val="00380503"/>
    <w:rsid w:val="0038068A"/>
    <w:rsid w:val="00381111"/>
    <w:rsid w:val="003814D7"/>
    <w:rsid w:val="0038189F"/>
    <w:rsid w:val="00381B21"/>
    <w:rsid w:val="0038316E"/>
    <w:rsid w:val="0038335A"/>
    <w:rsid w:val="003842A0"/>
    <w:rsid w:val="00384403"/>
    <w:rsid w:val="00384935"/>
    <w:rsid w:val="00385B69"/>
    <w:rsid w:val="0038685C"/>
    <w:rsid w:val="00386ACA"/>
    <w:rsid w:val="00386B9F"/>
    <w:rsid w:val="00387781"/>
    <w:rsid w:val="003879F6"/>
    <w:rsid w:val="00387DC0"/>
    <w:rsid w:val="00387DE4"/>
    <w:rsid w:val="003901E8"/>
    <w:rsid w:val="00390267"/>
    <w:rsid w:val="00390489"/>
    <w:rsid w:val="003907B9"/>
    <w:rsid w:val="003909A7"/>
    <w:rsid w:val="003909EA"/>
    <w:rsid w:val="00390A24"/>
    <w:rsid w:val="00390C22"/>
    <w:rsid w:val="00391C70"/>
    <w:rsid w:val="00391FC8"/>
    <w:rsid w:val="003927F3"/>
    <w:rsid w:val="00393066"/>
    <w:rsid w:val="00394B0B"/>
    <w:rsid w:val="003951B6"/>
    <w:rsid w:val="00395FB2"/>
    <w:rsid w:val="0039611D"/>
    <w:rsid w:val="00396CAB"/>
    <w:rsid w:val="003978B0"/>
    <w:rsid w:val="00397948"/>
    <w:rsid w:val="00397A7A"/>
    <w:rsid w:val="00397F6A"/>
    <w:rsid w:val="003A04DC"/>
    <w:rsid w:val="003A0F65"/>
    <w:rsid w:val="003A11E7"/>
    <w:rsid w:val="003A1924"/>
    <w:rsid w:val="003A1D61"/>
    <w:rsid w:val="003A2335"/>
    <w:rsid w:val="003A28F6"/>
    <w:rsid w:val="003A38E7"/>
    <w:rsid w:val="003A391E"/>
    <w:rsid w:val="003A39B9"/>
    <w:rsid w:val="003A39D0"/>
    <w:rsid w:val="003A3AE3"/>
    <w:rsid w:val="003A5C85"/>
    <w:rsid w:val="003A5FFC"/>
    <w:rsid w:val="003A606D"/>
    <w:rsid w:val="003A6082"/>
    <w:rsid w:val="003A7D19"/>
    <w:rsid w:val="003B0853"/>
    <w:rsid w:val="003B0BDE"/>
    <w:rsid w:val="003B10D4"/>
    <w:rsid w:val="003B19C0"/>
    <w:rsid w:val="003B1C62"/>
    <w:rsid w:val="003B273C"/>
    <w:rsid w:val="003B2D67"/>
    <w:rsid w:val="003B39A8"/>
    <w:rsid w:val="003B3A9D"/>
    <w:rsid w:val="003B3C6E"/>
    <w:rsid w:val="003B40E3"/>
    <w:rsid w:val="003B41E0"/>
    <w:rsid w:val="003B42B3"/>
    <w:rsid w:val="003B47D5"/>
    <w:rsid w:val="003B4A69"/>
    <w:rsid w:val="003B4D4A"/>
    <w:rsid w:val="003B4E23"/>
    <w:rsid w:val="003B4F42"/>
    <w:rsid w:val="003B54AD"/>
    <w:rsid w:val="003B571D"/>
    <w:rsid w:val="003B5897"/>
    <w:rsid w:val="003B621F"/>
    <w:rsid w:val="003B6888"/>
    <w:rsid w:val="003B6B4E"/>
    <w:rsid w:val="003B6FDC"/>
    <w:rsid w:val="003B7301"/>
    <w:rsid w:val="003B7E43"/>
    <w:rsid w:val="003C0070"/>
    <w:rsid w:val="003C053A"/>
    <w:rsid w:val="003C0600"/>
    <w:rsid w:val="003C0618"/>
    <w:rsid w:val="003C07B0"/>
    <w:rsid w:val="003C13D7"/>
    <w:rsid w:val="003C185F"/>
    <w:rsid w:val="003C1DA7"/>
    <w:rsid w:val="003C21A9"/>
    <w:rsid w:val="003C236C"/>
    <w:rsid w:val="003C25A4"/>
    <w:rsid w:val="003C37FD"/>
    <w:rsid w:val="003C3F72"/>
    <w:rsid w:val="003C41B4"/>
    <w:rsid w:val="003C4503"/>
    <w:rsid w:val="003C4D35"/>
    <w:rsid w:val="003C4D56"/>
    <w:rsid w:val="003C5034"/>
    <w:rsid w:val="003C60E6"/>
    <w:rsid w:val="003C616B"/>
    <w:rsid w:val="003C64ED"/>
    <w:rsid w:val="003C68A5"/>
    <w:rsid w:val="003C6A43"/>
    <w:rsid w:val="003C6EFE"/>
    <w:rsid w:val="003C7216"/>
    <w:rsid w:val="003C7F53"/>
    <w:rsid w:val="003D0AA6"/>
    <w:rsid w:val="003D1240"/>
    <w:rsid w:val="003D200E"/>
    <w:rsid w:val="003D221C"/>
    <w:rsid w:val="003D2FBC"/>
    <w:rsid w:val="003D2FD3"/>
    <w:rsid w:val="003D3445"/>
    <w:rsid w:val="003D35AE"/>
    <w:rsid w:val="003D4144"/>
    <w:rsid w:val="003D4286"/>
    <w:rsid w:val="003D44A6"/>
    <w:rsid w:val="003D4E5B"/>
    <w:rsid w:val="003D55D4"/>
    <w:rsid w:val="003D5904"/>
    <w:rsid w:val="003D60D3"/>
    <w:rsid w:val="003D6CF6"/>
    <w:rsid w:val="003D6FDC"/>
    <w:rsid w:val="003D702C"/>
    <w:rsid w:val="003D716D"/>
    <w:rsid w:val="003D7378"/>
    <w:rsid w:val="003D75A7"/>
    <w:rsid w:val="003D77C6"/>
    <w:rsid w:val="003D7B69"/>
    <w:rsid w:val="003D7C9B"/>
    <w:rsid w:val="003D7CF0"/>
    <w:rsid w:val="003D7D64"/>
    <w:rsid w:val="003D7F20"/>
    <w:rsid w:val="003E04C7"/>
    <w:rsid w:val="003E087B"/>
    <w:rsid w:val="003E17A5"/>
    <w:rsid w:val="003E17D2"/>
    <w:rsid w:val="003E1947"/>
    <w:rsid w:val="003E1C8C"/>
    <w:rsid w:val="003E22B6"/>
    <w:rsid w:val="003E2480"/>
    <w:rsid w:val="003E25BC"/>
    <w:rsid w:val="003E266E"/>
    <w:rsid w:val="003E28C4"/>
    <w:rsid w:val="003E2F8F"/>
    <w:rsid w:val="003E317C"/>
    <w:rsid w:val="003E3397"/>
    <w:rsid w:val="003E3717"/>
    <w:rsid w:val="003E3DBC"/>
    <w:rsid w:val="003E47F4"/>
    <w:rsid w:val="003E4F66"/>
    <w:rsid w:val="003E5318"/>
    <w:rsid w:val="003E573E"/>
    <w:rsid w:val="003E58CF"/>
    <w:rsid w:val="003E5CB8"/>
    <w:rsid w:val="003E5F83"/>
    <w:rsid w:val="003E6958"/>
    <w:rsid w:val="003E6A07"/>
    <w:rsid w:val="003E6B71"/>
    <w:rsid w:val="003E6C09"/>
    <w:rsid w:val="003E7337"/>
    <w:rsid w:val="003E7633"/>
    <w:rsid w:val="003E7D9B"/>
    <w:rsid w:val="003E7DE7"/>
    <w:rsid w:val="003E7F31"/>
    <w:rsid w:val="003F0007"/>
    <w:rsid w:val="003F06BE"/>
    <w:rsid w:val="003F14FE"/>
    <w:rsid w:val="003F1553"/>
    <w:rsid w:val="003F15F8"/>
    <w:rsid w:val="003F2638"/>
    <w:rsid w:val="003F3028"/>
    <w:rsid w:val="003F35C1"/>
    <w:rsid w:val="003F3666"/>
    <w:rsid w:val="003F3743"/>
    <w:rsid w:val="003F3A0D"/>
    <w:rsid w:val="003F3B85"/>
    <w:rsid w:val="003F4212"/>
    <w:rsid w:val="003F43FB"/>
    <w:rsid w:val="003F44A1"/>
    <w:rsid w:val="003F48A6"/>
    <w:rsid w:val="003F4AC9"/>
    <w:rsid w:val="003F4B4E"/>
    <w:rsid w:val="003F4BDD"/>
    <w:rsid w:val="003F4D14"/>
    <w:rsid w:val="003F5C17"/>
    <w:rsid w:val="003F6061"/>
    <w:rsid w:val="003F6268"/>
    <w:rsid w:val="003F65B9"/>
    <w:rsid w:val="003F6864"/>
    <w:rsid w:val="003F69B8"/>
    <w:rsid w:val="003F6B4E"/>
    <w:rsid w:val="003F6E4D"/>
    <w:rsid w:val="003F7265"/>
    <w:rsid w:val="003F7717"/>
    <w:rsid w:val="003F7876"/>
    <w:rsid w:val="003F791C"/>
    <w:rsid w:val="003F7A77"/>
    <w:rsid w:val="003F7F45"/>
    <w:rsid w:val="004003FE"/>
    <w:rsid w:val="004006F0"/>
    <w:rsid w:val="00400B72"/>
    <w:rsid w:val="00401338"/>
    <w:rsid w:val="00401422"/>
    <w:rsid w:val="00401E9D"/>
    <w:rsid w:val="00402190"/>
    <w:rsid w:val="004024D5"/>
    <w:rsid w:val="0040288B"/>
    <w:rsid w:val="00402CCE"/>
    <w:rsid w:val="004034A8"/>
    <w:rsid w:val="004035BD"/>
    <w:rsid w:val="00403819"/>
    <w:rsid w:val="00403C86"/>
    <w:rsid w:val="00403E2F"/>
    <w:rsid w:val="0040410D"/>
    <w:rsid w:val="00404170"/>
    <w:rsid w:val="00404997"/>
    <w:rsid w:val="00406068"/>
    <w:rsid w:val="0040649E"/>
    <w:rsid w:val="00406DCD"/>
    <w:rsid w:val="00406F38"/>
    <w:rsid w:val="0040734D"/>
    <w:rsid w:val="0040774B"/>
    <w:rsid w:val="0040779E"/>
    <w:rsid w:val="00407839"/>
    <w:rsid w:val="004079A3"/>
    <w:rsid w:val="004079E1"/>
    <w:rsid w:val="00407A8D"/>
    <w:rsid w:val="004116FC"/>
    <w:rsid w:val="004118AA"/>
    <w:rsid w:val="00411F23"/>
    <w:rsid w:val="004122BB"/>
    <w:rsid w:val="004124FD"/>
    <w:rsid w:val="00412D15"/>
    <w:rsid w:val="0041300D"/>
    <w:rsid w:val="004133A7"/>
    <w:rsid w:val="004137D0"/>
    <w:rsid w:val="0041452E"/>
    <w:rsid w:val="00414549"/>
    <w:rsid w:val="00414C04"/>
    <w:rsid w:val="00415076"/>
    <w:rsid w:val="004152FB"/>
    <w:rsid w:val="004157D7"/>
    <w:rsid w:val="004157F2"/>
    <w:rsid w:val="004158DB"/>
    <w:rsid w:val="00416014"/>
    <w:rsid w:val="004160A5"/>
    <w:rsid w:val="004164D1"/>
    <w:rsid w:val="00416945"/>
    <w:rsid w:val="0041707B"/>
    <w:rsid w:val="004175C7"/>
    <w:rsid w:val="00417876"/>
    <w:rsid w:val="004179F0"/>
    <w:rsid w:val="00417EF8"/>
    <w:rsid w:val="00420437"/>
    <w:rsid w:val="004207F2"/>
    <w:rsid w:val="00420991"/>
    <w:rsid w:val="00420B24"/>
    <w:rsid w:val="00420D1E"/>
    <w:rsid w:val="00420F23"/>
    <w:rsid w:val="004213F4"/>
    <w:rsid w:val="00421562"/>
    <w:rsid w:val="004215D7"/>
    <w:rsid w:val="00421C6D"/>
    <w:rsid w:val="00421D92"/>
    <w:rsid w:val="00422329"/>
    <w:rsid w:val="00422A34"/>
    <w:rsid w:val="00422AD6"/>
    <w:rsid w:val="00422D77"/>
    <w:rsid w:val="00423178"/>
    <w:rsid w:val="004239D3"/>
    <w:rsid w:val="00423A06"/>
    <w:rsid w:val="00423DCB"/>
    <w:rsid w:val="004246FD"/>
    <w:rsid w:val="00424718"/>
    <w:rsid w:val="00424F57"/>
    <w:rsid w:val="00425206"/>
    <w:rsid w:val="004255E3"/>
    <w:rsid w:val="00425624"/>
    <w:rsid w:val="00425885"/>
    <w:rsid w:val="00425A09"/>
    <w:rsid w:val="00425F61"/>
    <w:rsid w:val="00426040"/>
    <w:rsid w:val="0042615B"/>
    <w:rsid w:val="0042648E"/>
    <w:rsid w:val="00426871"/>
    <w:rsid w:val="0042694E"/>
    <w:rsid w:val="0043087E"/>
    <w:rsid w:val="00430ED2"/>
    <w:rsid w:val="00431402"/>
    <w:rsid w:val="0043211B"/>
    <w:rsid w:val="0043245D"/>
    <w:rsid w:val="004330B8"/>
    <w:rsid w:val="0043345B"/>
    <w:rsid w:val="004335FA"/>
    <w:rsid w:val="00433C77"/>
    <w:rsid w:val="00433EB8"/>
    <w:rsid w:val="0043403C"/>
    <w:rsid w:val="00434291"/>
    <w:rsid w:val="004342EB"/>
    <w:rsid w:val="00434327"/>
    <w:rsid w:val="00434FAD"/>
    <w:rsid w:val="00435515"/>
    <w:rsid w:val="004359E6"/>
    <w:rsid w:val="00436B59"/>
    <w:rsid w:val="004374CA"/>
    <w:rsid w:val="00437C40"/>
    <w:rsid w:val="00437CD4"/>
    <w:rsid w:val="00437EB7"/>
    <w:rsid w:val="00440124"/>
    <w:rsid w:val="00440518"/>
    <w:rsid w:val="004409D3"/>
    <w:rsid w:val="004413E0"/>
    <w:rsid w:val="00441B9F"/>
    <w:rsid w:val="0044201F"/>
    <w:rsid w:val="0044283E"/>
    <w:rsid w:val="00442900"/>
    <w:rsid w:val="00442E5A"/>
    <w:rsid w:val="004436B7"/>
    <w:rsid w:val="004437E8"/>
    <w:rsid w:val="00443A35"/>
    <w:rsid w:val="004445D6"/>
    <w:rsid w:val="00444BE8"/>
    <w:rsid w:val="00444C40"/>
    <w:rsid w:val="00444D4E"/>
    <w:rsid w:val="00445D81"/>
    <w:rsid w:val="004460A0"/>
    <w:rsid w:val="004465AC"/>
    <w:rsid w:val="004465C7"/>
    <w:rsid w:val="004465F8"/>
    <w:rsid w:val="00446910"/>
    <w:rsid w:val="00446A43"/>
    <w:rsid w:val="00446D9C"/>
    <w:rsid w:val="00446E0D"/>
    <w:rsid w:val="00447CCC"/>
    <w:rsid w:val="00450766"/>
    <w:rsid w:val="00450A84"/>
    <w:rsid w:val="00450EFB"/>
    <w:rsid w:val="0045173C"/>
    <w:rsid w:val="00451936"/>
    <w:rsid w:val="004519F3"/>
    <w:rsid w:val="00451EBF"/>
    <w:rsid w:val="00452620"/>
    <w:rsid w:val="00453006"/>
    <w:rsid w:val="00453BA7"/>
    <w:rsid w:val="0045423A"/>
    <w:rsid w:val="00454939"/>
    <w:rsid w:val="00454D71"/>
    <w:rsid w:val="00454F6E"/>
    <w:rsid w:val="00455C3E"/>
    <w:rsid w:val="00455C48"/>
    <w:rsid w:val="00455C9B"/>
    <w:rsid w:val="004560EB"/>
    <w:rsid w:val="0045644C"/>
    <w:rsid w:val="0045661B"/>
    <w:rsid w:val="00456965"/>
    <w:rsid w:val="004569A5"/>
    <w:rsid w:val="00456ADE"/>
    <w:rsid w:val="00456FD2"/>
    <w:rsid w:val="004571F8"/>
    <w:rsid w:val="0045794C"/>
    <w:rsid w:val="00457A65"/>
    <w:rsid w:val="00457E04"/>
    <w:rsid w:val="00460762"/>
    <w:rsid w:val="00460B12"/>
    <w:rsid w:val="00460D8D"/>
    <w:rsid w:val="00461C93"/>
    <w:rsid w:val="00462680"/>
    <w:rsid w:val="00462F25"/>
    <w:rsid w:val="0046369B"/>
    <w:rsid w:val="0046373D"/>
    <w:rsid w:val="004644C5"/>
    <w:rsid w:val="00464772"/>
    <w:rsid w:val="00464994"/>
    <w:rsid w:val="00464E51"/>
    <w:rsid w:val="004653FA"/>
    <w:rsid w:val="00465590"/>
    <w:rsid w:val="0046586C"/>
    <w:rsid w:val="0046671B"/>
    <w:rsid w:val="00466943"/>
    <w:rsid w:val="00466A94"/>
    <w:rsid w:val="00466B0A"/>
    <w:rsid w:val="00466C26"/>
    <w:rsid w:val="00467045"/>
    <w:rsid w:val="00467050"/>
    <w:rsid w:val="004673F7"/>
    <w:rsid w:val="004676E3"/>
    <w:rsid w:val="004677EA"/>
    <w:rsid w:val="0046785F"/>
    <w:rsid w:val="004678EB"/>
    <w:rsid w:val="00467AD1"/>
    <w:rsid w:val="00467DAE"/>
    <w:rsid w:val="00467DF5"/>
    <w:rsid w:val="004701E4"/>
    <w:rsid w:val="00470852"/>
    <w:rsid w:val="00470ABC"/>
    <w:rsid w:val="00471720"/>
    <w:rsid w:val="0047184A"/>
    <w:rsid w:val="004718E1"/>
    <w:rsid w:val="00471DF5"/>
    <w:rsid w:val="00472624"/>
    <w:rsid w:val="00472925"/>
    <w:rsid w:val="00472942"/>
    <w:rsid w:val="00473005"/>
    <w:rsid w:val="004730D8"/>
    <w:rsid w:val="0047343F"/>
    <w:rsid w:val="00473584"/>
    <w:rsid w:val="00473B73"/>
    <w:rsid w:val="004744D6"/>
    <w:rsid w:val="004751D6"/>
    <w:rsid w:val="00475893"/>
    <w:rsid w:val="00475BB2"/>
    <w:rsid w:val="0047613C"/>
    <w:rsid w:val="00476FED"/>
    <w:rsid w:val="00477FBA"/>
    <w:rsid w:val="00480078"/>
    <w:rsid w:val="00480421"/>
    <w:rsid w:val="00480489"/>
    <w:rsid w:val="00480503"/>
    <w:rsid w:val="00480C64"/>
    <w:rsid w:val="004813FE"/>
    <w:rsid w:val="0048173F"/>
    <w:rsid w:val="004818A3"/>
    <w:rsid w:val="0048196D"/>
    <w:rsid w:val="00481C8A"/>
    <w:rsid w:val="00481D4D"/>
    <w:rsid w:val="00484356"/>
    <w:rsid w:val="00484741"/>
    <w:rsid w:val="00484922"/>
    <w:rsid w:val="004853DA"/>
    <w:rsid w:val="00485715"/>
    <w:rsid w:val="004861B6"/>
    <w:rsid w:val="00486D22"/>
    <w:rsid w:val="00487146"/>
    <w:rsid w:val="00487207"/>
    <w:rsid w:val="004874A8"/>
    <w:rsid w:val="004875FD"/>
    <w:rsid w:val="00487D88"/>
    <w:rsid w:val="00487EF7"/>
    <w:rsid w:val="004903EE"/>
    <w:rsid w:val="004918BF"/>
    <w:rsid w:val="0049221B"/>
    <w:rsid w:val="00492AEE"/>
    <w:rsid w:val="00492E71"/>
    <w:rsid w:val="004935B8"/>
    <w:rsid w:val="004935CE"/>
    <w:rsid w:val="004936D2"/>
    <w:rsid w:val="00493A67"/>
    <w:rsid w:val="00493BC2"/>
    <w:rsid w:val="00494662"/>
    <w:rsid w:val="004948A0"/>
    <w:rsid w:val="00494928"/>
    <w:rsid w:val="00494A67"/>
    <w:rsid w:val="00494C0B"/>
    <w:rsid w:val="00495890"/>
    <w:rsid w:val="00495B39"/>
    <w:rsid w:val="004963B8"/>
    <w:rsid w:val="004964C9"/>
    <w:rsid w:val="00497030"/>
    <w:rsid w:val="00497627"/>
    <w:rsid w:val="0049764E"/>
    <w:rsid w:val="004A0F73"/>
    <w:rsid w:val="004A10FE"/>
    <w:rsid w:val="004A1286"/>
    <w:rsid w:val="004A1802"/>
    <w:rsid w:val="004A1BF1"/>
    <w:rsid w:val="004A1ED9"/>
    <w:rsid w:val="004A230A"/>
    <w:rsid w:val="004A2945"/>
    <w:rsid w:val="004A3226"/>
    <w:rsid w:val="004A388B"/>
    <w:rsid w:val="004A4601"/>
    <w:rsid w:val="004A5046"/>
    <w:rsid w:val="004A50E2"/>
    <w:rsid w:val="004A5655"/>
    <w:rsid w:val="004A597E"/>
    <w:rsid w:val="004A5C3B"/>
    <w:rsid w:val="004A602D"/>
    <w:rsid w:val="004A60BD"/>
    <w:rsid w:val="004A73AB"/>
    <w:rsid w:val="004A746A"/>
    <w:rsid w:val="004A78B1"/>
    <w:rsid w:val="004A7C46"/>
    <w:rsid w:val="004B24C6"/>
    <w:rsid w:val="004B2F00"/>
    <w:rsid w:val="004B2FB0"/>
    <w:rsid w:val="004B35EA"/>
    <w:rsid w:val="004B3739"/>
    <w:rsid w:val="004B38AC"/>
    <w:rsid w:val="004B3D21"/>
    <w:rsid w:val="004B3FB9"/>
    <w:rsid w:val="004B4C75"/>
    <w:rsid w:val="004B4D35"/>
    <w:rsid w:val="004B577B"/>
    <w:rsid w:val="004B5CDB"/>
    <w:rsid w:val="004B634E"/>
    <w:rsid w:val="004B668A"/>
    <w:rsid w:val="004B6937"/>
    <w:rsid w:val="004B6A8A"/>
    <w:rsid w:val="004B6FC1"/>
    <w:rsid w:val="004B758A"/>
    <w:rsid w:val="004C00BD"/>
    <w:rsid w:val="004C024B"/>
    <w:rsid w:val="004C05F3"/>
    <w:rsid w:val="004C10C6"/>
    <w:rsid w:val="004C229A"/>
    <w:rsid w:val="004C29F7"/>
    <w:rsid w:val="004C2FD4"/>
    <w:rsid w:val="004C33EC"/>
    <w:rsid w:val="004C378F"/>
    <w:rsid w:val="004C3A9A"/>
    <w:rsid w:val="004C45D3"/>
    <w:rsid w:val="004C4622"/>
    <w:rsid w:val="004C4B89"/>
    <w:rsid w:val="004C4CDC"/>
    <w:rsid w:val="004C53D8"/>
    <w:rsid w:val="004C5444"/>
    <w:rsid w:val="004C5C1D"/>
    <w:rsid w:val="004C5D64"/>
    <w:rsid w:val="004C5DF8"/>
    <w:rsid w:val="004C606F"/>
    <w:rsid w:val="004C6553"/>
    <w:rsid w:val="004C6D2A"/>
    <w:rsid w:val="004C72A7"/>
    <w:rsid w:val="004C72EE"/>
    <w:rsid w:val="004C75E9"/>
    <w:rsid w:val="004C7872"/>
    <w:rsid w:val="004C79B4"/>
    <w:rsid w:val="004C7A7B"/>
    <w:rsid w:val="004C7E64"/>
    <w:rsid w:val="004D046A"/>
    <w:rsid w:val="004D07E8"/>
    <w:rsid w:val="004D0EEF"/>
    <w:rsid w:val="004D144D"/>
    <w:rsid w:val="004D16C5"/>
    <w:rsid w:val="004D1D64"/>
    <w:rsid w:val="004D2017"/>
    <w:rsid w:val="004D24C0"/>
    <w:rsid w:val="004D2658"/>
    <w:rsid w:val="004D2964"/>
    <w:rsid w:val="004D30D3"/>
    <w:rsid w:val="004D365B"/>
    <w:rsid w:val="004D370D"/>
    <w:rsid w:val="004D3C6D"/>
    <w:rsid w:val="004D427C"/>
    <w:rsid w:val="004D4615"/>
    <w:rsid w:val="004D5E44"/>
    <w:rsid w:val="004D5E5F"/>
    <w:rsid w:val="004D6179"/>
    <w:rsid w:val="004D6250"/>
    <w:rsid w:val="004D66C1"/>
    <w:rsid w:val="004D7081"/>
    <w:rsid w:val="004E1538"/>
    <w:rsid w:val="004E215C"/>
    <w:rsid w:val="004E2324"/>
    <w:rsid w:val="004E2583"/>
    <w:rsid w:val="004E28A0"/>
    <w:rsid w:val="004E2E8D"/>
    <w:rsid w:val="004E2E9F"/>
    <w:rsid w:val="004E34B5"/>
    <w:rsid w:val="004E3700"/>
    <w:rsid w:val="004E37A5"/>
    <w:rsid w:val="004E3B18"/>
    <w:rsid w:val="004E3E87"/>
    <w:rsid w:val="004E4501"/>
    <w:rsid w:val="004E468A"/>
    <w:rsid w:val="004E53FE"/>
    <w:rsid w:val="004E5665"/>
    <w:rsid w:val="004E592A"/>
    <w:rsid w:val="004E5AD0"/>
    <w:rsid w:val="004E5B99"/>
    <w:rsid w:val="004E5FBF"/>
    <w:rsid w:val="004E6702"/>
    <w:rsid w:val="004E6792"/>
    <w:rsid w:val="004E6FE8"/>
    <w:rsid w:val="004E7020"/>
    <w:rsid w:val="004E74FC"/>
    <w:rsid w:val="004E7583"/>
    <w:rsid w:val="004E7722"/>
    <w:rsid w:val="004F09CE"/>
    <w:rsid w:val="004F0EDA"/>
    <w:rsid w:val="004F0F25"/>
    <w:rsid w:val="004F1FF3"/>
    <w:rsid w:val="004F276B"/>
    <w:rsid w:val="004F3218"/>
    <w:rsid w:val="004F3D52"/>
    <w:rsid w:val="004F40D7"/>
    <w:rsid w:val="004F4140"/>
    <w:rsid w:val="004F4B89"/>
    <w:rsid w:val="004F4C8F"/>
    <w:rsid w:val="004F51F6"/>
    <w:rsid w:val="004F55B7"/>
    <w:rsid w:val="004F6318"/>
    <w:rsid w:val="004F7636"/>
    <w:rsid w:val="004F7AC1"/>
    <w:rsid w:val="004F7C09"/>
    <w:rsid w:val="00500553"/>
    <w:rsid w:val="005008A2"/>
    <w:rsid w:val="005009BC"/>
    <w:rsid w:val="00501891"/>
    <w:rsid w:val="00501D79"/>
    <w:rsid w:val="005026D6"/>
    <w:rsid w:val="00502704"/>
    <w:rsid w:val="00503A10"/>
    <w:rsid w:val="00503BE6"/>
    <w:rsid w:val="00503E43"/>
    <w:rsid w:val="005040C2"/>
    <w:rsid w:val="005040CB"/>
    <w:rsid w:val="005042E4"/>
    <w:rsid w:val="0050440D"/>
    <w:rsid w:val="00504791"/>
    <w:rsid w:val="00504879"/>
    <w:rsid w:val="00504CE6"/>
    <w:rsid w:val="0050513E"/>
    <w:rsid w:val="00505179"/>
    <w:rsid w:val="00505411"/>
    <w:rsid w:val="00505806"/>
    <w:rsid w:val="0050589C"/>
    <w:rsid w:val="00506593"/>
    <w:rsid w:val="00506DA4"/>
    <w:rsid w:val="00506E90"/>
    <w:rsid w:val="00507259"/>
    <w:rsid w:val="005072B7"/>
    <w:rsid w:val="0050734D"/>
    <w:rsid w:val="0050767D"/>
    <w:rsid w:val="00507C53"/>
    <w:rsid w:val="00510033"/>
    <w:rsid w:val="005109E5"/>
    <w:rsid w:val="00510F4D"/>
    <w:rsid w:val="00511880"/>
    <w:rsid w:val="00511B1C"/>
    <w:rsid w:val="00511D93"/>
    <w:rsid w:val="00511F97"/>
    <w:rsid w:val="00512961"/>
    <w:rsid w:val="00513C95"/>
    <w:rsid w:val="00513CFE"/>
    <w:rsid w:val="00513D7C"/>
    <w:rsid w:val="00514146"/>
    <w:rsid w:val="00514235"/>
    <w:rsid w:val="005144EA"/>
    <w:rsid w:val="0051481B"/>
    <w:rsid w:val="00514C7D"/>
    <w:rsid w:val="00514E43"/>
    <w:rsid w:val="00515021"/>
    <w:rsid w:val="005153F9"/>
    <w:rsid w:val="0051552F"/>
    <w:rsid w:val="0051591F"/>
    <w:rsid w:val="00515ACC"/>
    <w:rsid w:val="0051657E"/>
    <w:rsid w:val="005166C6"/>
    <w:rsid w:val="00516A2F"/>
    <w:rsid w:val="00516DE9"/>
    <w:rsid w:val="00516E86"/>
    <w:rsid w:val="00517043"/>
    <w:rsid w:val="005202A7"/>
    <w:rsid w:val="0052033C"/>
    <w:rsid w:val="00520590"/>
    <w:rsid w:val="00520EB1"/>
    <w:rsid w:val="00521183"/>
    <w:rsid w:val="00521574"/>
    <w:rsid w:val="00522D20"/>
    <w:rsid w:val="0052342F"/>
    <w:rsid w:val="00523971"/>
    <w:rsid w:val="00523EE4"/>
    <w:rsid w:val="005241F9"/>
    <w:rsid w:val="0052434C"/>
    <w:rsid w:val="00524F43"/>
    <w:rsid w:val="005250BC"/>
    <w:rsid w:val="0052536D"/>
    <w:rsid w:val="0052551C"/>
    <w:rsid w:val="00525A00"/>
    <w:rsid w:val="00525C2C"/>
    <w:rsid w:val="00525E0B"/>
    <w:rsid w:val="00525EBB"/>
    <w:rsid w:val="005261B0"/>
    <w:rsid w:val="005264C1"/>
    <w:rsid w:val="00526560"/>
    <w:rsid w:val="00526E92"/>
    <w:rsid w:val="00526FC9"/>
    <w:rsid w:val="00527160"/>
    <w:rsid w:val="0052762F"/>
    <w:rsid w:val="00527A8F"/>
    <w:rsid w:val="0053004F"/>
    <w:rsid w:val="00530161"/>
    <w:rsid w:val="005305C0"/>
    <w:rsid w:val="005308B5"/>
    <w:rsid w:val="0053094C"/>
    <w:rsid w:val="005316BB"/>
    <w:rsid w:val="00531931"/>
    <w:rsid w:val="00531B97"/>
    <w:rsid w:val="00532287"/>
    <w:rsid w:val="005324B1"/>
    <w:rsid w:val="00532848"/>
    <w:rsid w:val="00532E0C"/>
    <w:rsid w:val="00533213"/>
    <w:rsid w:val="00533466"/>
    <w:rsid w:val="0053385D"/>
    <w:rsid w:val="00533946"/>
    <w:rsid w:val="00533C94"/>
    <w:rsid w:val="0053402F"/>
    <w:rsid w:val="005341D7"/>
    <w:rsid w:val="00534931"/>
    <w:rsid w:val="005353D2"/>
    <w:rsid w:val="0053584E"/>
    <w:rsid w:val="00535C79"/>
    <w:rsid w:val="00535C7E"/>
    <w:rsid w:val="00535E75"/>
    <w:rsid w:val="005362E7"/>
    <w:rsid w:val="00536453"/>
    <w:rsid w:val="00536D4A"/>
    <w:rsid w:val="005375EE"/>
    <w:rsid w:val="00540094"/>
    <w:rsid w:val="0054041D"/>
    <w:rsid w:val="00540690"/>
    <w:rsid w:val="005409CB"/>
    <w:rsid w:val="00540CDF"/>
    <w:rsid w:val="005411CB"/>
    <w:rsid w:val="0054153F"/>
    <w:rsid w:val="005417E1"/>
    <w:rsid w:val="005417ED"/>
    <w:rsid w:val="00541807"/>
    <w:rsid w:val="00541AF3"/>
    <w:rsid w:val="00541F1E"/>
    <w:rsid w:val="00542002"/>
    <w:rsid w:val="00542359"/>
    <w:rsid w:val="0054240F"/>
    <w:rsid w:val="005424A5"/>
    <w:rsid w:val="00542A3C"/>
    <w:rsid w:val="00542E0E"/>
    <w:rsid w:val="00543C39"/>
    <w:rsid w:val="00543CB2"/>
    <w:rsid w:val="00543EB0"/>
    <w:rsid w:val="00544261"/>
    <w:rsid w:val="005449C4"/>
    <w:rsid w:val="00544D1A"/>
    <w:rsid w:val="00544ECB"/>
    <w:rsid w:val="00544FAE"/>
    <w:rsid w:val="00545579"/>
    <w:rsid w:val="0054563C"/>
    <w:rsid w:val="00545AD4"/>
    <w:rsid w:val="00545B46"/>
    <w:rsid w:val="0054658C"/>
    <w:rsid w:val="00546801"/>
    <w:rsid w:val="0054681B"/>
    <w:rsid w:val="00546A70"/>
    <w:rsid w:val="00546B4C"/>
    <w:rsid w:val="00546E52"/>
    <w:rsid w:val="00547045"/>
    <w:rsid w:val="00547C03"/>
    <w:rsid w:val="00547CFA"/>
    <w:rsid w:val="00550CA9"/>
    <w:rsid w:val="00550E30"/>
    <w:rsid w:val="00550FB8"/>
    <w:rsid w:val="00551039"/>
    <w:rsid w:val="0055105E"/>
    <w:rsid w:val="0055113E"/>
    <w:rsid w:val="0055296A"/>
    <w:rsid w:val="00552A66"/>
    <w:rsid w:val="00552C42"/>
    <w:rsid w:val="00552DBD"/>
    <w:rsid w:val="00552E1E"/>
    <w:rsid w:val="00552FB3"/>
    <w:rsid w:val="00553535"/>
    <w:rsid w:val="005541D1"/>
    <w:rsid w:val="0055429C"/>
    <w:rsid w:val="00554406"/>
    <w:rsid w:val="0055510E"/>
    <w:rsid w:val="005553BA"/>
    <w:rsid w:val="00555AF4"/>
    <w:rsid w:val="00556144"/>
    <w:rsid w:val="00556329"/>
    <w:rsid w:val="0055658F"/>
    <w:rsid w:val="005567BC"/>
    <w:rsid w:val="00556CD9"/>
    <w:rsid w:val="00557278"/>
    <w:rsid w:val="005578C3"/>
    <w:rsid w:val="00557A11"/>
    <w:rsid w:val="00557ADA"/>
    <w:rsid w:val="005601F2"/>
    <w:rsid w:val="005602B9"/>
    <w:rsid w:val="0056075F"/>
    <w:rsid w:val="00560A2F"/>
    <w:rsid w:val="00562157"/>
    <w:rsid w:val="00562FDC"/>
    <w:rsid w:val="00563130"/>
    <w:rsid w:val="005633CC"/>
    <w:rsid w:val="00563A0C"/>
    <w:rsid w:val="00563D3E"/>
    <w:rsid w:val="005641AC"/>
    <w:rsid w:val="0056438C"/>
    <w:rsid w:val="00564828"/>
    <w:rsid w:val="00564941"/>
    <w:rsid w:val="00564A64"/>
    <w:rsid w:val="00564B1D"/>
    <w:rsid w:val="0056502F"/>
    <w:rsid w:val="005657BC"/>
    <w:rsid w:val="00565A08"/>
    <w:rsid w:val="00565AF4"/>
    <w:rsid w:val="00566059"/>
    <w:rsid w:val="00566BE7"/>
    <w:rsid w:val="00566D4C"/>
    <w:rsid w:val="00566D54"/>
    <w:rsid w:val="00566FFC"/>
    <w:rsid w:val="00567B76"/>
    <w:rsid w:val="00567C1D"/>
    <w:rsid w:val="0057006F"/>
    <w:rsid w:val="005709A6"/>
    <w:rsid w:val="00571159"/>
    <w:rsid w:val="005726B5"/>
    <w:rsid w:val="00572ED1"/>
    <w:rsid w:val="00572F74"/>
    <w:rsid w:val="00572FF8"/>
    <w:rsid w:val="00573190"/>
    <w:rsid w:val="00573436"/>
    <w:rsid w:val="00573866"/>
    <w:rsid w:val="00573D58"/>
    <w:rsid w:val="0057428D"/>
    <w:rsid w:val="005742A9"/>
    <w:rsid w:val="00575A76"/>
    <w:rsid w:val="00576031"/>
    <w:rsid w:val="00576CA2"/>
    <w:rsid w:val="00576E6C"/>
    <w:rsid w:val="00576F81"/>
    <w:rsid w:val="00577172"/>
    <w:rsid w:val="005774EC"/>
    <w:rsid w:val="0057756A"/>
    <w:rsid w:val="00577CD7"/>
    <w:rsid w:val="005808B6"/>
    <w:rsid w:val="00580B5C"/>
    <w:rsid w:val="00580B8A"/>
    <w:rsid w:val="00580F68"/>
    <w:rsid w:val="005810B1"/>
    <w:rsid w:val="00581182"/>
    <w:rsid w:val="005815BC"/>
    <w:rsid w:val="005816E6"/>
    <w:rsid w:val="0058181E"/>
    <w:rsid w:val="0058197A"/>
    <w:rsid w:val="00581A9C"/>
    <w:rsid w:val="005824D1"/>
    <w:rsid w:val="00582BF1"/>
    <w:rsid w:val="0058362E"/>
    <w:rsid w:val="00583969"/>
    <w:rsid w:val="00583B98"/>
    <w:rsid w:val="00583BCF"/>
    <w:rsid w:val="00583D44"/>
    <w:rsid w:val="00583EEC"/>
    <w:rsid w:val="005841E5"/>
    <w:rsid w:val="005852E3"/>
    <w:rsid w:val="00585353"/>
    <w:rsid w:val="005858D5"/>
    <w:rsid w:val="00585A91"/>
    <w:rsid w:val="00585AF3"/>
    <w:rsid w:val="0058615A"/>
    <w:rsid w:val="0058666C"/>
    <w:rsid w:val="0058678D"/>
    <w:rsid w:val="00586CDD"/>
    <w:rsid w:val="00586DD3"/>
    <w:rsid w:val="00586E51"/>
    <w:rsid w:val="00586E90"/>
    <w:rsid w:val="00587177"/>
    <w:rsid w:val="00590815"/>
    <w:rsid w:val="00590C23"/>
    <w:rsid w:val="00590EE9"/>
    <w:rsid w:val="00591170"/>
    <w:rsid w:val="00591203"/>
    <w:rsid w:val="00591D75"/>
    <w:rsid w:val="00591DF7"/>
    <w:rsid w:val="0059218E"/>
    <w:rsid w:val="00592B5A"/>
    <w:rsid w:val="00592B97"/>
    <w:rsid w:val="00592C5D"/>
    <w:rsid w:val="005931E3"/>
    <w:rsid w:val="00593583"/>
    <w:rsid w:val="0059359E"/>
    <w:rsid w:val="00593A19"/>
    <w:rsid w:val="00593E59"/>
    <w:rsid w:val="005948D3"/>
    <w:rsid w:val="0059526D"/>
    <w:rsid w:val="00595343"/>
    <w:rsid w:val="00595415"/>
    <w:rsid w:val="00595CAB"/>
    <w:rsid w:val="00595EA8"/>
    <w:rsid w:val="00596948"/>
    <w:rsid w:val="00596965"/>
    <w:rsid w:val="00597E38"/>
    <w:rsid w:val="005A06C1"/>
    <w:rsid w:val="005A10B4"/>
    <w:rsid w:val="005A1858"/>
    <w:rsid w:val="005A1D98"/>
    <w:rsid w:val="005A1F58"/>
    <w:rsid w:val="005A27BE"/>
    <w:rsid w:val="005A2B4C"/>
    <w:rsid w:val="005A33CA"/>
    <w:rsid w:val="005A4139"/>
    <w:rsid w:val="005A4882"/>
    <w:rsid w:val="005A51C7"/>
    <w:rsid w:val="005A5E92"/>
    <w:rsid w:val="005A7561"/>
    <w:rsid w:val="005A77E8"/>
    <w:rsid w:val="005A78CB"/>
    <w:rsid w:val="005A7B54"/>
    <w:rsid w:val="005B008C"/>
    <w:rsid w:val="005B0263"/>
    <w:rsid w:val="005B0521"/>
    <w:rsid w:val="005B08CD"/>
    <w:rsid w:val="005B09B0"/>
    <w:rsid w:val="005B0B21"/>
    <w:rsid w:val="005B1613"/>
    <w:rsid w:val="005B1C7D"/>
    <w:rsid w:val="005B1C81"/>
    <w:rsid w:val="005B1EB6"/>
    <w:rsid w:val="005B207F"/>
    <w:rsid w:val="005B211F"/>
    <w:rsid w:val="005B2227"/>
    <w:rsid w:val="005B2777"/>
    <w:rsid w:val="005B30F9"/>
    <w:rsid w:val="005B36E0"/>
    <w:rsid w:val="005B3975"/>
    <w:rsid w:val="005B3DDA"/>
    <w:rsid w:val="005B473B"/>
    <w:rsid w:val="005B51B9"/>
    <w:rsid w:val="005B51BE"/>
    <w:rsid w:val="005B5809"/>
    <w:rsid w:val="005B6652"/>
    <w:rsid w:val="005B668C"/>
    <w:rsid w:val="005B685E"/>
    <w:rsid w:val="005B7837"/>
    <w:rsid w:val="005C0016"/>
    <w:rsid w:val="005C00CC"/>
    <w:rsid w:val="005C0D58"/>
    <w:rsid w:val="005C0F16"/>
    <w:rsid w:val="005C0F5F"/>
    <w:rsid w:val="005C1076"/>
    <w:rsid w:val="005C1FFD"/>
    <w:rsid w:val="005C2187"/>
    <w:rsid w:val="005C2431"/>
    <w:rsid w:val="005C26C0"/>
    <w:rsid w:val="005C33E6"/>
    <w:rsid w:val="005C345E"/>
    <w:rsid w:val="005C38E1"/>
    <w:rsid w:val="005C3A6E"/>
    <w:rsid w:val="005C3E71"/>
    <w:rsid w:val="005C431D"/>
    <w:rsid w:val="005C452C"/>
    <w:rsid w:val="005C5784"/>
    <w:rsid w:val="005C62C3"/>
    <w:rsid w:val="005C6B07"/>
    <w:rsid w:val="005C73B0"/>
    <w:rsid w:val="005C7782"/>
    <w:rsid w:val="005C7F7F"/>
    <w:rsid w:val="005D00E3"/>
    <w:rsid w:val="005D034D"/>
    <w:rsid w:val="005D080B"/>
    <w:rsid w:val="005D105F"/>
    <w:rsid w:val="005D127D"/>
    <w:rsid w:val="005D1439"/>
    <w:rsid w:val="005D1A2D"/>
    <w:rsid w:val="005D1A5C"/>
    <w:rsid w:val="005D2135"/>
    <w:rsid w:val="005D27E3"/>
    <w:rsid w:val="005D356C"/>
    <w:rsid w:val="005D402D"/>
    <w:rsid w:val="005D4BCB"/>
    <w:rsid w:val="005D5152"/>
    <w:rsid w:val="005D54F9"/>
    <w:rsid w:val="005D615B"/>
    <w:rsid w:val="005D62F0"/>
    <w:rsid w:val="005D6455"/>
    <w:rsid w:val="005D6D36"/>
    <w:rsid w:val="005D7D7B"/>
    <w:rsid w:val="005D7DFB"/>
    <w:rsid w:val="005E071B"/>
    <w:rsid w:val="005E075B"/>
    <w:rsid w:val="005E141E"/>
    <w:rsid w:val="005E1A9D"/>
    <w:rsid w:val="005E1BE9"/>
    <w:rsid w:val="005E1E55"/>
    <w:rsid w:val="005E218F"/>
    <w:rsid w:val="005E240D"/>
    <w:rsid w:val="005E29CB"/>
    <w:rsid w:val="005E2ED2"/>
    <w:rsid w:val="005E3ECF"/>
    <w:rsid w:val="005E4026"/>
    <w:rsid w:val="005E40F6"/>
    <w:rsid w:val="005E447C"/>
    <w:rsid w:val="005E464B"/>
    <w:rsid w:val="005E47AA"/>
    <w:rsid w:val="005E4844"/>
    <w:rsid w:val="005E49AB"/>
    <w:rsid w:val="005E4B92"/>
    <w:rsid w:val="005E5129"/>
    <w:rsid w:val="005E5204"/>
    <w:rsid w:val="005E520F"/>
    <w:rsid w:val="005E58F8"/>
    <w:rsid w:val="005E5AAA"/>
    <w:rsid w:val="005E63E9"/>
    <w:rsid w:val="005E682D"/>
    <w:rsid w:val="005E6F9A"/>
    <w:rsid w:val="005E7435"/>
    <w:rsid w:val="005E7CF3"/>
    <w:rsid w:val="005F08DF"/>
    <w:rsid w:val="005F0A55"/>
    <w:rsid w:val="005F0D42"/>
    <w:rsid w:val="005F1625"/>
    <w:rsid w:val="005F1649"/>
    <w:rsid w:val="005F165F"/>
    <w:rsid w:val="005F1792"/>
    <w:rsid w:val="005F219A"/>
    <w:rsid w:val="005F23E0"/>
    <w:rsid w:val="005F2564"/>
    <w:rsid w:val="005F29B7"/>
    <w:rsid w:val="005F2B8C"/>
    <w:rsid w:val="005F3259"/>
    <w:rsid w:val="005F364E"/>
    <w:rsid w:val="005F3959"/>
    <w:rsid w:val="005F3B48"/>
    <w:rsid w:val="005F488D"/>
    <w:rsid w:val="005F54DC"/>
    <w:rsid w:val="005F572C"/>
    <w:rsid w:val="005F5B69"/>
    <w:rsid w:val="005F5E8F"/>
    <w:rsid w:val="005F6068"/>
    <w:rsid w:val="005F69AA"/>
    <w:rsid w:val="005F6C25"/>
    <w:rsid w:val="005F7146"/>
    <w:rsid w:val="005F7648"/>
    <w:rsid w:val="005F7A42"/>
    <w:rsid w:val="0060005D"/>
    <w:rsid w:val="006001E2"/>
    <w:rsid w:val="00600A90"/>
    <w:rsid w:val="00600BA4"/>
    <w:rsid w:val="00600C37"/>
    <w:rsid w:val="00600E62"/>
    <w:rsid w:val="00600F95"/>
    <w:rsid w:val="00601006"/>
    <w:rsid w:val="0060131F"/>
    <w:rsid w:val="00601667"/>
    <w:rsid w:val="006018A7"/>
    <w:rsid w:val="006018D3"/>
    <w:rsid w:val="00602B4C"/>
    <w:rsid w:val="006030D8"/>
    <w:rsid w:val="00603950"/>
    <w:rsid w:val="00603AF1"/>
    <w:rsid w:val="00603F24"/>
    <w:rsid w:val="006047CC"/>
    <w:rsid w:val="00604A53"/>
    <w:rsid w:val="00604AC1"/>
    <w:rsid w:val="006051DB"/>
    <w:rsid w:val="00605387"/>
    <w:rsid w:val="0060590F"/>
    <w:rsid w:val="00605A13"/>
    <w:rsid w:val="00605B4D"/>
    <w:rsid w:val="00605E96"/>
    <w:rsid w:val="006062F1"/>
    <w:rsid w:val="00606943"/>
    <w:rsid w:val="00606B6B"/>
    <w:rsid w:val="00606C24"/>
    <w:rsid w:val="0060701C"/>
    <w:rsid w:val="00607B82"/>
    <w:rsid w:val="00607C93"/>
    <w:rsid w:val="00610316"/>
    <w:rsid w:val="00610A6B"/>
    <w:rsid w:val="00610C3F"/>
    <w:rsid w:val="006118D6"/>
    <w:rsid w:val="00611DD8"/>
    <w:rsid w:val="006125BB"/>
    <w:rsid w:val="0061269C"/>
    <w:rsid w:val="00612841"/>
    <w:rsid w:val="006128C5"/>
    <w:rsid w:val="006129EF"/>
    <w:rsid w:val="00612D1D"/>
    <w:rsid w:val="0061374C"/>
    <w:rsid w:val="00613CA8"/>
    <w:rsid w:val="00613EA3"/>
    <w:rsid w:val="00613F43"/>
    <w:rsid w:val="00614614"/>
    <w:rsid w:val="00614FD1"/>
    <w:rsid w:val="00615097"/>
    <w:rsid w:val="0061522D"/>
    <w:rsid w:val="00615246"/>
    <w:rsid w:val="00615BDA"/>
    <w:rsid w:val="006162E7"/>
    <w:rsid w:val="00616426"/>
    <w:rsid w:val="00616CB3"/>
    <w:rsid w:val="006176C8"/>
    <w:rsid w:val="00620246"/>
    <w:rsid w:val="00620AC2"/>
    <w:rsid w:val="00620AC7"/>
    <w:rsid w:val="00620DC2"/>
    <w:rsid w:val="00621422"/>
    <w:rsid w:val="0062168A"/>
    <w:rsid w:val="00621905"/>
    <w:rsid w:val="00622959"/>
    <w:rsid w:val="00622A95"/>
    <w:rsid w:val="00622D93"/>
    <w:rsid w:val="00623B05"/>
    <w:rsid w:val="00623C17"/>
    <w:rsid w:val="00624467"/>
    <w:rsid w:val="00624742"/>
    <w:rsid w:val="00624F0A"/>
    <w:rsid w:val="006258D5"/>
    <w:rsid w:val="006261A5"/>
    <w:rsid w:val="006263D2"/>
    <w:rsid w:val="0062640E"/>
    <w:rsid w:val="006264B9"/>
    <w:rsid w:val="00626C6B"/>
    <w:rsid w:val="00626C87"/>
    <w:rsid w:val="00627607"/>
    <w:rsid w:val="00627714"/>
    <w:rsid w:val="00627864"/>
    <w:rsid w:val="0062787B"/>
    <w:rsid w:val="00627C18"/>
    <w:rsid w:val="00627C54"/>
    <w:rsid w:val="0063042C"/>
    <w:rsid w:val="0063082C"/>
    <w:rsid w:val="00630C07"/>
    <w:rsid w:val="00630C7E"/>
    <w:rsid w:val="0063167F"/>
    <w:rsid w:val="006318B4"/>
    <w:rsid w:val="006318C6"/>
    <w:rsid w:val="00631A54"/>
    <w:rsid w:val="00632198"/>
    <w:rsid w:val="006328D1"/>
    <w:rsid w:val="00632BF8"/>
    <w:rsid w:val="00632D3B"/>
    <w:rsid w:val="00632E7D"/>
    <w:rsid w:val="006330DC"/>
    <w:rsid w:val="00633920"/>
    <w:rsid w:val="00633C10"/>
    <w:rsid w:val="00633F9B"/>
    <w:rsid w:val="00634110"/>
    <w:rsid w:val="006344CC"/>
    <w:rsid w:val="0063492A"/>
    <w:rsid w:val="006353B8"/>
    <w:rsid w:val="006357B3"/>
    <w:rsid w:val="00635B68"/>
    <w:rsid w:val="00635E80"/>
    <w:rsid w:val="00635F4C"/>
    <w:rsid w:val="00635FD9"/>
    <w:rsid w:val="00636163"/>
    <w:rsid w:val="00636400"/>
    <w:rsid w:val="00636685"/>
    <w:rsid w:val="00636A09"/>
    <w:rsid w:val="00636B93"/>
    <w:rsid w:val="00636BCB"/>
    <w:rsid w:val="00636D04"/>
    <w:rsid w:val="0063705D"/>
    <w:rsid w:val="00637098"/>
    <w:rsid w:val="0063743F"/>
    <w:rsid w:val="006375E9"/>
    <w:rsid w:val="006378D4"/>
    <w:rsid w:val="00640034"/>
    <w:rsid w:val="00640652"/>
    <w:rsid w:val="00641DB8"/>
    <w:rsid w:val="00642131"/>
    <w:rsid w:val="006427FB"/>
    <w:rsid w:val="00642A32"/>
    <w:rsid w:val="00642C92"/>
    <w:rsid w:val="00643405"/>
    <w:rsid w:val="00643433"/>
    <w:rsid w:val="0064352A"/>
    <w:rsid w:val="00643D1E"/>
    <w:rsid w:val="00643E2C"/>
    <w:rsid w:val="006445DE"/>
    <w:rsid w:val="00645309"/>
    <w:rsid w:val="00645315"/>
    <w:rsid w:val="006458C0"/>
    <w:rsid w:val="00645B98"/>
    <w:rsid w:val="00645C8E"/>
    <w:rsid w:val="00646084"/>
    <w:rsid w:val="00646201"/>
    <w:rsid w:val="00646A89"/>
    <w:rsid w:val="00646B56"/>
    <w:rsid w:val="00646BE5"/>
    <w:rsid w:val="00646BE7"/>
    <w:rsid w:val="00646D48"/>
    <w:rsid w:val="0064700C"/>
    <w:rsid w:val="00647015"/>
    <w:rsid w:val="00647598"/>
    <w:rsid w:val="00647B2B"/>
    <w:rsid w:val="006510A1"/>
    <w:rsid w:val="00651550"/>
    <w:rsid w:val="0065164C"/>
    <w:rsid w:val="0065187F"/>
    <w:rsid w:val="00651CED"/>
    <w:rsid w:val="00651F86"/>
    <w:rsid w:val="0065203D"/>
    <w:rsid w:val="00652A39"/>
    <w:rsid w:val="006538A8"/>
    <w:rsid w:val="00653F29"/>
    <w:rsid w:val="00654012"/>
    <w:rsid w:val="00654355"/>
    <w:rsid w:val="0065499D"/>
    <w:rsid w:val="0065525C"/>
    <w:rsid w:val="00655CA3"/>
    <w:rsid w:val="00655E06"/>
    <w:rsid w:val="006565C6"/>
    <w:rsid w:val="00656986"/>
    <w:rsid w:val="00656EB7"/>
    <w:rsid w:val="0065716F"/>
    <w:rsid w:val="00657278"/>
    <w:rsid w:val="006572B3"/>
    <w:rsid w:val="0065742E"/>
    <w:rsid w:val="0065745A"/>
    <w:rsid w:val="00657B1B"/>
    <w:rsid w:val="00657C59"/>
    <w:rsid w:val="00657FB4"/>
    <w:rsid w:val="0066024A"/>
    <w:rsid w:val="00660334"/>
    <w:rsid w:val="00660356"/>
    <w:rsid w:val="00660873"/>
    <w:rsid w:val="00660E9F"/>
    <w:rsid w:val="00661374"/>
    <w:rsid w:val="006618D2"/>
    <w:rsid w:val="00661949"/>
    <w:rsid w:val="006620E2"/>
    <w:rsid w:val="006625D9"/>
    <w:rsid w:val="00662FF0"/>
    <w:rsid w:val="0066343F"/>
    <w:rsid w:val="00663627"/>
    <w:rsid w:val="00663D26"/>
    <w:rsid w:val="006640DE"/>
    <w:rsid w:val="0066458A"/>
    <w:rsid w:val="00664955"/>
    <w:rsid w:val="00665119"/>
    <w:rsid w:val="0066572F"/>
    <w:rsid w:val="00666400"/>
    <w:rsid w:val="006664C5"/>
    <w:rsid w:val="00666649"/>
    <w:rsid w:val="00666BA7"/>
    <w:rsid w:val="00667286"/>
    <w:rsid w:val="00667850"/>
    <w:rsid w:val="00667F03"/>
    <w:rsid w:val="00667F1F"/>
    <w:rsid w:val="006707B2"/>
    <w:rsid w:val="006707B6"/>
    <w:rsid w:val="00670FB7"/>
    <w:rsid w:val="006711A6"/>
    <w:rsid w:val="006712D2"/>
    <w:rsid w:val="0067138D"/>
    <w:rsid w:val="00671407"/>
    <w:rsid w:val="006714D4"/>
    <w:rsid w:val="00671985"/>
    <w:rsid w:val="00671B6B"/>
    <w:rsid w:val="00671C72"/>
    <w:rsid w:val="006723D0"/>
    <w:rsid w:val="0067299A"/>
    <w:rsid w:val="00672BA5"/>
    <w:rsid w:val="006730EA"/>
    <w:rsid w:val="006736F2"/>
    <w:rsid w:val="00673FDF"/>
    <w:rsid w:val="006740D3"/>
    <w:rsid w:val="00674292"/>
    <w:rsid w:val="006744B2"/>
    <w:rsid w:val="00674986"/>
    <w:rsid w:val="00674A16"/>
    <w:rsid w:val="00674C08"/>
    <w:rsid w:val="00674C6D"/>
    <w:rsid w:val="00674F12"/>
    <w:rsid w:val="0067567C"/>
    <w:rsid w:val="006756F3"/>
    <w:rsid w:val="006757E8"/>
    <w:rsid w:val="00675B0C"/>
    <w:rsid w:val="00677378"/>
    <w:rsid w:val="00677842"/>
    <w:rsid w:val="00677EB6"/>
    <w:rsid w:val="00677EE7"/>
    <w:rsid w:val="00677EE8"/>
    <w:rsid w:val="00680361"/>
    <w:rsid w:val="00680AAE"/>
    <w:rsid w:val="00681671"/>
    <w:rsid w:val="00681B68"/>
    <w:rsid w:val="00681C0B"/>
    <w:rsid w:val="00681E6D"/>
    <w:rsid w:val="006822CC"/>
    <w:rsid w:val="00682576"/>
    <w:rsid w:val="006825E3"/>
    <w:rsid w:val="006832AB"/>
    <w:rsid w:val="006834E2"/>
    <w:rsid w:val="00683AD9"/>
    <w:rsid w:val="00683B92"/>
    <w:rsid w:val="00684205"/>
    <w:rsid w:val="00684514"/>
    <w:rsid w:val="00684BAD"/>
    <w:rsid w:val="00684BD9"/>
    <w:rsid w:val="00684D9B"/>
    <w:rsid w:val="006854CA"/>
    <w:rsid w:val="0068671A"/>
    <w:rsid w:val="006867F0"/>
    <w:rsid w:val="00686979"/>
    <w:rsid w:val="0068713C"/>
    <w:rsid w:val="006879CB"/>
    <w:rsid w:val="00687D67"/>
    <w:rsid w:val="0069010D"/>
    <w:rsid w:val="0069023C"/>
    <w:rsid w:val="00690BA0"/>
    <w:rsid w:val="00690C92"/>
    <w:rsid w:val="0069147A"/>
    <w:rsid w:val="006917D5"/>
    <w:rsid w:val="00691A81"/>
    <w:rsid w:val="00691CAB"/>
    <w:rsid w:val="00691DCA"/>
    <w:rsid w:val="0069282E"/>
    <w:rsid w:val="00693199"/>
    <w:rsid w:val="0069384F"/>
    <w:rsid w:val="00693964"/>
    <w:rsid w:val="00693C72"/>
    <w:rsid w:val="00693D47"/>
    <w:rsid w:val="00693DF4"/>
    <w:rsid w:val="0069403E"/>
    <w:rsid w:val="006941B7"/>
    <w:rsid w:val="006942CF"/>
    <w:rsid w:val="0069468D"/>
    <w:rsid w:val="00694B14"/>
    <w:rsid w:val="00694B85"/>
    <w:rsid w:val="0069518E"/>
    <w:rsid w:val="006959B9"/>
    <w:rsid w:val="00695A48"/>
    <w:rsid w:val="00695FC4"/>
    <w:rsid w:val="00696680"/>
    <w:rsid w:val="00696C82"/>
    <w:rsid w:val="00696E5D"/>
    <w:rsid w:val="0069748D"/>
    <w:rsid w:val="00697551"/>
    <w:rsid w:val="006976B2"/>
    <w:rsid w:val="00697B2E"/>
    <w:rsid w:val="00697C76"/>
    <w:rsid w:val="00697CEE"/>
    <w:rsid w:val="00697F3E"/>
    <w:rsid w:val="006A0679"/>
    <w:rsid w:val="006A0F40"/>
    <w:rsid w:val="006A0F84"/>
    <w:rsid w:val="006A104D"/>
    <w:rsid w:val="006A1413"/>
    <w:rsid w:val="006A15E1"/>
    <w:rsid w:val="006A1EE1"/>
    <w:rsid w:val="006A2518"/>
    <w:rsid w:val="006A2605"/>
    <w:rsid w:val="006A2951"/>
    <w:rsid w:val="006A2C5D"/>
    <w:rsid w:val="006A3782"/>
    <w:rsid w:val="006A3D6B"/>
    <w:rsid w:val="006A448F"/>
    <w:rsid w:val="006A587B"/>
    <w:rsid w:val="006A5C1C"/>
    <w:rsid w:val="006A5C9C"/>
    <w:rsid w:val="006A6038"/>
    <w:rsid w:val="006A65BB"/>
    <w:rsid w:val="006A6B3B"/>
    <w:rsid w:val="006B00C6"/>
    <w:rsid w:val="006B00DF"/>
    <w:rsid w:val="006B0530"/>
    <w:rsid w:val="006B0BD0"/>
    <w:rsid w:val="006B0C8A"/>
    <w:rsid w:val="006B14B9"/>
    <w:rsid w:val="006B14D4"/>
    <w:rsid w:val="006B1DBC"/>
    <w:rsid w:val="006B2350"/>
    <w:rsid w:val="006B2858"/>
    <w:rsid w:val="006B2953"/>
    <w:rsid w:val="006B2F04"/>
    <w:rsid w:val="006B2F91"/>
    <w:rsid w:val="006B338C"/>
    <w:rsid w:val="006B3552"/>
    <w:rsid w:val="006B3776"/>
    <w:rsid w:val="006B3911"/>
    <w:rsid w:val="006B3B93"/>
    <w:rsid w:val="006B3C7A"/>
    <w:rsid w:val="006B42F9"/>
    <w:rsid w:val="006B4B58"/>
    <w:rsid w:val="006B4F40"/>
    <w:rsid w:val="006B543E"/>
    <w:rsid w:val="006B571E"/>
    <w:rsid w:val="006B6049"/>
    <w:rsid w:val="006B6455"/>
    <w:rsid w:val="006B669E"/>
    <w:rsid w:val="006B69C3"/>
    <w:rsid w:val="006B7006"/>
    <w:rsid w:val="006B77A0"/>
    <w:rsid w:val="006B7A4E"/>
    <w:rsid w:val="006B7CFC"/>
    <w:rsid w:val="006C00BF"/>
    <w:rsid w:val="006C011D"/>
    <w:rsid w:val="006C05B4"/>
    <w:rsid w:val="006C0747"/>
    <w:rsid w:val="006C0DD4"/>
    <w:rsid w:val="006C24B8"/>
    <w:rsid w:val="006C2C5A"/>
    <w:rsid w:val="006C3038"/>
    <w:rsid w:val="006C310A"/>
    <w:rsid w:val="006C341E"/>
    <w:rsid w:val="006C467C"/>
    <w:rsid w:val="006C4791"/>
    <w:rsid w:val="006C4AA5"/>
    <w:rsid w:val="006C4B0D"/>
    <w:rsid w:val="006C53C7"/>
    <w:rsid w:val="006C544A"/>
    <w:rsid w:val="006C5489"/>
    <w:rsid w:val="006C5672"/>
    <w:rsid w:val="006C577B"/>
    <w:rsid w:val="006C5A4F"/>
    <w:rsid w:val="006C61B3"/>
    <w:rsid w:val="006C6876"/>
    <w:rsid w:val="006C6FF0"/>
    <w:rsid w:val="006C7164"/>
    <w:rsid w:val="006D044E"/>
    <w:rsid w:val="006D05BE"/>
    <w:rsid w:val="006D0F1D"/>
    <w:rsid w:val="006D1DB6"/>
    <w:rsid w:val="006D24D0"/>
    <w:rsid w:val="006D2600"/>
    <w:rsid w:val="006D275E"/>
    <w:rsid w:val="006D2C8E"/>
    <w:rsid w:val="006D2CE9"/>
    <w:rsid w:val="006D31FD"/>
    <w:rsid w:val="006D329B"/>
    <w:rsid w:val="006D3467"/>
    <w:rsid w:val="006D3B21"/>
    <w:rsid w:val="006D3B2D"/>
    <w:rsid w:val="006D4418"/>
    <w:rsid w:val="006D45B7"/>
    <w:rsid w:val="006D46A5"/>
    <w:rsid w:val="006D59E9"/>
    <w:rsid w:val="006D5B16"/>
    <w:rsid w:val="006D5B87"/>
    <w:rsid w:val="006D5F8D"/>
    <w:rsid w:val="006D60E3"/>
    <w:rsid w:val="006D632D"/>
    <w:rsid w:val="006D7334"/>
    <w:rsid w:val="006E00AB"/>
    <w:rsid w:val="006E0702"/>
    <w:rsid w:val="006E0787"/>
    <w:rsid w:val="006E0DE9"/>
    <w:rsid w:val="006E113C"/>
    <w:rsid w:val="006E1EB2"/>
    <w:rsid w:val="006E213A"/>
    <w:rsid w:val="006E29D8"/>
    <w:rsid w:val="006E3418"/>
    <w:rsid w:val="006E341E"/>
    <w:rsid w:val="006E3740"/>
    <w:rsid w:val="006E3792"/>
    <w:rsid w:val="006E3C4F"/>
    <w:rsid w:val="006E3FB1"/>
    <w:rsid w:val="006E4AF8"/>
    <w:rsid w:val="006E5498"/>
    <w:rsid w:val="006E6001"/>
    <w:rsid w:val="006E6C1C"/>
    <w:rsid w:val="006E6FB4"/>
    <w:rsid w:val="006E74DF"/>
    <w:rsid w:val="006F0069"/>
    <w:rsid w:val="006F0381"/>
    <w:rsid w:val="006F03DF"/>
    <w:rsid w:val="006F0454"/>
    <w:rsid w:val="006F07F2"/>
    <w:rsid w:val="006F080D"/>
    <w:rsid w:val="006F09D4"/>
    <w:rsid w:val="006F10FC"/>
    <w:rsid w:val="006F25E3"/>
    <w:rsid w:val="006F26B2"/>
    <w:rsid w:val="006F28AB"/>
    <w:rsid w:val="006F3192"/>
    <w:rsid w:val="006F42B0"/>
    <w:rsid w:val="006F4363"/>
    <w:rsid w:val="006F44D9"/>
    <w:rsid w:val="006F4CCF"/>
    <w:rsid w:val="006F539B"/>
    <w:rsid w:val="006F571F"/>
    <w:rsid w:val="006F586F"/>
    <w:rsid w:val="006F5C29"/>
    <w:rsid w:val="006F6761"/>
    <w:rsid w:val="006F69A2"/>
    <w:rsid w:val="006F70FD"/>
    <w:rsid w:val="006F734B"/>
    <w:rsid w:val="006F7A94"/>
    <w:rsid w:val="006F7CDB"/>
    <w:rsid w:val="006F7D47"/>
    <w:rsid w:val="006F7DCA"/>
    <w:rsid w:val="007005FD"/>
    <w:rsid w:val="00700879"/>
    <w:rsid w:val="00700BBB"/>
    <w:rsid w:val="00700DA6"/>
    <w:rsid w:val="00700E46"/>
    <w:rsid w:val="0070105F"/>
    <w:rsid w:val="0070133B"/>
    <w:rsid w:val="00701737"/>
    <w:rsid w:val="00701767"/>
    <w:rsid w:val="0070212F"/>
    <w:rsid w:val="00702178"/>
    <w:rsid w:val="00702269"/>
    <w:rsid w:val="007028E5"/>
    <w:rsid w:val="00702A7F"/>
    <w:rsid w:val="0070311F"/>
    <w:rsid w:val="007033E4"/>
    <w:rsid w:val="007035D1"/>
    <w:rsid w:val="00704826"/>
    <w:rsid w:val="007048FC"/>
    <w:rsid w:val="00704C6F"/>
    <w:rsid w:val="00704EDC"/>
    <w:rsid w:val="007056B3"/>
    <w:rsid w:val="00705E8F"/>
    <w:rsid w:val="00705F56"/>
    <w:rsid w:val="00706808"/>
    <w:rsid w:val="00706B78"/>
    <w:rsid w:val="00706F47"/>
    <w:rsid w:val="00710B24"/>
    <w:rsid w:val="00711537"/>
    <w:rsid w:val="007118AB"/>
    <w:rsid w:val="00711B70"/>
    <w:rsid w:val="0071200E"/>
    <w:rsid w:val="00712207"/>
    <w:rsid w:val="007123EE"/>
    <w:rsid w:val="007125B8"/>
    <w:rsid w:val="007131F6"/>
    <w:rsid w:val="00713222"/>
    <w:rsid w:val="00713DA9"/>
    <w:rsid w:val="00714001"/>
    <w:rsid w:val="00714092"/>
    <w:rsid w:val="00714178"/>
    <w:rsid w:val="00714340"/>
    <w:rsid w:val="00714853"/>
    <w:rsid w:val="007149DB"/>
    <w:rsid w:val="00714E0E"/>
    <w:rsid w:val="00715694"/>
    <w:rsid w:val="007156F8"/>
    <w:rsid w:val="007169B7"/>
    <w:rsid w:val="00716B69"/>
    <w:rsid w:val="0071755B"/>
    <w:rsid w:val="00717B36"/>
    <w:rsid w:val="00717BD7"/>
    <w:rsid w:val="00717DA7"/>
    <w:rsid w:val="0072054F"/>
    <w:rsid w:val="00720B24"/>
    <w:rsid w:val="007217FA"/>
    <w:rsid w:val="00721881"/>
    <w:rsid w:val="00721D99"/>
    <w:rsid w:val="00721EA1"/>
    <w:rsid w:val="0072205D"/>
    <w:rsid w:val="00722AE3"/>
    <w:rsid w:val="00722BB1"/>
    <w:rsid w:val="00722C04"/>
    <w:rsid w:val="00722FAE"/>
    <w:rsid w:val="007231A0"/>
    <w:rsid w:val="00723584"/>
    <w:rsid w:val="00723772"/>
    <w:rsid w:val="007239C4"/>
    <w:rsid w:val="0072406E"/>
    <w:rsid w:val="0072538C"/>
    <w:rsid w:val="007253BC"/>
    <w:rsid w:val="00725920"/>
    <w:rsid w:val="00726319"/>
    <w:rsid w:val="00726C76"/>
    <w:rsid w:val="00727B2C"/>
    <w:rsid w:val="00727D2F"/>
    <w:rsid w:val="00727E41"/>
    <w:rsid w:val="007303A6"/>
    <w:rsid w:val="00730AED"/>
    <w:rsid w:val="00730DE8"/>
    <w:rsid w:val="00730EA1"/>
    <w:rsid w:val="00731442"/>
    <w:rsid w:val="0073151C"/>
    <w:rsid w:val="00731E20"/>
    <w:rsid w:val="007321C8"/>
    <w:rsid w:val="00732850"/>
    <w:rsid w:val="007331D0"/>
    <w:rsid w:val="00733279"/>
    <w:rsid w:val="00733722"/>
    <w:rsid w:val="00733F3A"/>
    <w:rsid w:val="00734908"/>
    <w:rsid w:val="00734A4B"/>
    <w:rsid w:val="00734CCC"/>
    <w:rsid w:val="00734D2B"/>
    <w:rsid w:val="00735A5B"/>
    <w:rsid w:val="00735CA9"/>
    <w:rsid w:val="00736415"/>
    <w:rsid w:val="007369E9"/>
    <w:rsid w:val="00736FEF"/>
    <w:rsid w:val="007373FC"/>
    <w:rsid w:val="00737524"/>
    <w:rsid w:val="0074032B"/>
    <w:rsid w:val="00740AF6"/>
    <w:rsid w:val="00740B4C"/>
    <w:rsid w:val="00740D2C"/>
    <w:rsid w:val="00740DCD"/>
    <w:rsid w:val="00741543"/>
    <w:rsid w:val="00741689"/>
    <w:rsid w:val="00741D62"/>
    <w:rsid w:val="0074277A"/>
    <w:rsid w:val="007428AE"/>
    <w:rsid w:val="00743180"/>
    <w:rsid w:val="00743624"/>
    <w:rsid w:val="00743B88"/>
    <w:rsid w:val="00743C47"/>
    <w:rsid w:val="00743DE9"/>
    <w:rsid w:val="00744558"/>
    <w:rsid w:val="007445D5"/>
    <w:rsid w:val="007449F5"/>
    <w:rsid w:val="007458EE"/>
    <w:rsid w:val="007461B2"/>
    <w:rsid w:val="00746276"/>
    <w:rsid w:val="00746355"/>
    <w:rsid w:val="00746C2C"/>
    <w:rsid w:val="00746E77"/>
    <w:rsid w:val="00746FC7"/>
    <w:rsid w:val="007470D0"/>
    <w:rsid w:val="00747105"/>
    <w:rsid w:val="007474BD"/>
    <w:rsid w:val="007475B4"/>
    <w:rsid w:val="0074784E"/>
    <w:rsid w:val="00747C2C"/>
    <w:rsid w:val="0075020D"/>
    <w:rsid w:val="00750AC2"/>
    <w:rsid w:val="0075134F"/>
    <w:rsid w:val="007515D9"/>
    <w:rsid w:val="007518E7"/>
    <w:rsid w:val="00751B73"/>
    <w:rsid w:val="00752148"/>
    <w:rsid w:val="007529A5"/>
    <w:rsid w:val="00752BEB"/>
    <w:rsid w:val="00752C6A"/>
    <w:rsid w:val="007534ED"/>
    <w:rsid w:val="007536A4"/>
    <w:rsid w:val="00754303"/>
    <w:rsid w:val="00754564"/>
    <w:rsid w:val="0075458F"/>
    <w:rsid w:val="007547D0"/>
    <w:rsid w:val="00754C81"/>
    <w:rsid w:val="00755445"/>
    <w:rsid w:val="0075557E"/>
    <w:rsid w:val="00755DF7"/>
    <w:rsid w:val="0075653F"/>
    <w:rsid w:val="007605C1"/>
    <w:rsid w:val="007610D7"/>
    <w:rsid w:val="007618FF"/>
    <w:rsid w:val="00761C36"/>
    <w:rsid w:val="0076220A"/>
    <w:rsid w:val="007622C6"/>
    <w:rsid w:val="00762570"/>
    <w:rsid w:val="007627B2"/>
    <w:rsid w:val="00762C5A"/>
    <w:rsid w:val="00762D8E"/>
    <w:rsid w:val="007630F4"/>
    <w:rsid w:val="00763511"/>
    <w:rsid w:val="00763C19"/>
    <w:rsid w:val="007643CF"/>
    <w:rsid w:val="00764752"/>
    <w:rsid w:val="00764924"/>
    <w:rsid w:val="007649EC"/>
    <w:rsid w:val="007655AA"/>
    <w:rsid w:val="007656D6"/>
    <w:rsid w:val="0076598B"/>
    <w:rsid w:val="00765A3E"/>
    <w:rsid w:val="00766213"/>
    <w:rsid w:val="007668C4"/>
    <w:rsid w:val="00766CC8"/>
    <w:rsid w:val="00766FF2"/>
    <w:rsid w:val="007673B4"/>
    <w:rsid w:val="00767C83"/>
    <w:rsid w:val="00770611"/>
    <w:rsid w:val="00770795"/>
    <w:rsid w:val="007712BC"/>
    <w:rsid w:val="00771311"/>
    <w:rsid w:val="007713F4"/>
    <w:rsid w:val="0077158F"/>
    <w:rsid w:val="00771D33"/>
    <w:rsid w:val="00771E45"/>
    <w:rsid w:val="00772902"/>
    <w:rsid w:val="00772BFB"/>
    <w:rsid w:val="00773331"/>
    <w:rsid w:val="007734C9"/>
    <w:rsid w:val="0077375C"/>
    <w:rsid w:val="007739A6"/>
    <w:rsid w:val="00773C15"/>
    <w:rsid w:val="00774790"/>
    <w:rsid w:val="007749BD"/>
    <w:rsid w:val="00775758"/>
    <w:rsid w:val="00775EB4"/>
    <w:rsid w:val="007774CC"/>
    <w:rsid w:val="0077799B"/>
    <w:rsid w:val="00777F6B"/>
    <w:rsid w:val="00780977"/>
    <w:rsid w:val="00780D86"/>
    <w:rsid w:val="00781549"/>
    <w:rsid w:val="00781682"/>
    <w:rsid w:val="00781AAD"/>
    <w:rsid w:val="00781EC5"/>
    <w:rsid w:val="00782456"/>
    <w:rsid w:val="007826B8"/>
    <w:rsid w:val="007828CE"/>
    <w:rsid w:val="00782A37"/>
    <w:rsid w:val="007831C9"/>
    <w:rsid w:val="00783A39"/>
    <w:rsid w:val="007843A4"/>
    <w:rsid w:val="007843C7"/>
    <w:rsid w:val="007844EB"/>
    <w:rsid w:val="0078504E"/>
    <w:rsid w:val="007856DD"/>
    <w:rsid w:val="00785AF4"/>
    <w:rsid w:val="00786255"/>
    <w:rsid w:val="00786514"/>
    <w:rsid w:val="00786833"/>
    <w:rsid w:val="00786C1C"/>
    <w:rsid w:val="00786DE9"/>
    <w:rsid w:val="00787427"/>
    <w:rsid w:val="007875A1"/>
    <w:rsid w:val="007876D7"/>
    <w:rsid w:val="00787744"/>
    <w:rsid w:val="007878ED"/>
    <w:rsid w:val="00787AE5"/>
    <w:rsid w:val="00787B3F"/>
    <w:rsid w:val="0079005C"/>
    <w:rsid w:val="007901F9"/>
    <w:rsid w:val="00790288"/>
    <w:rsid w:val="0079054A"/>
    <w:rsid w:val="007916E8"/>
    <w:rsid w:val="007919FB"/>
    <w:rsid w:val="00791C9F"/>
    <w:rsid w:val="00792F3C"/>
    <w:rsid w:val="007932EF"/>
    <w:rsid w:val="007938FA"/>
    <w:rsid w:val="00793AA7"/>
    <w:rsid w:val="00794198"/>
    <w:rsid w:val="007941F3"/>
    <w:rsid w:val="007943E4"/>
    <w:rsid w:val="00794AB9"/>
    <w:rsid w:val="00794C36"/>
    <w:rsid w:val="00794D59"/>
    <w:rsid w:val="00794E43"/>
    <w:rsid w:val="00795155"/>
    <w:rsid w:val="00795386"/>
    <w:rsid w:val="00795E5F"/>
    <w:rsid w:val="00795FF6"/>
    <w:rsid w:val="00796661"/>
    <w:rsid w:val="00796E0A"/>
    <w:rsid w:val="00796F20"/>
    <w:rsid w:val="007973B1"/>
    <w:rsid w:val="00797AB9"/>
    <w:rsid w:val="00797ED8"/>
    <w:rsid w:val="00797F0D"/>
    <w:rsid w:val="007A001D"/>
    <w:rsid w:val="007A010B"/>
    <w:rsid w:val="007A0E5E"/>
    <w:rsid w:val="007A1241"/>
    <w:rsid w:val="007A2DC1"/>
    <w:rsid w:val="007A3A4D"/>
    <w:rsid w:val="007A3BE9"/>
    <w:rsid w:val="007A3D4C"/>
    <w:rsid w:val="007A5254"/>
    <w:rsid w:val="007A53FA"/>
    <w:rsid w:val="007A5692"/>
    <w:rsid w:val="007A5959"/>
    <w:rsid w:val="007A5AA9"/>
    <w:rsid w:val="007A61EA"/>
    <w:rsid w:val="007A6435"/>
    <w:rsid w:val="007A6B78"/>
    <w:rsid w:val="007A6D95"/>
    <w:rsid w:val="007A7B69"/>
    <w:rsid w:val="007A7F89"/>
    <w:rsid w:val="007B0168"/>
    <w:rsid w:val="007B0C06"/>
    <w:rsid w:val="007B2706"/>
    <w:rsid w:val="007B2A2F"/>
    <w:rsid w:val="007B33C3"/>
    <w:rsid w:val="007B33CE"/>
    <w:rsid w:val="007B37AB"/>
    <w:rsid w:val="007B3A9B"/>
    <w:rsid w:val="007B46D6"/>
    <w:rsid w:val="007B4D41"/>
    <w:rsid w:val="007B53FC"/>
    <w:rsid w:val="007B5A2D"/>
    <w:rsid w:val="007B5E6C"/>
    <w:rsid w:val="007B61E1"/>
    <w:rsid w:val="007B6A89"/>
    <w:rsid w:val="007B6DBB"/>
    <w:rsid w:val="007B7DF7"/>
    <w:rsid w:val="007C03D8"/>
    <w:rsid w:val="007C05F4"/>
    <w:rsid w:val="007C0A7D"/>
    <w:rsid w:val="007C1418"/>
    <w:rsid w:val="007C167F"/>
    <w:rsid w:val="007C17DC"/>
    <w:rsid w:val="007C1BFD"/>
    <w:rsid w:val="007C22E1"/>
    <w:rsid w:val="007C2719"/>
    <w:rsid w:val="007C2C2A"/>
    <w:rsid w:val="007C2E32"/>
    <w:rsid w:val="007C2F9B"/>
    <w:rsid w:val="007C313B"/>
    <w:rsid w:val="007C368B"/>
    <w:rsid w:val="007C378E"/>
    <w:rsid w:val="007C3D26"/>
    <w:rsid w:val="007C3E17"/>
    <w:rsid w:val="007C3F8A"/>
    <w:rsid w:val="007C417E"/>
    <w:rsid w:val="007C41AA"/>
    <w:rsid w:val="007C41BF"/>
    <w:rsid w:val="007C4217"/>
    <w:rsid w:val="007C4F95"/>
    <w:rsid w:val="007C5B11"/>
    <w:rsid w:val="007C5F14"/>
    <w:rsid w:val="007C619C"/>
    <w:rsid w:val="007C67BE"/>
    <w:rsid w:val="007C6A96"/>
    <w:rsid w:val="007C6B77"/>
    <w:rsid w:val="007C6E27"/>
    <w:rsid w:val="007C6E6D"/>
    <w:rsid w:val="007C71E7"/>
    <w:rsid w:val="007C726F"/>
    <w:rsid w:val="007C741A"/>
    <w:rsid w:val="007C7A79"/>
    <w:rsid w:val="007D044D"/>
    <w:rsid w:val="007D1128"/>
    <w:rsid w:val="007D1634"/>
    <w:rsid w:val="007D1682"/>
    <w:rsid w:val="007D2E0A"/>
    <w:rsid w:val="007D330A"/>
    <w:rsid w:val="007D34B3"/>
    <w:rsid w:val="007D38CA"/>
    <w:rsid w:val="007D3D18"/>
    <w:rsid w:val="007D3D9D"/>
    <w:rsid w:val="007D41B4"/>
    <w:rsid w:val="007D45D2"/>
    <w:rsid w:val="007D4916"/>
    <w:rsid w:val="007D4AC7"/>
    <w:rsid w:val="007D4DF3"/>
    <w:rsid w:val="007D5280"/>
    <w:rsid w:val="007D56F6"/>
    <w:rsid w:val="007D5998"/>
    <w:rsid w:val="007D5A24"/>
    <w:rsid w:val="007D5B39"/>
    <w:rsid w:val="007D5B40"/>
    <w:rsid w:val="007D5C0C"/>
    <w:rsid w:val="007D5DB8"/>
    <w:rsid w:val="007D65FB"/>
    <w:rsid w:val="007D66AF"/>
    <w:rsid w:val="007D6768"/>
    <w:rsid w:val="007D7580"/>
    <w:rsid w:val="007D75CD"/>
    <w:rsid w:val="007D7871"/>
    <w:rsid w:val="007D78D7"/>
    <w:rsid w:val="007D7E9C"/>
    <w:rsid w:val="007E0170"/>
    <w:rsid w:val="007E05B0"/>
    <w:rsid w:val="007E0F2B"/>
    <w:rsid w:val="007E1EF7"/>
    <w:rsid w:val="007E2F11"/>
    <w:rsid w:val="007E3281"/>
    <w:rsid w:val="007E3721"/>
    <w:rsid w:val="007E37CE"/>
    <w:rsid w:val="007E48B2"/>
    <w:rsid w:val="007E4DCD"/>
    <w:rsid w:val="007E52A2"/>
    <w:rsid w:val="007E5952"/>
    <w:rsid w:val="007E59E6"/>
    <w:rsid w:val="007E6628"/>
    <w:rsid w:val="007E690C"/>
    <w:rsid w:val="007E76D0"/>
    <w:rsid w:val="007E7D59"/>
    <w:rsid w:val="007F029D"/>
    <w:rsid w:val="007F0406"/>
    <w:rsid w:val="007F0C7A"/>
    <w:rsid w:val="007F0C7C"/>
    <w:rsid w:val="007F0F64"/>
    <w:rsid w:val="007F14BA"/>
    <w:rsid w:val="007F1714"/>
    <w:rsid w:val="007F1897"/>
    <w:rsid w:val="007F1E4C"/>
    <w:rsid w:val="007F1EC6"/>
    <w:rsid w:val="007F2116"/>
    <w:rsid w:val="007F248E"/>
    <w:rsid w:val="007F2855"/>
    <w:rsid w:val="007F2872"/>
    <w:rsid w:val="007F2B3E"/>
    <w:rsid w:val="007F2D67"/>
    <w:rsid w:val="007F30FA"/>
    <w:rsid w:val="007F32D4"/>
    <w:rsid w:val="007F33EA"/>
    <w:rsid w:val="007F348B"/>
    <w:rsid w:val="007F34FC"/>
    <w:rsid w:val="007F36E0"/>
    <w:rsid w:val="007F4975"/>
    <w:rsid w:val="007F595C"/>
    <w:rsid w:val="007F5FE8"/>
    <w:rsid w:val="007F60FD"/>
    <w:rsid w:val="007F6231"/>
    <w:rsid w:val="007F6351"/>
    <w:rsid w:val="007F6360"/>
    <w:rsid w:val="007F64B8"/>
    <w:rsid w:val="007F6E21"/>
    <w:rsid w:val="007F6E60"/>
    <w:rsid w:val="007F6F53"/>
    <w:rsid w:val="007F76FF"/>
    <w:rsid w:val="007F77D9"/>
    <w:rsid w:val="007F797B"/>
    <w:rsid w:val="007F7FD4"/>
    <w:rsid w:val="008003A6"/>
    <w:rsid w:val="008008D7"/>
    <w:rsid w:val="0080143F"/>
    <w:rsid w:val="00801758"/>
    <w:rsid w:val="00801878"/>
    <w:rsid w:val="00801915"/>
    <w:rsid w:val="00801941"/>
    <w:rsid w:val="0080205E"/>
    <w:rsid w:val="008033E9"/>
    <w:rsid w:val="00804222"/>
    <w:rsid w:val="008049FC"/>
    <w:rsid w:val="00804EF3"/>
    <w:rsid w:val="00804F93"/>
    <w:rsid w:val="008051CC"/>
    <w:rsid w:val="00805E4B"/>
    <w:rsid w:val="00806522"/>
    <w:rsid w:val="008066C4"/>
    <w:rsid w:val="008067CE"/>
    <w:rsid w:val="00806EFC"/>
    <w:rsid w:val="00810B35"/>
    <w:rsid w:val="008115DC"/>
    <w:rsid w:val="008116C2"/>
    <w:rsid w:val="008119C4"/>
    <w:rsid w:val="008124BC"/>
    <w:rsid w:val="00812C7D"/>
    <w:rsid w:val="00812D54"/>
    <w:rsid w:val="008136CF"/>
    <w:rsid w:val="008137D6"/>
    <w:rsid w:val="00813BAB"/>
    <w:rsid w:val="00813C6C"/>
    <w:rsid w:val="00814347"/>
    <w:rsid w:val="00814D01"/>
    <w:rsid w:val="00815341"/>
    <w:rsid w:val="0081541E"/>
    <w:rsid w:val="00815752"/>
    <w:rsid w:val="008158C0"/>
    <w:rsid w:val="00815B58"/>
    <w:rsid w:val="00816779"/>
    <w:rsid w:val="00816BA8"/>
    <w:rsid w:val="00816E3C"/>
    <w:rsid w:val="00816F1D"/>
    <w:rsid w:val="00821208"/>
    <w:rsid w:val="008217F0"/>
    <w:rsid w:val="0082185E"/>
    <w:rsid w:val="0082196D"/>
    <w:rsid w:val="00821B81"/>
    <w:rsid w:val="00821DF2"/>
    <w:rsid w:val="00822140"/>
    <w:rsid w:val="0082260F"/>
    <w:rsid w:val="00823077"/>
    <w:rsid w:val="0082387D"/>
    <w:rsid w:val="00823E58"/>
    <w:rsid w:val="0082418E"/>
    <w:rsid w:val="00824918"/>
    <w:rsid w:val="00824C80"/>
    <w:rsid w:val="00825614"/>
    <w:rsid w:val="008256BD"/>
    <w:rsid w:val="0082652D"/>
    <w:rsid w:val="00826604"/>
    <w:rsid w:val="0082678D"/>
    <w:rsid w:val="008268C4"/>
    <w:rsid w:val="00826ED5"/>
    <w:rsid w:val="00826FC5"/>
    <w:rsid w:val="00827442"/>
    <w:rsid w:val="00827803"/>
    <w:rsid w:val="008279D7"/>
    <w:rsid w:val="00827B64"/>
    <w:rsid w:val="00827F41"/>
    <w:rsid w:val="00830342"/>
    <w:rsid w:val="0083077A"/>
    <w:rsid w:val="00830DC2"/>
    <w:rsid w:val="00830E71"/>
    <w:rsid w:val="008314CB"/>
    <w:rsid w:val="00831E36"/>
    <w:rsid w:val="00831F32"/>
    <w:rsid w:val="0083278F"/>
    <w:rsid w:val="008328C6"/>
    <w:rsid w:val="00833020"/>
    <w:rsid w:val="00833530"/>
    <w:rsid w:val="00833F37"/>
    <w:rsid w:val="00834461"/>
    <w:rsid w:val="00834C69"/>
    <w:rsid w:val="00834D02"/>
    <w:rsid w:val="008355F8"/>
    <w:rsid w:val="00835F17"/>
    <w:rsid w:val="00836210"/>
    <w:rsid w:val="008379EA"/>
    <w:rsid w:val="00837C74"/>
    <w:rsid w:val="00840A80"/>
    <w:rsid w:val="00841508"/>
    <w:rsid w:val="008416F0"/>
    <w:rsid w:val="00841744"/>
    <w:rsid w:val="008424D9"/>
    <w:rsid w:val="0084251B"/>
    <w:rsid w:val="008425FF"/>
    <w:rsid w:val="008427C5"/>
    <w:rsid w:val="00842832"/>
    <w:rsid w:val="0084367A"/>
    <w:rsid w:val="00843FCA"/>
    <w:rsid w:val="008443BF"/>
    <w:rsid w:val="00844903"/>
    <w:rsid w:val="00845087"/>
    <w:rsid w:val="0084509B"/>
    <w:rsid w:val="00845173"/>
    <w:rsid w:val="00845742"/>
    <w:rsid w:val="00845DC0"/>
    <w:rsid w:val="00845FDC"/>
    <w:rsid w:val="0084610C"/>
    <w:rsid w:val="008465CE"/>
    <w:rsid w:val="00846784"/>
    <w:rsid w:val="008474CD"/>
    <w:rsid w:val="00847730"/>
    <w:rsid w:val="00847F9F"/>
    <w:rsid w:val="00850C01"/>
    <w:rsid w:val="00850D62"/>
    <w:rsid w:val="00851258"/>
    <w:rsid w:val="008516D1"/>
    <w:rsid w:val="00851E39"/>
    <w:rsid w:val="00851FF4"/>
    <w:rsid w:val="00852231"/>
    <w:rsid w:val="00852600"/>
    <w:rsid w:val="00852BB3"/>
    <w:rsid w:val="00852F91"/>
    <w:rsid w:val="00853FCA"/>
    <w:rsid w:val="008544D4"/>
    <w:rsid w:val="00855508"/>
    <w:rsid w:val="00855B4F"/>
    <w:rsid w:val="00856100"/>
    <w:rsid w:val="008564B6"/>
    <w:rsid w:val="00856594"/>
    <w:rsid w:val="008568BA"/>
    <w:rsid w:val="008576C7"/>
    <w:rsid w:val="00857770"/>
    <w:rsid w:val="008579BC"/>
    <w:rsid w:val="00857BA2"/>
    <w:rsid w:val="00857CC0"/>
    <w:rsid w:val="00857D63"/>
    <w:rsid w:val="00857D9B"/>
    <w:rsid w:val="00860AA2"/>
    <w:rsid w:val="00860B32"/>
    <w:rsid w:val="00860C66"/>
    <w:rsid w:val="00860DE2"/>
    <w:rsid w:val="00860E01"/>
    <w:rsid w:val="00860F0F"/>
    <w:rsid w:val="008618BF"/>
    <w:rsid w:val="00861AC9"/>
    <w:rsid w:val="00861BAE"/>
    <w:rsid w:val="0086204E"/>
    <w:rsid w:val="00862AFB"/>
    <w:rsid w:val="00862C7A"/>
    <w:rsid w:val="0086314D"/>
    <w:rsid w:val="00863389"/>
    <w:rsid w:val="008638DA"/>
    <w:rsid w:val="00863A97"/>
    <w:rsid w:val="008640E6"/>
    <w:rsid w:val="00864518"/>
    <w:rsid w:val="008645F9"/>
    <w:rsid w:val="0086488B"/>
    <w:rsid w:val="00864ADC"/>
    <w:rsid w:val="00864D59"/>
    <w:rsid w:val="00864FB5"/>
    <w:rsid w:val="00865772"/>
    <w:rsid w:val="008658A6"/>
    <w:rsid w:val="00865D3E"/>
    <w:rsid w:val="00865DE8"/>
    <w:rsid w:val="00865FED"/>
    <w:rsid w:val="00866E98"/>
    <w:rsid w:val="00866FE7"/>
    <w:rsid w:val="00867DF1"/>
    <w:rsid w:val="00867E22"/>
    <w:rsid w:val="00872447"/>
    <w:rsid w:val="00872966"/>
    <w:rsid w:val="008729DE"/>
    <w:rsid w:val="00872AE4"/>
    <w:rsid w:val="00872C22"/>
    <w:rsid w:val="008735D6"/>
    <w:rsid w:val="00873F91"/>
    <w:rsid w:val="00873FFE"/>
    <w:rsid w:val="0087406F"/>
    <w:rsid w:val="00874CEB"/>
    <w:rsid w:val="00874D22"/>
    <w:rsid w:val="008752C4"/>
    <w:rsid w:val="00875681"/>
    <w:rsid w:val="00875742"/>
    <w:rsid w:val="00875F6D"/>
    <w:rsid w:val="008763CF"/>
    <w:rsid w:val="008764C8"/>
    <w:rsid w:val="00876574"/>
    <w:rsid w:val="008776D9"/>
    <w:rsid w:val="00877AE6"/>
    <w:rsid w:val="00877E74"/>
    <w:rsid w:val="00877F9C"/>
    <w:rsid w:val="008805DD"/>
    <w:rsid w:val="0088188A"/>
    <w:rsid w:val="0088191B"/>
    <w:rsid w:val="00882B8E"/>
    <w:rsid w:val="00882CED"/>
    <w:rsid w:val="00882F6F"/>
    <w:rsid w:val="00883D1C"/>
    <w:rsid w:val="00884291"/>
    <w:rsid w:val="008849A9"/>
    <w:rsid w:val="00884EC7"/>
    <w:rsid w:val="00884FF9"/>
    <w:rsid w:val="0088505C"/>
    <w:rsid w:val="00885D81"/>
    <w:rsid w:val="008860BB"/>
    <w:rsid w:val="00887EDE"/>
    <w:rsid w:val="008900D3"/>
    <w:rsid w:val="00890188"/>
    <w:rsid w:val="008902C9"/>
    <w:rsid w:val="00890792"/>
    <w:rsid w:val="0089082C"/>
    <w:rsid w:val="00890CF5"/>
    <w:rsid w:val="00890E46"/>
    <w:rsid w:val="00891672"/>
    <w:rsid w:val="0089174F"/>
    <w:rsid w:val="00891A08"/>
    <w:rsid w:val="00891CD8"/>
    <w:rsid w:val="00892436"/>
    <w:rsid w:val="00892AA1"/>
    <w:rsid w:val="00894399"/>
    <w:rsid w:val="00894677"/>
    <w:rsid w:val="0089496F"/>
    <w:rsid w:val="00894ADC"/>
    <w:rsid w:val="00894CD9"/>
    <w:rsid w:val="00894D8D"/>
    <w:rsid w:val="00895280"/>
    <w:rsid w:val="008952AB"/>
    <w:rsid w:val="00895D6C"/>
    <w:rsid w:val="00896748"/>
    <w:rsid w:val="0089688B"/>
    <w:rsid w:val="008970DF"/>
    <w:rsid w:val="00897F2B"/>
    <w:rsid w:val="008A0500"/>
    <w:rsid w:val="008A09F3"/>
    <w:rsid w:val="008A17E6"/>
    <w:rsid w:val="008A1E28"/>
    <w:rsid w:val="008A1EC5"/>
    <w:rsid w:val="008A22DD"/>
    <w:rsid w:val="008A2463"/>
    <w:rsid w:val="008A24F1"/>
    <w:rsid w:val="008A2699"/>
    <w:rsid w:val="008A2914"/>
    <w:rsid w:val="008A2959"/>
    <w:rsid w:val="008A30E4"/>
    <w:rsid w:val="008A400A"/>
    <w:rsid w:val="008A468C"/>
    <w:rsid w:val="008A52CB"/>
    <w:rsid w:val="008A54DE"/>
    <w:rsid w:val="008A5C4B"/>
    <w:rsid w:val="008A6438"/>
    <w:rsid w:val="008A6EDD"/>
    <w:rsid w:val="008A7F78"/>
    <w:rsid w:val="008B0468"/>
    <w:rsid w:val="008B0986"/>
    <w:rsid w:val="008B0AA1"/>
    <w:rsid w:val="008B0B4B"/>
    <w:rsid w:val="008B0F35"/>
    <w:rsid w:val="008B12C6"/>
    <w:rsid w:val="008B1B94"/>
    <w:rsid w:val="008B1ED3"/>
    <w:rsid w:val="008B23E0"/>
    <w:rsid w:val="008B2520"/>
    <w:rsid w:val="008B2A77"/>
    <w:rsid w:val="008B2FBF"/>
    <w:rsid w:val="008B305A"/>
    <w:rsid w:val="008B325E"/>
    <w:rsid w:val="008B3AAF"/>
    <w:rsid w:val="008B3E55"/>
    <w:rsid w:val="008B4A0D"/>
    <w:rsid w:val="008B4CF4"/>
    <w:rsid w:val="008B4F56"/>
    <w:rsid w:val="008B5056"/>
    <w:rsid w:val="008B5AC5"/>
    <w:rsid w:val="008B5C10"/>
    <w:rsid w:val="008B6021"/>
    <w:rsid w:val="008B6C59"/>
    <w:rsid w:val="008B6D0C"/>
    <w:rsid w:val="008B7042"/>
    <w:rsid w:val="008B7B10"/>
    <w:rsid w:val="008B7E46"/>
    <w:rsid w:val="008C0473"/>
    <w:rsid w:val="008C0703"/>
    <w:rsid w:val="008C0B88"/>
    <w:rsid w:val="008C0FDE"/>
    <w:rsid w:val="008C1935"/>
    <w:rsid w:val="008C1C31"/>
    <w:rsid w:val="008C1EA6"/>
    <w:rsid w:val="008C2C31"/>
    <w:rsid w:val="008C328F"/>
    <w:rsid w:val="008C32A4"/>
    <w:rsid w:val="008C3443"/>
    <w:rsid w:val="008C36FE"/>
    <w:rsid w:val="008C3866"/>
    <w:rsid w:val="008C43BC"/>
    <w:rsid w:val="008C4875"/>
    <w:rsid w:val="008C4ABD"/>
    <w:rsid w:val="008C4F56"/>
    <w:rsid w:val="008C5957"/>
    <w:rsid w:val="008C5D4C"/>
    <w:rsid w:val="008C6799"/>
    <w:rsid w:val="008C69EA"/>
    <w:rsid w:val="008C7938"/>
    <w:rsid w:val="008C7B0D"/>
    <w:rsid w:val="008C7E8C"/>
    <w:rsid w:val="008C7EE6"/>
    <w:rsid w:val="008D014F"/>
    <w:rsid w:val="008D0330"/>
    <w:rsid w:val="008D0965"/>
    <w:rsid w:val="008D0ADF"/>
    <w:rsid w:val="008D0CA1"/>
    <w:rsid w:val="008D1962"/>
    <w:rsid w:val="008D19E0"/>
    <w:rsid w:val="008D1D77"/>
    <w:rsid w:val="008D21A5"/>
    <w:rsid w:val="008D22E4"/>
    <w:rsid w:val="008D2FCC"/>
    <w:rsid w:val="008D33B3"/>
    <w:rsid w:val="008D345E"/>
    <w:rsid w:val="008D3A51"/>
    <w:rsid w:val="008D3C12"/>
    <w:rsid w:val="008D3DD3"/>
    <w:rsid w:val="008D3DEC"/>
    <w:rsid w:val="008D3E36"/>
    <w:rsid w:val="008D423B"/>
    <w:rsid w:val="008D4557"/>
    <w:rsid w:val="008D5099"/>
    <w:rsid w:val="008D5275"/>
    <w:rsid w:val="008D55C4"/>
    <w:rsid w:val="008D5DF1"/>
    <w:rsid w:val="008D60D6"/>
    <w:rsid w:val="008D62E3"/>
    <w:rsid w:val="008D6C06"/>
    <w:rsid w:val="008D6F78"/>
    <w:rsid w:val="008D722C"/>
    <w:rsid w:val="008D759B"/>
    <w:rsid w:val="008D75B4"/>
    <w:rsid w:val="008D7FC7"/>
    <w:rsid w:val="008E0161"/>
    <w:rsid w:val="008E0969"/>
    <w:rsid w:val="008E179A"/>
    <w:rsid w:val="008E203E"/>
    <w:rsid w:val="008E21EA"/>
    <w:rsid w:val="008E26B4"/>
    <w:rsid w:val="008E26CF"/>
    <w:rsid w:val="008E27D5"/>
    <w:rsid w:val="008E2E1C"/>
    <w:rsid w:val="008E3024"/>
    <w:rsid w:val="008E31E2"/>
    <w:rsid w:val="008E39E9"/>
    <w:rsid w:val="008E3CC8"/>
    <w:rsid w:val="008E4225"/>
    <w:rsid w:val="008E436C"/>
    <w:rsid w:val="008E478D"/>
    <w:rsid w:val="008E4D8E"/>
    <w:rsid w:val="008E5F08"/>
    <w:rsid w:val="008E5F38"/>
    <w:rsid w:val="008E6F57"/>
    <w:rsid w:val="008E7437"/>
    <w:rsid w:val="008E74FD"/>
    <w:rsid w:val="008E7634"/>
    <w:rsid w:val="008E76B4"/>
    <w:rsid w:val="008E76D3"/>
    <w:rsid w:val="008E772B"/>
    <w:rsid w:val="008E77A3"/>
    <w:rsid w:val="008E7808"/>
    <w:rsid w:val="008E79B2"/>
    <w:rsid w:val="008F004A"/>
    <w:rsid w:val="008F0096"/>
    <w:rsid w:val="008F00DB"/>
    <w:rsid w:val="008F0CAE"/>
    <w:rsid w:val="008F0D28"/>
    <w:rsid w:val="008F1B3C"/>
    <w:rsid w:val="008F1C88"/>
    <w:rsid w:val="008F1CB9"/>
    <w:rsid w:val="008F1DFC"/>
    <w:rsid w:val="008F20FB"/>
    <w:rsid w:val="008F2352"/>
    <w:rsid w:val="008F3345"/>
    <w:rsid w:val="008F3B73"/>
    <w:rsid w:val="008F3C08"/>
    <w:rsid w:val="008F438B"/>
    <w:rsid w:val="008F46A8"/>
    <w:rsid w:val="008F4E7E"/>
    <w:rsid w:val="008F4EE4"/>
    <w:rsid w:val="008F4FB9"/>
    <w:rsid w:val="008F53BF"/>
    <w:rsid w:val="008F5811"/>
    <w:rsid w:val="008F5A62"/>
    <w:rsid w:val="008F5D8B"/>
    <w:rsid w:val="008F6413"/>
    <w:rsid w:val="008F78D1"/>
    <w:rsid w:val="008F7C03"/>
    <w:rsid w:val="009001CB"/>
    <w:rsid w:val="00900E6A"/>
    <w:rsid w:val="009011C2"/>
    <w:rsid w:val="009019D8"/>
    <w:rsid w:val="00901A57"/>
    <w:rsid w:val="00901DB2"/>
    <w:rsid w:val="009024C4"/>
    <w:rsid w:val="00902D83"/>
    <w:rsid w:val="009033F5"/>
    <w:rsid w:val="00903508"/>
    <w:rsid w:val="0090356A"/>
    <w:rsid w:val="00903B9E"/>
    <w:rsid w:val="00903D1B"/>
    <w:rsid w:val="00903FF5"/>
    <w:rsid w:val="00904E59"/>
    <w:rsid w:val="00904F9C"/>
    <w:rsid w:val="00904FD7"/>
    <w:rsid w:val="009054C6"/>
    <w:rsid w:val="00905A90"/>
    <w:rsid w:val="00906315"/>
    <w:rsid w:val="0090672F"/>
    <w:rsid w:val="00907EE7"/>
    <w:rsid w:val="00911286"/>
    <w:rsid w:val="009113FB"/>
    <w:rsid w:val="00911A0C"/>
    <w:rsid w:val="00911B57"/>
    <w:rsid w:val="00912214"/>
    <w:rsid w:val="00912482"/>
    <w:rsid w:val="00912527"/>
    <w:rsid w:val="00912B37"/>
    <w:rsid w:val="00912C88"/>
    <w:rsid w:val="00912F39"/>
    <w:rsid w:val="00913F88"/>
    <w:rsid w:val="009141D5"/>
    <w:rsid w:val="00914559"/>
    <w:rsid w:val="009148CF"/>
    <w:rsid w:val="00914F4E"/>
    <w:rsid w:val="0091508A"/>
    <w:rsid w:val="00915B8D"/>
    <w:rsid w:val="0091636E"/>
    <w:rsid w:val="00917202"/>
    <w:rsid w:val="0091737B"/>
    <w:rsid w:val="00917649"/>
    <w:rsid w:val="00917AEB"/>
    <w:rsid w:val="00917C1B"/>
    <w:rsid w:val="00917F9F"/>
    <w:rsid w:val="0092059B"/>
    <w:rsid w:val="00920601"/>
    <w:rsid w:val="009207A2"/>
    <w:rsid w:val="009211BF"/>
    <w:rsid w:val="00921F7F"/>
    <w:rsid w:val="009226EA"/>
    <w:rsid w:val="0092364C"/>
    <w:rsid w:val="00923A07"/>
    <w:rsid w:val="00923B96"/>
    <w:rsid w:val="00924038"/>
    <w:rsid w:val="009242AD"/>
    <w:rsid w:val="0092446B"/>
    <w:rsid w:val="009249CE"/>
    <w:rsid w:val="0092539F"/>
    <w:rsid w:val="00925C13"/>
    <w:rsid w:val="00925F6B"/>
    <w:rsid w:val="0092637D"/>
    <w:rsid w:val="009265D3"/>
    <w:rsid w:val="00926CFA"/>
    <w:rsid w:val="00927504"/>
    <w:rsid w:val="0092792D"/>
    <w:rsid w:val="00927997"/>
    <w:rsid w:val="00927E66"/>
    <w:rsid w:val="00927E6C"/>
    <w:rsid w:val="009304E3"/>
    <w:rsid w:val="0093193E"/>
    <w:rsid w:val="00931A18"/>
    <w:rsid w:val="00931E89"/>
    <w:rsid w:val="009321D8"/>
    <w:rsid w:val="009329DF"/>
    <w:rsid w:val="00932BA0"/>
    <w:rsid w:val="00932E1D"/>
    <w:rsid w:val="009336B2"/>
    <w:rsid w:val="00933DE7"/>
    <w:rsid w:val="00933F08"/>
    <w:rsid w:val="0093519C"/>
    <w:rsid w:val="009354CF"/>
    <w:rsid w:val="009358AF"/>
    <w:rsid w:val="00935C50"/>
    <w:rsid w:val="009361BD"/>
    <w:rsid w:val="0093626C"/>
    <w:rsid w:val="009362E4"/>
    <w:rsid w:val="0093656B"/>
    <w:rsid w:val="00936CD1"/>
    <w:rsid w:val="00937289"/>
    <w:rsid w:val="009374E1"/>
    <w:rsid w:val="00937C65"/>
    <w:rsid w:val="00940213"/>
    <w:rsid w:val="009404E0"/>
    <w:rsid w:val="0094053A"/>
    <w:rsid w:val="00942A67"/>
    <w:rsid w:val="009438B8"/>
    <w:rsid w:val="0094415E"/>
    <w:rsid w:val="0094425D"/>
    <w:rsid w:val="0094470B"/>
    <w:rsid w:val="00944CA1"/>
    <w:rsid w:val="00945FF3"/>
    <w:rsid w:val="00946998"/>
    <w:rsid w:val="00946BAA"/>
    <w:rsid w:val="00946CC1"/>
    <w:rsid w:val="0094704A"/>
    <w:rsid w:val="009471BE"/>
    <w:rsid w:val="009475C8"/>
    <w:rsid w:val="00947BA7"/>
    <w:rsid w:val="00947E6A"/>
    <w:rsid w:val="00950EAB"/>
    <w:rsid w:val="00950FA4"/>
    <w:rsid w:val="00952BAD"/>
    <w:rsid w:val="00952FAF"/>
    <w:rsid w:val="0095315C"/>
    <w:rsid w:val="00953282"/>
    <w:rsid w:val="009534C4"/>
    <w:rsid w:val="0095351C"/>
    <w:rsid w:val="009539F4"/>
    <w:rsid w:val="00953F96"/>
    <w:rsid w:val="00954892"/>
    <w:rsid w:val="009549BC"/>
    <w:rsid w:val="00954DD9"/>
    <w:rsid w:val="00954FA0"/>
    <w:rsid w:val="00955AF4"/>
    <w:rsid w:val="00955B4E"/>
    <w:rsid w:val="00955F6D"/>
    <w:rsid w:val="0095628B"/>
    <w:rsid w:val="009567EE"/>
    <w:rsid w:val="00957048"/>
    <w:rsid w:val="0095753E"/>
    <w:rsid w:val="00957816"/>
    <w:rsid w:val="00960A3F"/>
    <w:rsid w:val="009612F0"/>
    <w:rsid w:val="009624AD"/>
    <w:rsid w:val="00962C8B"/>
    <w:rsid w:val="0096374D"/>
    <w:rsid w:val="00963A0A"/>
    <w:rsid w:val="00963B9C"/>
    <w:rsid w:val="009643D7"/>
    <w:rsid w:val="00964C65"/>
    <w:rsid w:val="009651A8"/>
    <w:rsid w:val="0096530B"/>
    <w:rsid w:val="00965513"/>
    <w:rsid w:val="0096553B"/>
    <w:rsid w:val="00965CF2"/>
    <w:rsid w:val="00965E93"/>
    <w:rsid w:val="00965F25"/>
    <w:rsid w:val="009678D2"/>
    <w:rsid w:val="00970B18"/>
    <w:rsid w:val="00970B4D"/>
    <w:rsid w:val="00970CD8"/>
    <w:rsid w:val="00970D7E"/>
    <w:rsid w:val="00970EB9"/>
    <w:rsid w:val="00970FCB"/>
    <w:rsid w:val="00971271"/>
    <w:rsid w:val="009715BE"/>
    <w:rsid w:val="009715DB"/>
    <w:rsid w:val="00971632"/>
    <w:rsid w:val="00971A7F"/>
    <w:rsid w:val="00971C6F"/>
    <w:rsid w:val="009721CC"/>
    <w:rsid w:val="00972763"/>
    <w:rsid w:val="009727AC"/>
    <w:rsid w:val="00972E16"/>
    <w:rsid w:val="00973402"/>
    <w:rsid w:val="00973D58"/>
    <w:rsid w:val="009744BE"/>
    <w:rsid w:val="009746B0"/>
    <w:rsid w:val="0097484C"/>
    <w:rsid w:val="00974990"/>
    <w:rsid w:val="0097499C"/>
    <w:rsid w:val="00974A08"/>
    <w:rsid w:val="00974AD3"/>
    <w:rsid w:val="00974B58"/>
    <w:rsid w:val="00974F01"/>
    <w:rsid w:val="00975157"/>
    <w:rsid w:val="00975963"/>
    <w:rsid w:val="00975B78"/>
    <w:rsid w:val="00976216"/>
    <w:rsid w:val="00976430"/>
    <w:rsid w:val="00976F05"/>
    <w:rsid w:val="009772C2"/>
    <w:rsid w:val="0097766D"/>
    <w:rsid w:val="0097789C"/>
    <w:rsid w:val="00977AB7"/>
    <w:rsid w:val="0098039B"/>
    <w:rsid w:val="00980514"/>
    <w:rsid w:val="00980862"/>
    <w:rsid w:val="0098102B"/>
    <w:rsid w:val="00981A91"/>
    <w:rsid w:val="00982A9F"/>
    <w:rsid w:val="00982DF2"/>
    <w:rsid w:val="009833A2"/>
    <w:rsid w:val="009838A7"/>
    <w:rsid w:val="009839A1"/>
    <w:rsid w:val="00983E8E"/>
    <w:rsid w:val="00984925"/>
    <w:rsid w:val="009849E0"/>
    <w:rsid w:val="00984C4F"/>
    <w:rsid w:val="00984D34"/>
    <w:rsid w:val="00984E5F"/>
    <w:rsid w:val="009853DE"/>
    <w:rsid w:val="00985A0D"/>
    <w:rsid w:val="00985B25"/>
    <w:rsid w:val="00985B29"/>
    <w:rsid w:val="00986044"/>
    <w:rsid w:val="00986253"/>
    <w:rsid w:val="00986A4A"/>
    <w:rsid w:val="00986FF3"/>
    <w:rsid w:val="00987A8D"/>
    <w:rsid w:val="00987B76"/>
    <w:rsid w:val="00990438"/>
    <w:rsid w:val="00990548"/>
    <w:rsid w:val="00990865"/>
    <w:rsid w:val="00990B29"/>
    <w:rsid w:val="00991070"/>
    <w:rsid w:val="009910CE"/>
    <w:rsid w:val="00991486"/>
    <w:rsid w:val="00991943"/>
    <w:rsid w:val="00991C21"/>
    <w:rsid w:val="00991E9C"/>
    <w:rsid w:val="00991F37"/>
    <w:rsid w:val="009925D0"/>
    <w:rsid w:val="00992903"/>
    <w:rsid w:val="009932C1"/>
    <w:rsid w:val="009936F2"/>
    <w:rsid w:val="00993BB1"/>
    <w:rsid w:val="00994546"/>
    <w:rsid w:val="00994822"/>
    <w:rsid w:val="00994835"/>
    <w:rsid w:val="00994982"/>
    <w:rsid w:val="00995501"/>
    <w:rsid w:val="00995A25"/>
    <w:rsid w:val="00996051"/>
    <w:rsid w:val="0099618F"/>
    <w:rsid w:val="00996571"/>
    <w:rsid w:val="00997800"/>
    <w:rsid w:val="00997FE3"/>
    <w:rsid w:val="009A0925"/>
    <w:rsid w:val="009A09BE"/>
    <w:rsid w:val="009A0E12"/>
    <w:rsid w:val="009A1489"/>
    <w:rsid w:val="009A204F"/>
    <w:rsid w:val="009A2437"/>
    <w:rsid w:val="009A29C8"/>
    <w:rsid w:val="009A3394"/>
    <w:rsid w:val="009A35FE"/>
    <w:rsid w:val="009A4819"/>
    <w:rsid w:val="009A556F"/>
    <w:rsid w:val="009A569A"/>
    <w:rsid w:val="009A585E"/>
    <w:rsid w:val="009A5971"/>
    <w:rsid w:val="009A5AE8"/>
    <w:rsid w:val="009A6297"/>
    <w:rsid w:val="009A6DFD"/>
    <w:rsid w:val="009A7586"/>
    <w:rsid w:val="009A7983"/>
    <w:rsid w:val="009A7BA6"/>
    <w:rsid w:val="009B0110"/>
    <w:rsid w:val="009B0549"/>
    <w:rsid w:val="009B0D0A"/>
    <w:rsid w:val="009B1090"/>
    <w:rsid w:val="009B147E"/>
    <w:rsid w:val="009B161E"/>
    <w:rsid w:val="009B176B"/>
    <w:rsid w:val="009B1934"/>
    <w:rsid w:val="009B1C50"/>
    <w:rsid w:val="009B23B6"/>
    <w:rsid w:val="009B242A"/>
    <w:rsid w:val="009B26D9"/>
    <w:rsid w:val="009B3891"/>
    <w:rsid w:val="009B3D6D"/>
    <w:rsid w:val="009B3EDA"/>
    <w:rsid w:val="009B4DA2"/>
    <w:rsid w:val="009B561B"/>
    <w:rsid w:val="009B6168"/>
    <w:rsid w:val="009B61F6"/>
    <w:rsid w:val="009B6576"/>
    <w:rsid w:val="009B6621"/>
    <w:rsid w:val="009B68F7"/>
    <w:rsid w:val="009B6A3B"/>
    <w:rsid w:val="009B6A9A"/>
    <w:rsid w:val="009B7157"/>
    <w:rsid w:val="009B753D"/>
    <w:rsid w:val="009B7695"/>
    <w:rsid w:val="009B7799"/>
    <w:rsid w:val="009B78E7"/>
    <w:rsid w:val="009B7DF2"/>
    <w:rsid w:val="009C028C"/>
    <w:rsid w:val="009C0958"/>
    <w:rsid w:val="009C109C"/>
    <w:rsid w:val="009C10C3"/>
    <w:rsid w:val="009C1565"/>
    <w:rsid w:val="009C244F"/>
    <w:rsid w:val="009C2A4F"/>
    <w:rsid w:val="009C2C6E"/>
    <w:rsid w:val="009C2EBB"/>
    <w:rsid w:val="009C35CF"/>
    <w:rsid w:val="009C3876"/>
    <w:rsid w:val="009C3A83"/>
    <w:rsid w:val="009C4018"/>
    <w:rsid w:val="009C4A77"/>
    <w:rsid w:val="009C4AE4"/>
    <w:rsid w:val="009C4B7F"/>
    <w:rsid w:val="009C5DC4"/>
    <w:rsid w:val="009C5F21"/>
    <w:rsid w:val="009C62F1"/>
    <w:rsid w:val="009C6522"/>
    <w:rsid w:val="009C66DA"/>
    <w:rsid w:val="009C7227"/>
    <w:rsid w:val="009D04D5"/>
    <w:rsid w:val="009D072A"/>
    <w:rsid w:val="009D0A6E"/>
    <w:rsid w:val="009D0C3F"/>
    <w:rsid w:val="009D0FE5"/>
    <w:rsid w:val="009D10CF"/>
    <w:rsid w:val="009D12F2"/>
    <w:rsid w:val="009D1A1E"/>
    <w:rsid w:val="009D1B64"/>
    <w:rsid w:val="009D1DC8"/>
    <w:rsid w:val="009D2189"/>
    <w:rsid w:val="009D22DB"/>
    <w:rsid w:val="009D2B07"/>
    <w:rsid w:val="009D2E02"/>
    <w:rsid w:val="009D382D"/>
    <w:rsid w:val="009D3CAF"/>
    <w:rsid w:val="009D47B2"/>
    <w:rsid w:val="009D4898"/>
    <w:rsid w:val="009D4EA1"/>
    <w:rsid w:val="009D50B3"/>
    <w:rsid w:val="009D5355"/>
    <w:rsid w:val="009D57C8"/>
    <w:rsid w:val="009D6221"/>
    <w:rsid w:val="009D638E"/>
    <w:rsid w:val="009D6391"/>
    <w:rsid w:val="009D63C2"/>
    <w:rsid w:val="009D69B7"/>
    <w:rsid w:val="009D705F"/>
    <w:rsid w:val="009D7505"/>
    <w:rsid w:val="009D7A08"/>
    <w:rsid w:val="009D7C98"/>
    <w:rsid w:val="009D7F53"/>
    <w:rsid w:val="009E03E8"/>
    <w:rsid w:val="009E06FA"/>
    <w:rsid w:val="009E0C72"/>
    <w:rsid w:val="009E0CD4"/>
    <w:rsid w:val="009E0CED"/>
    <w:rsid w:val="009E0DA2"/>
    <w:rsid w:val="009E0F81"/>
    <w:rsid w:val="009E1094"/>
    <w:rsid w:val="009E195C"/>
    <w:rsid w:val="009E1D43"/>
    <w:rsid w:val="009E256A"/>
    <w:rsid w:val="009E3271"/>
    <w:rsid w:val="009E3746"/>
    <w:rsid w:val="009E3AEF"/>
    <w:rsid w:val="009E3C47"/>
    <w:rsid w:val="009E40AB"/>
    <w:rsid w:val="009E42A9"/>
    <w:rsid w:val="009E4423"/>
    <w:rsid w:val="009E478F"/>
    <w:rsid w:val="009E49DF"/>
    <w:rsid w:val="009E4A0A"/>
    <w:rsid w:val="009E4A9D"/>
    <w:rsid w:val="009E515C"/>
    <w:rsid w:val="009E5AA9"/>
    <w:rsid w:val="009E5B2A"/>
    <w:rsid w:val="009E5CF8"/>
    <w:rsid w:val="009E5E45"/>
    <w:rsid w:val="009E657C"/>
    <w:rsid w:val="009E6584"/>
    <w:rsid w:val="009E6D93"/>
    <w:rsid w:val="009E7307"/>
    <w:rsid w:val="009E730D"/>
    <w:rsid w:val="009E74D7"/>
    <w:rsid w:val="009E75A4"/>
    <w:rsid w:val="009E7916"/>
    <w:rsid w:val="009E7B86"/>
    <w:rsid w:val="009E7F01"/>
    <w:rsid w:val="009F02C2"/>
    <w:rsid w:val="009F11E2"/>
    <w:rsid w:val="009F1C92"/>
    <w:rsid w:val="009F232E"/>
    <w:rsid w:val="009F23EF"/>
    <w:rsid w:val="009F23F3"/>
    <w:rsid w:val="009F274E"/>
    <w:rsid w:val="009F2A90"/>
    <w:rsid w:val="009F2E21"/>
    <w:rsid w:val="009F2F62"/>
    <w:rsid w:val="009F3B11"/>
    <w:rsid w:val="009F3EA9"/>
    <w:rsid w:val="009F4164"/>
    <w:rsid w:val="009F447C"/>
    <w:rsid w:val="009F4FF3"/>
    <w:rsid w:val="009F5129"/>
    <w:rsid w:val="009F5574"/>
    <w:rsid w:val="009F56E8"/>
    <w:rsid w:val="009F5EDD"/>
    <w:rsid w:val="009F6146"/>
    <w:rsid w:val="009F637F"/>
    <w:rsid w:val="009F645B"/>
    <w:rsid w:val="009F6ADE"/>
    <w:rsid w:val="009F6BFE"/>
    <w:rsid w:val="009F6D37"/>
    <w:rsid w:val="009F7029"/>
    <w:rsid w:val="009F7211"/>
    <w:rsid w:val="009F7BE3"/>
    <w:rsid w:val="00A00FBC"/>
    <w:rsid w:val="00A01881"/>
    <w:rsid w:val="00A01C35"/>
    <w:rsid w:val="00A01C68"/>
    <w:rsid w:val="00A01D64"/>
    <w:rsid w:val="00A021C2"/>
    <w:rsid w:val="00A024FC"/>
    <w:rsid w:val="00A027F4"/>
    <w:rsid w:val="00A02AC4"/>
    <w:rsid w:val="00A02BCF"/>
    <w:rsid w:val="00A02CC4"/>
    <w:rsid w:val="00A02EF4"/>
    <w:rsid w:val="00A02F9B"/>
    <w:rsid w:val="00A0325B"/>
    <w:rsid w:val="00A03E28"/>
    <w:rsid w:val="00A0425E"/>
    <w:rsid w:val="00A04373"/>
    <w:rsid w:val="00A04BE0"/>
    <w:rsid w:val="00A04C55"/>
    <w:rsid w:val="00A04CF8"/>
    <w:rsid w:val="00A04ED2"/>
    <w:rsid w:val="00A04ED7"/>
    <w:rsid w:val="00A04F52"/>
    <w:rsid w:val="00A0605F"/>
    <w:rsid w:val="00A06756"/>
    <w:rsid w:val="00A068D0"/>
    <w:rsid w:val="00A068FE"/>
    <w:rsid w:val="00A06904"/>
    <w:rsid w:val="00A06916"/>
    <w:rsid w:val="00A06B1A"/>
    <w:rsid w:val="00A07411"/>
    <w:rsid w:val="00A07456"/>
    <w:rsid w:val="00A07617"/>
    <w:rsid w:val="00A07944"/>
    <w:rsid w:val="00A07BA6"/>
    <w:rsid w:val="00A07BC4"/>
    <w:rsid w:val="00A07D94"/>
    <w:rsid w:val="00A1053B"/>
    <w:rsid w:val="00A10685"/>
    <w:rsid w:val="00A10737"/>
    <w:rsid w:val="00A107FB"/>
    <w:rsid w:val="00A1113D"/>
    <w:rsid w:val="00A11743"/>
    <w:rsid w:val="00A11B1B"/>
    <w:rsid w:val="00A12320"/>
    <w:rsid w:val="00A1243B"/>
    <w:rsid w:val="00A12449"/>
    <w:rsid w:val="00A12887"/>
    <w:rsid w:val="00A12F55"/>
    <w:rsid w:val="00A131D3"/>
    <w:rsid w:val="00A133F9"/>
    <w:rsid w:val="00A14352"/>
    <w:rsid w:val="00A14A08"/>
    <w:rsid w:val="00A14DE7"/>
    <w:rsid w:val="00A15240"/>
    <w:rsid w:val="00A152EA"/>
    <w:rsid w:val="00A15AE1"/>
    <w:rsid w:val="00A15B0A"/>
    <w:rsid w:val="00A15BF5"/>
    <w:rsid w:val="00A15D7C"/>
    <w:rsid w:val="00A15F84"/>
    <w:rsid w:val="00A160E2"/>
    <w:rsid w:val="00A161AC"/>
    <w:rsid w:val="00A16865"/>
    <w:rsid w:val="00A16B41"/>
    <w:rsid w:val="00A16DA5"/>
    <w:rsid w:val="00A173B1"/>
    <w:rsid w:val="00A173C1"/>
    <w:rsid w:val="00A176BC"/>
    <w:rsid w:val="00A17A85"/>
    <w:rsid w:val="00A17B1C"/>
    <w:rsid w:val="00A2009C"/>
    <w:rsid w:val="00A200A7"/>
    <w:rsid w:val="00A2021B"/>
    <w:rsid w:val="00A20797"/>
    <w:rsid w:val="00A2096A"/>
    <w:rsid w:val="00A20BDD"/>
    <w:rsid w:val="00A20F2F"/>
    <w:rsid w:val="00A20FE8"/>
    <w:rsid w:val="00A2158A"/>
    <w:rsid w:val="00A21794"/>
    <w:rsid w:val="00A21BEC"/>
    <w:rsid w:val="00A2243D"/>
    <w:rsid w:val="00A2244F"/>
    <w:rsid w:val="00A2293D"/>
    <w:rsid w:val="00A22D65"/>
    <w:rsid w:val="00A22E82"/>
    <w:rsid w:val="00A23BC3"/>
    <w:rsid w:val="00A24305"/>
    <w:rsid w:val="00A24318"/>
    <w:rsid w:val="00A24B04"/>
    <w:rsid w:val="00A24EFF"/>
    <w:rsid w:val="00A2523F"/>
    <w:rsid w:val="00A263B2"/>
    <w:rsid w:val="00A27708"/>
    <w:rsid w:val="00A27813"/>
    <w:rsid w:val="00A27B5C"/>
    <w:rsid w:val="00A27C79"/>
    <w:rsid w:val="00A30423"/>
    <w:rsid w:val="00A30F71"/>
    <w:rsid w:val="00A31388"/>
    <w:rsid w:val="00A315A5"/>
    <w:rsid w:val="00A31B45"/>
    <w:rsid w:val="00A31DEC"/>
    <w:rsid w:val="00A32692"/>
    <w:rsid w:val="00A32827"/>
    <w:rsid w:val="00A333FB"/>
    <w:rsid w:val="00A33883"/>
    <w:rsid w:val="00A33CA3"/>
    <w:rsid w:val="00A33D49"/>
    <w:rsid w:val="00A33E13"/>
    <w:rsid w:val="00A34005"/>
    <w:rsid w:val="00A34170"/>
    <w:rsid w:val="00A342A3"/>
    <w:rsid w:val="00A34975"/>
    <w:rsid w:val="00A34B92"/>
    <w:rsid w:val="00A34DF0"/>
    <w:rsid w:val="00A35039"/>
    <w:rsid w:val="00A3576B"/>
    <w:rsid w:val="00A3598E"/>
    <w:rsid w:val="00A35A54"/>
    <w:rsid w:val="00A35AC8"/>
    <w:rsid w:val="00A36133"/>
    <w:rsid w:val="00A361CD"/>
    <w:rsid w:val="00A36499"/>
    <w:rsid w:val="00A36544"/>
    <w:rsid w:val="00A36917"/>
    <w:rsid w:val="00A36F72"/>
    <w:rsid w:val="00A370DD"/>
    <w:rsid w:val="00A37360"/>
    <w:rsid w:val="00A37760"/>
    <w:rsid w:val="00A3780A"/>
    <w:rsid w:val="00A37A75"/>
    <w:rsid w:val="00A404C6"/>
    <w:rsid w:val="00A411A5"/>
    <w:rsid w:val="00A411CA"/>
    <w:rsid w:val="00A4160E"/>
    <w:rsid w:val="00A41A14"/>
    <w:rsid w:val="00A41A21"/>
    <w:rsid w:val="00A41A2F"/>
    <w:rsid w:val="00A41E0E"/>
    <w:rsid w:val="00A42617"/>
    <w:rsid w:val="00A43111"/>
    <w:rsid w:val="00A438FB"/>
    <w:rsid w:val="00A43A60"/>
    <w:rsid w:val="00A43AB3"/>
    <w:rsid w:val="00A43AF0"/>
    <w:rsid w:val="00A43CF4"/>
    <w:rsid w:val="00A43F67"/>
    <w:rsid w:val="00A4434D"/>
    <w:rsid w:val="00A446DE"/>
    <w:rsid w:val="00A448E6"/>
    <w:rsid w:val="00A44912"/>
    <w:rsid w:val="00A44A5B"/>
    <w:rsid w:val="00A45C6C"/>
    <w:rsid w:val="00A45CAC"/>
    <w:rsid w:val="00A461B0"/>
    <w:rsid w:val="00A46E48"/>
    <w:rsid w:val="00A46EB3"/>
    <w:rsid w:val="00A47457"/>
    <w:rsid w:val="00A4755A"/>
    <w:rsid w:val="00A47ED2"/>
    <w:rsid w:val="00A47FF1"/>
    <w:rsid w:val="00A50CBF"/>
    <w:rsid w:val="00A518CC"/>
    <w:rsid w:val="00A52097"/>
    <w:rsid w:val="00A52F42"/>
    <w:rsid w:val="00A53151"/>
    <w:rsid w:val="00A53917"/>
    <w:rsid w:val="00A5393E"/>
    <w:rsid w:val="00A53AA1"/>
    <w:rsid w:val="00A53D0D"/>
    <w:rsid w:val="00A54136"/>
    <w:rsid w:val="00A54B01"/>
    <w:rsid w:val="00A54CB0"/>
    <w:rsid w:val="00A54E02"/>
    <w:rsid w:val="00A55390"/>
    <w:rsid w:val="00A55510"/>
    <w:rsid w:val="00A55B18"/>
    <w:rsid w:val="00A55B7A"/>
    <w:rsid w:val="00A55DEB"/>
    <w:rsid w:val="00A562B1"/>
    <w:rsid w:val="00A5631C"/>
    <w:rsid w:val="00A567F2"/>
    <w:rsid w:val="00A56849"/>
    <w:rsid w:val="00A56A24"/>
    <w:rsid w:val="00A6068C"/>
    <w:rsid w:val="00A60788"/>
    <w:rsid w:val="00A60968"/>
    <w:rsid w:val="00A60981"/>
    <w:rsid w:val="00A60B54"/>
    <w:rsid w:val="00A60E39"/>
    <w:rsid w:val="00A611D0"/>
    <w:rsid w:val="00A61C05"/>
    <w:rsid w:val="00A620AA"/>
    <w:rsid w:val="00A628BD"/>
    <w:rsid w:val="00A62936"/>
    <w:rsid w:val="00A62B4D"/>
    <w:rsid w:val="00A62C1A"/>
    <w:rsid w:val="00A62FB4"/>
    <w:rsid w:val="00A63320"/>
    <w:rsid w:val="00A63AC7"/>
    <w:rsid w:val="00A64A11"/>
    <w:rsid w:val="00A65246"/>
    <w:rsid w:val="00A655F5"/>
    <w:rsid w:val="00A659F5"/>
    <w:rsid w:val="00A65C6E"/>
    <w:rsid w:val="00A65E43"/>
    <w:rsid w:val="00A6613E"/>
    <w:rsid w:val="00A66E93"/>
    <w:rsid w:val="00A66FCD"/>
    <w:rsid w:val="00A67DF4"/>
    <w:rsid w:val="00A71A58"/>
    <w:rsid w:val="00A72346"/>
    <w:rsid w:val="00A726DE"/>
    <w:rsid w:val="00A72714"/>
    <w:rsid w:val="00A731A3"/>
    <w:rsid w:val="00A734E7"/>
    <w:rsid w:val="00A74430"/>
    <w:rsid w:val="00A7526C"/>
    <w:rsid w:val="00A75990"/>
    <w:rsid w:val="00A75CA6"/>
    <w:rsid w:val="00A75E75"/>
    <w:rsid w:val="00A763BA"/>
    <w:rsid w:val="00A76693"/>
    <w:rsid w:val="00A76C4A"/>
    <w:rsid w:val="00A7736F"/>
    <w:rsid w:val="00A77395"/>
    <w:rsid w:val="00A7767F"/>
    <w:rsid w:val="00A77BBD"/>
    <w:rsid w:val="00A77DBC"/>
    <w:rsid w:val="00A801E9"/>
    <w:rsid w:val="00A8066D"/>
    <w:rsid w:val="00A80852"/>
    <w:rsid w:val="00A810CF"/>
    <w:rsid w:val="00A81279"/>
    <w:rsid w:val="00A81966"/>
    <w:rsid w:val="00A8208E"/>
    <w:rsid w:val="00A823B8"/>
    <w:rsid w:val="00A82AEC"/>
    <w:rsid w:val="00A82C80"/>
    <w:rsid w:val="00A83021"/>
    <w:rsid w:val="00A83747"/>
    <w:rsid w:val="00A83E79"/>
    <w:rsid w:val="00A84704"/>
    <w:rsid w:val="00A848B9"/>
    <w:rsid w:val="00A84D1C"/>
    <w:rsid w:val="00A8518D"/>
    <w:rsid w:val="00A85E72"/>
    <w:rsid w:val="00A85E7C"/>
    <w:rsid w:val="00A862DC"/>
    <w:rsid w:val="00A86780"/>
    <w:rsid w:val="00A87033"/>
    <w:rsid w:val="00A871EB"/>
    <w:rsid w:val="00A87E87"/>
    <w:rsid w:val="00A901D4"/>
    <w:rsid w:val="00A90900"/>
    <w:rsid w:val="00A90C85"/>
    <w:rsid w:val="00A90DA5"/>
    <w:rsid w:val="00A92BD1"/>
    <w:rsid w:val="00A92E2A"/>
    <w:rsid w:val="00A92E69"/>
    <w:rsid w:val="00A93470"/>
    <w:rsid w:val="00A93819"/>
    <w:rsid w:val="00A93B90"/>
    <w:rsid w:val="00A94226"/>
    <w:rsid w:val="00A9466A"/>
    <w:rsid w:val="00A94EEF"/>
    <w:rsid w:val="00A9528A"/>
    <w:rsid w:val="00A957BF"/>
    <w:rsid w:val="00A95D35"/>
    <w:rsid w:val="00A963A5"/>
    <w:rsid w:val="00A967D4"/>
    <w:rsid w:val="00A96B8C"/>
    <w:rsid w:val="00A96C8D"/>
    <w:rsid w:val="00A96EA8"/>
    <w:rsid w:val="00A97CFD"/>
    <w:rsid w:val="00A97F9C"/>
    <w:rsid w:val="00AA01EF"/>
    <w:rsid w:val="00AA038E"/>
    <w:rsid w:val="00AA03BD"/>
    <w:rsid w:val="00AA0A2A"/>
    <w:rsid w:val="00AA0E1C"/>
    <w:rsid w:val="00AA1634"/>
    <w:rsid w:val="00AA18AF"/>
    <w:rsid w:val="00AA2738"/>
    <w:rsid w:val="00AA345C"/>
    <w:rsid w:val="00AA427B"/>
    <w:rsid w:val="00AA46BC"/>
    <w:rsid w:val="00AA4935"/>
    <w:rsid w:val="00AA4B1A"/>
    <w:rsid w:val="00AA572D"/>
    <w:rsid w:val="00AA5FC2"/>
    <w:rsid w:val="00AA671D"/>
    <w:rsid w:val="00AA6A22"/>
    <w:rsid w:val="00AA7524"/>
    <w:rsid w:val="00AA79B7"/>
    <w:rsid w:val="00AA7D51"/>
    <w:rsid w:val="00AB0D8E"/>
    <w:rsid w:val="00AB0E6B"/>
    <w:rsid w:val="00AB19DD"/>
    <w:rsid w:val="00AB1BED"/>
    <w:rsid w:val="00AB2044"/>
    <w:rsid w:val="00AB229A"/>
    <w:rsid w:val="00AB2426"/>
    <w:rsid w:val="00AB2BD9"/>
    <w:rsid w:val="00AB2DDD"/>
    <w:rsid w:val="00AB3049"/>
    <w:rsid w:val="00AB362B"/>
    <w:rsid w:val="00AB396E"/>
    <w:rsid w:val="00AB48D8"/>
    <w:rsid w:val="00AB5137"/>
    <w:rsid w:val="00AB5506"/>
    <w:rsid w:val="00AB59B1"/>
    <w:rsid w:val="00AB5C27"/>
    <w:rsid w:val="00AB6086"/>
    <w:rsid w:val="00AB6243"/>
    <w:rsid w:val="00AB6C00"/>
    <w:rsid w:val="00AB7025"/>
    <w:rsid w:val="00AB709F"/>
    <w:rsid w:val="00AB70FC"/>
    <w:rsid w:val="00AB743C"/>
    <w:rsid w:val="00AB7717"/>
    <w:rsid w:val="00AC0387"/>
    <w:rsid w:val="00AC0877"/>
    <w:rsid w:val="00AC094B"/>
    <w:rsid w:val="00AC18A1"/>
    <w:rsid w:val="00AC1AD0"/>
    <w:rsid w:val="00AC1B21"/>
    <w:rsid w:val="00AC210A"/>
    <w:rsid w:val="00AC23F0"/>
    <w:rsid w:val="00AC2B75"/>
    <w:rsid w:val="00AC3235"/>
    <w:rsid w:val="00AC397A"/>
    <w:rsid w:val="00AC3F58"/>
    <w:rsid w:val="00AC4198"/>
    <w:rsid w:val="00AC427F"/>
    <w:rsid w:val="00AC45C7"/>
    <w:rsid w:val="00AC4D59"/>
    <w:rsid w:val="00AC4F7E"/>
    <w:rsid w:val="00AC5546"/>
    <w:rsid w:val="00AC563C"/>
    <w:rsid w:val="00AC64EE"/>
    <w:rsid w:val="00AC6C0C"/>
    <w:rsid w:val="00AC7033"/>
    <w:rsid w:val="00AC7348"/>
    <w:rsid w:val="00AC7A87"/>
    <w:rsid w:val="00AC7B64"/>
    <w:rsid w:val="00AC7E4A"/>
    <w:rsid w:val="00AD0243"/>
    <w:rsid w:val="00AD09B0"/>
    <w:rsid w:val="00AD1C58"/>
    <w:rsid w:val="00AD2026"/>
    <w:rsid w:val="00AD2158"/>
    <w:rsid w:val="00AD2473"/>
    <w:rsid w:val="00AD28C7"/>
    <w:rsid w:val="00AD2A36"/>
    <w:rsid w:val="00AD2A64"/>
    <w:rsid w:val="00AD2C2D"/>
    <w:rsid w:val="00AD2CD3"/>
    <w:rsid w:val="00AD3194"/>
    <w:rsid w:val="00AD3861"/>
    <w:rsid w:val="00AD38DD"/>
    <w:rsid w:val="00AD395D"/>
    <w:rsid w:val="00AD3CAE"/>
    <w:rsid w:val="00AD4C16"/>
    <w:rsid w:val="00AD50E9"/>
    <w:rsid w:val="00AD52C6"/>
    <w:rsid w:val="00AD5A31"/>
    <w:rsid w:val="00AD5ACB"/>
    <w:rsid w:val="00AD6838"/>
    <w:rsid w:val="00AD71A6"/>
    <w:rsid w:val="00AD751F"/>
    <w:rsid w:val="00AD75D8"/>
    <w:rsid w:val="00AD7843"/>
    <w:rsid w:val="00AD7A42"/>
    <w:rsid w:val="00AD7DF3"/>
    <w:rsid w:val="00AE0BB1"/>
    <w:rsid w:val="00AE0D8B"/>
    <w:rsid w:val="00AE13DC"/>
    <w:rsid w:val="00AE14F7"/>
    <w:rsid w:val="00AE15C0"/>
    <w:rsid w:val="00AE17EE"/>
    <w:rsid w:val="00AE24C3"/>
    <w:rsid w:val="00AE2668"/>
    <w:rsid w:val="00AE2C1D"/>
    <w:rsid w:val="00AE306B"/>
    <w:rsid w:val="00AE3548"/>
    <w:rsid w:val="00AE3682"/>
    <w:rsid w:val="00AE3A7F"/>
    <w:rsid w:val="00AE3AB4"/>
    <w:rsid w:val="00AE41A0"/>
    <w:rsid w:val="00AE4759"/>
    <w:rsid w:val="00AE48C4"/>
    <w:rsid w:val="00AE5646"/>
    <w:rsid w:val="00AE59A6"/>
    <w:rsid w:val="00AE5BE4"/>
    <w:rsid w:val="00AE61D6"/>
    <w:rsid w:val="00AE634F"/>
    <w:rsid w:val="00AE6A88"/>
    <w:rsid w:val="00AE74FA"/>
    <w:rsid w:val="00AE7BDD"/>
    <w:rsid w:val="00AF031D"/>
    <w:rsid w:val="00AF1000"/>
    <w:rsid w:val="00AF17A3"/>
    <w:rsid w:val="00AF1838"/>
    <w:rsid w:val="00AF2508"/>
    <w:rsid w:val="00AF32BA"/>
    <w:rsid w:val="00AF35D9"/>
    <w:rsid w:val="00AF412A"/>
    <w:rsid w:val="00AF48E7"/>
    <w:rsid w:val="00AF5027"/>
    <w:rsid w:val="00AF5295"/>
    <w:rsid w:val="00AF540D"/>
    <w:rsid w:val="00AF58AE"/>
    <w:rsid w:val="00AF5FB6"/>
    <w:rsid w:val="00AF6819"/>
    <w:rsid w:val="00AF6CB9"/>
    <w:rsid w:val="00AF6FAE"/>
    <w:rsid w:val="00AF7342"/>
    <w:rsid w:val="00AF74DB"/>
    <w:rsid w:val="00AF7AA0"/>
    <w:rsid w:val="00B00099"/>
    <w:rsid w:val="00B00537"/>
    <w:rsid w:val="00B00583"/>
    <w:rsid w:val="00B009FE"/>
    <w:rsid w:val="00B0179E"/>
    <w:rsid w:val="00B02BFB"/>
    <w:rsid w:val="00B03171"/>
    <w:rsid w:val="00B03C7F"/>
    <w:rsid w:val="00B03D4F"/>
    <w:rsid w:val="00B03E34"/>
    <w:rsid w:val="00B03FB8"/>
    <w:rsid w:val="00B04793"/>
    <w:rsid w:val="00B04DF6"/>
    <w:rsid w:val="00B04F47"/>
    <w:rsid w:val="00B04FF9"/>
    <w:rsid w:val="00B050EC"/>
    <w:rsid w:val="00B057D9"/>
    <w:rsid w:val="00B06655"/>
    <w:rsid w:val="00B06E22"/>
    <w:rsid w:val="00B07259"/>
    <w:rsid w:val="00B07823"/>
    <w:rsid w:val="00B07E65"/>
    <w:rsid w:val="00B10209"/>
    <w:rsid w:val="00B104AD"/>
    <w:rsid w:val="00B10535"/>
    <w:rsid w:val="00B10B8F"/>
    <w:rsid w:val="00B11395"/>
    <w:rsid w:val="00B114C7"/>
    <w:rsid w:val="00B12060"/>
    <w:rsid w:val="00B1207F"/>
    <w:rsid w:val="00B120AE"/>
    <w:rsid w:val="00B1220C"/>
    <w:rsid w:val="00B12B2C"/>
    <w:rsid w:val="00B12B3D"/>
    <w:rsid w:val="00B12C7A"/>
    <w:rsid w:val="00B13EAE"/>
    <w:rsid w:val="00B14783"/>
    <w:rsid w:val="00B14CC6"/>
    <w:rsid w:val="00B16C30"/>
    <w:rsid w:val="00B16DBF"/>
    <w:rsid w:val="00B17035"/>
    <w:rsid w:val="00B17CAF"/>
    <w:rsid w:val="00B20659"/>
    <w:rsid w:val="00B20F8E"/>
    <w:rsid w:val="00B21074"/>
    <w:rsid w:val="00B21246"/>
    <w:rsid w:val="00B221BC"/>
    <w:rsid w:val="00B22408"/>
    <w:rsid w:val="00B22C41"/>
    <w:rsid w:val="00B22FF0"/>
    <w:rsid w:val="00B2300B"/>
    <w:rsid w:val="00B238A5"/>
    <w:rsid w:val="00B2393A"/>
    <w:rsid w:val="00B23EDA"/>
    <w:rsid w:val="00B242CE"/>
    <w:rsid w:val="00B246A9"/>
    <w:rsid w:val="00B24B0F"/>
    <w:rsid w:val="00B250A4"/>
    <w:rsid w:val="00B2572F"/>
    <w:rsid w:val="00B26168"/>
    <w:rsid w:val="00B26259"/>
    <w:rsid w:val="00B26369"/>
    <w:rsid w:val="00B26388"/>
    <w:rsid w:val="00B266DF"/>
    <w:rsid w:val="00B26900"/>
    <w:rsid w:val="00B26E31"/>
    <w:rsid w:val="00B279C4"/>
    <w:rsid w:val="00B308C3"/>
    <w:rsid w:val="00B314EE"/>
    <w:rsid w:val="00B3153C"/>
    <w:rsid w:val="00B31718"/>
    <w:rsid w:val="00B31B2B"/>
    <w:rsid w:val="00B31BD3"/>
    <w:rsid w:val="00B32635"/>
    <w:rsid w:val="00B329B2"/>
    <w:rsid w:val="00B32A04"/>
    <w:rsid w:val="00B32A0B"/>
    <w:rsid w:val="00B32BD1"/>
    <w:rsid w:val="00B32CFD"/>
    <w:rsid w:val="00B335FA"/>
    <w:rsid w:val="00B33D8D"/>
    <w:rsid w:val="00B33E01"/>
    <w:rsid w:val="00B33F94"/>
    <w:rsid w:val="00B34079"/>
    <w:rsid w:val="00B3411E"/>
    <w:rsid w:val="00B34121"/>
    <w:rsid w:val="00B34A49"/>
    <w:rsid w:val="00B34DD2"/>
    <w:rsid w:val="00B3549E"/>
    <w:rsid w:val="00B361C3"/>
    <w:rsid w:val="00B368C1"/>
    <w:rsid w:val="00B36FE7"/>
    <w:rsid w:val="00B371B1"/>
    <w:rsid w:val="00B3738E"/>
    <w:rsid w:val="00B37E99"/>
    <w:rsid w:val="00B402E7"/>
    <w:rsid w:val="00B407F2"/>
    <w:rsid w:val="00B40D2B"/>
    <w:rsid w:val="00B41379"/>
    <w:rsid w:val="00B416BE"/>
    <w:rsid w:val="00B416F5"/>
    <w:rsid w:val="00B4205B"/>
    <w:rsid w:val="00B42262"/>
    <w:rsid w:val="00B422E4"/>
    <w:rsid w:val="00B424DA"/>
    <w:rsid w:val="00B42733"/>
    <w:rsid w:val="00B438FC"/>
    <w:rsid w:val="00B43FCA"/>
    <w:rsid w:val="00B442D4"/>
    <w:rsid w:val="00B442DA"/>
    <w:rsid w:val="00B44314"/>
    <w:rsid w:val="00B445FB"/>
    <w:rsid w:val="00B4471A"/>
    <w:rsid w:val="00B44813"/>
    <w:rsid w:val="00B44C91"/>
    <w:rsid w:val="00B44D1B"/>
    <w:rsid w:val="00B45129"/>
    <w:rsid w:val="00B45A81"/>
    <w:rsid w:val="00B46179"/>
    <w:rsid w:val="00B465BC"/>
    <w:rsid w:val="00B46820"/>
    <w:rsid w:val="00B471FC"/>
    <w:rsid w:val="00B4748A"/>
    <w:rsid w:val="00B47984"/>
    <w:rsid w:val="00B47A42"/>
    <w:rsid w:val="00B47C61"/>
    <w:rsid w:val="00B503C8"/>
    <w:rsid w:val="00B50558"/>
    <w:rsid w:val="00B50586"/>
    <w:rsid w:val="00B51269"/>
    <w:rsid w:val="00B516BF"/>
    <w:rsid w:val="00B516C9"/>
    <w:rsid w:val="00B5190A"/>
    <w:rsid w:val="00B51AAC"/>
    <w:rsid w:val="00B51CED"/>
    <w:rsid w:val="00B529D0"/>
    <w:rsid w:val="00B52B1B"/>
    <w:rsid w:val="00B52FAF"/>
    <w:rsid w:val="00B53835"/>
    <w:rsid w:val="00B54706"/>
    <w:rsid w:val="00B550A9"/>
    <w:rsid w:val="00B5552A"/>
    <w:rsid w:val="00B56262"/>
    <w:rsid w:val="00B5633E"/>
    <w:rsid w:val="00B56472"/>
    <w:rsid w:val="00B5658E"/>
    <w:rsid w:val="00B577A1"/>
    <w:rsid w:val="00B57AE3"/>
    <w:rsid w:val="00B57C47"/>
    <w:rsid w:val="00B57F79"/>
    <w:rsid w:val="00B6003F"/>
    <w:rsid w:val="00B60746"/>
    <w:rsid w:val="00B60E49"/>
    <w:rsid w:val="00B61389"/>
    <w:rsid w:val="00B61EBA"/>
    <w:rsid w:val="00B62417"/>
    <w:rsid w:val="00B6245D"/>
    <w:rsid w:val="00B6247B"/>
    <w:rsid w:val="00B628B0"/>
    <w:rsid w:val="00B62C04"/>
    <w:rsid w:val="00B6381F"/>
    <w:rsid w:val="00B63AAA"/>
    <w:rsid w:val="00B63CFA"/>
    <w:rsid w:val="00B646E5"/>
    <w:rsid w:val="00B665C6"/>
    <w:rsid w:val="00B66A2D"/>
    <w:rsid w:val="00B66C1F"/>
    <w:rsid w:val="00B67172"/>
    <w:rsid w:val="00B67187"/>
    <w:rsid w:val="00B67214"/>
    <w:rsid w:val="00B67AC1"/>
    <w:rsid w:val="00B67D4B"/>
    <w:rsid w:val="00B7003A"/>
    <w:rsid w:val="00B70568"/>
    <w:rsid w:val="00B70BB1"/>
    <w:rsid w:val="00B70C94"/>
    <w:rsid w:val="00B716D0"/>
    <w:rsid w:val="00B71793"/>
    <w:rsid w:val="00B71889"/>
    <w:rsid w:val="00B723D6"/>
    <w:rsid w:val="00B72505"/>
    <w:rsid w:val="00B72A77"/>
    <w:rsid w:val="00B72D33"/>
    <w:rsid w:val="00B72D7A"/>
    <w:rsid w:val="00B73723"/>
    <w:rsid w:val="00B740CD"/>
    <w:rsid w:val="00B74A68"/>
    <w:rsid w:val="00B752A5"/>
    <w:rsid w:val="00B75F32"/>
    <w:rsid w:val="00B761AB"/>
    <w:rsid w:val="00B764A7"/>
    <w:rsid w:val="00B77460"/>
    <w:rsid w:val="00B77CAB"/>
    <w:rsid w:val="00B77D05"/>
    <w:rsid w:val="00B77DB9"/>
    <w:rsid w:val="00B8023A"/>
    <w:rsid w:val="00B806B3"/>
    <w:rsid w:val="00B80B39"/>
    <w:rsid w:val="00B8109A"/>
    <w:rsid w:val="00B82B34"/>
    <w:rsid w:val="00B831DA"/>
    <w:rsid w:val="00B834B9"/>
    <w:rsid w:val="00B83BC0"/>
    <w:rsid w:val="00B83CF3"/>
    <w:rsid w:val="00B84806"/>
    <w:rsid w:val="00B85223"/>
    <w:rsid w:val="00B86162"/>
    <w:rsid w:val="00B864A0"/>
    <w:rsid w:val="00B86DAC"/>
    <w:rsid w:val="00B87319"/>
    <w:rsid w:val="00B87944"/>
    <w:rsid w:val="00B90218"/>
    <w:rsid w:val="00B90AA9"/>
    <w:rsid w:val="00B90C0C"/>
    <w:rsid w:val="00B910E1"/>
    <w:rsid w:val="00B9150E"/>
    <w:rsid w:val="00B91534"/>
    <w:rsid w:val="00B9192F"/>
    <w:rsid w:val="00B91AAC"/>
    <w:rsid w:val="00B91C09"/>
    <w:rsid w:val="00B91C89"/>
    <w:rsid w:val="00B92047"/>
    <w:rsid w:val="00B922E5"/>
    <w:rsid w:val="00B92964"/>
    <w:rsid w:val="00B929F3"/>
    <w:rsid w:val="00B92E3D"/>
    <w:rsid w:val="00B92EFB"/>
    <w:rsid w:val="00B931BB"/>
    <w:rsid w:val="00B93396"/>
    <w:rsid w:val="00B939BF"/>
    <w:rsid w:val="00B93D06"/>
    <w:rsid w:val="00B94486"/>
    <w:rsid w:val="00B94614"/>
    <w:rsid w:val="00B948D3"/>
    <w:rsid w:val="00B95113"/>
    <w:rsid w:val="00B95817"/>
    <w:rsid w:val="00B95DE4"/>
    <w:rsid w:val="00B95FE9"/>
    <w:rsid w:val="00B96109"/>
    <w:rsid w:val="00B96134"/>
    <w:rsid w:val="00B9637E"/>
    <w:rsid w:val="00B967D0"/>
    <w:rsid w:val="00B9736F"/>
    <w:rsid w:val="00BA0138"/>
    <w:rsid w:val="00BA03ED"/>
    <w:rsid w:val="00BA077F"/>
    <w:rsid w:val="00BA0907"/>
    <w:rsid w:val="00BA103C"/>
    <w:rsid w:val="00BA1226"/>
    <w:rsid w:val="00BA128D"/>
    <w:rsid w:val="00BA1CCF"/>
    <w:rsid w:val="00BA348C"/>
    <w:rsid w:val="00BA3544"/>
    <w:rsid w:val="00BA3984"/>
    <w:rsid w:val="00BA3AC1"/>
    <w:rsid w:val="00BA4324"/>
    <w:rsid w:val="00BA4C26"/>
    <w:rsid w:val="00BA4D61"/>
    <w:rsid w:val="00BA4F16"/>
    <w:rsid w:val="00BA4FB5"/>
    <w:rsid w:val="00BA5DFE"/>
    <w:rsid w:val="00BA6AE0"/>
    <w:rsid w:val="00BA6B12"/>
    <w:rsid w:val="00BA6FC9"/>
    <w:rsid w:val="00BA78D2"/>
    <w:rsid w:val="00BB023A"/>
    <w:rsid w:val="00BB05BA"/>
    <w:rsid w:val="00BB067C"/>
    <w:rsid w:val="00BB1226"/>
    <w:rsid w:val="00BB1574"/>
    <w:rsid w:val="00BB1B1D"/>
    <w:rsid w:val="00BB20C1"/>
    <w:rsid w:val="00BB3394"/>
    <w:rsid w:val="00BB33BA"/>
    <w:rsid w:val="00BB3934"/>
    <w:rsid w:val="00BB3EC3"/>
    <w:rsid w:val="00BB469E"/>
    <w:rsid w:val="00BB4727"/>
    <w:rsid w:val="00BB5122"/>
    <w:rsid w:val="00BB51FF"/>
    <w:rsid w:val="00BB5DE6"/>
    <w:rsid w:val="00BB5F1A"/>
    <w:rsid w:val="00BB670D"/>
    <w:rsid w:val="00BB6796"/>
    <w:rsid w:val="00BB67E7"/>
    <w:rsid w:val="00BB6BE6"/>
    <w:rsid w:val="00BB7416"/>
    <w:rsid w:val="00BB7FDA"/>
    <w:rsid w:val="00BC0BE3"/>
    <w:rsid w:val="00BC0D3D"/>
    <w:rsid w:val="00BC106C"/>
    <w:rsid w:val="00BC1136"/>
    <w:rsid w:val="00BC1316"/>
    <w:rsid w:val="00BC24E8"/>
    <w:rsid w:val="00BC2ADD"/>
    <w:rsid w:val="00BC2CA2"/>
    <w:rsid w:val="00BC3158"/>
    <w:rsid w:val="00BC3188"/>
    <w:rsid w:val="00BC45A3"/>
    <w:rsid w:val="00BC4FF5"/>
    <w:rsid w:val="00BC50A1"/>
    <w:rsid w:val="00BC5923"/>
    <w:rsid w:val="00BC5D0D"/>
    <w:rsid w:val="00BC6870"/>
    <w:rsid w:val="00BC69D1"/>
    <w:rsid w:val="00BC6D9A"/>
    <w:rsid w:val="00BC7102"/>
    <w:rsid w:val="00BC7740"/>
    <w:rsid w:val="00BC7B57"/>
    <w:rsid w:val="00BD0054"/>
    <w:rsid w:val="00BD05DA"/>
    <w:rsid w:val="00BD0671"/>
    <w:rsid w:val="00BD0825"/>
    <w:rsid w:val="00BD0950"/>
    <w:rsid w:val="00BD151B"/>
    <w:rsid w:val="00BD1B3B"/>
    <w:rsid w:val="00BD22EF"/>
    <w:rsid w:val="00BD25F3"/>
    <w:rsid w:val="00BD269F"/>
    <w:rsid w:val="00BD279A"/>
    <w:rsid w:val="00BD2FB9"/>
    <w:rsid w:val="00BD389F"/>
    <w:rsid w:val="00BD3A10"/>
    <w:rsid w:val="00BD3D99"/>
    <w:rsid w:val="00BD4346"/>
    <w:rsid w:val="00BD439D"/>
    <w:rsid w:val="00BD4D43"/>
    <w:rsid w:val="00BD4D77"/>
    <w:rsid w:val="00BD5760"/>
    <w:rsid w:val="00BD5809"/>
    <w:rsid w:val="00BD676D"/>
    <w:rsid w:val="00BD6C45"/>
    <w:rsid w:val="00BD6CF8"/>
    <w:rsid w:val="00BD7464"/>
    <w:rsid w:val="00BD75B5"/>
    <w:rsid w:val="00BD7955"/>
    <w:rsid w:val="00BD79FB"/>
    <w:rsid w:val="00BD7B9B"/>
    <w:rsid w:val="00BD7CF8"/>
    <w:rsid w:val="00BD7D6B"/>
    <w:rsid w:val="00BE0198"/>
    <w:rsid w:val="00BE0650"/>
    <w:rsid w:val="00BE0B09"/>
    <w:rsid w:val="00BE0C26"/>
    <w:rsid w:val="00BE0F0F"/>
    <w:rsid w:val="00BE1A34"/>
    <w:rsid w:val="00BE1A41"/>
    <w:rsid w:val="00BE1E60"/>
    <w:rsid w:val="00BE2FD0"/>
    <w:rsid w:val="00BE3252"/>
    <w:rsid w:val="00BE3550"/>
    <w:rsid w:val="00BE3900"/>
    <w:rsid w:val="00BE3B75"/>
    <w:rsid w:val="00BE3BD2"/>
    <w:rsid w:val="00BE3C8E"/>
    <w:rsid w:val="00BE3E28"/>
    <w:rsid w:val="00BE442A"/>
    <w:rsid w:val="00BE44BB"/>
    <w:rsid w:val="00BE4949"/>
    <w:rsid w:val="00BE5217"/>
    <w:rsid w:val="00BE5515"/>
    <w:rsid w:val="00BE5CE9"/>
    <w:rsid w:val="00BE6226"/>
    <w:rsid w:val="00BE641B"/>
    <w:rsid w:val="00BE65C2"/>
    <w:rsid w:val="00BE6870"/>
    <w:rsid w:val="00BE68C2"/>
    <w:rsid w:val="00BE6903"/>
    <w:rsid w:val="00BE69D5"/>
    <w:rsid w:val="00BE6BED"/>
    <w:rsid w:val="00BE7313"/>
    <w:rsid w:val="00BE7688"/>
    <w:rsid w:val="00BF0DDB"/>
    <w:rsid w:val="00BF0E3B"/>
    <w:rsid w:val="00BF0F59"/>
    <w:rsid w:val="00BF151A"/>
    <w:rsid w:val="00BF157C"/>
    <w:rsid w:val="00BF17B9"/>
    <w:rsid w:val="00BF1F8C"/>
    <w:rsid w:val="00BF2090"/>
    <w:rsid w:val="00BF232F"/>
    <w:rsid w:val="00BF25EF"/>
    <w:rsid w:val="00BF2A88"/>
    <w:rsid w:val="00BF38F4"/>
    <w:rsid w:val="00BF3A22"/>
    <w:rsid w:val="00BF4421"/>
    <w:rsid w:val="00BF4593"/>
    <w:rsid w:val="00BF4B47"/>
    <w:rsid w:val="00BF5338"/>
    <w:rsid w:val="00BF5B3A"/>
    <w:rsid w:val="00BF6242"/>
    <w:rsid w:val="00BF67AE"/>
    <w:rsid w:val="00BF6E0B"/>
    <w:rsid w:val="00BF79FF"/>
    <w:rsid w:val="00BF7BD7"/>
    <w:rsid w:val="00C003EA"/>
    <w:rsid w:val="00C00B99"/>
    <w:rsid w:val="00C00DFD"/>
    <w:rsid w:val="00C013F0"/>
    <w:rsid w:val="00C01C26"/>
    <w:rsid w:val="00C02638"/>
    <w:rsid w:val="00C02881"/>
    <w:rsid w:val="00C03057"/>
    <w:rsid w:val="00C030D0"/>
    <w:rsid w:val="00C037CB"/>
    <w:rsid w:val="00C03B61"/>
    <w:rsid w:val="00C03CFC"/>
    <w:rsid w:val="00C03D78"/>
    <w:rsid w:val="00C04033"/>
    <w:rsid w:val="00C045C4"/>
    <w:rsid w:val="00C0489E"/>
    <w:rsid w:val="00C048D1"/>
    <w:rsid w:val="00C04D54"/>
    <w:rsid w:val="00C05500"/>
    <w:rsid w:val="00C06224"/>
    <w:rsid w:val="00C06574"/>
    <w:rsid w:val="00C06DE4"/>
    <w:rsid w:val="00C06F05"/>
    <w:rsid w:val="00C0764B"/>
    <w:rsid w:val="00C07C6B"/>
    <w:rsid w:val="00C104AA"/>
    <w:rsid w:val="00C10717"/>
    <w:rsid w:val="00C107C0"/>
    <w:rsid w:val="00C10C1C"/>
    <w:rsid w:val="00C10C75"/>
    <w:rsid w:val="00C11387"/>
    <w:rsid w:val="00C1159F"/>
    <w:rsid w:val="00C11FBF"/>
    <w:rsid w:val="00C12301"/>
    <w:rsid w:val="00C12BA7"/>
    <w:rsid w:val="00C13834"/>
    <w:rsid w:val="00C13A54"/>
    <w:rsid w:val="00C14640"/>
    <w:rsid w:val="00C14856"/>
    <w:rsid w:val="00C148BA"/>
    <w:rsid w:val="00C14999"/>
    <w:rsid w:val="00C14B79"/>
    <w:rsid w:val="00C150A4"/>
    <w:rsid w:val="00C1520B"/>
    <w:rsid w:val="00C15BA8"/>
    <w:rsid w:val="00C160AA"/>
    <w:rsid w:val="00C16295"/>
    <w:rsid w:val="00C162E5"/>
    <w:rsid w:val="00C16BDB"/>
    <w:rsid w:val="00C16D31"/>
    <w:rsid w:val="00C171AD"/>
    <w:rsid w:val="00C176A7"/>
    <w:rsid w:val="00C1772D"/>
    <w:rsid w:val="00C17AA6"/>
    <w:rsid w:val="00C202DD"/>
    <w:rsid w:val="00C203E0"/>
    <w:rsid w:val="00C20CD9"/>
    <w:rsid w:val="00C20E43"/>
    <w:rsid w:val="00C211F5"/>
    <w:rsid w:val="00C21552"/>
    <w:rsid w:val="00C21D8D"/>
    <w:rsid w:val="00C2269F"/>
    <w:rsid w:val="00C24252"/>
    <w:rsid w:val="00C250E1"/>
    <w:rsid w:val="00C2516B"/>
    <w:rsid w:val="00C254F3"/>
    <w:rsid w:val="00C258D3"/>
    <w:rsid w:val="00C25A6B"/>
    <w:rsid w:val="00C26AE0"/>
    <w:rsid w:val="00C26B9D"/>
    <w:rsid w:val="00C275A5"/>
    <w:rsid w:val="00C300BB"/>
    <w:rsid w:val="00C30267"/>
    <w:rsid w:val="00C30651"/>
    <w:rsid w:val="00C30DB3"/>
    <w:rsid w:val="00C30F4F"/>
    <w:rsid w:val="00C31EEE"/>
    <w:rsid w:val="00C320B6"/>
    <w:rsid w:val="00C32920"/>
    <w:rsid w:val="00C33477"/>
    <w:rsid w:val="00C33621"/>
    <w:rsid w:val="00C33686"/>
    <w:rsid w:val="00C341EC"/>
    <w:rsid w:val="00C34744"/>
    <w:rsid w:val="00C34A05"/>
    <w:rsid w:val="00C34A6F"/>
    <w:rsid w:val="00C34D59"/>
    <w:rsid w:val="00C351CA"/>
    <w:rsid w:val="00C35564"/>
    <w:rsid w:val="00C35AF6"/>
    <w:rsid w:val="00C35DBA"/>
    <w:rsid w:val="00C35F79"/>
    <w:rsid w:val="00C365F3"/>
    <w:rsid w:val="00C36854"/>
    <w:rsid w:val="00C36A96"/>
    <w:rsid w:val="00C375B7"/>
    <w:rsid w:val="00C4022B"/>
    <w:rsid w:val="00C40371"/>
    <w:rsid w:val="00C40375"/>
    <w:rsid w:val="00C41031"/>
    <w:rsid w:val="00C419ED"/>
    <w:rsid w:val="00C41E19"/>
    <w:rsid w:val="00C42145"/>
    <w:rsid w:val="00C424A4"/>
    <w:rsid w:val="00C42763"/>
    <w:rsid w:val="00C42C98"/>
    <w:rsid w:val="00C42DC4"/>
    <w:rsid w:val="00C430B6"/>
    <w:rsid w:val="00C4365F"/>
    <w:rsid w:val="00C4366D"/>
    <w:rsid w:val="00C43B6E"/>
    <w:rsid w:val="00C444C3"/>
    <w:rsid w:val="00C44850"/>
    <w:rsid w:val="00C44916"/>
    <w:rsid w:val="00C45460"/>
    <w:rsid w:val="00C45AC4"/>
    <w:rsid w:val="00C45C8F"/>
    <w:rsid w:val="00C4609E"/>
    <w:rsid w:val="00C461F1"/>
    <w:rsid w:val="00C46378"/>
    <w:rsid w:val="00C470CA"/>
    <w:rsid w:val="00C47330"/>
    <w:rsid w:val="00C47380"/>
    <w:rsid w:val="00C4743C"/>
    <w:rsid w:val="00C4749B"/>
    <w:rsid w:val="00C475B9"/>
    <w:rsid w:val="00C47C94"/>
    <w:rsid w:val="00C47E7D"/>
    <w:rsid w:val="00C47EB7"/>
    <w:rsid w:val="00C5012D"/>
    <w:rsid w:val="00C50420"/>
    <w:rsid w:val="00C50447"/>
    <w:rsid w:val="00C506E1"/>
    <w:rsid w:val="00C50AAF"/>
    <w:rsid w:val="00C50BC6"/>
    <w:rsid w:val="00C50C70"/>
    <w:rsid w:val="00C5193B"/>
    <w:rsid w:val="00C5277F"/>
    <w:rsid w:val="00C52B03"/>
    <w:rsid w:val="00C52E99"/>
    <w:rsid w:val="00C53210"/>
    <w:rsid w:val="00C5361B"/>
    <w:rsid w:val="00C53963"/>
    <w:rsid w:val="00C54366"/>
    <w:rsid w:val="00C5472F"/>
    <w:rsid w:val="00C550F1"/>
    <w:rsid w:val="00C55607"/>
    <w:rsid w:val="00C55787"/>
    <w:rsid w:val="00C55ADB"/>
    <w:rsid w:val="00C55E4F"/>
    <w:rsid w:val="00C5648E"/>
    <w:rsid w:val="00C56907"/>
    <w:rsid w:val="00C56B86"/>
    <w:rsid w:val="00C56D9C"/>
    <w:rsid w:val="00C5765C"/>
    <w:rsid w:val="00C57972"/>
    <w:rsid w:val="00C579A4"/>
    <w:rsid w:val="00C57E5C"/>
    <w:rsid w:val="00C60791"/>
    <w:rsid w:val="00C60BB1"/>
    <w:rsid w:val="00C61116"/>
    <w:rsid w:val="00C6132C"/>
    <w:rsid w:val="00C620FA"/>
    <w:rsid w:val="00C62302"/>
    <w:rsid w:val="00C6248E"/>
    <w:rsid w:val="00C625BC"/>
    <w:rsid w:val="00C62AE9"/>
    <w:rsid w:val="00C637D5"/>
    <w:rsid w:val="00C63959"/>
    <w:rsid w:val="00C63A4F"/>
    <w:rsid w:val="00C63C18"/>
    <w:rsid w:val="00C645ED"/>
    <w:rsid w:val="00C64AC5"/>
    <w:rsid w:val="00C6591F"/>
    <w:rsid w:val="00C65C61"/>
    <w:rsid w:val="00C65F85"/>
    <w:rsid w:val="00C662B7"/>
    <w:rsid w:val="00C662D4"/>
    <w:rsid w:val="00C66C16"/>
    <w:rsid w:val="00C66F6C"/>
    <w:rsid w:val="00C670C7"/>
    <w:rsid w:val="00C67593"/>
    <w:rsid w:val="00C704A0"/>
    <w:rsid w:val="00C70BEB"/>
    <w:rsid w:val="00C70FEA"/>
    <w:rsid w:val="00C719D4"/>
    <w:rsid w:val="00C72202"/>
    <w:rsid w:val="00C72252"/>
    <w:rsid w:val="00C72A51"/>
    <w:rsid w:val="00C73D62"/>
    <w:rsid w:val="00C73D98"/>
    <w:rsid w:val="00C745E6"/>
    <w:rsid w:val="00C74A62"/>
    <w:rsid w:val="00C7519A"/>
    <w:rsid w:val="00C75B09"/>
    <w:rsid w:val="00C75C46"/>
    <w:rsid w:val="00C7673B"/>
    <w:rsid w:val="00C76FAB"/>
    <w:rsid w:val="00C773E0"/>
    <w:rsid w:val="00C80641"/>
    <w:rsid w:val="00C80665"/>
    <w:rsid w:val="00C80F72"/>
    <w:rsid w:val="00C81347"/>
    <w:rsid w:val="00C814A6"/>
    <w:rsid w:val="00C817F1"/>
    <w:rsid w:val="00C81A27"/>
    <w:rsid w:val="00C81B86"/>
    <w:rsid w:val="00C81B89"/>
    <w:rsid w:val="00C81F34"/>
    <w:rsid w:val="00C82177"/>
    <w:rsid w:val="00C82232"/>
    <w:rsid w:val="00C822D4"/>
    <w:rsid w:val="00C827F5"/>
    <w:rsid w:val="00C82D7F"/>
    <w:rsid w:val="00C830E6"/>
    <w:rsid w:val="00C8409F"/>
    <w:rsid w:val="00C8421B"/>
    <w:rsid w:val="00C84FF5"/>
    <w:rsid w:val="00C8518E"/>
    <w:rsid w:val="00C85728"/>
    <w:rsid w:val="00C8583D"/>
    <w:rsid w:val="00C859D7"/>
    <w:rsid w:val="00C85FA1"/>
    <w:rsid w:val="00C86142"/>
    <w:rsid w:val="00C86439"/>
    <w:rsid w:val="00C86549"/>
    <w:rsid w:val="00C86611"/>
    <w:rsid w:val="00C8683B"/>
    <w:rsid w:val="00C86DE8"/>
    <w:rsid w:val="00C86F53"/>
    <w:rsid w:val="00C87945"/>
    <w:rsid w:val="00C87D73"/>
    <w:rsid w:val="00C901F5"/>
    <w:rsid w:val="00C90207"/>
    <w:rsid w:val="00C90577"/>
    <w:rsid w:val="00C905DE"/>
    <w:rsid w:val="00C90C3A"/>
    <w:rsid w:val="00C91043"/>
    <w:rsid w:val="00C91173"/>
    <w:rsid w:val="00C91884"/>
    <w:rsid w:val="00C91C04"/>
    <w:rsid w:val="00C91C50"/>
    <w:rsid w:val="00C91E98"/>
    <w:rsid w:val="00C921B2"/>
    <w:rsid w:val="00C925A2"/>
    <w:rsid w:val="00C92669"/>
    <w:rsid w:val="00C92F4D"/>
    <w:rsid w:val="00C92FC0"/>
    <w:rsid w:val="00C936FA"/>
    <w:rsid w:val="00C93772"/>
    <w:rsid w:val="00C940BF"/>
    <w:rsid w:val="00C94CDC"/>
    <w:rsid w:val="00C95AA8"/>
    <w:rsid w:val="00C95AED"/>
    <w:rsid w:val="00C95B09"/>
    <w:rsid w:val="00C96667"/>
    <w:rsid w:val="00C97052"/>
    <w:rsid w:val="00C97463"/>
    <w:rsid w:val="00C977DA"/>
    <w:rsid w:val="00CA0F2F"/>
    <w:rsid w:val="00CA102E"/>
    <w:rsid w:val="00CA2580"/>
    <w:rsid w:val="00CA2681"/>
    <w:rsid w:val="00CA2CD8"/>
    <w:rsid w:val="00CA2DAC"/>
    <w:rsid w:val="00CA306E"/>
    <w:rsid w:val="00CA30AE"/>
    <w:rsid w:val="00CA3E91"/>
    <w:rsid w:val="00CA4288"/>
    <w:rsid w:val="00CA4413"/>
    <w:rsid w:val="00CA4721"/>
    <w:rsid w:val="00CA4E48"/>
    <w:rsid w:val="00CA4EA3"/>
    <w:rsid w:val="00CA5C34"/>
    <w:rsid w:val="00CA5CFC"/>
    <w:rsid w:val="00CA5DCA"/>
    <w:rsid w:val="00CA61BE"/>
    <w:rsid w:val="00CA65DE"/>
    <w:rsid w:val="00CA6F4D"/>
    <w:rsid w:val="00CA6FC3"/>
    <w:rsid w:val="00CA760A"/>
    <w:rsid w:val="00CB0041"/>
    <w:rsid w:val="00CB0BB7"/>
    <w:rsid w:val="00CB21B6"/>
    <w:rsid w:val="00CB25E2"/>
    <w:rsid w:val="00CB297A"/>
    <w:rsid w:val="00CB2CC9"/>
    <w:rsid w:val="00CB3A9E"/>
    <w:rsid w:val="00CB3BCA"/>
    <w:rsid w:val="00CB4330"/>
    <w:rsid w:val="00CB4FC8"/>
    <w:rsid w:val="00CB5525"/>
    <w:rsid w:val="00CB5A55"/>
    <w:rsid w:val="00CB5EF4"/>
    <w:rsid w:val="00CB623B"/>
    <w:rsid w:val="00CB679C"/>
    <w:rsid w:val="00CB6B58"/>
    <w:rsid w:val="00CB6C41"/>
    <w:rsid w:val="00CB710F"/>
    <w:rsid w:val="00CB7D3D"/>
    <w:rsid w:val="00CB7D7B"/>
    <w:rsid w:val="00CB7E30"/>
    <w:rsid w:val="00CC0052"/>
    <w:rsid w:val="00CC0440"/>
    <w:rsid w:val="00CC04DE"/>
    <w:rsid w:val="00CC0698"/>
    <w:rsid w:val="00CC0DC5"/>
    <w:rsid w:val="00CC0F29"/>
    <w:rsid w:val="00CC1735"/>
    <w:rsid w:val="00CC17D0"/>
    <w:rsid w:val="00CC2432"/>
    <w:rsid w:val="00CC2659"/>
    <w:rsid w:val="00CC2A80"/>
    <w:rsid w:val="00CC2ABA"/>
    <w:rsid w:val="00CC2B5F"/>
    <w:rsid w:val="00CC3B34"/>
    <w:rsid w:val="00CC400E"/>
    <w:rsid w:val="00CC46B0"/>
    <w:rsid w:val="00CC49E3"/>
    <w:rsid w:val="00CC5531"/>
    <w:rsid w:val="00CC6016"/>
    <w:rsid w:val="00CC6418"/>
    <w:rsid w:val="00CC6A8D"/>
    <w:rsid w:val="00CC7062"/>
    <w:rsid w:val="00CC76C6"/>
    <w:rsid w:val="00CC77A4"/>
    <w:rsid w:val="00CD00A8"/>
    <w:rsid w:val="00CD06BF"/>
    <w:rsid w:val="00CD1647"/>
    <w:rsid w:val="00CD1864"/>
    <w:rsid w:val="00CD1B1D"/>
    <w:rsid w:val="00CD1F98"/>
    <w:rsid w:val="00CD2332"/>
    <w:rsid w:val="00CD28B1"/>
    <w:rsid w:val="00CD2A98"/>
    <w:rsid w:val="00CD2B5E"/>
    <w:rsid w:val="00CD2BB6"/>
    <w:rsid w:val="00CD2F2E"/>
    <w:rsid w:val="00CD306C"/>
    <w:rsid w:val="00CD3343"/>
    <w:rsid w:val="00CD359D"/>
    <w:rsid w:val="00CD39AE"/>
    <w:rsid w:val="00CD3BE9"/>
    <w:rsid w:val="00CD48CE"/>
    <w:rsid w:val="00CD4CD6"/>
    <w:rsid w:val="00CD4DB3"/>
    <w:rsid w:val="00CD4E38"/>
    <w:rsid w:val="00CD4F9C"/>
    <w:rsid w:val="00CD5181"/>
    <w:rsid w:val="00CD5623"/>
    <w:rsid w:val="00CD5F11"/>
    <w:rsid w:val="00CD637E"/>
    <w:rsid w:val="00CD6446"/>
    <w:rsid w:val="00CD6916"/>
    <w:rsid w:val="00CD6AAA"/>
    <w:rsid w:val="00CD6AFF"/>
    <w:rsid w:val="00CD6E3C"/>
    <w:rsid w:val="00CD739C"/>
    <w:rsid w:val="00CD7479"/>
    <w:rsid w:val="00CD757D"/>
    <w:rsid w:val="00CD75DD"/>
    <w:rsid w:val="00CD7912"/>
    <w:rsid w:val="00CD7D4D"/>
    <w:rsid w:val="00CE0169"/>
    <w:rsid w:val="00CE031B"/>
    <w:rsid w:val="00CE0BAA"/>
    <w:rsid w:val="00CE0C55"/>
    <w:rsid w:val="00CE132B"/>
    <w:rsid w:val="00CE13F3"/>
    <w:rsid w:val="00CE21DD"/>
    <w:rsid w:val="00CE2457"/>
    <w:rsid w:val="00CE25BF"/>
    <w:rsid w:val="00CE2ABF"/>
    <w:rsid w:val="00CE482E"/>
    <w:rsid w:val="00CE4F71"/>
    <w:rsid w:val="00CE56AF"/>
    <w:rsid w:val="00CE5861"/>
    <w:rsid w:val="00CE58DC"/>
    <w:rsid w:val="00CE5A34"/>
    <w:rsid w:val="00CE5CDB"/>
    <w:rsid w:val="00CE7209"/>
    <w:rsid w:val="00CE7A8F"/>
    <w:rsid w:val="00CE7AF3"/>
    <w:rsid w:val="00CF0809"/>
    <w:rsid w:val="00CF08E1"/>
    <w:rsid w:val="00CF0B12"/>
    <w:rsid w:val="00CF15CE"/>
    <w:rsid w:val="00CF1791"/>
    <w:rsid w:val="00CF1C43"/>
    <w:rsid w:val="00CF235E"/>
    <w:rsid w:val="00CF24F5"/>
    <w:rsid w:val="00CF2793"/>
    <w:rsid w:val="00CF2DA9"/>
    <w:rsid w:val="00CF397A"/>
    <w:rsid w:val="00CF399E"/>
    <w:rsid w:val="00CF4639"/>
    <w:rsid w:val="00CF4BA0"/>
    <w:rsid w:val="00CF4C2C"/>
    <w:rsid w:val="00CF5C54"/>
    <w:rsid w:val="00CF5FE1"/>
    <w:rsid w:val="00CF64B8"/>
    <w:rsid w:val="00CF69D9"/>
    <w:rsid w:val="00CF6C56"/>
    <w:rsid w:val="00CF6E2A"/>
    <w:rsid w:val="00CF6E5E"/>
    <w:rsid w:val="00CF6EA2"/>
    <w:rsid w:val="00CF778A"/>
    <w:rsid w:val="00CF7D9A"/>
    <w:rsid w:val="00D00065"/>
    <w:rsid w:val="00D003BE"/>
    <w:rsid w:val="00D003D1"/>
    <w:rsid w:val="00D0047C"/>
    <w:rsid w:val="00D00B16"/>
    <w:rsid w:val="00D00EB1"/>
    <w:rsid w:val="00D016C5"/>
    <w:rsid w:val="00D01865"/>
    <w:rsid w:val="00D01A0D"/>
    <w:rsid w:val="00D01F30"/>
    <w:rsid w:val="00D01FE4"/>
    <w:rsid w:val="00D021F9"/>
    <w:rsid w:val="00D02498"/>
    <w:rsid w:val="00D029D5"/>
    <w:rsid w:val="00D02ECD"/>
    <w:rsid w:val="00D03D2D"/>
    <w:rsid w:val="00D045D3"/>
    <w:rsid w:val="00D047BD"/>
    <w:rsid w:val="00D05311"/>
    <w:rsid w:val="00D059B2"/>
    <w:rsid w:val="00D05CA9"/>
    <w:rsid w:val="00D05D05"/>
    <w:rsid w:val="00D05DB1"/>
    <w:rsid w:val="00D070D7"/>
    <w:rsid w:val="00D0737A"/>
    <w:rsid w:val="00D07552"/>
    <w:rsid w:val="00D077E1"/>
    <w:rsid w:val="00D078EE"/>
    <w:rsid w:val="00D07EE5"/>
    <w:rsid w:val="00D07F16"/>
    <w:rsid w:val="00D10628"/>
    <w:rsid w:val="00D10DA4"/>
    <w:rsid w:val="00D10EE6"/>
    <w:rsid w:val="00D10FA0"/>
    <w:rsid w:val="00D11006"/>
    <w:rsid w:val="00D1132D"/>
    <w:rsid w:val="00D1134B"/>
    <w:rsid w:val="00D1156E"/>
    <w:rsid w:val="00D1159C"/>
    <w:rsid w:val="00D11CDD"/>
    <w:rsid w:val="00D11E3D"/>
    <w:rsid w:val="00D1273E"/>
    <w:rsid w:val="00D1389B"/>
    <w:rsid w:val="00D140C0"/>
    <w:rsid w:val="00D1423B"/>
    <w:rsid w:val="00D14EFF"/>
    <w:rsid w:val="00D150C1"/>
    <w:rsid w:val="00D154C6"/>
    <w:rsid w:val="00D156CA"/>
    <w:rsid w:val="00D158B3"/>
    <w:rsid w:val="00D15C0E"/>
    <w:rsid w:val="00D15DA6"/>
    <w:rsid w:val="00D1616C"/>
    <w:rsid w:val="00D163F8"/>
    <w:rsid w:val="00D16735"/>
    <w:rsid w:val="00D1757C"/>
    <w:rsid w:val="00D1789F"/>
    <w:rsid w:val="00D17F2F"/>
    <w:rsid w:val="00D2020D"/>
    <w:rsid w:val="00D2024F"/>
    <w:rsid w:val="00D20381"/>
    <w:rsid w:val="00D205F5"/>
    <w:rsid w:val="00D20B7E"/>
    <w:rsid w:val="00D20C3D"/>
    <w:rsid w:val="00D21ABF"/>
    <w:rsid w:val="00D22295"/>
    <w:rsid w:val="00D228E1"/>
    <w:rsid w:val="00D22A63"/>
    <w:rsid w:val="00D22F4C"/>
    <w:rsid w:val="00D231F8"/>
    <w:rsid w:val="00D23893"/>
    <w:rsid w:val="00D23BB5"/>
    <w:rsid w:val="00D2417A"/>
    <w:rsid w:val="00D24738"/>
    <w:rsid w:val="00D24D84"/>
    <w:rsid w:val="00D25302"/>
    <w:rsid w:val="00D2531D"/>
    <w:rsid w:val="00D25341"/>
    <w:rsid w:val="00D25456"/>
    <w:rsid w:val="00D254CE"/>
    <w:rsid w:val="00D2552B"/>
    <w:rsid w:val="00D255CC"/>
    <w:rsid w:val="00D25C15"/>
    <w:rsid w:val="00D25EE8"/>
    <w:rsid w:val="00D25FFA"/>
    <w:rsid w:val="00D2618D"/>
    <w:rsid w:val="00D274FE"/>
    <w:rsid w:val="00D27957"/>
    <w:rsid w:val="00D27F0E"/>
    <w:rsid w:val="00D310B6"/>
    <w:rsid w:val="00D312ED"/>
    <w:rsid w:val="00D31BE2"/>
    <w:rsid w:val="00D31C4D"/>
    <w:rsid w:val="00D31CDB"/>
    <w:rsid w:val="00D31E81"/>
    <w:rsid w:val="00D32288"/>
    <w:rsid w:val="00D340DD"/>
    <w:rsid w:val="00D344CC"/>
    <w:rsid w:val="00D345E2"/>
    <w:rsid w:val="00D34C62"/>
    <w:rsid w:val="00D35088"/>
    <w:rsid w:val="00D353D7"/>
    <w:rsid w:val="00D35BC0"/>
    <w:rsid w:val="00D35CA2"/>
    <w:rsid w:val="00D36748"/>
    <w:rsid w:val="00D367AC"/>
    <w:rsid w:val="00D368D0"/>
    <w:rsid w:val="00D36C63"/>
    <w:rsid w:val="00D36DE0"/>
    <w:rsid w:val="00D371CC"/>
    <w:rsid w:val="00D373F8"/>
    <w:rsid w:val="00D37580"/>
    <w:rsid w:val="00D38137"/>
    <w:rsid w:val="00D402C4"/>
    <w:rsid w:val="00D40816"/>
    <w:rsid w:val="00D408B4"/>
    <w:rsid w:val="00D40C57"/>
    <w:rsid w:val="00D41664"/>
    <w:rsid w:val="00D41B32"/>
    <w:rsid w:val="00D41B67"/>
    <w:rsid w:val="00D424E3"/>
    <w:rsid w:val="00D425C8"/>
    <w:rsid w:val="00D42C81"/>
    <w:rsid w:val="00D42D37"/>
    <w:rsid w:val="00D435F9"/>
    <w:rsid w:val="00D44126"/>
    <w:rsid w:val="00D4488C"/>
    <w:rsid w:val="00D44B5A"/>
    <w:rsid w:val="00D45007"/>
    <w:rsid w:val="00D452C1"/>
    <w:rsid w:val="00D4548B"/>
    <w:rsid w:val="00D45D4B"/>
    <w:rsid w:val="00D460ED"/>
    <w:rsid w:val="00D469CC"/>
    <w:rsid w:val="00D46EFF"/>
    <w:rsid w:val="00D472A1"/>
    <w:rsid w:val="00D47805"/>
    <w:rsid w:val="00D47998"/>
    <w:rsid w:val="00D47F47"/>
    <w:rsid w:val="00D47F8E"/>
    <w:rsid w:val="00D50460"/>
    <w:rsid w:val="00D5064F"/>
    <w:rsid w:val="00D5092F"/>
    <w:rsid w:val="00D50A6B"/>
    <w:rsid w:val="00D51248"/>
    <w:rsid w:val="00D518A7"/>
    <w:rsid w:val="00D518B0"/>
    <w:rsid w:val="00D51AAB"/>
    <w:rsid w:val="00D52ACD"/>
    <w:rsid w:val="00D52CD9"/>
    <w:rsid w:val="00D52F78"/>
    <w:rsid w:val="00D545E6"/>
    <w:rsid w:val="00D5559F"/>
    <w:rsid w:val="00D56139"/>
    <w:rsid w:val="00D5643F"/>
    <w:rsid w:val="00D56745"/>
    <w:rsid w:val="00D56D9A"/>
    <w:rsid w:val="00D57B2E"/>
    <w:rsid w:val="00D57B69"/>
    <w:rsid w:val="00D57D6A"/>
    <w:rsid w:val="00D57FE8"/>
    <w:rsid w:val="00D60249"/>
    <w:rsid w:val="00D602A0"/>
    <w:rsid w:val="00D60389"/>
    <w:rsid w:val="00D60A94"/>
    <w:rsid w:val="00D60D40"/>
    <w:rsid w:val="00D60E0E"/>
    <w:rsid w:val="00D60E76"/>
    <w:rsid w:val="00D61039"/>
    <w:rsid w:val="00D61A1E"/>
    <w:rsid w:val="00D61B79"/>
    <w:rsid w:val="00D61C50"/>
    <w:rsid w:val="00D61CCA"/>
    <w:rsid w:val="00D62535"/>
    <w:rsid w:val="00D62627"/>
    <w:rsid w:val="00D63264"/>
    <w:rsid w:val="00D635E1"/>
    <w:rsid w:val="00D63C1B"/>
    <w:rsid w:val="00D6435B"/>
    <w:rsid w:val="00D64701"/>
    <w:rsid w:val="00D64B95"/>
    <w:rsid w:val="00D64C58"/>
    <w:rsid w:val="00D65267"/>
    <w:rsid w:val="00D659D4"/>
    <w:rsid w:val="00D65E06"/>
    <w:rsid w:val="00D66CEB"/>
    <w:rsid w:val="00D673C7"/>
    <w:rsid w:val="00D67420"/>
    <w:rsid w:val="00D70308"/>
    <w:rsid w:val="00D70634"/>
    <w:rsid w:val="00D707F1"/>
    <w:rsid w:val="00D7098B"/>
    <w:rsid w:val="00D709E0"/>
    <w:rsid w:val="00D71088"/>
    <w:rsid w:val="00D7133C"/>
    <w:rsid w:val="00D72934"/>
    <w:rsid w:val="00D72BF7"/>
    <w:rsid w:val="00D72ED4"/>
    <w:rsid w:val="00D73FE8"/>
    <w:rsid w:val="00D746E3"/>
    <w:rsid w:val="00D74B42"/>
    <w:rsid w:val="00D74C9A"/>
    <w:rsid w:val="00D755E3"/>
    <w:rsid w:val="00D756F2"/>
    <w:rsid w:val="00D760BC"/>
    <w:rsid w:val="00D7662C"/>
    <w:rsid w:val="00D76847"/>
    <w:rsid w:val="00D76C2F"/>
    <w:rsid w:val="00D777B6"/>
    <w:rsid w:val="00D77D7F"/>
    <w:rsid w:val="00D80585"/>
    <w:rsid w:val="00D806F1"/>
    <w:rsid w:val="00D809B8"/>
    <w:rsid w:val="00D80C3E"/>
    <w:rsid w:val="00D80DB3"/>
    <w:rsid w:val="00D81444"/>
    <w:rsid w:val="00D81BCD"/>
    <w:rsid w:val="00D82607"/>
    <w:rsid w:val="00D82828"/>
    <w:rsid w:val="00D83977"/>
    <w:rsid w:val="00D83C3C"/>
    <w:rsid w:val="00D8408E"/>
    <w:rsid w:val="00D84936"/>
    <w:rsid w:val="00D85129"/>
    <w:rsid w:val="00D853AB"/>
    <w:rsid w:val="00D85772"/>
    <w:rsid w:val="00D85930"/>
    <w:rsid w:val="00D85BB9"/>
    <w:rsid w:val="00D85BD6"/>
    <w:rsid w:val="00D8620C"/>
    <w:rsid w:val="00D867B6"/>
    <w:rsid w:val="00D86C05"/>
    <w:rsid w:val="00D86E31"/>
    <w:rsid w:val="00D877D8"/>
    <w:rsid w:val="00D877E0"/>
    <w:rsid w:val="00D878EF"/>
    <w:rsid w:val="00D87BED"/>
    <w:rsid w:val="00D87D20"/>
    <w:rsid w:val="00D902AB"/>
    <w:rsid w:val="00D904A1"/>
    <w:rsid w:val="00D9054E"/>
    <w:rsid w:val="00D90CAD"/>
    <w:rsid w:val="00D91047"/>
    <w:rsid w:val="00D91132"/>
    <w:rsid w:val="00D91414"/>
    <w:rsid w:val="00D919F2"/>
    <w:rsid w:val="00D91B38"/>
    <w:rsid w:val="00D91C13"/>
    <w:rsid w:val="00D933AE"/>
    <w:rsid w:val="00D9345B"/>
    <w:rsid w:val="00D9379B"/>
    <w:rsid w:val="00D93E70"/>
    <w:rsid w:val="00D94085"/>
    <w:rsid w:val="00D946DC"/>
    <w:rsid w:val="00D94B3C"/>
    <w:rsid w:val="00D94B7E"/>
    <w:rsid w:val="00D94DAC"/>
    <w:rsid w:val="00D94F5E"/>
    <w:rsid w:val="00D95112"/>
    <w:rsid w:val="00D95313"/>
    <w:rsid w:val="00D95692"/>
    <w:rsid w:val="00D95AB3"/>
    <w:rsid w:val="00D95BC4"/>
    <w:rsid w:val="00D95F11"/>
    <w:rsid w:val="00D96AD1"/>
    <w:rsid w:val="00D96AF0"/>
    <w:rsid w:val="00D96E29"/>
    <w:rsid w:val="00D96F4B"/>
    <w:rsid w:val="00D97359"/>
    <w:rsid w:val="00D97A1B"/>
    <w:rsid w:val="00DA041D"/>
    <w:rsid w:val="00DA060C"/>
    <w:rsid w:val="00DA1D74"/>
    <w:rsid w:val="00DA2295"/>
    <w:rsid w:val="00DA2919"/>
    <w:rsid w:val="00DA2EE9"/>
    <w:rsid w:val="00DA3B13"/>
    <w:rsid w:val="00DA408D"/>
    <w:rsid w:val="00DA4D38"/>
    <w:rsid w:val="00DA4EFA"/>
    <w:rsid w:val="00DA561A"/>
    <w:rsid w:val="00DA61B2"/>
    <w:rsid w:val="00DA6463"/>
    <w:rsid w:val="00DA64EC"/>
    <w:rsid w:val="00DA6527"/>
    <w:rsid w:val="00DA68E2"/>
    <w:rsid w:val="00DA6EC7"/>
    <w:rsid w:val="00DB052E"/>
    <w:rsid w:val="00DB0DA1"/>
    <w:rsid w:val="00DB1548"/>
    <w:rsid w:val="00DB1787"/>
    <w:rsid w:val="00DB1CF3"/>
    <w:rsid w:val="00DB2392"/>
    <w:rsid w:val="00DB27F5"/>
    <w:rsid w:val="00DB2F7A"/>
    <w:rsid w:val="00DB31C3"/>
    <w:rsid w:val="00DB3777"/>
    <w:rsid w:val="00DB383F"/>
    <w:rsid w:val="00DB3EED"/>
    <w:rsid w:val="00DB3F20"/>
    <w:rsid w:val="00DB4305"/>
    <w:rsid w:val="00DB4395"/>
    <w:rsid w:val="00DB4A6C"/>
    <w:rsid w:val="00DB5002"/>
    <w:rsid w:val="00DB5648"/>
    <w:rsid w:val="00DB6079"/>
    <w:rsid w:val="00DB69C1"/>
    <w:rsid w:val="00DB6F3A"/>
    <w:rsid w:val="00DB765E"/>
    <w:rsid w:val="00DB79BE"/>
    <w:rsid w:val="00DC0D4D"/>
    <w:rsid w:val="00DC16AB"/>
    <w:rsid w:val="00DC19EF"/>
    <w:rsid w:val="00DC1B85"/>
    <w:rsid w:val="00DC1CA5"/>
    <w:rsid w:val="00DC204C"/>
    <w:rsid w:val="00DC2324"/>
    <w:rsid w:val="00DC2335"/>
    <w:rsid w:val="00DC2544"/>
    <w:rsid w:val="00DC2715"/>
    <w:rsid w:val="00DC2A73"/>
    <w:rsid w:val="00DC33E0"/>
    <w:rsid w:val="00DC3D14"/>
    <w:rsid w:val="00DC4118"/>
    <w:rsid w:val="00DC448B"/>
    <w:rsid w:val="00DC4897"/>
    <w:rsid w:val="00DC493C"/>
    <w:rsid w:val="00DC4DAE"/>
    <w:rsid w:val="00DC4E11"/>
    <w:rsid w:val="00DC5022"/>
    <w:rsid w:val="00DC5396"/>
    <w:rsid w:val="00DC58B1"/>
    <w:rsid w:val="00DC59BB"/>
    <w:rsid w:val="00DC5A22"/>
    <w:rsid w:val="00DC5DC8"/>
    <w:rsid w:val="00DC6233"/>
    <w:rsid w:val="00DC6324"/>
    <w:rsid w:val="00DC6D9D"/>
    <w:rsid w:val="00DC6F9F"/>
    <w:rsid w:val="00DC7B92"/>
    <w:rsid w:val="00DC7CAC"/>
    <w:rsid w:val="00DC7F97"/>
    <w:rsid w:val="00DD009B"/>
    <w:rsid w:val="00DD00F4"/>
    <w:rsid w:val="00DD07D1"/>
    <w:rsid w:val="00DD0B3E"/>
    <w:rsid w:val="00DD1B4B"/>
    <w:rsid w:val="00DD221C"/>
    <w:rsid w:val="00DD23DC"/>
    <w:rsid w:val="00DD27DD"/>
    <w:rsid w:val="00DD3119"/>
    <w:rsid w:val="00DD3FB3"/>
    <w:rsid w:val="00DD4442"/>
    <w:rsid w:val="00DD4482"/>
    <w:rsid w:val="00DD46E0"/>
    <w:rsid w:val="00DD4875"/>
    <w:rsid w:val="00DD4AC9"/>
    <w:rsid w:val="00DD4B2A"/>
    <w:rsid w:val="00DD5756"/>
    <w:rsid w:val="00DD5DDF"/>
    <w:rsid w:val="00DD632D"/>
    <w:rsid w:val="00DD6454"/>
    <w:rsid w:val="00DD6550"/>
    <w:rsid w:val="00DD6ACA"/>
    <w:rsid w:val="00DD7095"/>
    <w:rsid w:val="00DD778C"/>
    <w:rsid w:val="00DD7CA9"/>
    <w:rsid w:val="00DE02A0"/>
    <w:rsid w:val="00DE0433"/>
    <w:rsid w:val="00DE0D59"/>
    <w:rsid w:val="00DE1283"/>
    <w:rsid w:val="00DE1785"/>
    <w:rsid w:val="00DE187E"/>
    <w:rsid w:val="00DE1A4E"/>
    <w:rsid w:val="00DE1EAC"/>
    <w:rsid w:val="00DE254E"/>
    <w:rsid w:val="00DE2633"/>
    <w:rsid w:val="00DE2C04"/>
    <w:rsid w:val="00DE2E2E"/>
    <w:rsid w:val="00DE32C7"/>
    <w:rsid w:val="00DE33DD"/>
    <w:rsid w:val="00DE34A5"/>
    <w:rsid w:val="00DE3DE3"/>
    <w:rsid w:val="00DE4080"/>
    <w:rsid w:val="00DE4360"/>
    <w:rsid w:val="00DE43C7"/>
    <w:rsid w:val="00DE4B27"/>
    <w:rsid w:val="00DE4DE7"/>
    <w:rsid w:val="00DE5770"/>
    <w:rsid w:val="00DE605F"/>
    <w:rsid w:val="00DE6C9F"/>
    <w:rsid w:val="00DE6DC9"/>
    <w:rsid w:val="00DE71BE"/>
    <w:rsid w:val="00DF0381"/>
    <w:rsid w:val="00DF056A"/>
    <w:rsid w:val="00DF0B35"/>
    <w:rsid w:val="00DF0B74"/>
    <w:rsid w:val="00DF0D78"/>
    <w:rsid w:val="00DF1128"/>
    <w:rsid w:val="00DF1EB6"/>
    <w:rsid w:val="00DF22D7"/>
    <w:rsid w:val="00DF22E1"/>
    <w:rsid w:val="00DF2B2F"/>
    <w:rsid w:val="00DF2FBA"/>
    <w:rsid w:val="00DF31B3"/>
    <w:rsid w:val="00DF34CF"/>
    <w:rsid w:val="00DF35B0"/>
    <w:rsid w:val="00DF37D6"/>
    <w:rsid w:val="00DF445C"/>
    <w:rsid w:val="00DF44C9"/>
    <w:rsid w:val="00DF4F3F"/>
    <w:rsid w:val="00DF52DD"/>
    <w:rsid w:val="00DF5C3B"/>
    <w:rsid w:val="00DF5FB5"/>
    <w:rsid w:val="00DF658B"/>
    <w:rsid w:val="00DF695B"/>
    <w:rsid w:val="00DF6A1D"/>
    <w:rsid w:val="00DF6BA0"/>
    <w:rsid w:val="00DF70B1"/>
    <w:rsid w:val="00DF7402"/>
    <w:rsid w:val="00DF764A"/>
    <w:rsid w:val="00E02771"/>
    <w:rsid w:val="00E0316D"/>
    <w:rsid w:val="00E03382"/>
    <w:rsid w:val="00E033AC"/>
    <w:rsid w:val="00E034C1"/>
    <w:rsid w:val="00E037E8"/>
    <w:rsid w:val="00E03CDF"/>
    <w:rsid w:val="00E041A3"/>
    <w:rsid w:val="00E049CB"/>
    <w:rsid w:val="00E04ECD"/>
    <w:rsid w:val="00E04EDE"/>
    <w:rsid w:val="00E055F0"/>
    <w:rsid w:val="00E057B0"/>
    <w:rsid w:val="00E05DBA"/>
    <w:rsid w:val="00E06216"/>
    <w:rsid w:val="00E06669"/>
    <w:rsid w:val="00E066B2"/>
    <w:rsid w:val="00E06F57"/>
    <w:rsid w:val="00E07545"/>
    <w:rsid w:val="00E07766"/>
    <w:rsid w:val="00E07B2D"/>
    <w:rsid w:val="00E07FFD"/>
    <w:rsid w:val="00E1015D"/>
    <w:rsid w:val="00E10A85"/>
    <w:rsid w:val="00E10F23"/>
    <w:rsid w:val="00E121EB"/>
    <w:rsid w:val="00E127C2"/>
    <w:rsid w:val="00E12EE7"/>
    <w:rsid w:val="00E12F49"/>
    <w:rsid w:val="00E132E1"/>
    <w:rsid w:val="00E13527"/>
    <w:rsid w:val="00E13B25"/>
    <w:rsid w:val="00E13EEC"/>
    <w:rsid w:val="00E14B00"/>
    <w:rsid w:val="00E15912"/>
    <w:rsid w:val="00E15BCE"/>
    <w:rsid w:val="00E161FF"/>
    <w:rsid w:val="00E1625E"/>
    <w:rsid w:val="00E16407"/>
    <w:rsid w:val="00E1649E"/>
    <w:rsid w:val="00E164B6"/>
    <w:rsid w:val="00E166EB"/>
    <w:rsid w:val="00E1683D"/>
    <w:rsid w:val="00E16BCA"/>
    <w:rsid w:val="00E200D0"/>
    <w:rsid w:val="00E203AB"/>
    <w:rsid w:val="00E20658"/>
    <w:rsid w:val="00E210B5"/>
    <w:rsid w:val="00E22719"/>
    <w:rsid w:val="00E242B9"/>
    <w:rsid w:val="00E247B7"/>
    <w:rsid w:val="00E24AAB"/>
    <w:rsid w:val="00E25265"/>
    <w:rsid w:val="00E25669"/>
    <w:rsid w:val="00E2570A"/>
    <w:rsid w:val="00E25B63"/>
    <w:rsid w:val="00E25CD5"/>
    <w:rsid w:val="00E25F9F"/>
    <w:rsid w:val="00E2628A"/>
    <w:rsid w:val="00E26560"/>
    <w:rsid w:val="00E26663"/>
    <w:rsid w:val="00E266F0"/>
    <w:rsid w:val="00E2683C"/>
    <w:rsid w:val="00E26CD5"/>
    <w:rsid w:val="00E26DAF"/>
    <w:rsid w:val="00E276C4"/>
    <w:rsid w:val="00E27ED2"/>
    <w:rsid w:val="00E3031F"/>
    <w:rsid w:val="00E3085D"/>
    <w:rsid w:val="00E31B86"/>
    <w:rsid w:val="00E32C06"/>
    <w:rsid w:val="00E33567"/>
    <w:rsid w:val="00E33DFD"/>
    <w:rsid w:val="00E33EAA"/>
    <w:rsid w:val="00E346A1"/>
    <w:rsid w:val="00E34784"/>
    <w:rsid w:val="00E3478E"/>
    <w:rsid w:val="00E34D24"/>
    <w:rsid w:val="00E359F6"/>
    <w:rsid w:val="00E35C72"/>
    <w:rsid w:val="00E35F76"/>
    <w:rsid w:val="00E36745"/>
    <w:rsid w:val="00E3680D"/>
    <w:rsid w:val="00E36C59"/>
    <w:rsid w:val="00E36F58"/>
    <w:rsid w:val="00E3719E"/>
    <w:rsid w:val="00E371B2"/>
    <w:rsid w:val="00E379AE"/>
    <w:rsid w:val="00E4019F"/>
    <w:rsid w:val="00E4057A"/>
    <w:rsid w:val="00E40EC0"/>
    <w:rsid w:val="00E41488"/>
    <w:rsid w:val="00E4174E"/>
    <w:rsid w:val="00E419BC"/>
    <w:rsid w:val="00E41E6A"/>
    <w:rsid w:val="00E420C4"/>
    <w:rsid w:val="00E42263"/>
    <w:rsid w:val="00E425C8"/>
    <w:rsid w:val="00E42FD8"/>
    <w:rsid w:val="00E43185"/>
    <w:rsid w:val="00E43675"/>
    <w:rsid w:val="00E43D88"/>
    <w:rsid w:val="00E43F57"/>
    <w:rsid w:val="00E441AA"/>
    <w:rsid w:val="00E441B5"/>
    <w:rsid w:val="00E44349"/>
    <w:rsid w:val="00E44892"/>
    <w:rsid w:val="00E44AFD"/>
    <w:rsid w:val="00E450BE"/>
    <w:rsid w:val="00E45144"/>
    <w:rsid w:val="00E4530B"/>
    <w:rsid w:val="00E453D9"/>
    <w:rsid w:val="00E45848"/>
    <w:rsid w:val="00E45D55"/>
    <w:rsid w:val="00E45ECA"/>
    <w:rsid w:val="00E4671F"/>
    <w:rsid w:val="00E46DF3"/>
    <w:rsid w:val="00E4777B"/>
    <w:rsid w:val="00E47C6A"/>
    <w:rsid w:val="00E50078"/>
    <w:rsid w:val="00E5009A"/>
    <w:rsid w:val="00E5033F"/>
    <w:rsid w:val="00E50DCF"/>
    <w:rsid w:val="00E50E11"/>
    <w:rsid w:val="00E50F89"/>
    <w:rsid w:val="00E5111C"/>
    <w:rsid w:val="00E514DA"/>
    <w:rsid w:val="00E51BD6"/>
    <w:rsid w:val="00E52472"/>
    <w:rsid w:val="00E524AF"/>
    <w:rsid w:val="00E526FC"/>
    <w:rsid w:val="00E52988"/>
    <w:rsid w:val="00E5399D"/>
    <w:rsid w:val="00E54966"/>
    <w:rsid w:val="00E5497A"/>
    <w:rsid w:val="00E54A12"/>
    <w:rsid w:val="00E54C3B"/>
    <w:rsid w:val="00E5559D"/>
    <w:rsid w:val="00E55ACC"/>
    <w:rsid w:val="00E56041"/>
    <w:rsid w:val="00E56107"/>
    <w:rsid w:val="00E56154"/>
    <w:rsid w:val="00E56192"/>
    <w:rsid w:val="00E566F5"/>
    <w:rsid w:val="00E56842"/>
    <w:rsid w:val="00E56A6A"/>
    <w:rsid w:val="00E5709B"/>
    <w:rsid w:val="00E570A1"/>
    <w:rsid w:val="00E57EB3"/>
    <w:rsid w:val="00E60377"/>
    <w:rsid w:val="00E60D38"/>
    <w:rsid w:val="00E61ED7"/>
    <w:rsid w:val="00E62515"/>
    <w:rsid w:val="00E6252A"/>
    <w:rsid w:val="00E629E1"/>
    <w:rsid w:val="00E62FD3"/>
    <w:rsid w:val="00E6334D"/>
    <w:rsid w:val="00E6373D"/>
    <w:rsid w:val="00E639E2"/>
    <w:rsid w:val="00E643A7"/>
    <w:rsid w:val="00E644C9"/>
    <w:rsid w:val="00E64D20"/>
    <w:rsid w:val="00E64F91"/>
    <w:rsid w:val="00E65180"/>
    <w:rsid w:val="00E652F0"/>
    <w:rsid w:val="00E65553"/>
    <w:rsid w:val="00E65B10"/>
    <w:rsid w:val="00E65F13"/>
    <w:rsid w:val="00E66FAA"/>
    <w:rsid w:val="00E670F1"/>
    <w:rsid w:val="00E671AE"/>
    <w:rsid w:val="00E67676"/>
    <w:rsid w:val="00E67B42"/>
    <w:rsid w:val="00E67C9D"/>
    <w:rsid w:val="00E70467"/>
    <w:rsid w:val="00E70E46"/>
    <w:rsid w:val="00E71190"/>
    <w:rsid w:val="00E7152C"/>
    <w:rsid w:val="00E717D1"/>
    <w:rsid w:val="00E7185A"/>
    <w:rsid w:val="00E71AE9"/>
    <w:rsid w:val="00E71D40"/>
    <w:rsid w:val="00E71E68"/>
    <w:rsid w:val="00E71FF5"/>
    <w:rsid w:val="00E722A7"/>
    <w:rsid w:val="00E72624"/>
    <w:rsid w:val="00E72667"/>
    <w:rsid w:val="00E72F99"/>
    <w:rsid w:val="00E73A17"/>
    <w:rsid w:val="00E7418B"/>
    <w:rsid w:val="00E746C9"/>
    <w:rsid w:val="00E747CD"/>
    <w:rsid w:val="00E7510C"/>
    <w:rsid w:val="00E75B47"/>
    <w:rsid w:val="00E765DF"/>
    <w:rsid w:val="00E7669B"/>
    <w:rsid w:val="00E76C91"/>
    <w:rsid w:val="00E76D9C"/>
    <w:rsid w:val="00E76FDC"/>
    <w:rsid w:val="00E773D1"/>
    <w:rsid w:val="00E774D5"/>
    <w:rsid w:val="00E77AA3"/>
    <w:rsid w:val="00E8085B"/>
    <w:rsid w:val="00E80893"/>
    <w:rsid w:val="00E817A1"/>
    <w:rsid w:val="00E817F1"/>
    <w:rsid w:val="00E8197B"/>
    <w:rsid w:val="00E81B4B"/>
    <w:rsid w:val="00E82459"/>
    <w:rsid w:val="00E82C85"/>
    <w:rsid w:val="00E835C0"/>
    <w:rsid w:val="00E83944"/>
    <w:rsid w:val="00E83B41"/>
    <w:rsid w:val="00E83BBB"/>
    <w:rsid w:val="00E852C3"/>
    <w:rsid w:val="00E857E9"/>
    <w:rsid w:val="00E85D0B"/>
    <w:rsid w:val="00E85F69"/>
    <w:rsid w:val="00E86021"/>
    <w:rsid w:val="00E860C7"/>
    <w:rsid w:val="00E866F6"/>
    <w:rsid w:val="00E8671C"/>
    <w:rsid w:val="00E867B2"/>
    <w:rsid w:val="00E869F0"/>
    <w:rsid w:val="00E87142"/>
    <w:rsid w:val="00E87A64"/>
    <w:rsid w:val="00E87AF9"/>
    <w:rsid w:val="00E90875"/>
    <w:rsid w:val="00E90A45"/>
    <w:rsid w:val="00E92C07"/>
    <w:rsid w:val="00E9412D"/>
    <w:rsid w:val="00E942E8"/>
    <w:rsid w:val="00E94469"/>
    <w:rsid w:val="00E94594"/>
    <w:rsid w:val="00E94F78"/>
    <w:rsid w:val="00E9565C"/>
    <w:rsid w:val="00E95E52"/>
    <w:rsid w:val="00E9647D"/>
    <w:rsid w:val="00E964F5"/>
    <w:rsid w:val="00E96575"/>
    <w:rsid w:val="00E96AAC"/>
    <w:rsid w:val="00E97312"/>
    <w:rsid w:val="00E97C54"/>
    <w:rsid w:val="00EA0013"/>
    <w:rsid w:val="00EA0B87"/>
    <w:rsid w:val="00EA16F3"/>
    <w:rsid w:val="00EA1766"/>
    <w:rsid w:val="00EA2126"/>
    <w:rsid w:val="00EA23C0"/>
    <w:rsid w:val="00EA2608"/>
    <w:rsid w:val="00EA265E"/>
    <w:rsid w:val="00EA274A"/>
    <w:rsid w:val="00EA3076"/>
    <w:rsid w:val="00EA31FD"/>
    <w:rsid w:val="00EA3356"/>
    <w:rsid w:val="00EA34AE"/>
    <w:rsid w:val="00EA394A"/>
    <w:rsid w:val="00EA3AEA"/>
    <w:rsid w:val="00EA3CD9"/>
    <w:rsid w:val="00EA404A"/>
    <w:rsid w:val="00EA50A9"/>
    <w:rsid w:val="00EA50B8"/>
    <w:rsid w:val="00EA515E"/>
    <w:rsid w:val="00EA54EE"/>
    <w:rsid w:val="00EA5C17"/>
    <w:rsid w:val="00EA5CB7"/>
    <w:rsid w:val="00EA5EF8"/>
    <w:rsid w:val="00EA6270"/>
    <w:rsid w:val="00EA64EA"/>
    <w:rsid w:val="00EA6C28"/>
    <w:rsid w:val="00EA6D0C"/>
    <w:rsid w:val="00EA6E37"/>
    <w:rsid w:val="00EA6F61"/>
    <w:rsid w:val="00EA75C1"/>
    <w:rsid w:val="00EA7B7B"/>
    <w:rsid w:val="00EA7F3F"/>
    <w:rsid w:val="00EA7FD5"/>
    <w:rsid w:val="00EB0067"/>
    <w:rsid w:val="00EB06A2"/>
    <w:rsid w:val="00EB0C30"/>
    <w:rsid w:val="00EB10C3"/>
    <w:rsid w:val="00EB160E"/>
    <w:rsid w:val="00EB182C"/>
    <w:rsid w:val="00EB1BB2"/>
    <w:rsid w:val="00EB1BCA"/>
    <w:rsid w:val="00EB1C89"/>
    <w:rsid w:val="00EB1CEF"/>
    <w:rsid w:val="00EB24AA"/>
    <w:rsid w:val="00EB2AE1"/>
    <w:rsid w:val="00EB4375"/>
    <w:rsid w:val="00EB4695"/>
    <w:rsid w:val="00EB483E"/>
    <w:rsid w:val="00EB512F"/>
    <w:rsid w:val="00EB51C3"/>
    <w:rsid w:val="00EB51F9"/>
    <w:rsid w:val="00EB57C2"/>
    <w:rsid w:val="00EB58A3"/>
    <w:rsid w:val="00EB5C01"/>
    <w:rsid w:val="00EB5CD5"/>
    <w:rsid w:val="00EB66D4"/>
    <w:rsid w:val="00EB673B"/>
    <w:rsid w:val="00EB70E2"/>
    <w:rsid w:val="00EB71DC"/>
    <w:rsid w:val="00EB7799"/>
    <w:rsid w:val="00EB7826"/>
    <w:rsid w:val="00EB794F"/>
    <w:rsid w:val="00EB7AF4"/>
    <w:rsid w:val="00EC0BA9"/>
    <w:rsid w:val="00EC0BBA"/>
    <w:rsid w:val="00EC0D60"/>
    <w:rsid w:val="00EC0E1D"/>
    <w:rsid w:val="00EC0E3A"/>
    <w:rsid w:val="00EC11EA"/>
    <w:rsid w:val="00EC1E2C"/>
    <w:rsid w:val="00EC1F85"/>
    <w:rsid w:val="00EC2368"/>
    <w:rsid w:val="00EC2A9F"/>
    <w:rsid w:val="00EC3347"/>
    <w:rsid w:val="00EC38E3"/>
    <w:rsid w:val="00EC3EF4"/>
    <w:rsid w:val="00EC473D"/>
    <w:rsid w:val="00EC4809"/>
    <w:rsid w:val="00EC487D"/>
    <w:rsid w:val="00EC4C88"/>
    <w:rsid w:val="00EC4DC8"/>
    <w:rsid w:val="00EC4DD4"/>
    <w:rsid w:val="00EC4E39"/>
    <w:rsid w:val="00EC5056"/>
    <w:rsid w:val="00EC59B8"/>
    <w:rsid w:val="00EC6721"/>
    <w:rsid w:val="00EC7369"/>
    <w:rsid w:val="00EC7501"/>
    <w:rsid w:val="00ED017B"/>
    <w:rsid w:val="00ED042C"/>
    <w:rsid w:val="00ED0DEA"/>
    <w:rsid w:val="00ED1196"/>
    <w:rsid w:val="00ED1270"/>
    <w:rsid w:val="00ED17A9"/>
    <w:rsid w:val="00ED20B9"/>
    <w:rsid w:val="00ED2294"/>
    <w:rsid w:val="00ED22BE"/>
    <w:rsid w:val="00ED2C67"/>
    <w:rsid w:val="00ED2CFA"/>
    <w:rsid w:val="00ED2DB5"/>
    <w:rsid w:val="00ED370C"/>
    <w:rsid w:val="00ED3746"/>
    <w:rsid w:val="00ED40E7"/>
    <w:rsid w:val="00ED4782"/>
    <w:rsid w:val="00ED4CD2"/>
    <w:rsid w:val="00ED4CD3"/>
    <w:rsid w:val="00ED4ED6"/>
    <w:rsid w:val="00ED5944"/>
    <w:rsid w:val="00ED5CB6"/>
    <w:rsid w:val="00ED5DC2"/>
    <w:rsid w:val="00ED6170"/>
    <w:rsid w:val="00ED6B81"/>
    <w:rsid w:val="00ED6E26"/>
    <w:rsid w:val="00ED77BE"/>
    <w:rsid w:val="00ED797F"/>
    <w:rsid w:val="00ED79EC"/>
    <w:rsid w:val="00EE025B"/>
    <w:rsid w:val="00EE05ED"/>
    <w:rsid w:val="00EE0878"/>
    <w:rsid w:val="00EE0919"/>
    <w:rsid w:val="00EE0968"/>
    <w:rsid w:val="00EE106A"/>
    <w:rsid w:val="00EE1450"/>
    <w:rsid w:val="00EE1827"/>
    <w:rsid w:val="00EE18AD"/>
    <w:rsid w:val="00EE1D8F"/>
    <w:rsid w:val="00EE25FC"/>
    <w:rsid w:val="00EE2623"/>
    <w:rsid w:val="00EE3230"/>
    <w:rsid w:val="00EE35F7"/>
    <w:rsid w:val="00EE3B81"/>
    <w:rsid w:val="00EE3E56"/>
    <w:rsid w:val="00EE41C5"/>
    <w:rsid w:val="00EE4AA6"/>
    <w:rsid w:val="00EE4AE7"/>
    <w:rsid w:val="00EE55FA"/>
    <w:rsid w:val="00EE5EA0"/>
    <w:rsid w:val="00EE5F2E"/>
    <w:rsid w:val="00EE6DD8"/>
    <w:rsid w:val="00EE6F8F"/>
    <w:rsid w:val="00EE70E6"/>
    <w:rsid w:val="00EE721B"/>
    <w:rsid w:val="00EE765E"/>
    <w:rsid w:val="00EE77C1"/>
    <w:rsid w:val="00EF0175"/>
    <w:rsid w:val="00EF06E4"/>
    <w:rsid w:val="00EF0B75"/>
    <w:rsid w:val="00EF0E5B"/>
    <w:rsid w:val="00EF1245"/>
    <w:rsid w:val="00EF1303"/>
    <w:rsid w:val="00EF13E4"/>
    <w:rsid w:val="00EF1CEA"/>
    <w:rsid w:val="00EF22D2"/>
    <w:rsid w:val="00EF2649"/>
    <w:rsid w:val="00EF28CC"/>
    <w:rsid w:val="00EF2D8F"/>
    <w:rsid w:val="00EF3219"/>
    <w:rsid w:val="00EF3639"/>
    <w:rsid w:val="00EF37A8"/>
    <w:rsid w:val="00EF45C2"/>
    <w:rsid w:val="00EF478D"/>
    <w:rsid w:val="00EF4B49"/>
    <w:rsid w:val="00EF4B55"/>
    <w:rsid w:val="00EF5671"/>
    <w:rsid w:val="00EF5B10"/>
    <w:rsid w:val="00EF606C"/>
    <w:rsid w:val="00EF61A4"/>
    <w:rsid w:val="00EF631D"/>
    <w:rsid w:val="00EF6333"/>
    <w:rsid w:val="00EF7213"/>
    <w:rsid w:val="00EF7902"/>
    <w:rsid w:val="00EF7A1F"/>
    <w:rsid w:val="00F002D7"/>
    <w:rsid w:val="00F003EA"/>
    <w:rsid w:val="00F00736"/>
    <w:rsid w:val="00F01382"/>
    <w:rsid w:val="00F019AB"/>
    <w:rsid w:val="00F0329D"/>
    <w:rsid w:val="00F03318"/>
    <w:rsid w:val="00F034C6"/>
    <w:rsid w:val="00F037E5"/>
    <w:rsid w:val="00F0382D"/>
    <w:rsid w:val="00F03885"/>
    <w:rsid w:val="00F03B8F"/>
    <w:rsid w:val="00F040DA"/>
    <w:rsid w:val="00F044F9"/>
    <w:rsid w:val="00F04588"/>
    <w:rsid w:val="00F045D0"/>
    <w:rsid w:val="00F04690"/>
    <w:rsid w:val="00F049C7"/>
    <w:rsid w:val="00F04F14"/>
    <w:rsid w:val="00F0565B"/>
    <w:rsid w:val="00F05B9D"/>
    <w:rsid w:val="00F0618E"/>
    <w:rsid w:val="00F071BD"/>
    <w:rsid w:val="00F079E4"/>
    <w:rsid w:val="00F07B4E"/>
    <w:rsid w:val="00F07C38"/>
    <w:rsid w:val="00F07E96"/>
    <w:rsid w:val="00F103B3"/>
    <w:rsid w:val="00F1142A"/>
    <w:rsid w:val="00F11573"/>
    <w:rsid w:val="00F11893"/>
    <w:rsid w:val="00F11C3F"/>
    <w:rsid w:val="00F12035"/>
    <w:rsid w:val="00F1229F"/>
    <w:rsid w:val="00F12465"/>
    <w:rsid w:val="00F1251F"/>
    <w:rsid w:val="00F12830"/>
    <w:rsid w:val="00F12B1C"/>
    <w:rsid w:val="00F130F8"/>
    <w:rsid w:val="00F1339D"/>
    <w:rsid w:val="00F13658"/>
    <w:rsid w:val="00F13BB1"/>
    <w:rsid w:val="00F13C14"/>
    <w:rsid w:val="00F13CBE"/>
    <w:rsid w:val="00F14371"/>
    <w:rsid w:val="00F15060"/>
    <w:rsid w:val="00F153F2"/>
    <w:rsid w:val="00F1599C"/>
    <w:rsid w:val="00F1629A"/>
    <w:rsid w:val="00F16516"/>
    <w:rsid w:val="00F16932"/>
    <w:rsid w:val="00F16B83"/>
    <w:rsid w:val="00F16CB6"/>
    <w:rsid w:val="00F173A8"/>
    <w:rsid w:val="00F175D0"/>
    <w:rsid w:val="00F176C8"/>
    <w:rsid w:val="00F1770A"/>
    <w:rsid w:val="00F1775B"/>
    <w:rsid w:val="00F200C4"/>
    <w:rsid w:val="00F209D7"/>
    <w:rsid w:val="00F20C37"/>
    <w:rsid w:val="00F214A2"/>
    <w:rsid w:val="00F2207D"/>
    <w:rsid w:val="00F22A75"/>
    <w:rsid w:val="00F22CBC"/>
    <w:rsid w:val="00F22E24"/>
    <w:rsid w:val="00F23578"/>
    <w:rsid w:val="00F23BDE"/>
    <w:rsid w:val="00F24054"/>
    <w:rsid w:val="00F246FB"/>
    <w:rsid w:val="00F2488B"/>
    <w:rsid w:val="00F24AE0"/>
    <w:rsid w:val="00F24D21"/>
    <w:rsid w:val="00F25C80"/>
    <w:rsid w:val="00F2642F"/>
    <w:rsid w:val="00F26491"/>
    <w:rsid w:val="00F26F0A"/>
    <w:rsid w:val="00F27059"/>
    <w:rsid w:val="00F27159"/>
    <w:rsid w:val="00F272B5"/>
    <w:rsid w:val="00F27BD4"/>
    <w:rsid w:val="00F304D3"/>
    <w:rsid w:val="00F308AB"/>
    <w:rsid w:val="00F30C41"/>
    <w:rsid w:val="00F30DB0"/>
    <w:rsid w:val="00F31195"/>
    <w:rsid w:val="00F315DB"/>
    <w:rsid w:val="00F31B01"/>
    <w:rsid w:val="00F31CB8"/>
    <w:rsid w:val="00F31FD7"/>
    <w:rsid w:val="00F32003"/>
    <w:rsid w:val="00F32BEF"/>
    <w:rsid w:val="00F32F53"/>
    <w:rsid w:val="00F33157"/>
    <w:rsid w:val="00F333B0"/>
    <w:rsid w:val="00F33612"/>
    <w:rsid w:val="00F33744"/>
    <w:rsid w:val="00F33B71"/>
    <w:rsid w:val="00F33BDF"/>
    <w:rsid w:val="00F33FA7"/>
    <w:rsid w:val="00F34C81"/>
    <w:rsid w:val="00F352AE"/>
    <w:rsid w:val="00F3538A"/>
    <w:rsid w:val="00F35990"/>
    <w:rsid w:val="00F35A6F"/>
    <w:rsid w:val="00F3607C"/>
    <w:rsid w:val="00F361FE"/>
    <w:rsid w:val="00F363C0"/>
    <w:rsid w:val="00F364DC"/>
    <w:rsid w:val="00F367B4"/>
    <w:rsid w:val="00F36C69"/>
    <w:rsid w:val="00F37769"/>
    <w:rsid w:val="00F37A4C"/>
    <w:rsid w:val="00F37B53"/>
    <w:rsid w:val="00F37E3E"/>
    <w:rsid w:val="00F37EB7"/>
    <w:rsid w:val="00F41899"/>
    <w:rsid w:val="00F4204A"/>
    <w:rsid w:val="00F42EC2"/>
    <w:rsid w:val="00F4340D"/>
    <w:rsid w:val="00F436B7"/>
    <w:rsid w:val="00F4381E"/>
    <w:rsid w:val="00F439FC"/>
    <w:rsid w:val="00F43DF6"/>
    <w:rsid w:val="00F43FCC"/>
    <w:rsid w:val="00F448D7"/>
    <w:rsid w:val="00F44929"/>
    <w:rsid w:val="00F44A35"/>
    <w:rsid w:val="00F44B85"/>
    <w:rsid w:val="00F44DE2"/>
    <w:rsid w:val="00F44E86"/>
    <w:rsid w:val="00F45173"/>
    <w:rsid w:val="00F45275"/>
    <w:rsid w:val="00F452E6"/>
    <w:rsid w:val="00F453CA"/>
    <w:rsid w:val="00F45C4E"/>
    <w:rsid w:val="00F46589"/>
    <w:rsid w:val="00F47169"/>
    <w:rsid w:val="00F47549"/>
    <w:rsid w:val="00F47699"/>
    <w:rsid w:val="00F47920"/>
    <w:rsid w:val="00F47F7E"/>
    <w:rsid w:val="00F50523"/>
    <w:rsid w:val="00F50909"/>
    <w:rsid w:val="00F50C56"/>
    <w:rsid w:val="00F51410"/>
    <w:rsid w:val="00F51945"/>
    <w:rsid w:val="00F51B04"/>
    <w:rsid w:val="00F51BE9"/>
    <w:rsid w:val="00F52379"/>
    <w:rsid w:val="00F525F2"/>
    <w:rsid w:val="00F52A19"/>
    <w:rsid w:val="00F52D8C"/>
    <w:rsid w:val="00F533F3"/>
    <w:rsid w:val="00F53FCC"/>
    <w:rsid w:val="00F5418F"/>
    <w:rsid w:val="00F5420A"/>
    <w:rsid w:val="00F542A9"/>
    <w:rsid w:val="00F5439A"/>
    <w:rsid w:val="00F54CC8"/>
    <w:rsid w:val="00F54E1B"/>
    <w:rsid w:val="00F552C9"/>
    <w:rsid w:val="00F55AEB"/>
    <w:rsid w:val="00F562D3"/>
    <w:rsid w:val="00F5655C"/>
    <w:rsid w:val="00F5674E"/>
    <w:rsid w:val="00F56ACE"/>
    <w:rsid w:val="00F56B1E"/>
    <w:rsid w:val="00F56F3E"/>
    <w:rsid w:val="00F57018"/>
    <w:rsid w:val="00F5754A"/>
    <w:rsid w:val="00F57870"/>
    <w:rsid w:val="00F579ED"/>
    <w:rsid w:val="00F605F1"/>
    <w:rsid w:val="00F60997"/>
    <w:rsid w:val="00F60BE3"/>
    <w:rsid w:val="00F60DFD"/>
    <w:rsid w:val="00F61277"/>
    <w:rsid w:val="00F612C1"/>
    <w:rsid w:val="00F6197D"/>
    <w:rsid w:val="00F61FC4"/>
    <w:rsid w:val="00F625DB"/>
    <w:rsid w:val="00F625F1"/>
    <w:rsid w:val="00F62BB7"/>
    <w:rsid w:val="00F62CEB"/>
    <w:rsid w:val="00F63446"/>
    <w:rsid w:val="00F63525"/>
    <w:rsid w:val="00F638B7"/>
    <w:rsid w:val="00F64343"/>
    <w:rsid w:val="00F64846"/>
    <w:rsid w:val="00F656D8"/>
    <w:rsid w:val="00F65D0B"/>
    <w:rsid w:val="00F66162"/>
    <w:rsid w:val="00F661A3"/>
    <w:rsid w:val="00F661D4"/>
    <w:rsid w:val="00F66548"/>
    <w:rsid w:val="00F667F7"/>
    <w:rsid w:val="00F67076"/>
    <w:rsid w:val="00F6774A"/>
    <w:rsid w:val="00F70DE9"/>
    <w:rsid w:val="00F7243A"/>
    <w:rsid w:val="00F72781"/>
    <w:rsid w:val="00F72DD1"/>
    <w:rsid w:val="00F7333C"/>
    <w:rsid w:val="00F73779"/>
    <w:rsid w:val="00F74289"/>
    <w:rsid w:val="00F74680"/>
    <w:rsid w:val="00F747DB"/>
    <w:rsid w:val="00F74D05"/>
    <w:rsid w:val="00F7524C"/>
    <w:rsid w:val="00F752BC"/>
    <w:rsid w:val="00F75657"/>
    <w:rsid w:val="00F758A7"/>
    <w:rsid w:val="00F75A40"/>
    <w:rsid w:val="00F7663F"/>
    <w:rsid w:val="00F766E9"/>
    <w:rsid w:val="00F76777"/>
    <w:rsid w:val="00F767DB"/>
    <w:rsid w:val="00F76E91"/>
    <w:rsid w:val="00F7754B"/>
    <w:rsid w:val="00F77974"/>
    <w:rsid w:val="00F77A47"/>
    <w:rsid w:val="00F77F12"/>
    <w:rsid w:val="00F80347"/>
    <w:rsid w:val="00F8051D"/>
    <w:rsid w:val="00F80D22"/>
    <w:rsid w:val="00F816EA"/>
    <w:rsid w:val="00F81A50"/>
    <w:rsid w:val="00F81A58"/>
    <w:rsid w:val="00F81B28"/>
    <w:rsid w:val="00F81B8B"/>
    <w:rsid w:val="00F81E05"/>
    <w:rsid w:val="00F821EE"/>
    <w:rsid w:val="00F8279A"/>
    <w:rsid w:val="00F82A87"/>
    <w:rsid w:val="00F82C7B"/>
    <w:rsid w:val="00F83069"/>
    <w:rsid w:val="00F84DC5"/>
    <w:rsid w:val="00F84E0A"/>
    <w:rsid w:val="00F85645"/>
    <w:rsid w:val="00F85F15"/>
    <w:rsid w:val="00F86D89"/>
    <w:rsid w:val="00F879D5"/>
    <w:rsid w:val="00F87FCB"/>
    <w:rsid w:val="00F905A1"/>
    <w:rsid w:val="00F90857"/>
    <w:rsid w:val="00F9097F"/>
    <w:rsid w:val="00F91055"/>
    <w:rsid w:val="00F910C1"/>
    <w:rsid w:val="00F912E1"/>
    <w:rsid w:val="00F91AB1"/>
    <w:rsid w:val="00F91F7A"/>
    <w:rsid w:val="00F920B3"/>
    <w:rsid w:val="00F92711"/>
    <w:rsid w:val="00F93F46"/>
    <w:rsid w:val="00F940F4"/>
    <w:rsid w:val="00F94502"/>
    <w:rsid w:val="00F94BBA"/>
    <w:rsid w:val="00F94D08"/>
    <w:rsid w:val="00F95248"/>
    <w:rsid w:val="00F95F5F"/>
    <w:rsid w:val="00F96588"/>
    <w:rsid w:val="00F9718E"/>
    <w:rsid w:val="00F97B27"/>
    <w:rsid w:val="00F97CD8"/>
    <w:rsid w:val="00F97DC4"/>
    <w:rsid w:val="00FA00D4"/>
    <w:rsid w:val="00FA130B"/>
    <w:rsid w:val="00FA1944"/>
    <w:rsid w:val="00FA19ED"/>
    <w:rsid w:val="00FA1AE6"/>
    <w:rsid w:val="00FA239E"/>
    <w:rsid w:val="00FA2C43"/>
    <w:rsid w:val="00FA2F12"/>
    <w:rsid w:val="00FA324B"/>
    <w:rsid w:val="00FA35A7"/>
    <w:rsid w:val="00FA379A"/>
    <w:rsid w:val="00FA3B62"/>
    <w:rsid w:val="00FA5543"/>
    <w:rsid w:val="00FA585E"/>
    <w:rsid w:val="00FA5B11"/>
    <w:rsid w:val="00FA5D5D"/>
    <w:rsid w:val="00FA5FF5"/>
    <w:rsid w:val="00FA6631"/>
    <w:rsid w:val="00FA747A"/>
    <w:rsid w:val="00FA7CD1"/>
    <w:rsid w:val="00FB00B6"/>
    <w:rsid w:val="00FB0110"/>
    <w:rsid w:val="00FB0351"/>
    <w:rsid w:val="00FB0438"/>
    <w:rsid w:val="00FB0F64"/>
    <w:rsid w:val="00FB17D9"/>
    <w:rsid w:val="00FB1D4E"/>
    <w:rsid w:val="00FB22F5"/>
    <w:rsid w:val="00FB2A74"/>
    <w:rsid w:val="00FB2CF2"/>
    <w:rsid w:val="00FB32B3"/>
    <w:rsid w:val="00FB3B2B"/>
    <w:rsid w:val="00FB4163"/>
    <w:rsid w:val="00FB428A"/>
    <w:rsid w:val="00FB4A7F"/>
    <w:rsid w:val="00FB5363"/>
    <w:rsid w:val="00FB5BB1"/>
    <w:rsid w:val="00FB626B"/>
    <w:rsid w:val="00FB6543"/>
    <w:rsid w:val="00FB66BB"/>
    <w:rsid w:val="00FB739A"/>
    <w:rsid w:val="00FC03E4"/>
    <w:rsid w:val="00FC04B5"/>
    <w:rsid w:val="00FC1489"/>
    <w:rsid w:val="00FC14C4"/>
    <w:rsid w:val="00FC1650"/>
    <w:rsid w:val="00FC193A"/>
    <w:rsid w:val="00FC1EB8"/>
    <w:rsid w:val="00FC2257"/>
    <w:rsid w:val="00FC2501"/>
    <w:rsid w:val="00FC2D9E"/>
    <w:rsid w:val="00FC2F30"/>
    <w:rsid w:val="00FC2FD4"/>
    <w:rsid w:val="00FC2FE4"/>
    <w:rsid w:val="00FC38F8"/>
    <w:rsid w:val="00FC39AB"/>
    <w:rsid w:val="00FC4068"/>
    <w:rsid w:val="00FC428A"/>
    <w:rsid w:val="00FC4770"/>
    <w:rsid w:val="00FC48CB"/>
    <w:rsid w:val="00FC4913"/>
    <w:rsid w:val="00FC4EC7"/>
    <w:rsid w:val="00FC5048"/>
    <w:rsid w:val="00FC5313"/>
    <w:rsid w:val="00FC58FE"/>
    <w:rsid w:val="00FC5BD5"/>
    <w:rsid w:val="00FC5F4C"/>
    <w:rsid w:val="00FC6737"/>
    <w:rsid w:val="00FC6AF5"/>
    <w:rsid w:val="00FC7852"/>
    <w:rsid w:val="00FC7D8B"/>
    <w:rsid w:val="00FC7ECC"/>
    <w:rsid w:val="00FC7FAE"/>
    <w:rsid w:val="00FD050F"/>
    <w:rsid w:val="00FD052E"/>
    <w:rsid w:val="00FD07F6"/>
    <w:rsid w:val="00FD0E25"/>
    <w:rsid w:val="00FD199F"/>
    <w:rsid w:val="00FD26A7"/>
    <w:rsid w:val="00FD2775"/>
    <w:rsid w:val="00FD2921"/>
    <w:rsid w:val="00FD329C"/>
    <w:rsid w:val="00FD3DA2"/>
    <w:rsid w:val="00FD3F83"/>
    <w:rsid w:val="00FD4387"/>
    <w:rsid w:val="00FD46BD"/>
    <w:rsid w:val="00FD4B86"/>
    <w:rsid w:val="00FD4CAD"/>
    <w:rsid w:val="00FD4FE4"/>
    <w:rsid w:val="00FD51C1"/>
    <w:rsid w:val="00FD5381"/>
    <w:rsid w:val="00FD56BD"/>
    <w:rsid w:val="00FD58FA"/>
    <w:rsid w:val="00FD5B9D"/>
    <w:rsid w:val="00FD5DB0"/>
    <w:rsid w:val="00FD61D0"/>
    <w:rsid w:val="00FD6511"/>
    <w:rsid w:val="00FD6928"/>
    <w:rsid w:val="00FD6D1B"/>
    <w:rsid w:val="00FD799A"/>
    <w:rsid w:val="00FD7A5F"/>
    <w:rsid w:val="00FE03E3"/>
    <w:rsid w:val="00FE04CD"/>
    <w:rsid w:val="00FE0A25"/>
    <w:rsid w:val="00FE0B82"/>
    <w:rsid w:val="00FE130C"/>
    <w:rsid w:val="00FE1577"/>
    <w:rsid w:val="00FE1805"/>
    <w:rsid w:val="00FE1838"/>
    <w:rsid w:val="00FE1BD7"/>
    <w:rsid w:val="00FE2AEF"/>
    <w:rsid w:val="00FE30EF"/>
    <w:rsid w:val="00FE31C7"/>
    <w:rsid w:val="00FE32A0"/>
    <w:rsid w:val="00FE365D"/>
    <w:rsid w:val="00FE3732"/>
    <w:rsid w:val="00FE3898"/>
    <w:rsid w:val="00FE3C53"/>
    <w:rsid w:val="00FE3D9C"/>
    <w:rsid w:val="00FE3EEF"/>
    <w:rsid w:val="00FE437E"/>
    <w:rsid w:val="00FE49DC"/>
    <w:rsid w:val="00FE4AFD"/>
    <w:rsid w:val="00FE4D14"/>
    <w:rsid w:val="00FE4DB3"/>
    <w:rsid w:val="00FE4EC7"/>
    <w:rsid w:val="00FE50B3"/>
    <w:rsid w:val="00FE5593"/>
    <w:rsid w:val="00FE65A4"/>
    <w:rsid w:val="00FE6854"/>
    <w:rsid w:val="00FE6937"/>
    <w:rsid w:val="00FE6F4F"/>
    <w:rsid w:val="00FE70FE"/>
    <w:rsid w:val="00FE7549"/>
    <w:rsid w:val="00FF0355"/>
    <w:rsid w:val="00FF08C2"/>
    <w:rsid w:val="00FF0B6B"/>
    <w:rsid w:val="00FF0E5B"/>
    <w:rsid w:val="00FF0ECD"/>
    <w:rsid w:val="00FF1E3B"/>
    <w:rsid w:val="00FF208A"/>
    <w:rsid w:val="00FF2114"/>
    <w:rsid w:val="00FF238F"/>
    <w:rsid w:val="00FF260F"/>
    <w:rsid w:val="00FF2638"/>
    <w:rsid w:val="00FF2648"/>
    <w:rsid w:val="00FF2AAA"/>
    <w:rsid w:val="00FF2B2D"/>
    <w:rsid w:val="00FF36BE"/>
    <w:rsid w:val="00FF3AEA"/>
    <w:rsid w:val="00FF3BC3"/>
    <w:rsid w:val="00FF3F96"/>
    <w:rsid w:val="00FF42A5"/>
    <w:rsid w:val="00FF4F19"/>
    <w:rsid w:val="00FF4F8E"/>
    <w:rsid w:val="00FF56DE"/>
    <w:rsid w:val="00FF5DA8"/>
    <w:rsid w:val="00FF61DD"/>
    <w:rsid w:val="00FF643F"/>
    <w:rsid w:val="00FF6580"/>
    <w:rsid w:val="00FF7C1D"/>
    <w:rsid w:val="00FF7E57"/>
    <w:rsid w:val="013BFD7E"/>
    <w:rsid w:val="013F565C"/>
    <w:rsid w:val="0169FFCF"/>
    <w:rsid w:val="0189CF84"/>
    <w:rsid w:val="0197B42B"/>
    <w:rsid w:val="01C129A8"/>
    <w:rsid w:val="01E3F7CF"/>
    <w:rsid w:val="01F78B6D"/>
    <w:rsid w:val="0203C40B"/>
    <w:rsid w:val="021DB2B6"/>
    <w:rsid w:val="0294695B"/>
    <w:rsid w:val="029A2D9C"/>
    <w:rsid w:val="02BD3830"/>
    <w:rsid w:val="02C43BC7"/>
    <w:rsid w:val="02ED9B49"/>
    <w:rsid w:val="0305EE9A"/>
    <w:rsid w:val="03A769C3"/>
    <w:rsid w:val="03B7ADA2"/>
    <w:rsid w:val="046B4564"/>
    <w:rsid w:val="04B1FD97"/>
    <w:rsid w:val="04D4FE00"/>
    <w:rsid w:val="050C9E36"/>
    <w:rsid w:val="050ECA15"/>
    <w:rsid w:val="0532A5AF"/>
    <w:rsid w:val="0544A3DA"/>
    <w:rsid w:val="054E5D99"/>
    <w:rsid w:val="05879469"/>
    <w:rsid w:val="0590B844"/>
    <w:rsid w:val="05978C1D"/>
    <w:rsid w:val="05B9C537"/>
    <w:rsid w:val="05BEA04B"/>
    <w:rsid w:val="05D7FBDC"/>
    <w:rsid w:val="05F35812"/>
    <w:rsid w:val="0614C8AB"/>
    <w:rsid w:val="061D52B7"/>
    <w:rsid w:val="06479F38"/>
    <w:rsid w:val="064940EE"/>
    <w:rsid w:val="06545C49"/>
    <w:rsid w:val="065A4FF6"/>
    <w:rsid w:val="06873963"/>
    <w:rsid w:val="06A2DADF"/>
    <w:rsid w:val="06D21176"/>
    <w:rsid w:val="06E39A5E"/>
    <w:rsid w:val="0791A15B"/>
    <w:rsid w:val="07B66898"/>
    <w:rsid w:val="07BD7A5F"/>
    <w:rsid w:val="07D93345"/>
    <w:rsid w:val="07DAFD2D"/>
    <w:rsid w:val="07E1E394"/>
    <w:rsid w:val="07E6CAEC"/>
    <w:rsid w:val="0865DEA9"/>
    <w:rsid w:val="095603B0"/>
    <w:rsid w:val="096AD447"/>
    <w:rsid w:val="098BD3D4"/>
    <w:rsid w:val="0997B1B8"/>
    <w:rsid w:val="0A479EED"/>
    <w:rsid w:val="0A89CFEF"/>
    <w:rsid w:val="0AEB5E06"/>
    <w:rsid w:val="0AFA722D"/>
    <w:rsid w:val="0B016A66"/>
    <w:rsid w:val="0B6DF730"/>
    <w:rsid w:val="0B8209FD"/>
    <w:rsid w:val="0BADF0FF"/>
    <w:rsid w:val="0BC23A3D"/>
    <w:rsid w:val="0BC5E65C"/>
    <w:rsid w:val="0BF5A3CA"/>
    <w:rsid w:val="0C1439CB"/>
    <w:rsid w:val="0C39897A"/>
    <w:rsid w:val="0C6538A9"/>
    <w:rsid w:val="0C753010"/>
    <w:rsid w:val="0CB5CC57"/>
    <w:rsid w:val="0CE96FE8"/>
    <w:rsid w:val="0D4D5A32"/>
    <w:rsid w:val="0D67A36F"/>
    <w:rsid w:val="0D7C2BE6"/>
    <w:rsid w:val="0E228C58"/>
    <w:rsid w:val="0E7D3ABD"/>
    <w:rsid w:val="0E7FC57B"/>
    <w:rsid w:val="0E8304A1"/>
    <w:rsid w:val="0E8DBE14"/>
    <w:rsid w:val="0E9F634F"/>
    <w:rsid w:val="0ECEAE25"/>
    <w:rsid w:val="0ED72F8E"/>
    <w:rsid w:val="0F3FCE02"/>
    <w:rsid w:val="0F6DF140"/>
    <w:rsid w:val="0F82BEA5"/>
    <w:rsid w:val="0F997D9E"/>
    <w:rsid w:val="0FA565DC"/>
    <w:rsid w:val="0FE4DE26"/>
    <w:rsid w:val="106B692B"/>
    <w:rsid w:val="109411B1"/>
    <w:rsid w:val="10B2DC16"/>
    <w:rsid w:val="10D44433"/>
    <w:rsid w:val="11014210"/>
    <w:rsid w:val="1129CCC7"/>
    <w:rsid w:val="116480B5"/>
    <w:rsid w:val="117FABA2"/>
    <w:rsid w:val="11AB2AD1"/>
    <w:rsid w:val="11B4E6CF"/>
    <w:rsid w:val="11BFF20C"/>
    <w:rsid w:val="1210F6A1"/>
    <w:rsid w:val="121D6D8F"/>
    <w:rsid w:val="1262A593"/>
    <w:rsid w:val="12838D4F"/>
    <w:rsid w:val="12B35717"/>
    <w:rsid w:val="12C23B9B"/>
    <w:rsid w:val="12D4F3E6"/>
    <w:rsid w:val="12FD7774"/>
    <w:rsid w:val="131AFCED"/>
    <w:rsid w:val="1326D0DE"/>
    <w:rsid w:val="13329DF1"/>
    <w:rsid w:val="135F53EA"/>
    <w:rsid w:val="13824B1A"/>
    <w:rsid w:val="13876D7D"/>
    <w:rsid w:val="13885343"/>
    <w:rsid w:val="139DF8FE"/>
    <w:rsid w:val="140E2038"/>
    <w:rsid w:val="141814AC"/>
    <w:rsid w:val="14443DBF"/>
    <w:rsid w:val="1444E3D8"/>
    <w:rsid w:val="144D2F7A"/>
    <w:rsid w:val="14B2965C"/>
    <w:rsid w:val="14C51A7A"/>
    <w:rsid w:val="14C8CC03"/>
    <w:rsid w:val="14FE9AA5"/>
    <w:rsid w:val="15279BA5"/>
    <w:rsid w:val="1568A7E5"/>
    <w:rsid w:val="15ACC463"/>
    <w:rsid w:val="15C42B30"/>
    <w:rsid w:val="15F254F8"/>
    <w:rsid w:val="16D2EEC1"/>
    <w:rsid w:val="16ED6C79"/>
    <w:rsid w:val="17127446"/>
    <w:rsid w:val="172A718D"/>
    <w:rsid w:val="174A861D"/>
    <w:rsid w:val="176718FE"/>
    <w:rsid w:val="179D761E"/>
    <w:rsid w:val="181AB059"/>
    <w:rsid w:val="181E229F"/>
    <w:rsid w:val="1846098F"/>
    <w:rsid w:val="1870FBE1"/>
    <w:rsid w:val="187B2401"/>
    <w:rsid w:val="189FFEE2"/>
    <w:rsid w:val="18D199DF"/>
    <w:rsid w:val="1925E4A6"/>
    <w:rsid w:val="196BCE94"/>
    <w:rsid w:val="1971CB5D"/>
    <w:rsid w:val="198B3329"/>
    <w:rsid w:val="19A5F56B"/>
    <w:rsid w:val="19E9A19A"/>
    <w:rsid w:val="19EE3E30"/>
    <w:rsid w:val="19F5483F"/>
    <w:rsid w:val="1A448872"/>
    <w:rsid w:val="1A63F72B"/>
    <w:rsid w:val="1AA9507E"/>
    <w:rsid w:val="1AAFA153"/>
    <w:rsid w:val="1AD49E6C"/>
    <w:rsid w:val="1B11002C"/>
    <w:rsid w:val="1BCFEDFC"/>
    <w:rsid w:val="1BE71B05"/>
    <w:rsid w:val="1C0E561C"/>
    <w:rsid w:val="1C6E021C"/>
    <w:rsid w:val="1C78CAF5"/>
    <w:rsid w:val="1CE226E1"/>
    <w:rsid w:val="1D6540FD"/>
    <w:rsid w:val="1D8F2594"/>
    <w:rsid w:val="1DB705BA"/>
    <w:rsid w:val="1DDABC3F"/>
    <w:rsid w:val="1DE187DD"/>
    <w:rsid w:val="1DEA2741"/>
    <w:rsid w:val="1DF26445"/>
    <w:rsid w:val="1E0CFC7B"/>
    <w:rsid w:val="1E607E6A"/>
    <w:rsid w:val="1E9466DB"/>
    <w:rsid w:val="1E9C21A5"/>
    <w:rsid w:val="1EC0C96F"/>
    <w:rsid w:val="1ED19929"/>
    <w:rsid w:val="1F338FDB"/>
    <w:rsid w:val="1F344DF5"/>
    <w:rsid w:val="1F45F9E6"/>
    <w:rsid w:val="1F967087"/>
    <w:rsid w:val="1F9D7B66"/>
    <w:rsid w:val="1FA85282"/>
    <w:rsid w:val="1FBBBB15"/>
    <w:rsid w:val="1FC86AF2"/>
    <w:rsid w:val="1FF57628"/>
    <w:rsid w:val="1FFA43B7"/>
    <w:rsid w:val="20003530"/>
    <w:rsid w:val="20421817"/>
    <w:rsid w:val="2155C0AC"/>
    <w:rsid w:val="2162504B"/>
    <w:rsid w:val="219E90E1"/>
    <w:rsid w:val="21D11A87"/>
    <w:rsid w:val="21D7CF6A"/>
    <w:rsid w:val="21D9EFD8"/>
    <w:rsid w:val="21E0469D"/>
    <w:rsid w:val="21E1AE0B"/>
    <w:rsid w:val="21EA58F3"/>
    <w:rsid w:val="21F31B35"/>
    <w:rsid w:val="2220C059"/>
    <w:rsid w:val="2297CAF3"/>
    <w:rsid w:val="22CE24B7"/>
    <w:rsid w:val="230A1725"/>
    <w:rsid w:val="234542EB"/>
    <w:rsid w:val="2369E733"/>
    <w:rsid w:val="2390497A"/>
    <w:rsid w:val="23B691CD"/>
    <w:rsid w:val="23C32656"/>
    <w:rsid w:val="23C61DF3"/>
    <w:rsid w:val="23DECA40"/>
    <w:rsid w:val="24107EED"/>
    <w:rsid w:val="243A5D48"/>
    <w:rsid w:val="24436C2A"/>
    <w:rsid w:val="2443B699"/>
    <w:rsid w:val="2484A1E1"/>
    <w:rsid w:val="250E4545"/>
    <w:rsid w:val="25161725"/>
    <w:rsid w:val="2533782A"/>
    <w:rsid w:val="253AAD27"/>
    <w:rsid w:val="255A4C31"/>
    <w:rsid w:val="2568B8BA"/>
    <w:rsid w:val="2593EB97"/>
    <w:rsid w:val="25DEAFE6"/>
    <w:rsid w:val="26350AE8"/>
    <w:rsid w:val="26366910"/>
    <w:rsid w:val="2654592C"/>
    <w:rsid w:val="266C784F"/>
    <w:rsid w:val="2670D4F3"/>
    <w:rsid w:val="26B5E3D3"/>
    <w:rsid w:val="26E01246"/>
    <w:rsid w:val="26F95F59"/>
    <w:rsid w:val="2718C82C"/>
    <w:rsid w:val="274BD2D4"/>
    <w:rsid w:val="27A588BF"/>
    <w:rsid w:val="27F37B52"/>
    <w:rsid w:val="280DD63D"/>
    <w:rsid w:val="284E1829"/>
    <w:rsid w:val="291E7CB1"/>
    <w:rsid w:val="2A2B3AF1"/>
    <w:rsid w:val="2A4FDA48"/>
    <w:rsid w:val="2A6DDF58"/>
    <w:rsid w:val="2A80FB61"/>
    <w:rsid w:val="2A8C1738"/>
    <w:rsid w:val="2AD2ABB2"/>
    <w:rsid w:val="2B8955F8"/>
    <w:rsid w:val="2BBF747E"/>
    <w:rsid w:val="2BCC49C7"/>
    <w:rsid w:val="2BDCA58F"/>
    <w:rsid w:val="2C03F563"/>
    <w:rsid w:val="2C1502A2"/>
    <w:rsid w:val="2C216FA7"/>
    <w:rsid w:val="2C44ED86"/>
    <w:rsid w:val="2C53B788"/>
    <w:rsid w:val="2CC0F8A7"/>
    <w:rsid w:val="2CFD132B"/>
    <w:rsid w:val="2D13A3AF"/>
    <w:rsid w:val="2D1B4B10"/>
    <w:rsid w:val="2D22FF3A"/>
    <w:rsid w:val="2D3149A7"/>
    <w:rsid w:val="2D6DF122"/>
    <w:rsid w:val="2DE450DC"/>
    <w:rsid w:val="2DF454E3"/>
    <w:rsid w:val="2E0C44A1"/>
    <w:rsid w:val="2E2B6830"/>
    <w:rsid w:val="2E36C29D"/>
    <w:rsid w:val="2E512A66"/>
    <w:rsid w:val="2E550A7D"/>
    <w:rsid w:val="2E815E19"/>
    <w:rsid w:val="2EF7C849"/>
    <w:rsid w:val="2F374B0A"/>
    <w:rsid w:val="2FA4691F"/>
    <w:rsid w:val="2FB5F5CD"/>
    <w:rsid w:val="2FC1C5EA"/>
    <w:rsid w:val="2FC99411"/>
    <w:rsid w:val="2FCB2E32"/>
    <w:rsid w:val="30B1BA42"/>
    <w:rsid w:val="30BA9F27"/>
    <w:rsid w:val="30C405B8"/>
    <w:rsid w:val="30E0884F"/>
    <w:rsid w:val="311CD044"/>
    <w:rsid w:val="31547103"/>
    <w:rsid w:val="315634DD"/>
    <w:rsid w:val="31A07933"/>
    <w:rsid w:val="31A8C6F8"/>
    <w:rsid w:val="3207603D"/>
    <w:rsid w:val="322899D5"/>
    <w:rsid w:val="32417087"/>
    <w:rsid w:val="3291F52D"/>
    <w:rsid w:val="32ABF7D9"/>
    <w:rsid w:val="3309FD72"/>
    <w:rsid w:val="330F08B6"/>
    <w:rsid w:val="3364A7B4"/>
    <w:rsid w:val="33C1F5F6"/>
    <w:rsid w:val="33E0B663"/>
    <w:rsid w:val="34303E0D"/>
    <w:rsid w:val="34336779"/>
    <w:rsid w:val="34556EED"/>
    <w:rsid w:val="34589D8D"/>
    <w:rsid w:val="34E55AEE"/>
    <w:rsid w:val="34EE833F"/>
    <w:rsid w:val="350DF559"/>
    <w:rsid w:val="3534056B"/>
    <w:rsid w:val="358E5805"/>
    <w:rsid w:val="35E3DC30"/>
    <w:rsid w:val="36DEC607"/>
    <w:rsid w:val="37636E7F"/>
    <w:rsid w:val="37D94FD4"/>
    <w:rsid w:val="37F7AF97"/>
    <w:rsid w:val="37F9FA91"/>
    <w:rsid w:val="3818B7E4"/>
    <w:rsid w:val="3832A89E"/>
    <w:rsid w:val="384B2771"/>
    <w:rsid w:val="385783A1"/>
    <w:rsid w:val="388BABB3"/>
    <w:rsid w:val="38B6D29A"/>
    <w:rsid w:val="38B93D3D"/>
    <w:rsid w:val="38C8D1E0"/>
    <w:rsid w:val="390E8924"/>
    <w:rsid w:val="3967553F"/>
    <w:rsid w:val="39810A35"/>
    <w:rsid w:val="39B8EF6F"/>
    <w:rsid w:val="39BBB1F1"/>
    <w:rsid w:val="39C0F4DE"/>
    <w:rsid w:val="3A0A0A9B"/>
    <w:rsid w:val="3AA062DF"/>
    <w:rsid w:val="3AD1B7D0"/>
    <w:rsid w:val="3AD34D8F"/>
    <w:rsid w:val="3B60DD20"/>
    <w:rsid w:val="3B6311B2"/>
    <w:rsid w:val="3BAFE9AC"/>
    <w:rsid w:val="3BB86C77"/>
    <w:rsid w:val="3C05A456"/>
    <w:rsid w:val="3CA5F7AA"/>
    <w:rsid w:val="3CBF2225"/>
    <w:rsid w:val="3CC65596"/>
    <w:rsid w:val="3CFFB0F2"/>
    <w:rsid w:val="3D58BE58"/>
    <w:rsid w:val="3DBADD30"/>
    <w:rsid w:val="3DCAE248"/>
    <w:rsid w:val="3DD509D3"/>
    <w:rsid w:val="3E10E35A"/>
    <w:rsid w:val="3E32C93C"/>
    <w:rsid w:val="3E32F797"/>
    <w:rsid w:val="3E779AEE"/>
    <w:rsid w:val="3EB93DDA"/>
    <w:rsid w:val="3EF6497B"/>
    <w:rsid w:val="3F4B96B8"/>
    <w:rsid w:val="3F78FC5C"/>
    <w:rsid w:val="402E0161"/>
    <w:rsid w:val="40A6B884"/>
    <w:rsid w:val="40BC9099"/>
    <w:rsid w:val="40BDDF74"/>
    <w:rsid w:val="40F8BE76"/>
    <w:rsid w:val="412CD9FC"/>
    <w:rsid w:val="413E8623"/>
    <w:rsid w:val="414C26F8"/>
    <w:rsid w:val="418D1FD4"/>
    <w:rsid w:val="41CE3102"/>
    <w:rsid w:val="41D1ED32"/>
    <w:rsid w:val="420C8320"/>
    <w:rsid w:val="4218F549"/>
    <w:rsid w:val="425530BF"/>
    <w:rsid w:val="42A0B497"/>
    <w:rsid w:val="42AB3663"/>
    <w:rsid w:val="42BAEE41"/>
    <w:rsid w:val="43117931"/>
    <w:rsid w:val="432C5A12"/>
    <w:rsid w:val="43317705"/>
    <w:rsid w:val="433FDFAC"/>
    <w:rsid w:val="4343D1FA"/>
    <w:rsid w:val="434FEAFF"/>
    <w:rsid w:val="4394B605"/>
    <w:rsid w:val="44531B91"/>
    <w:rsid w:val="445C2D07"/>
    <w:rsid w:val="4468F384"/>
    <w:rsid w:val="448120ED"/>
    <w:rsid w:val="44B684D5"/>
    <w:rsid w:val="44BA9CD8"/>
    <w:rsid w:val="44D0AF78"/>
    <w:rsid w:val="44FF562A"/>
    <w:rsid w:val="4580D096"/>
    <w:rsid w:val="45957E10"/>
    <w:rsid w:val="459A401A"/>
    <w:rsid w:val="45A493E4"/>
    <w:rsid w:val="45C2281D"/>
    <w:rsid w:val="45CB5CD4"/>
    <w:rsid w:val="45CFDB6C"/>
    <w:rsid w:val="45E14258"/>
    <w:rsid w:val="45F65EE8"/>
    <w:rsid w:val="45F80492"/>
    <w:rsid w:val="46296C71"/>
    <w:rsid w:val="467F6190"/>
    <w:rsid w:val="467FA877"/>
    <w:rsid w:val="46C45AC3"/>
    <w:rsid w:val="46D27D96"/>
    <w:rsid w:val="470C0AED"/>
    <w:rsid w:val="4713E2E6"/>
    <w:rsid w:val="47158A8F"/>
    <w:rsid w:val="471F7598"/>
    <w:rsid w:val="478D5067"/>
    <w:rsid w:val="478FD8E1"/>
    <w:rsid w:val="47916470"/>
    <w:rsid w:val="47B95AAA"/>
    <w:rsid w:val="47C24A61"/>
    <w:rsid w:val="47E09C96"/>
    <w:rsid w:val="47EA35D6"/>
    <w:rsid w:val="47FCC2A5"/>
    <w:rsid w:val="4829395C"/>
    <w:rsid w:val="4834B476"/>
    <w:rsid w:val="48405970"/>
    <w:rsid w:val="485AA531"/>
    <w:rsid w:val="48748D56"/>
    <w:rsid w:val="489191AD"/>
    <w:rsid w:val="491965B4"/>
    <w:rsid w:val="491AE47C"/>
    <w:rsid w:val="49612E0D"/>
    <w:rsid w:val="4975440D"/>
    <w:rsid w:val="4977800D"/>
    <w:rsid w:val="49928158"/>
    <w:rsid w:val="49B8EBFF"/>
    <w:rsid w:val="4A1ECBDC"/>
    <w:rsid w:val="4A1FEF5C"/>
    <w:rsid w:val="4A425147"/>
    <w:rsid w:val="4A43FBFD"/>
    <w:rsid w:val="4A45F4FC"/>
    <w:rsid w:val="4A60B761"/>
    <w:rsid w:val="4A63214D"/>
    <w:rsid w:val="4A63DCBE"/>
    <w:rsid w:val="4A92F189"/>
    <w:rsid w:val="4ADB2A69"/>
    <w:rsid w:val="4AF793D2"/>
    <w:rsid w:val="4AFDDE30"/>
    <w:rsid w:val="4B244C10"/>
    <w:rsid w:val="4B58EFAF"/>
    <w:rsid w:val="4B7106DF"/>
    <w:rsid w:val="4B87B545"/>
    <w:rsid w:val="4BA1ECB1"/>
    <w:rsid w:val="4BE8A34E"/>
    <w:rsid w:val="4BE8A981"/>
    <w:rsid w:val="4C01978C"/>
    <w:rsid w:val="4C15DBCA"/>
    <w:rsid w:val="4C4DD5F1"/>
    <w:rsid w:val="4C6D370F"/>
    <w:rsid w:val="4C7210FE"/>
    <w:rsid w:val="4CFC7382"/>
    <w:rsid w:val="4D0EB05B"/>
    <w:rsid w:val="4D1C0C45"/>
    <w:rsid w:val="4D1DC1C9"/>
    <w:rsid w:val="4D4E6645"/>
    <w:rsid w:val="4D4F3F3B"/>
    <w:rsid w:val="4D884DB2"/>
    <w:rsid w:val="4D97A6F2"/>
    <w:rsid w:val="4DF438B3"/>
    <w:rsid w:val="4DFC34B7"/>
    <w:rsid w:val="4E0522C1"/>
    <w:rsid w:val="4E1AB3E5"/>
    <w:rsid w:val="4E4F6A89"/>
    <w:rsid w:val="4E58667D"/>
    <w:rsid w:val="4E6ECF0C"/>
    <w:rsid w:val="4E833F6B"/>
    <w:rsid w:val="4EA9566C"/>
    <w:rsid w:val="4EB357E6"/>
    <w:rsid w:val="4ED7A598"/>
    <w:rsid w:val="4F2E1709"/>
    <w:rsid w:val="4FD83E0B"/>
    <w:rsid w:val="505D9B02"/>
    <w:rsid w:val="50BC23EA"/>
    <w:rsid w:val="50CF3CAD"/>
    <w:rsid w:val="50DA66E6"/>
    <w:rsid w:val="517F9B1D"/>
    <w:rsid w:val="5188788B"/>
    <w:rsid w:val="519407CA"/>
    <w:rsid w:val="51998188"/>
    <w:rsid w:val="51B1120E"/>
    <w:rsid w:val="51C50F7F"/>
    <w:rsid w:val="51D5D8F6"/>
    <w:rsid w:val="51F2A7AB"/>
    <w:rsid w:val="52BE2A8C"/>
    <w:rsid w:val="52FE6B88"/>
    <w:rsid w:val="534C471D"/>
    <w:rsid w:val="53638AC1"/>
    <w:rsid w:val="53844B4D"/>
    <w:rsid w:val="53865653"/>
    <w:rsid w:val="53C42A8B"/>
    <w:rsid w:val="53CD3108"/>
    <w:rsid w:val="53CF9B55"/>
    <w:rsid w:val="53D95148"/>
    <w:rsid w:val="540B61AC"/>
    <w:rsid w:val="54327A40"/>
    <w:rsid w:val="54B70EF6"/>
    <w:rsid w:val="54E6BF09"/>
    <w:rsid w:val="553257CA"/>
    <w:rsid w:val="55423877"/>
    <w:rsid w:val="558C7F5A"/>
    <w:rsid w:val="55C27D78"/>
    <w:rsid w:val="5600A8C7"/>
    <w:rsid w:val="5678B960"/>
    <w:rsid w:val="569077E9"/>
    <w:rsid w:val="56B37A57"/>
    <w:rsid w:val="56C10208"/>
    <w:rsid w:val="56F1BF95"/>
    <w:rsid w:val="57047B4C"/>
    <w:rsid w:val="5791BFD5"/>
    <w:rsid w:val="57A1005B"/>
    <w:rsid w:val="57A67E78"/>
    <w:rsid w:val="57D19201"/>
    <w:rsid w:val="5828B718"/>
    <w:rsid w:val="588FC117"/>
    <w:rsid w:val="58FD30F9"/>
    <w:rsid w:val="590065AC"/>
    <w:rsid w:val="59335D27"/>
    <w:rsid w:val="5936B338"/>
    <w:rsid w:val="59380FEF"/>
    <w:rsid w:val="594558F9"/>
    <w:rsid w:val="5954F59C"/>
    <w:rsid w:val="59B34425"/>
    <w:rsid w:val="59B817B3"/>
    <w:rsid w:val="59E3B12E"/>
    <w:rsid w:val="59F993FB"/>
    <w:rsid w:val="5A3C8582"/>
    <w:rsid w:val="5A806B40"/>
    <w:rsid w:val="5ACDF90D"/>
    <w:rsid w:val="5B1C812C"/>
    <w:rsid w:val="5B1E9AB0"/>
    <w:rsid w:val="5B2233F8"/>
    <w:rsid w:val="5B25DC54"/>
    <w:rsid w:val="5B577EF7"/>
    <w:rsid w:val="5B7BA4B2"/>
    <w:rsid w:val="5B9E5140"/>
    <w:rsid w:val="5C2022AE"/>
    <w:rsid w:val="5C44D568"/>
    <w:rsid w:val="5C748FF1"/>
    <w:rsid w:val="5C91D12D"/>
    <w:rsid w:val="5C9FAAD4"/>
    <w:rsid w:val="5CC95889"/>
    <w:rsid w:val="5CD5467C"/>
    <w:rsid w:val="5CF719A8"/>
    <w:rsid w:val="5D0EE8D0"/>
    <w:rsid w:val="5D35635A"/>
    <w:rsid w:val="5D55FE92"/>
    <w:rsid w:val="5D606F45"/>
    <w:rsid w:val="5D83A01D"/>
    <w:rsid w:val="5DBA1AC9"/>
    <w:rsid w:val="5DC29BDA"/>
    <w:rsid w:val="5DCC6684"/>
    <w:rsid w:val="5DD21380"/>
    <w:rsid w:val="5DF6C418"/>
    <w:rsid w:val="5E2376C3"/>
    <w:rsid w:val="5E2664E7"/>
    <w:rsid w:val="5E3227FA"/>
    <w:rsid w:val="5E3B7BFF"/>
    <w:rsid w:val="5E417102"/>
    <w:rsid w:val="5E42E414"/>
    <w:rsid w:val="5E714C43"/>
    <w:rsid w:val="5E77EBE0"/>
    <w:rsid w:val="5E7C960A"/>
    <w:rsid w:val="5EC9359A"/>
    <w:rsid w:val="5EEFF180"/>
    <w:rsid w:val="5F2E1441"/>
    <w:rsid w:val="5F38D6BE"/>
    <w:rsid w:val="5F4D98CE"/>
    <w:rsid w:val="5F5CB126"/>
    <w:rsid w:val="5F7DBE1F"/>
    <w:rsid w:val="5F9E6712"/>
    <w:rsid w:val="5FA80C0B"/>
    <w:rsid w:val="5FD1E192"/>
    <w:rsid w:val="5FEA055A"/>
    <w:rsid w:val="600A029A"/>
    <w:rsid w:val="60174C10"/>
    <w:rsid w:val="604F9413"/>
    <w:rsid w:val="60B5DE3E"/>
    <w:rsid w:val="60D565DF"/>
    <w:rsid w:val="60F7F74D"/>
    <w:rsid w:val="616489AE"/>
    <w:rsid w:val="617D659A"/>
    <w:rsid w:val="61885B83"/>
    <w:rsid w:val="6212DC17"/>
    <w:rsid w:val="62254D92"/>
    <w:rsid w:val="623F7C40"/>
    <w:rsid w:val="626296FB"/>
    <w:rsid w:val="626473B2"/>
    <w:rsid w:val="629278EA"/>
    <w:rsid w:val="62C4A805"/>
    <w:rsid w:val="62C97AB2"/>
    <w:rsid w:val="634A44FB"/>
    <w:rsid w:val="6386BFA3"/>
    <w:rsid w:val="63A03B37"/>
    <w:rsid w:val="63A36C64"/>
    <w:rsid w:val="63CF370D"/>
    <w:rsid w:val="6403C631"/>
    <w:rsid w:val="642B58CD"/>
    <w:rsid w:val="64B61DFD"/>
    <w:rsid w:val="64D6CE5D"/>
    <w:rsid w:val="64E07DE3"/>
    <w:rsid w:val="655BC89C"/>
    <w:rsid w:val="655E3C32"/>
    <w:rsid w:val="65679482"/>
    <w:rsid w:val="656AB507"/>
    <w:rsid w:val="65A0933E"/>
    <w:rsid w:val="65B1536D"/>
    <w:rsid w:val="661B792C"/>
    <w:rsid w:val="6629B9C0"/>
    <w:rsid w:val="66575E26"/>
    <w:rsid w:val="665B40E5"/>
    <w:rsid w:val="666BDBD0"/>
    <w:rsid w:val="667E0BBF"/>
    <w:rsid w:val="66F0C6A9"/>
    <w:rsid w:val="673BD2B3"/>
    <w:rsid w:val="676322BA"/>
    <w:rsid w:val="6775A683"/>
    <w:rsid w:val="677CF33B"/>
    <w:rsid w:val="67AE47FC"/>
    <w:rsid w:val="6800DBC4"/>
    <w:rsid w:val="685EEB1C"/>
    <w:rsid w:val="68ABFB2C"/>
    <w:rsid w:val="68E6FDAF"/>
    <w:rsid w:val="692AC0B0"/>
    <w:rsid w:val="693F99E8"/>
    <w:rsid w:val="69647989"/>
    <w:rsid w:val="698DFB63"/>
    <w:rsid w:val="69F08C69"/>
    <w:rsid w:val="69F3AE27"/>
    <w:rsid w:val="6A229C68"/>
    <w:rsid w:val="6A501879"/>
    <w:rsid w:val="6ACADF37"/>
    <w:rsid w:val="6AD34BFB"/>
    <w:rsid w:val="6B19E484"/>
    <w:rsid w:val="6BB38813"/>
    <w:rsid w:val="6C0B6138"/>
    <w:rsid w:val="6C203B01"/>
    <w:rsid w:val="6C2980B8"/>
    <w:rsid w:val="6C3AF1E0"/>
    <w:rsid w:val="6C916CD6"/>
    <w:rsid w:val="6CA41BD7"/>
    <w:rsid w:val="6D26DAF9"/>
    <w:rsid w:val="6D6A3BB4"/>
    <w:rsid w:val="6DE770D5"/>
    <w:rsid w:val="6E258D31"/>
    <w:rsid w:val="6E3C82D5"/>
    <w:rsid w:val="6E6749E4"/>
    <w:rsid w:val="6E697351"/>
    <w:rsid w:val="6E82E19C"/>
    <w:rsid w:val="6EE5E2AD"/>
    <w:rsid w:val="6F162641"/>
    <w:rsid w:val="6F1AA5C7"/>
    <w:rsid w:val="6F2594AF"/>
    <w:rsid w:val="6F8C2BBA"/>
    <w:rsid w:val="6F9EF2EE"/>
    <w:rsid w:val="6FC6E1C3"/>
    <w:rsid w:val="6FCA5980"/>
    <w:rsid w:val="6FCAD306"/>
    <w:rsid w:val="700FEF41"/>
    <w:rsid w:val="70131E1A"/>
    <w:rsid w:val="707FA910"/>
    <w:rsid w:val="7097BD13"/>
    <w:rsid w:val="70A05B4E"/>
    <w:rsid w:val="70B4C6C0"/>
    <w:rsid w:val="70B6BEFA"/>
    <w:rsid w:val="70D88571"/>
    <w:rsid w:val="7114092C"/>
    <w:rsid w:val="7174F7DC"/>
    <w:rsid w:val="71E0F966"/>
    <w:rsid w:val="71F4228E"/>
    <w:rsid w:val="7207BD99"/>
    <w:rsid w:val="7236AB86"/>
    <w:rsid w:val="724D368A"/>
    <w:rsid w:val="729A9E8D"/>
    <w:rsid w:val="72E76EA0"/>
    <w:rsid w:val="72F341B4"/>
    <w:rsid w:val="7348EF32"/>
    <w:rsid w:val="73ADBC70"/>
    <w:rsid w:val="73C67E41"/>
    <w:rsid w:val="7433F688"/>
    <w:rsid w:val="7435F929"/>
    <w:rsid w:val="745A3E91"/>
    <w:rsid w:val="747EEED4"/>
    <w:rsid w:val="748332BC"/>
    <w:rsid w:val="74CBF55D"/>
    <w:rsid w:val="75407962"/>
    <w:rsid w:val="75413DC9"/>
    <w:rsid w:val="755326A8"/>
    <w:rsid w:val="755D8915"/>
    <w:rsid w:val="756824D4"/>
    <w:rsid w:val="756DFB21"/>
    <w:rsid w:val="75BB0A3E"/>
    <w:rsid w:val="763A6B7D"/>
    <w:rsid w:val="764E0C7D"/>
    <w:rsid w:val="7670F3A7"/>
    <w:rsid w:val="76A9195B"/>
    <w:rsid w:val="76BB38F4"/>
    <w:rsid w:val="76DF3467"/>
    <w:rsid w:val="76DF4A66"/>
    <w:rsid w:val="770DA2D1"/>
    <w:rsid w:val="779536C0"/>
    <w:rsid w:val="77F5B15C"/>
    <w:rsid w:val="78423795"/>
    <w:rsid w:val="7851B31B"/>
    <w:rsid w:val="786C5C4A"/>
    <w:rsid w:val="788252D9"/>
    <w:rsid w:val="789D0B9D"/>
    <w:rsid w:val="78E3BE09"/>
    <w:rsid w:val="78EC040F"/>
    <w:rsid w:val="78F23BC6"/>
    <w:rsid w:val="78F6DEF2"/>
    <w:rsid w:val="7903490B"/>
    <w:rsid w:val="796F8AD6"/>
    <w:rsid w:val="7977DA1A"/>
    <w:rsid w:val="797C5676"/>
    <w:rsid w:val="79E3898A"/>
    <w:rsid w:val="79FC1A81"/>
    <w:rsid w:val="7A5055B0"/>
    <w:rsid w:val="7A62145B"/>
    <w:rsid w:val="7A64CEC8"/>
    <w:rsid w:val="7A65C892"/>
    <w:rsid w:val="7A6C50F8"/>
    <w:rsid w:val="7A72F46F"/>
    <w:rsid w:val="7AD09EA0"/>
    <w:rsid w:val="7AD217FE"/>
    <w:rsid w:val="7AE6D807"/>
    <w:rsid w:val="7AFE7B1D"/>
    <w:rsid w:val="7B143F3A"/>
    <w:rsid w:val="7B167BC2"/>
    <w:rsid w:val="7B389368"/>
    <w:rsid w:val="7B512CFC"/>
    <w:rsid w:val="7BC8EA38"/>
    <w:rsid w:val="7C2734DB"/>
    <w:rsid w:val="7C480741"/>
    <w:rsid w:val="7C5D827C"/>
    <w:rsid w:val="7C866C60"/>
    <w:rsid w:val="7C99A14F"/>
    <w:rsid w:val="7CA7B315"/>
    <w:rsid w:val="7D19230B"/>
    <w:rsid w:val="7D3F46C2"/>
    <w:rsid w:val="7D53ABA0"/>
    <w:rsid w:val="7D7C14ED"/>
    <w:rsid w:val="7DA54848"/>
    <w:rsid w:val="7E39895C"/>
    <w:rsid w:val="7E8075C8"/>
    <w:rsid w:val="7E9609BD"/>
    <w:rsid w:val="7E9A0B93"/>
    <w:rsid w:val="7F24ECE1"/>
    <w:rsid w:val="7F259003"/>
    <w:rsid w:val="7F354121"/>
    <w:rsid w:val="7F54DDA3"/>
    <w:rsid w:val="7F9985F2"/>
    <w:rsid w:val="7FF42A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1FABD"/>
  <w15:docId w15:val="{58ACC00B-F1E7-4654-8FB7-1CD0232C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31"/>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31"/>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31"/>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31"/>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31"/>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31"/>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31"/>
      </w:numPr>
      <w:outlineLvl w:val="6"/>
    </w:pPr>
    <w:rPr>
      <w:rFonts w:eastAsiaTheme="majorEastAsia"/>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4">
    <w:name w:val="List Bullet 4"/>
    <w:basedOn w:val="Normalny"/>
    <w:rsid w:val="00FA5543"/>
    <w:pPr>
      <w:numPr>
        <w:numId w:val="9"/>
      </w:numPr>
      <w:tabs>
        <w:tab w:val="num" w:pos="360"/>
      </w:tabs>
      <w:ind w:left="0" w:firstLine="0"/>
    </w:pPr>
    <w:rPr>
      <w:rFonts w:eastAsia="Times New Roman"/>
      <w:lang w:eastAsia="de-DE"/>
    </w:rPr>
  </w:style>
  <w:style w:type="paragraph" w:styleId="Listanumerowana">
    <w:name w:val="List Number"/>
    <w:basedOn w:val="Normalny"/>
    <w:rsid w:val="00FA5543"/>
    <w:pPr>
      <w:numPr>
        <w:numId w:val="13"/>
      </w:numPr>
    </w:pPr>
    <w:rPr>
      <w:rFonts w:eastAsia="Times New Roman"/>
      <w:lang w:eastAsia="de-DE"/>
    </w:rPr>
  </w:style>
  <w:style w:type="paragraph" w:customStyle="1" w:styleId="ListBullet1">
    <w:name w:val="List Bullet 1"/>
    <w:basedOn w:val="Normalny"/>
    <w:rsid w:val="00FA5543"/>
    <w:pPr>
      <w:numPr>
        <w:numId w:val="8"/>
      </w:numPr>
    </w:pPr>
    <w:rPr>
      <w:rFonts w:eastAsia="Times New Roman"/>
      <w:lang w:eastAsia="de-DE"/>
    </w:rPr>
  </w:style>
  <w:style w:type="paragraph" w:customStyle="1" w:styleId="ListDash">
    <w:name w:val="List Dash"/>
    <w:basedOn w:val="Normalny"/>
    <w:rsid w:val="00FA5543"/>
    <w:pPr>
      <w:numPr>
        <w:numId w:val="10"/>
      </w:numPr>
    </w:pPr>
    <w:rPr>
      <w:rFonts w:eastAsia="Times New Roman"/>
      <w:lang w:eastAsia="de-DE"/>
    </w:rPr>
  </w:style>
  <w:style w:type="paragraph" w:customStyle="1" w:styleId="ListDash1">
    <w:name w:val="List Dash 1"/>
    <w:basedOn w:val="Normalny"/>
    <w:rsid w:val="00FA5543"/>
    <w:pPr>
      <w:numPr>
        <w:numId w:val="11"/>
      </w:numPr>
    </w:pPr>
    <w:rPr>
      <w:rFonts w:eastAsia="Times New Roman"/>
      <w:lang w:eastAsia="de-DE"/>
    </w:rPr>
  </w:style>
  <w:style w:type="paragraph" w:customStyle="1" w:styleId="ListDash2">
    <w:name w:val="List Dash 2"/>
    <w:basedOn w:val="Normalny"/>
    <w:rsid w:val="00FA5543"/>
    <w:pPr>
      <w:numPr>
        <w:numId w:val="12"/>
      </w:numPr>
    </w:pPr>
    <w:rPr>
      <w:rFonts w:eastAsia="Times New Roman"/>
      <w:lang w:eastAsia="de-DE"/>
    </w:rPr>
  </w:style>
  <w:style w:type="paragraph" w:customStyle="1" w:styleId="ListNumberLevel2">
    <w:name w:val="List Number (Level 2)"/>
    <w:basedOn w:val="Normalny"/>
    <w:rsid w:val="00FA5543"/>
    <w:pPr>
      <w:numPr>
        <w:ilvl w:val="1"/>
        <w:numId w:val="13"/>
      </w:numPr>
    </w:pPr>
    <w:rPr>
      <w:rFonts w:eastAsia="Times New Roman"/>
      <w:lang w:eastAsia="de-DE"/>
    </w:rPr>
  </w:style>
  <w:style w:type="paragraph" w:customStyle="1" w:styleId="ListNumberLevel3">
    <w:name w:val="List Number (Level 3)"/>
    <w:basedOn w:val="Normalny"/>
    <w:rsid w:val="00FA5543"/>
    <w:pPr>
      <w:numPr>
        <w:ilvl w:val="2"/>
        <w:numId w:val="13"/>
      </w:numPr>
    </w:pPr>
    <w:rPr>
      <w:rFonts w:eastAsia="Times New Roman"/>
      <w:lang w:eastAsia="de-DE"/>
    </w:rPr>
  </w:style>
  <w:style w:type="paragraph" w:customStyle="1" w:styleId="ListNumberLevel4">
    <w:name w:val="List Number (Level 4)"/>
    <w:basedOn w:val="Normalny"/>
    <w:rsid w:val="00FA5543"/>
    <w:pPr>
      <w:numPr>
        <w:ilvl w:val="3"/>
        <w:numId w:val="13"/>
      </w:numPr>
    </w:pPr>
    <w:rPr>
      <w:rFonts w:eastAsia="Times New Roman"/>
      <w:lang w:eastAsia="de-DE"/>
    </w:rPr>
  </w:style>
  <w:style w:type="table" w:styleId="Tabela-Siatka">
    <w:name w:val="Table Grid"/>
    <w:basedOn w:val="Standardowy"/>
    <w:rsid w:val="00FA5543"/>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FA5543"/>
    <w:rPr>
      <w:color w:val="0000FF"/>
      <w:u w:val="single"/>
    </w:rPr>
  </w:style>
  <w:style w:type="paragraph" w:styleId="Listapunktowana">
    <w:name w:val="List Bullet"/>
    <w:basedOn w:val="Normalny"/>
    <w:rsid w:val="00FA5543"/>
    <w:pPr>
      <w:numPr>
        <w:numId w:val="14"/>
      </w:numPr>
    </w:pPr>
    <w:rPr>
      <w:rFonts w:eastAsia="Times New Roman"/>
      <w:lang w:eastAsia="en-GB"/>
    </w:rPr>
  </w:style>
  <w:style w:type="paragraph" w:styleId="Listapunktowana2">
    <w:name w:val="List Bullet 2"/>
    <w:basedOn w:val="Normalny"/>
    <w:rsid w:val="00FA5543"/>
    <w:pPr>
      <w:numPr>
        <w:numId w:val="15"/>
      </w:numPr>
    </w:pPr>
    <w:rPr>
      <w:rFonts w:eastAsia="Times New Roman"/>
      <w:lang w:eastAsia="en-GB"/>
    </w:rPr>
  </w:style>
  <w:style w:type="paragraph" w:styleId="Listapunktowana3">
    <w:name w:val="List Bullet 3"/>
    <w:basedOn w:val="Normalny"/>
    <w:rsid w:val="00FA5543"/>
    <w:pPr>
      <w:numPr>
        <w:numId w:val="16"/>
      </w:numPr>
    </w:pPr>
    <w:rPr>
      <w:rFonts w:eastAsia="Times New Roman"/>
      <w:lang w:eastAsia="en-GB"/>
    </w:rPr>
  </w:style>
  <w:style w:type="paragraph" w:styleId="Listanumerowana2">
    <w:name w:val="List Number 2"/>
    <w:basedOn w:val="Normalny"/>
    <w:rsid w:val="00FA5543"/>
    <w:pPr>
      <w:numPr>
        <w:numId w:val="20"/>
      </w:numPr>
    </w:pPr>
    <w:rPr>
      <w:rFonts w:eastAsia="Times New Roman"/>
      <w:lang w:eastAsia="en-GB"/>
    </w:rPr>
  </w:style>
  <w:style w:type="paragraph" w:styleId="Listanumerowana3">
    <w:name w:val="List Number 3"/>
    <w:basedOn w:val="Normalny"/>
    <w:rsid w:val="00FA5543"/>
    <w:pPr>
      <w:numPr>
        <w:numId w:val="21"/>
      </w:numPr>
    </w:pPr>
    <w:rPr>
      <w:rFonts w:eastAsia="Times New Roman"/>
      <w:lang w:eastAsia="en-GB"/>
    </w:rPr>
  </w:style>
  <w:style w:type="paragraph" w:styleId="Listanumerowana4">
    <w:name w:val="List Number 4"/>
    <w:basedOn w:val="Normalny"/>
    <w:rsid w:val="00FA5543"/>
    <w:pPr>
      <w:numPr>
        <w:numId w:val="22"/>
      </w:numPr>
    </w:pPr>
    <w:rPr>
      <w:rFonts w:eastAsia="Times New Roman"/>
      <w:lang w:eastAsia="en-GB"/>
    </w:rPr>
  </w:style>
  <w:style w:type="paragraph" w:customStyle="1" w:styleId="ListDash3">
    <w:name w:val="List Dash 3"/>
    <w:basedOn w:val="Normalny"/>
    <w:rsid w:val="00FA5543"/>
    <w:pPr>
      <w:numPr>
        <w:numId w:val="17"/>
      </w:numPr>
    </w:pPr>
    <w:rPr>
      <w:rFonts w:eastAsia="Times New Roman"/>
      <w:lang w:eastAsia="en-GB"/>
    </w:rPr>
  </w:style>
  <w:style w:type="paragraph" w:customStyle="1" w:styleId="ListDash4">
    <w:name w:val="List Dash 4"/>
    <w:basedOn w:val="Normalny"/>
    <w:rsid w:val="00FA5543"/>
    <w:pPr>
      <w:numPr>
        <w:numId w:val="18"/>
      </w:numPr>
    </w:pPr>
    <w:rPr>
      <w:rFonts w:eastAsia="Times New Roman"/>
      <w:lang w:eastAsia="en-GB"/>
    </w:rPr>
  </w:style>
  <w:style w:type="paragraph" w:customStyle="1" w:styleId="ListNumber1">
    <w:name w:val="List Number 1"/>
    <w:basedOn w:val="Text1"/>
    <w:rsid w:val="00FA5543"/>
    <w:pPr>
      <w:numPr>
        <w:numId w:val="19"/>
      </w:numPr>
    </w:pPr>
    <w:rPr>
      <w:rFonts w:eastAsia="Times New Roman"/>
      <w:lang w:eastAsia="en-GB"/>
    </w:rPr>
  </w:style>
  <w:style w:type="paragraph" w:customStyle="1" w:styleId="ListNumber1Level2">
    <w:name w:val="List Number 1 (Level 2)"/>
    <w:basedOn w:val="Text1"/>
    <w:rsid w:val="00FA5543"/>
    <w:pPr>
      <w:numPr>
        <w:ilvl w:val="1"/>
        <w:numId w:val="19"/>
      </w:numPr>
    </w:pPr>
    <w:rPr>
      <w:rFonts w:eastAsia="Times New Roman"/>
      <w:lang w:eastAsia="en-GB"/>
    </w:rPr>
  </w:style>
  <w:style w:type="paragraph" w:customStyle="1" w:styleId="ListNumber2Level2">
    <w:name w:val="List Number 2 (Level 2)"/>
    <w:basedOn w:val="Text2"/>
    <w:rsid w:val="00FA5543"/>
    <w:pPr>
      <w:numPr>
        <w:ilvl w:val="1"/>
        <w:numId w:val="20"/>
      </w:numPr>
    </w:pPr>
    <w:rPr>
      <w:rFonts w:eastAsia="Times New Roman"/>
      <w:lang w:eastAsia="en-GB"/>
    </w:rPr>
  </w:style>
  <w:style w:type="paragraph" w:customStyle="1" w:styleId="ListNumber3Level2">
    <w:name w:val="List Number 3 (Level 2)"/>
    <w:basedOn w:val="Text3"/>
    <w:rsid w:val="00FA5543"/>
    <w:pPr>
      <w:numPr>
        <w:ilvl w:val="1"/>
        <w:numId w:val="21"/>
      </w:numPr>
    </w:pPr>
    <w:rPr>
      <w:rFonts w:eastAsia="Times New Roman"/>
      <w:lang w:eastAsia="en-GB"/>
    </w:rPr>
  </w:style>
  <w:style w:type="paragraph" w:customStyle="1" w:styleId="ListNumber4Level2">
    <w:name w:val="List Number 4 (Level 2)"/>
    <w:basedOn w:val="Text4"/>
    <w:rsid w:val="00FA5543"/>
    <w:pPr>
      <w:numPr>
        <w:ilvl w:val="1"/>
        <w:numId w:val="22"/>
      </w:numPr>
    </w:pPr>
    <w:rPr>
      <w:rFonts w:eastAsia="Times New Roman"/>
      <w:lang w:eastAsia="en-GB"/>
    </w:rPr>
  </w:style>
  <w:style w:type="paragraph" w:customStyle="1" w:styleId="ListNumber1Level3">
    <w:name w:val="List Number 1 (Level 3)"/>
    <w:basedOn w:val="Text1"/>
    <w:rsid w:val="00FA5543"/>
    <w:pPr>
      <w:numPr>
        <w:ilvl w:val="2"/>
        <w:numId w:val="19"/>
      </w:numPr>
    </w:pPr>
    <w:rPr>
      <w:rFonts w:eastAsia="Times New Roman"/>
      <w:lang w:eastAsia="en-GB"/>
    </w:rPr>
  </w:style>
  <w:style w:type="paragraph" w:customStyle="1" w:styleId="ListNumber2Level3">
    <w:name w:val="List Number 2 (Level 3)"/>
    <w:basedOn w:val="Text2"/>
    <w:rsid w:val="00FA5543"/>
    <w:pPr>
      <w:numPr>
        <w:ilvl w:val="2"/>
        <w:numId w:val="20"/>
      </w:numPr>
    </w:pPr>
    <w:rPr>
      <w:rFonts w:eastAsia="Times New Roman"/>
      <w:lang w:eastAsia="en-GB"/>
    </w:rPr>
  </w:style>
  <w:style w:type="paragraph" w:customStyle="1" w:styleId="ListNumber3Level3">
    <w:name w:val="List Number 3 (Level 3)"/>
    <w:basedOn w:val="Text3"/>
    <w:rsid w:val="00FA5543"/>
    <w:pPr>
      <w:numPr>
        <w:ilvl w:val="2"/>
        <w:numId w:val="21"/>
      </w:numPr>
    </w:pPr>
    <w:rPr>
      <w:rFonts w:eastAsia="Times New Roman"/>
      <w:lang w:eastAsia="en-GB"/>
    </w:rPr>
  </w:style>
  <w:style w:type="paragraph" w:customStyle="1" w:styleId="ListNumber4Level3">
    <w:name w:val="List Number 4 (Level 3)"/>
    <w:basedOn w:val="Text4"/>
    <w:rsid w:val="00FA5543"/>
    <w:pPr>
      <w:numPr>
        <w:ilvl w:val="2"/>
        <w:numId w:val="22"/>
      </w:numPr>
    </w:pPr>
    <w:rPr>
      <w:rFonts w:eastAsia="Times New Roman"/>
      <w:lang w:eastAsia="en-GB"/>
    </w:rPr>
  </w:style>
  <w:style w:type="paragraph" w:customStyle="1" w:styleId="ListNumber1Level4">
    <w:name w:val="List Number 1 (Level 4)"/>
    <w:basedOn w:val="Text1"/>
    <w:rsid w:val="00FA5543"/>
    <w:pPr>
      <w:numPr>
        <w:ilvl w:val="3"/>
        <w:numId w:val="19"/>
      </w:numPr>
    </w:pPr>
    <w:rPr>
      <w:rFonts w:eastAsia="Times New Roman"/>
      <w:lang w:eastAsia="en-GB"/>
    </w:rPr>
  </w:style>
  <w:style w:type="paragraph" w:customStyle="1" w:styleId="ListNumber2Level4">
    <w:name w:val="List Number 2 (Level 4)"/>
    <w:basedOn w:val="Text2"/>
    <w:rsid w:val="00FA5543"/>
    <w:pPr>
      <w:numPr>
        <w:ilvl w:val="3"/>
        <w:numId w:val="20"/>
      </w:numPr>
    </w:pPr>
    <w:rPr>
      <w:rFonts w:eastAsia="Times New Roman"/>
      <w:lang w:eastAsia="en-GB"/>
    </w:rPr>
  </w:style>
  <w:style w:type="paragraph" w:customStyle="1" w:styleId="ListNumber3Level4">
    <w:name w:val="List Number 3 (Level 4)"/>
    <w:basedOn w:val="Text3"/>
    <w:rsid w:val="00FA5543"/>
    <w:pPr>
      <w:numPr>
        <w:ilvl w:val="3"/>
        <w:numId w:val="21"/>
      </w:numPr>
    </w:pPr>
    <w:rPr>
      <w:rFonts w:eastAsia="Times New Roman"/>
      <w:lang w:eastAsia="en-GB"/>
    </w:rPr>
  </w:style>
  <w:style w:type="paragraph" w:customStyle="1" w:styleId="ListNumber4Level4">
    <w:name w:val="List Number 4 (Level 4)"/>
    <w:basedOn w:val="Text4"/>
    <w:rsid w:val="00FA5543"/>
    <w:pPr>
      <w:numPr>
        <w:ilvl w:val="3"/>
        <w:numId w:val="22"/>
      </w:numPr>
    </w:pPr>
    <w:rPr>
      <w:rFonts w:eastAsia="Times New Roman"/>
      <w:lang w:eastAsia="en-GB"/>
    </w:rPr>
  </w:style>
  <w:style w:type="paragraph" w:customStyle="1" w:styleId="Annexetitreacte">
    <w:name w:val="Annexe titre (acte)"/>
    <w:basedOn w:val="Normalny"/>
    <w:next w:val="Normalny"/>
    <w:rsid w:val="00FA5543"/>
    <w:pPr>
      <w:jc w:val="center"/>
    </w:pPr>
    <w:rPr>
      <w:rFonts w:eastAsia="Times New Roman"/>
      <w:b/>
      <w:u w:val="single"/>
      <w:lang w:eastAsia="en-GB"/>
    </w:rPr>
  </w:style>
  <w:style w:type="paragraph" w:customStyle="1" w:styleId="Annexetitreexposglobal">
    <w:name w:val="Annexe titre (exposé global)"/>
    <w:basedOn w:val="Normalny"/>
    <w:next w:val="Normalny"/>
    <w:rsid w:val="00FA5543"/>
    <w:pPr>
      <w:jc w:val="center"/>
    </w:pPr>
    <w:rPr>
      <w:rFonts w:eastAsia="Times New Roman"/>
      <w:b/>
      <w:u w:val="single"/>
      <w:lang w:eastAsia="en-GB"/>
    </w:rPr>
  </w:style>
  <w:style w:type="paragraph" w:customStyle="1" w:styleId="Annexetitrefichefinacte">
    <w:name w:val="Annexe titre (fiche fin. acte)"/>
    <w:basedOn w:val="Normalny"/>
    <w:next w:val="Normalny"/>
    <w:rsid w:val="00FA5543"/>
    <w:pPr>
      <w:jc w:val="center"/>
    </w:pPr>
    <w:rPr>
      <w:rFonts w:eastAsia="Times New Roman"/>
      <w:b/>
      <w:u w:val="single"/>
      <w:lang w:eastAsia="en-GB"/>
    </w:rPr>
  </w:style>
  <w:style w:type="paragraph" w:customStyle="1" w:styleId="Annexetitrefichefinglobale">
    <w:name w:val="Annexe titre (fiche fin. globale)"/>
    <w:basedOn w:val="Normalny"/>
    <w:next w:val="Normalny"/>
    <w:rsid w:val="00FA5543"/>
    <w:pPr>
      <w:jc w:val="center"/>
    </w:pPr>
    <w:rPr>
      <w:rFonts w:eastAsia="Times New Roman"/>
      <w:b/>
      <w:u w:val="single"/>
      <w:lang w:eastAsia="en-GB"/>
    </w:rPr>
  </w:style>
  <w:style w:type="paragraph" w:customStyle="1" w:styleId="Annexetitreglobale">
    <w:name w:val="Annexe titre (globale)"/>
    <w:basedOn w:val="Normalny"/>
    <w:next w:val="Normalny"/>
    <w:rsid w:val="00FA5543"/>
    <w:pPr>
      <w:jc w:val="center"/>
    </w:pPr>
    <w:rPr>
      <w:rFonts w:eastAsia="Times New Roman"/>
      <w:b/>
      <w:u w:val="single"/>
      <w:lang w:eastAsia="en-GB"/>
    </w:rPr>
  </w:style>
  <w:style w:type="paragraph" w:customStyle="1" w:styleId="Exposdesmotifstitreglobal">
    <w:name w:val="Exposé des motifs titre (global)"/>
    <w:basedOn w:val="Normalny"/>
    <w:next w:val="Normalny"/>
    <w:rsid w:val="00FA5543"/>
    <w:pPr>
      <w:jc w:val="center"/>
    </w:pPr>
    <w:rPr>
      <w:rFonts w:eastAsia="Times New Roman"/>
      <w:b/>
      <w:u w:val="single"/>
      <w:lang w:eastAsia="en-GB"/>
    </w:rPr>
  </w:style>
  <w:style w:type="paragraph" w:customStyle="1" w:styleId="Langueoriginale">
    <w:name w:val="Langue originale"/>
    <w:basedOn w:val="Normalny"/>
    <w:rsid w:val="00FA5543"/>
    <w:pPr>
      <w:spacing w:before="360"/>
      <w:jc w:val="center"/>
    </w:pPr>
    <w:rPr>
      <w:rFonts w:eastAsia="Times New Roman"/>
      <w:caps/>
      <w:lang w:eastAsia="en-GB"/>
    </w:rPr>
  </w:style>
  <w:style w:type="paragraph" w:customStyle="1" w:styleId="Phrasefinale">
    <w:name w:val="Phrase finale"/>
    <w:basedOn w:val="Normalny"/>
    <w:next w:val="Normalny"/>
    <w:rsid w:val="00FA5543"/>
    <w:pPr>
      <w:spacing w:before="360" w:after="0"/>
      <w:jc w:val="center"/>
    </w:pPr>
    <w:rPr>
      <w:rFonts w:eastAsia="Times New Roman"/>
      <w:lang w:eastAsia="en-GB"/>
    </w:rPr>
  </w:style>
  <w:style w:type="paragraph" w:customStyle="1" w:styleId="Prliminairetitre">
    <w:name w:val="Préliminaire titre"/>
    <w:basedOn w:val="Normalny"/>
    <w:next w:val="Normalny"/>
    <w:rsid w:val="00FA5543"/>
    <w:pPr>
      <w:spacing w:before="360" w:after="360"/>
      <w:jc w:val="center"/>
    </w:pPr>
    <w:rPr>
      <w:rFonts w:eastAsia="Times New Roman"/>
      <w:b/>
      <w:lang w:eastAsia="en-GB"/>
    </w:rPr>
  </w:style>
  <w:style w:type="paragraph" w:customStyle="1" w:styleId="Prliminairetype">
    <w:name w:val="Préliminaire type"/>
    <w:basedOn w:val="Normalny"/>
    <w:next w:val="Normalny"/>
    <w:rsid w:val="00FA5543"/>
    <w:pPr>
      <w:spacing w:before="360" w:after="0"/>
      <w:jc w:val="center"/>
    </w:pPr>
    <w:rPr>
      <w:rFonts w:eastAsia="Times New Roman"/>
      <w:b/>
      <w:lang w:eastAsia="en-GB"/>
    </w:rPr>
  </w:style>
  <w:style w:type="paragraph" w:customStyle="1" w:styleId="Rfrenceinstitutionelle">
    <w:name w:val="Référence institutionelle"/>
    <w:basedOn w:val="Normalny"/>
    <w:next w:val="Statut"/>
    <w:rsid w:val="00FA5543"/>
    <w:pPr>
      <w:spacing w:before="0" w:after="240"/>
      <w:ind w:left="5103"/>
      <w:jc w:val="left"/>
    </w:pPr>
    <w:rPr>
      <w:rFonts w:eastAsia="Times New Roman"/>
      <w:lang w:eastAsia="en-GB"/>
    </w:rPr>
  </w:style>
  <w:style w:type="paragraph" w:customStyle="1" w:styleId="Rfrenceinterinstitutionelle">
    <w:name w:val="Référence interinstitutionelle"/>
    <w:basedOn w:val="Normalny"/>
    <w:next w:val="Statut"/>
    <w:rsid w:val="00FA5543"/>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ny"/>
    <w:next w:val="Normalny"/>
    <w:rsid w:val="00FA5543"/>
    <w:pPr>
      <w:spacing w:before="0" w:after="0"/>
      <w:ind w:left="5103"/>
      <w:jc w:val="left"/>
    </w:pPr>
    <w:rPr>
      <w:rFonts w:eastAsia="Times New Roman"/>
      <w:lang w:eastAsia="en-GB"/>
    </w:rPr>
  </w:style>
  <w:style w:type="paragraph" w:customStyle="1" w:styleId="Sous-titreobjetprliminaire">
    <w:name w:val="Sous-titre objet (préliminaire)"/>
    <w:basedOn w:val="Normalny"/>
    <w:rsid w:val="00FA5543"/>
    <w:pPr>
      <w:spacing w:before="0" w:after="0"/>
      <w:jc w:val="center"/>
    </w:pPr>
    <w:rPr>
      <w:rFonts w:eastAsia="Times New Roman"/>
      <w:b/>
      <w:lang w:eastAsia="en-GB"/>
    </w:rPr>
  </w:style>
  <w:style w:type="paragraph" w:customStyle="1" w:styleId="Statutprliminaire">
    <w:name w:val="Statut (préliminaire)"/>
    <w:basedOn w:val="Normalny"/>
    <w:next w:val="Normalny"/>
    <w:rsid w:val="00FA5543"/>
    <w:pPr>
      <w:spacing w:before="360" w:after="0"/>
      <w:jc w:val="center"/>
    </w:pPr>
    <w:rPr>
      <w:rFonts w:eastAsia="Times New Roman"/>
      <w:lang w:eastAsia="en-GB"/>
    </w:rPr>
  </w:style>
  <w:style w:type="paragraph" w:customStyle="1" w:styleId="Titreobjetprliminaire">
    <w:name w:val="Titre objet (préliminaire)"/>
    <w:basedOn w:val="Normalny"/>
    <w:next w:val="Normalny"/>
    <w:rsid w:val="00FA5543"/>
    <w:pPr>
      <w:spacing w:before="360" w:after="360"/>
      <w:jc w:val="center"/>
    </w:pPr>
    <w:rPr>
      <w:rFonts w:eastAsia="Times New Roman"/>
      <w:b/>
      <w:lang w:eastAsia="en-GB"/>
    </w:rPr>
  </w:style>
  <w:style w:type="paragraph" w:customStyle="1" w:styleId="Typedudocumentprliminaire">
    <w:name w:val="Type du document (préliminaire)"/>
    <w:basedOn w:val="Normalny"/>
    <w:next w:val="Normalny"/>
    <w:rsid w:val="00FA5543"/>
    <w:pPr>
      <w:spacing w:before="360" w:after="0"/>
      <w:jc w:val="center"/>
    </w:pPr>
    <w:rPr>
      <w:rFonts w:eastAsia="Times New Roman"/>
      <w:b/>
      <w:lang w:eastAsia="en-GB"/>
    </w:rPr>
  </w:style>
  <w:style w:type="paragraph" w:customStyle="1" w:styleId="Fichefinancirestandardtitre">
    <w:name w:val="Fiche financière (standard) titre"/>
    <w:basedOn w:val="Normalny"/>
    <w:next w:val="Normalny"/>
    <w:rsid w:val="00FA5543"/>
    <w:pPr>
      <w:jc w:val="center"/>
    </w:pPr>
    <w:rPr>
      <w:rFonts w:eastAsia="Times New Roman"/>
      <w:b/>
      <w:u w:val="single"/>
      <w:lang w:eastAsia="en-GB"/>
    </w:rPr>
  </w:style>
  <w:style w:type="paragraph" w:customStyle="1" w:styleId="Fichefinancirestandardtitreacte">
    <w:name w:val="Fiche financière (standard) titre (acte)"/>
    <w:basedOn w:val="Normalny"/>
    <w:next w:val="Normalny"/>
    <w:rsid w:val="00FA5543"/>
    <w:pPr>
      <w:jc w:val="center"/>
    </w:pPr>
    <w:rPr>
      <w:rFonts w:eastAsia="Times New Roman"/>
      <w:b/>
      <w:u w:val="single"/>
      <w:lang w:eastAsia="en-GB"/>
    </w:rPr>
  </w:style>
  <w:style w:type="paragraph" w:customStyle="1" w:styleId="Fichefinanciretravailtitre">
    <w:name w:val="Fiche financière (travail) titre"/>
    <w:basedOn w:val="Normalny"/>
    <w:next w:val="Normalny"/>
    <w:rsid w:val="00FA5543"/>
    <w:pPr>
      <w:jc w:val="center"/>
    </w:pPr>
    <w:rPr>
      <w:rFonts w:eastAsia="Times New Roman"/>
      <w:b/>
      <w:u w:val="single"/>
      <w:lang w:eastAsia="en-GB"/>
    </w:rPr>
  </w:style>
  <w:style w:type="paragraph" w:customStyle="1" w:styleId="Fichefinanciretravailtitreacte">
    <w:name w:val="Fiche financière (travail) titre (acte)"/>
    <w:basedOn w:val="Normalny"/>
    <w:next w:val="Normalny"/>
    <w:rsid w:val="00FA5543"/>
    <w:pPr>
      <w:jc w:val="center"/>
    </w:pPr>
    <w:rPr>
      <w:rFonts w:eastAsia="Times New Roman"/>
      <w:b/>
      <w:u w:val="single"/>
      <w:lang w:eastAsia="en-GB"/>
    </w:rPr>
  </w:style>
  <w:style w:type="paragraph" w:customStyle="1" w:styleId="Fichefinancireattributiontitre">
    <w:name w:val="Fiche financière (attribution) titre"/>
    <w:basedOn w:val="Normalny"/>
    <w:next w:val="Normalny"/>
    <w:rsid w:val="00FA5543"/>
    <w:pPr>
      <w:jc w:val="center"/>
    </w:pPr>
    <w:rPr>
      <w:rFonts w:eastAsia="Times New Roman"/>
      <w:b/>
      <w:u w:val="single"/>
      <w:lang w:eastAsia="en-GB"/>
    </w:rPr>
  </w:style>
  <w:style w:type="paragraph" w:customStyle="1" w:styleId="Fichefinancireattributiontitreacte">
    <w:name w:val="Fiche financière (attribution) titre (acte)"/>
    <w:basedOn w:val="Normalny"/>
    <w:next w:val="Normalny"/>
    <w:rsid w:val="00FA5543"/>
    <w:pPr>
      <w:jc w:val="center"/>
    </w:pPr>
    <w:rPr>
      <w:rFonts w:eastAsia="Times New Roman"/>
      <w:b/>
      <w:u w:val="single"/>
      <w:lang w:eastAsia="en-GB"/>
    </w:rPr>
  </w:style>
  <w:style w:type="character" w:styleId="Odwoaniedokomentarza">
    <w:name w:val="annotation reference"/>
    <w:uiPriority w:val="99"/>
    <w:rsid w:val="00FA5543"/>
    <w:rPr>
      <w:rFonts w:cs="Times New Roman"/>
      <w:sz w:val="16"/>
      <w:szCs w:val="16"/>
    </w:rPr>
  </w:style>
  <w:style w:type="paragraph" w:styleId="Tekstkomentarza">
    <w:name w:val="annotation text"/>
    <w:basedOn w:val="Normalny"/>
    <w:link w:val="TekstkomentarzaZnak"/>
    <w:uiPriority w:val="99"/>
    <w:rsid w:val="00FA5543"/>
    <w:rPr>
      <w:rFonts w:eastAsia="Times New Roman"/>
      <w:sz w:val="20"/>
      <w:szCs w:val="20"/>
      <w:lang w:eastAsia="en-GB"/>
    </w:rPr>
  </w:style>
  <w:style w:type="character" w:customStyle="1" w:styleId="TekstkomentarzaZnak">
    <w:name w:val="Tekst komentarza Znak"/>
    <w:basedOn w:val="Domylnaczcionkaakapitu"/>
    <w:link w:val="Tekstkomentarza"/>
    <w:uiPriority w:val="99"/>
    <w:rsid w:val="00FA5543"/>
    <w:rPr>
      <w:rFonts w:ascii="Times New Roman" w:eastAsia="Times New Roman" w:hAnsi="Times New Roman" w:cs="Times New Roman"/>
      <w:sz w:val="20"/>
      <w:szCs w:val="20"/>
      <w:lang w:val="pl-PL" w:eastAsia="en-GB"/>
    </w:rPr>
  </w:style>
  <w:style w:type="paragraph" w:styleId="Tematkomentarza">
    <w:name w:val="annotation subject"/>
    <w:basedOn w:val="Tekstkomentarza"/>
    <w:next w:val="Tekstkomentarza"/>
    <w:link w:val="TematkomentarzaZnak"/>
    <w:rsid w:val="00FA5543"/>
    <w:rPr>
      <w:b/>
      <w:bCs/>
    </w:rPr>
  </w:style>
  <w:style w:type="character" w:customStyle="1" w:styleId="TematkomentarzaZnak">
    <w:name w:val="Temat komentarza Znak"/>
    <w:basedOn w:val="TekstkomentarzaZnak"/>
    <w:link w:val="Tematkomentarza"/>
    <w:rsid w:val="00FA5543"/>
    <w:rPr>
      <w:rFonts w:ascii="Times New Roman" w:eastAsia="Times New Roman" w:hAnsi="Times New Roman" w:cs="Times New Roman"/>
      <w:b/>
      <w:bCs/>
      <w:sz w:val="20"/>
      <w:szCs w:val="20"/>
      <w:lang w:val="pl-PL" w:eastAsia="en-GB"/>
    </w:rPr>
  </w:style>
  <w:style w:type="paragraph" w:styleId="Tekstdymka">
    <w:name w:val="Balloon Text"/>
    <w:basedOn w:val="Normalny"/>
    <w:link w:val="TekstdymkaZnak"/>
    <w:rsid w:val="00FA5543"/>
    <w:rPr>
      <w:rFonts w:ascii="Tahoma" w:eastAsia="Times New Roman" w:hAnsi="Tahoma" w:cs="Tahoma"/>
      <w:sz w:val="16"/>
      <w:szCs w:val="16"/>
      <w:lang w:eastAsia="en-GB"/>
    </w:rPr>
  </w:style>
  <w:style w:type="character" w:customStyle="1" w:styleId="TekstdymkaZnak">
    <w:name w:val="Tekst dymka Znak"/>
    <w:basedOn w:val="Domylnaczcionkaakapitu"/>
    <w:link w:val="Tekstdymka"/>
    <w:rsid w:val="00FA5543"/>
    <w:rPr>
      <w:rFonts w:ascii="Tahoma" w:eastAsia="Times New Roman" w:hAnsi="Tahoma" w:cs="Tahoma"/>
      <w:sz w:val="16"/>
      <w:szCs w:val="16"/>
      <w:lang w:val="pl-PL" w:eastAsia="en-GB"/>
    </w:rPr>
  </w:style>
  <w:style w:type="paragraph" w:styleId="Legenda">
    <w:name w:val="caption"/>
    <w:basedOn w:val="Normalny"/>
    <w:next w:val="Normalny"/>
    <w:uiPriority w:val="35"/>
    <w:qFormat/>
    <w:rsid w:val="00FA5543"/>
    <w:rPr>
      <w:rFonts w:eastAsia="Times New Roman"/>
      <w:b/>
      <w:bCs/>
      <w:sz w:val="20"/>
      <w:szCs w:val="20"/>
      <w:lang w:eastAsia="en-GB"/>
    </w:rPr>
  </w:style>
  <w:style w:type="paragraph" w:styleId="Spisilustracji">
    <w:name w:val="table of figures"/>
    <w:basedOn w:val="Normalny"/>
    <w:next w:val="Normalny"/>
    <w:rsid w:val="00FA5543"/>
    <w:rPr>
      <w:rFonts w:eastAsia="Times New Roman"/>
      <w:lang w:eastAsia="en-GB"/>
    </w:rPr>
  </w:style>
  <w:style w:type="character" w:styleId="Numerstrony">
    <w:name w:val="page number"/>
    <w:rsid w:val="00FA5543"/>
  </w:style>
  <w:style w:type="character" w:customStyle="1" w:styleId="tw4winMark">
    <w:name w:val="tw4winMark"/>
    <w:rsid w:val="00FA5543"/>
    <w:rPr>
      <w:vanish/>
      <w:color w:val="800080"/>
      <w:vertAlign w:val="subscript"/>
    </w:rPr>
  </w:style>
  <w:style w:type="character" w:styleId="UyteHipercze">
    <w:name w:val="FollowedHyperlink"/>
    <w:rsid w:val="00FA5543"/>
    <w:rPr>
      <w:color w:val="800080"/>
      <w:u w:val="single"/>
    </w:rPr>
  </w:style>
  <w:style w:type="paragraph" w:customStyle="1" w:styleId="Sous-titreobjet">
    <w:name w:val="Sous-titre objet"/>
    <w:basedOn w:val="Normalny"/>
    <w:rsid w:val="00FA5543"/>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A5543"/>
  </w:style>
  <w:style w:type="paragraph" w:styleId="Poprawka">
    <w:name w:val="Revision"/>
    <w:hidden/>
    <w:uiPriority w:val="99"/>
    <w:semiHidden/>
    <w:rsid w:val="00FA5543"/>
    <w:rPr>
      <w:rFonts w:ascii="Calibri" w:eastAsia="Calibri" w:hAnsi="Calibri" w:cs="Times New Roman"/>
      <w:sz w:val="24"/>
      <w:lang w:eastAsia="en-GB"/>
    </w:rPr>
  </w:style>
  <w:style w:type="paragraph" w:customStyle="1" w:styleId="FooterCoverPage">
    <w:name w:val="Footer Cover Page"/>
    <w:basedOn w:val="Normalny"/>
    <w:link w:val="FooterCoverPageChar"/>
    <w:rsid w:val="00FA5543"/>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A5543"/>
    <w:rPr>
      <w:rFonts w:ascii="Times New Roman" w:hAnsi="Times New Roman" w:cs="Times New Roman"/>
      <w:b/>
      <w:sz w:val="28"/>
      <w:lang w:val="pl-PL"/>
    </w:rPr>
  </w:style>
  <w:style w:type="character" w:customStyle="1" w:styleId="FooterCoverPageChar">
    <w:name w:val="Footer Cover Page Char"/>
    <w:link w:val="FooterCoverPage"/>
    <w:rsid w:val="00FA5543"/>
    <w:rPr>
      <w:rFonts w:ascii="Times New Roman" w:eastAsia="Calibri" w:hAnsi="Times New Roman" w:cs="Times New Roman"/>
      <w:sz w:val="24"/>
      <w:lang w:val="pl-PL" w:eastAsia="en-GB"/>
    </w:rPr>
  </w:style>
  <w:style w:type="paragraph" w:customStyle="1" w:styleId="HeaderCoverPage">
    <w:name w:val="Header Cover Page"/>
    <w:basedOn w:val="Normalny"/>
    <w:link w:val="HeaderCoverPageChar"/>
    <w:rsid w:val="00FA5543"/>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A5543"/>
    <w:rPr>
      <w:rFonts w:ascii="Times New Roman" w:eastAsia="Calibri" w:hAnsi="Times New Roman" w:cs="Times New Roman"/>
      <w:sz w:val="24"/>
      <w:lang w:val="pl-PL" w:eastAsia="en-GB"/>
    </w:rPr>
  </w:style>
  <w:style w:type="character" w:customStyle="1" w:styleId="FooterSensitivityChar">
    <w:name w:val="Footer Sensitivity Char"/>
    <w:rsid w:val="00FA5543"/>
    <w:rPr>
      <w:rFonts w:ascii="Times New Roman" w:hAnsi="Times New Roman" w:cs="Times New Roman"/>
      <w:b/>
      <w:sz w:val="32"/>
      <w:lang w:val="pl-PL"/>
    </w:rPr>
  </w:style>
  <w:style w:type="character" w:customStyle="1" w:styleId="HeaderSensitivityChar">
    <w:name w:val="Header Sensitivity Char"/>
    <w:rsid w:val="00FA5543"/>
    <w:rPr>
      <w:rFonts w:ascii="Times New Roman" w:hAnsi="Times New Roman" w:cs="Times New Roman"/>
      <w:b/>
      <w:sz w:val="32"/>
      <w:lang w:val="pl-PL"/>
    </w:rPr>
  </w:style>
  <w:style w:type="character" w:customStyle="1" w:styleId="HeaderSensitivityRightChar">
    <w:name w:val="Header Sensitivity Right Char"/>
    <w:rsid w:val="00FA5543"/>
    <w:rPr>
      <w:rFonts w:ascii="Times New Roman" w:hAnsi="Times New Roman" w:cs="Times New Roman"/>
      <w:sz w:val="28"/>
      <w:lang w:val="pl-PL"/>
    </w:rPr>
  </w:style>
  <w:style w:type="paragraph" w:customStyle="1" w:styleId="LegalNumPar">
    <w:name w:val="LegalNumPar"/>
    <w:basedOn w:val="Normalny"/>
    <w:rsid w:val="00FA5543"/>
    <w:pPr>
      <w:numPr>
        <w:numId w:val="23"/>
      </w:numPr>
      <w:spacing w:line="360" w:lineRule="auto"/>
    </w:pPr>
    <w:rPr>
      <w:rFonts w:eastAsia="Times New Roman"/>
      <w:lang w:eastAsia="en-GB"/>
    </w:rPr>
  </w:style>
  <w:style w:type="paragraph" w:customStyle="1" w:styleId="LegalNumPar2">
    <w:name w:val="LegalNumPar2"/>
    <w:basedOn w:val="Normalny"/>
    <w:rsid w:val="00FA5543"/>
    <w:pPr>
      <w:numPr>
        <w:ilvl w:val="1"/>
        <w:numId w:val="23"/>
      </w:numPr>
      <w:spacing w:line="360" w:lineRule="auto"/>
    </w:pPr>
    <w:rPr>
      <w:rFonts w:eastAsia="Times New Roman"/>
      <w:lang w:eastAsia="en-GB"/>
    </w:rPr>
  </w:style>
  <w:style w:type="paragraph" w:customStyle="1" w:styleId="LegalNumPar3">
    <w:name w:val="LegalNumPar3"/>
    <w:basedOn w:val="Normalny"/>
    <w:rsid w:val="00FA5543"/>
    <w:pPr>
      <w:numPr>
        <w:ilvl w:val="2"/>
        <w:numId w:val="23"/>
      </w:numPr>
      <w:spacing w:line="360" w:lineRule="auto"/>
    </w:pPr>
    <w:rPr>
      <w:rFonts w:eastAsia="Times New Roman"/>
      <w:lang w:eastAsia="en-GB"/>
    </w:rPr>
  </w:style>
  <w:style w:type="paragraph" w:styleId="Akapitzlist">
    <w:name w:val="List Paragraph"/>
    <w:basedOn w:val="Normalny"/>
    <w:uiPriority w:val="34"/>
    <w:qFormat/>
    <w:rsid w:val="00FA5543"/>
    <w:pPr>
      <w:ind w:left="720"/>
      <w:contextualSpacing/>
    </w:pPr>
    <w:rPr>
      <w:rFonts w:eastAsia="Times New Roman"/>
      <w:lang w:eastAsia="en-GB"/>
    </w:rPr>
  </w:style>
  <w:style w:type="character" w:customStyle="1" w:styleId="UnresolvedMention1">
    <w:name w:val="Unresolved Mention1"/>
    <w:basedOn w:val="Domylnaczcionkaakapitu"/>
    <w:uiPriority w:val="99"/>
    <w:semiHidden/>
    <w:unhideWhenUsed/>
    <w:rsid w:val="00FA5543"/>
    <w:rPr>
      <w:color w:val="605E5C"/>
      <w:shd w:val="clear" w:color="auto" w:fill="E1DFDD"/>
    </w:rPr>
  </w:style>
  <w:style w:type="character" w:styleId="Pogrubienie">
    <w:name w:val="Strong"/>
    <w:basedOn w:val="Domylnaczcionkaakapitu"/>
    <w:qFormat/>
    <w:rsid w:val="00FA5543"/>
    <w:rPr>
      <w:b/>
      <w:bCs/>
    </w:rPr>
  </w:style>
  <w:style w:type="character" w:styleId="Uwydatnienie">
    <w:name w:val="Emphasis"/>
    <w:basedOn w:val="Domylnaczcionkaakapitu"/>
    <w:qFormat/>
    <w:rsid w:val="00FA5543"/>
    <w:rPr>
      <w:i/>
      <w:iCs/>
    </w:rPr>
  </w:style>
  <w:style w:type="character" w:customStyle="1" w:styleId="Mention1">
    <w:name w:val="Mention1"/>
    <w:basedOn w:val="Domylnaczcionkaakapitu"/>
    <w:uiPriority w:val="99"/>
    <w:unhideWhenUsed/>
    <w:rsid w:val="00FA5543"/>
    <w:rPr>
      <w:color w:val="2B579A"/>
      <w:shd w:val="clear" w:color="auto" w:fill="E1DFDD"/>
    </w:rPr>
  </w:style>
  <w:style w:type="character" w:customStyle="1" w:styleId="normaltextrun">
    <w:name w:val="normaltextrun"/>
    <w:basedOn w:val="Domylnaczcionkaakapitu"/>
    <w:rsid w:val="00FA5543"/>
  </w:style>
  <w:style w:type="character" w:customStyle="1" w:styleId="eop">
    <w:name w:val="eop"/>
    <w:basedOn w:val="Domylnaczcionkaakapitu"/>
    <w:rsid w:val="00FA5543"/>
  </w:style>
  <w:style w:type="paragraph" w:customStyle="1" w:styleId="CharCharChar1">
    <w:name w:val="Char Char Char1"/>
    <w:basedOn w:val="Normalny"/>
    <w:link w:val="Odwoanieprzypisudolnego"/>
    <w:uiPriority w:val="99"/>
    <w:rsid w:val="00FA5D5D"/>
    <w:pPr>
      <w:spacing w:before="0" w:line="240" w:lineRule="exact"/>
    </w:pPr>
    <w:rPr>
      <w:rFonts w:asciiTheme="minorHAnsi" w:hAnsiTheme="minorHAnsi" w:cstheme="minorBidi"/>
      <w:sz w:val="22"/>
      <w:vertAlign w:val="superscript"/>
    </w:rPr>
  </w:style>
  <w:style w:type="paragraph" w:styleId="Bezodstpw">
    <w:name w:val="No Spacing"/>
    <w:basedOn w:val="Normalny"/>
    <w:uiPriority w:val="1"/>
    <w:qFormat/>
    <w:rsid w:val="00FA5D5D"/>
    <w:pPr>
      <w:spacing w:before="0"/>
    </w:pPr>
    <w:rPr>
      <w:szCs w:val="24"/>
    </w:rPr>
  </w:style>
  <w:style w:type="paragraph" w:customStyle="1" w:styleId="An">
    <w:name w:val="An"/>
    <w:basedOn w:val="Annexetitre"/>
    <w:rsid w:val="00B07259"/>
  </w:style>
  <w:style w:type="character" w:customStyle="1" w:styleId="italic1">
    <w:name w:val="italic1"/>
    <w:rsid w:val="00F22CBC"/>
    <w:rPr>
      <w:i/>
      <w:iCs/>
    </w:rPr>
  </w:style>
  <w:style w:type="paragraph" w:styleId="Tekstprzypisukocowego">
    <w:name w:val="endnote text"/>
    <w:basedOn w:val="Normalny"/>
    <w:link w:val="TekstprzypisukocowegoZnak"/>
    <w:uiPriority w:val="99"/>
    <w:semiHidden/>
    <w:unhideWhenUsed/>
    <w:rsid w:val="007F348B"/>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7F348B"/>
    <w:rPr>
      <w:rFonts w:ascii="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7F348B"/>
    <w:rPr>
      <w:vertAlign w:val="superscript"/>
    </w:rPr>
  </w:style>
  <w:style w:type="character" w:customStyle="1" w:styleId="NagwekZnak">
    <w:name w:val="Nagłówek Znak"/>
    <w:basedOn w:val="Domylnaczcionkaakapitu"/>
    <w:link w:val="Nagwek"/>
    <w:uiPriority w:val="99"/>
    <w:rsid w:val="00AB396E"/>
    <w:rPr>
      <w:rFonts w:ascii="Times New Roman" w:hAnsi="Times New Roman" w:cs="Times New Roman"/>
      <w:sz w:val="24"/>
      <w:lang w:val="pl-PL"/>
    </w:rPr>
  </w:style>
  <w:style w:type="character" w:customStyle="1" w:styleId="StopkaZnak">
    <w:name w:val="Stopka Znak"/>
    <w:basedOn w:val="Domylnaczcionkaakapitu"/>
    <w:link w:val="Stopka"/>
    <w:uiPriority w:val="99"/>
    <w:rsid w:val="00AB396E"/>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pl-PL"/>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pl-PL"/>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pl-PL"/>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pl-PL"/>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lang w:val="pl-PL"/>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lang w:val="pl-PL"/>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lang w:val="pl-PL"/>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character" w:styleId="Odwoanieprzypisudolnego">
    <w:name w:val="footnote reference"/>
    <w:basedOn w:val="Domylnaczcionkaakapitu"/>
    <w:link w:val="CharCharChar1"/>
    <w:uiPriority w:val="99"/>
    <w:semiHidden/>
    <w:unhideWhenUsed/>
    <w:rPr>
      <w:shd w:val="clear" w:color="auto" w:fill="auto"/>
      <w:vertAlign w:val="superscript"/>
    </w:rPr>
  </w:style>
  <w:style w:type="paragraph" w:customStyle="1" w:styleId="HeaderSensitivity">
    <w:name w:val="Header Sensitivity"/>
    <w:basedOn w:val="Normalny"/>
    <w:rsid w:val="00AB396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AB396E"/>
    <w:pPr>
      <w:spacing w:before="0"/>
      <w:jc w:val="right"/>
    </w:pPr>
    <w:rPr>
      <w:sz w:val="28"/>
    </w:rPr>
  </w:style>
  <w:style w:type="paragraph" w:customStyle="1" w:styleId="FooterSensitivity">
    <w:name w:val="Footer Sensitivity"/>
    <w:basedOn w:val="Normalny"/>
    <w:rsid w:val="00AB396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0"/>
      </w:numPr>
    </w:pPr>
  </w:style>
  <w:style w:type="paragraph" w:customStyle="1" w:styleId="NumPar2">
    <w:name w:val="NumPar 2"/>
    <w:basedOn w:val="Normalny"/>
    <w:next w:val="Text1"/>
    <w:pPr>
      <w:numPr>
        <w:ilvl w:val="1"/>
        <w:numId w:val="30"/>
      </w:numPr>
    </w:pPr>
  </w:style>
  <w:style w:type="paragraph" w:customStyle="1" w:styleId="NumPar3">
    <w:name w:val="NumPar 3"/>
    <w:basedOn w:val="Normalny"/>
    <w:next w:val="Text1"/>
    <w:pPr>
      <w:numPr>
        <w:ilvl w:val="2"/>
        <w:numId w:val="30"/>
      </w:numPr>
    </w:pPr>
  </w:style>
  <w:style w:type="paragraph" w:customStyle="1" w:styleId="NumPar4">
    <w:name w:val="NumPar 4"/>
    <w:basedOn w:val="Normalny"/>
    <w:next w:val="Text1"/>
    <w:pPr>
      <w:numPr>
        <w:ilvl w:val="3"/>
        <w:numId w:val="30"/>
      </w:numPr>
    </w:pPr>
  </w:style>
  <w:style w:type="paragraph" w:customStyle="1" w:styleId="NumPar5">
    <w:name w:val="NumPar 5"/>
    <w:basedOn w:val="Normalny"/>
    <w:next w:val="Text2"/>
    <w:pPr>
      <w:numPr>
        <w:ilvl w:val="4"/>
        <w:numId w:val="30"/>
      </w:numPr>
    </w:pPr>
  </w:style>
  <w:style w:type="paragraph" w:customStyle="1" w:styleId="NumPar6">
    <w:name w:val="NumPar 6"/>
    <w:basedOn w:val="Normalny"/>
    <w:next w:val="Text2"/>
    <w:pPr>
      <w:numPr>
        <w:ilvl w:val="5"/>
        <w:numId w:val="30"/>
      </w:numPr>
    </w:pPr>
  </w:style>
  <w:style w:type="paragraph" w:customStyle="1" w:styleId="NumPar7">
    <w:name w:val="NumPar 7"/>
    <w:basedOn w:val="Normalny"/>
    <w:next w:val="Text2"/>
    <w:pPr>
      <w:numPr>
        <w:ilvl w:val="6"/>
        <w:numId w:val="30"/>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32"/>
      </w:numPr>
    </w:pPr>
  </w:style>
  <w:style w:type="paragraph" w:customStyle="1" w:styleId="Point1number">
    <w:name w:val="Point 1 (number)"/>
    <w:basedOn w:val="Normalny"/>
    <w:pPr>
      <w:numPr>
        <w:ilvl w:val="2"/>
        <w:numId w:val="32"/>
      </w:numPr>
    </w:pPr>
  </w:style>
  <w:style w:type="paragraph" w:customStyle="1" w:styleId="Point2number">
    <w:name w:val="Point 2 (number)"/>
    <w:basedOn w:val="Normalny"/>
    <w:pPr>
      <w:numPr>
        <w:ilvl w:val="4"/>
        <w:numId w:val="32"/>
      </w:numPr>
    </w:pPr>
  </w:style>
  <w:style w:type="paragraph" w:customStyle="1" w:styleId="Point3number">
    <w:name w:val="Point 3 (number)"/>
    <w:basedOn w:val="Normalny"/>
    <w:pPr>
      <w:numPr>
        <w:ilvl w:val="6"/>
        <w:numId w:val="32"/>
      </w:numPr>
    </w:pPr>
  </w:style>
  <w:style w:type="paragraph" w:customStyle="1" w:styleId="Point0letter">
    <w:name w:val="Point 0 (letter)"/>
    <w:basedOn w:val="Normalny"/>
    <w:pPr>
      <w:numPr>
        <w:ilvl w:val="1"/>
        <w:numId w:val="32"/>
      </w:numPr>
    </w:pPr>
  </w:style>
  <w:style w:type="paragraph" w:customStyle="1" w:styleId="Point1letter">
    <w:name w:val="Point 1 (letter)"/>
    <w:basedOn w:val="Normalny"/>
    <w:pPr>
      <w:numPr>
        <w:ilvl w:val="3"/>
        <w:numId w:val="32"/>
      </w:numPr>
    </w:pPr>
  </w:style>
  <w:style w:type="paragraph" w:customStyle="1" w:styleId="Point2letter">
    <w:name w:val="Point 2 (letter)"/>
    <w:basedOn w:val="Normalny"/>
    <w:pPr>
      <w:numPr>
        <w:ilvl w:val="5"/>
        <w:numId w:val="32"/>
      </w:numPr>
    </w:pPr>
  </w:style>
  <w:style w:type="paragraph" w:customStyle="1" w:styleId="Point3letter">
    <w:name w:val="Point 3 (letter)"/>
    <w:basedOn w:val="Normalny"/>
    <w:pPr>
      <w:numPr>
        <w:ilvl w:val="7"/>
        <w:numId w:val="32"/>
      </w:numPr>
    </w:pPr>
  </w:style>
  <w:style w:type="paragraph" w:customStyle="1" w:styleId="Point4letter">
    <w:name w:val="Point 4 (letter)"/>
    <w:basedOn w:val="Normalny"/>
    <w:pPr>
      <w:numPr>
        <w:ilvl w:val="8"/>
        <w:numId w:val="32"/>
      </w:numPr>
    </w:pPr>
  </w:style>
  <w:style w:type="paragraph" w:customStyle="1" w:styleId="Bullet0">
    <w:name w:val="Bullet 0"/>
    <w:basedOn w:val="Normalny"/>
    <w:pPr>
      <w:numPr>
        <w:numId w:val="33"/>
      </w:numPr>
    </w:pPr>
  </w:style>
  <w:style w:type="paragraph" w:customStyle="1" w:styleId="Bullet1">
    <w:name w:val="Bullet 1"/>
    <w:basedOn w:val="Normalny"/>
    <w:pPr>
      <w:numPr>
        <w:numId w:val="34"/>
      </w:numPr>
    </w:pPr>
  </w:style>
  <w:style w:type="paragraph" w:customStyle="1" w:styleId="Bullet2">
    <w:name w:val="Bullet 2"/>
    <w:basedOn w:val="Normalny"/>
    <w:pPr>
      <w:numPr>
        <w:numId w:val="35"/>
      </w:numPr>
    </w:pPr>
  </w:style>
  <w:style w:type="paragraph" w:customStyle="1" w:styleId="Bullet3">
    <w:name w:val="Bullet 3"/>
    <w:basedOn w:val="Normalny"/>
    <w:pPr>
      <w:numPr>
        <w:numId w:val="36"/>
      </w:numPr>
    </w:pPr>
  </w:style>
  <w:style w:type="paragraph" w:customStyle="1" w:styleId="Bullet4">
    <w:name w:val="Bullet 4"/>
    <w:basedOn w:val="Normalny"/>
    <w:pPr>
      <w:numPr>
        <w:numId w:val="37"/>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38"/>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 w:type="paragraph" w:styleId="Nagwek">
    <w:name w:val="header"/>
    <w:basedOn w:val="Normalny"/>
    <w:link w:val="NagwekZnak"/>
    <w:uiPriority w:val="99"/>
    <w:unhideWhenUsed/>
    <w:rsid w:val="00AB396E"/>
    <w:pPr>
      <w:tabs>
        <w:tab w:val="center" w:pos="4535"/>
        <w:tab w:val="right" w:pos="9071"/>
      </w:tabs>
      <w:spacing w:before="0"/>
    </w:pPr>
  </w:style>
  <w:style w:type="paragraph" w:customStyle="1" w:styleId="HeaderLandscape">
    <w:name w:val="HeaderLandscape"/>
    <w:basedOn w:val="Normalny"/>
    <w:rsid w:val="00AB396E"/>
    <w:pPr>
      <w:tabs>
        <w:tab w:val="center" w:pos="7285"/>
        <w:tab w:val="right" w:pos="14003"/>
      </w:tabs>
      <w:spacing w:before="0"/>
    </w:pPr>
  </w:style>
  <w:style w:type="paragraph" w:styleId="Stopka">
    <w:name w:val="footer"/>
    <w:basedOn w:val="Normalny"/>
    <w:link w:val="StopkaZnak"/>
    <w:uiPriority w:val="99"/>
    <w:unhideWhenUsed/>
    <w:rsid w:val="00AB396E"/>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AB396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5970">
      <w:bodyDiv w:val="1"/>
      <w:marLeft w:val="0"/>
      <w:marRight w:val="0"/>
      <w:marTop w:val="0"/>
      <w:marBottom w:val="0"/>
      <w:divBdr>
        <w:top w:val="none" w:sz="0" w:space="0" w:color="auto"/>
        <w:left w:val="none" w:sz="0" w:space="0" w:color="auto"/>
        <w:bottom w:val="none" w:sz="0" w:space="0" w:color="auto"/>
        <w:right w:val="none" w:sz="0" w:space="0" w:color="auto"/>
      </w:divBdr>
      <w:divsChild>
        <w:div w:id="821652778">
          <w:marLeft w:val="0"/>
          <w:marRight w:val="0"/>
          <w:marTop w:val="0"/>
          <w:marBottom w:val="0"/>
          <w:divBdr>
            <w:top w:val="none" w:sz="0" w:space="0" w:color="auto"/>
            <w:left w:val="none" w:sz="0" w:space="0" w:color="auto"/>
            <w:bottom w:val="none" w:sz="0" w:space="0" w:color="auto"/>
            <w:right w:val="none" w:sz="0" w:space="0" w:color="auto"/>
          </w:divBdr>
        </w:div>
        <w:div w:id="1011762379">
          <w:marLeft w:val="0"/>
          <w:marRight w:val="0"/>
          <w:marTop w:val="0"/>
          <w:marBottom w:val="0"/>
          <w:divBdr>
            <w:top w:val="none" w:sz="0" w:space="0" w:color="auto"/>
            <w:left w:val="none" w:sz="0" w:space="0" w:color="auto"/>
            <w:bottom w:val="none" w:sz="0" w:space="0" w:color="auto"/>
            <w:right w:val="none" w:sz="0" w:space="0" w:color="auto"/>
          </w:divBdr>
        </w:div>
      </w:divsChild>
    </w:div>
    <w:div w:id="264003363">
      <w:bodyDiv w:val="1"/>
      <w:marLeft w:val="0"/>
      <w:marRight w:val="0"/>
      <w:marTop w:val="0"/>
      <w:marBottom w:val="0"/>
      <w:divBdr>
        <w:top w:val="none" w:sz="0" w:space="0" w:color="auto"/>
        <w:left w:val="none" w:sz="0" w:space="0" w:color="auto"/>
        <w:bottom w:val="none" w:sz="0" w:space="0" w:color="auto"/>
        <w:right w:val="none" w:sz="0" w:space="0" w:color="auto"/>
      </w:divBdr>
      <w:divsChild>
        <w:div w:id="190189139">
          <w:marLeft w:val="0"/>
          <w:marRight w:val="0"/>
          <w:marTop w:val="0"/>
          <w:marBottom w:val="0"/>
          <w:divBdr>
            <w:top w:val="none" w:sz="0" w:space="0" w:color="auto"/>
            <w:left w:val="none" w:sz="0" w:space="0" w:color="auto"/>
            <w:bottom w:val="none" w:sz="0" w:space="0" w:color="auto"/>
            <w:right w:val="none" w:sz="0" w:space="0" w:color="auto"/>
          </w:divBdr>
        </w:div>
        <w:div w:id="427239093">
          <w:marLeft w:val="0"/>
          <w:marRight w:val="0"/>
          <w:marTop w:val="0"/>
          <w:marBottom w:val="0"/>
          <w:divBdr>
            <w:top w:val="none" w:sz="0" w:space="0" w:color="auto"/>
            <w:left w:val="none" w:sz="0" w:space="0" w:color="auto"/>
            <w:bottom w:val="none" w:sz="0" w:space="0" w:color="auto"/>
            <w:right w:val="none" w:sz="0" w:space="0" w:color="auto"/>
          </w:divBdr>
        </w:div>
      </w:divsChild>
    </w:div>
    <w:div w:id="930578113">
      <w:bodyDiv w:val="1"/>
      <w:marLeft w:val="0"/>
      <w:marRight w:val="0"/>
      <w:marTop w:val="0"/>
      <w:marBottom w:val="0"/>
      <w:divBdr>
        <w:top w:val="none" w:sz="0" w:space="0" w:color="auto"/>
        <w:left w:val="none" w:sz="0" w:space="0" w:color="auto"/>
        <w:bottom w:val="none" w:sz="0" w:space="0" w:color="auto"/>
        <w:right w:val="none" w:sz="0" w:space="0" w:color="auto"/>
      </w:divBdr>
      <w:divsChild>
        <w:div w:id="605505723">
          <w:marLeft w:val="0"/>
          <w:marRight w:val="0"/>
          <w:marTop w:val="0"/>
          <w:marBottom w:val="0"/>
          <w:divBdr>
            <w:top w:val="none" w:sz="0" w:space="0" w:color="auto"/>
            <w:left w:val="none" w:sz="0" w:space="0" w:color="auto"/>
            <w:bottom w:val="none" w:sz="0" w:space="0" w:color="auto"/>
            <w:right w:val="none" w:sz="0" w:space="0" w:color="auto"/>
          </w:divBdr>
        </w:div>
        <w:div w:id="1566332855">
          <w:marLeft w:val="0"/>
          <w:marRight w:val="0"/>
          <w:marTop w:val="0"/>
          <w:marBottom w:val="0"/>
          <w:divBdr>
            <w:top w:val="none" w:sz="0" w:space="0" w:color="auto"/>
            <w:left w:val="none" w:sz="0" w:space="0" w:color="auto"/>
            <w:bottom w:val="none" w:sz="0" w:space="0" w:color="auto"/>
            <w:right w:val="none" w:sz="0" w:space="0" w:color="auto"/>
          </w:divBdr>
        </w:div>
      </w:divsChild>
    </w:div>
    <w:div w:id="1482430406">
      <w:bodyDiv w:val="1"/>
      <w:marLeft w:val="0"/>
      <w:marRight w:val="0"/>
      <w:marTop w:val="0"/>
      <w:marBottom w:val="0"/>
      <w:divBdr>
        <w:top w:val="none" w:sz="0" w:space="0" w:color="auto"/>
        <w:left w:val="none" w:sz="0" w:space="0" w:color="auto"/>
        <w:bottom w:val="none" w:sz="0" w:space="0" w:color="auto"/>
        <w:right w:val="none" w:sz="0" w:space="0" w:color="auto"/>
      </w:divBdr>
      <w:divsChild>
        <w:div w:id="1376079570">
          <w:marLeft w:val="0"/>
          <w:marRight w:val="0"/>
          <w:marTop w:val="0"/>
          <w:marBottom w:val="0"/>
          <w:divBdr>
            <w:top w:val="none" w:sz="0" w:space="0" w:color="auto"/>
            <w:left w:val="none" w:sz="0" w:space="0" w:color="auto"/>
            <w:bottom w:val="none" w:sz="0" w:space="0" w:color="auto"/>
            <w:right w:val="none" w:sz="0" w:space="0" w:color="auto"/>
          </w:divBdr>
        </w:div>
        <w:div w:id="1854803921">
          <w:marLeft w:val="0"/>
          <w:marRight w:val="0"/>
          <w:marTop w:val="0"/>
          <w:marBottom w:val="0"/>
          <w:divBdr>
            <w:top w:val="none" w:sz="0" w:space="0" w:color="auto"/>
            <w:left w:val="none" w:sz="0" w:space="0" w:color="auto"/>
            <w:bottom w:val="none" w:sz="0" w:space="0" w:color="auto"/>
            <w:right w:val="none" w:sz="0" w:space="0" w:color="auto"/>
          </w:divBdr>
        </w:div>
      </w:divsChild>
    </w:div>
    <w:div w:id="1802453581">
      <w:bodyDiv w:val="1"/>
      <w:marLeft w:val="0"/>
      <w:marRight w:val="0"/>
      <w:marTop w:val="0"/>
      <w:marBottom w:val="0"/>
      <w:divBdr>
        <w:top w:val="none" w:sz="0" w:space="0" w:color="auto"/>
        <w:left w:val="none" w:sz="0" w:space="0" w:color="auto"/>
        <w:bottom w:val="none" w:sz="0" w:space="0" w:color="auto"/>
        <w:right w:val="none" w:sz="0" w:space="0" w:color="auto"/>
      </w:divBdr>
      <w:divsChild>
        <w:div w:id="930158560">
          <w:marLeft w:val="0"/>
          <w:marRight w:val="0"/>
          <w:marTop w:val="0"/>
          <w:marBottom w:val="0"/>
          <w:divBdr>
            <w:top w:val="none" w:sz="0" w:space="0" w:color="auto"/>
            <w:left w:val="none" w:sz="0" w:space="0" w:color="auto"/>
            <w:bottom w:val="none" w:sz="0" w:space="0" w:color="auto"/>
            <w:right w:val="none" w:sz="0" w:space="0" w:color="auto"/>
          </w:divBdr>
        </w:div>
        <w:div w:id="1524899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euc-word-edit.officeapps.live.com/we/wordeditorframe.aspx?ui=de-de&amp;rs=en-ie&amp;wopisrc=https%3A%2F%2Feceuropaeu.sharepoint.com%2Fteams%2FGRP-TaxudC2-CBAMsector%2F_vti_bin%2Fwopi.ashx%2Ffiles%2F725f17964230496492026997a3a8d020&amp;wdenableroaming=1&amp;mscc=1&amp;hid=2869fe45-7101-443f-b627-698cf01b9a2d.0&amp;uih=teams&amp;uiembed=1&amp;wdlcid=de-de&amp;jsapi=1&amp;jsapiver=v2&amp;corrid=73b6f13c-adf6-4e5a-bc3b-c9546a6325ba&amp;usid=73b6f13c-adf6-4e5a-bc3b-c9546a6325ba&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0161394880&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hyperlink" Target="http://data.europa.eu/eli/reg_del/2023/2830/oj)"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euc-word-edit.officeapps.live.com/we/wordeditorframe.aspx?ui=de-de&amp;rs=en-ie&amp;wopisrc=https%3A%2F%2Feceuropaeu.sharepoint.com%2Fteams%2FGRP-TaxudC2-CBAMsector%2F_vti_bin%2Fwopi.ashx%2Ffiles%2F725f17964230496492026997a3a8d020&amp;wdenableroaming=1&amp;mscc=1&amp;hid=2869fe45-7101-443f-b627-698cf01b9a2d.0&amp;uih=teams&amp;uiembed=1&amp;wdlcid=de-de&amp;jsapi=1&amp;jsapiver=v2&amp;corrid=73b6f13c-adf6-4e5a-bc3b-c9546a6325ba&amp;usid=73b6f13c-adf6-4e5a-bc3b-c9546a6325ba&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0161394880&amp;instantedit=1&amp;wopicomplete=1&amp;wdredirectionreason=Unified_SingleFlush"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data.europa.eu/eli/reg_del/2015/2446/oj"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eur-lex.europa.eu/eli/agree_interinstit/2016/512/oj"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myintracomm.ec.europa.eu/corp/budget/financial-rules/budget-implementation/Pages/implementation-methods.aspx" TargetMode="External"/><Relationship Id="rId3" Type="http://schemas.openxmlformats.org/officeDocument/2006/relationships/hyperlink" Target="http://data.europa.eu/eli/reg_impl/2024/3210/oj" TargetMode="External"/><Relationship Id="rId7" Type="http://schemas.openxmlformats.org/officeDocument/2006/relationships/hyperlink" Target="http://data.europa.eu/eli/dir/2003/87/oj" TargetMode="External"/><Relationship Id="rId2" Type="http://schemas.openxmlformats.org/officeDocument/2006/relationships/hyperlink" Target="http://data.europa.eu/eli/reg_impl/2023/1773/oj" TargetMode="External"/><Relationship Id="rId1" Type="http://schemas.openxmlformats.org/officeDocument/2006/relationships/hyperlink" Target="http://data.europa.eu/eli/reg/2023/956/oj" TargetMode="External"/><Relationship Id="rId6" Type="http://schemas.openxmlformats.org/officeDocument/2006/relationships/hyperlink" Target="http://data.europa.eu/eli/reg_del/2015/2446/oj" TargetMode="External"/><Relationship Id="rId5" Type="http://schemas.openxmlformats.org/officeDocument/2006/relationships/hyperlink" Target="http://data.europa.eu/eli/reg/2023/956/oj" TargetMode="External"/><Relationship Id="rId4" Type="http://schemas.openxmlformats.org/officeDocument/2006/relationships/hyperlink" Target="https://ec.europa.eu/transparency/expert-groups-register/screen/expert-groups/consult?lang=pl&amp;groupID=39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7972FBE2B78140A8B74152F3EC4732" ma:contentTypeVersion="15" ma:contentTypeDescription="Create a new document." ma:contentTypeScope="" ma:versionID="af7a863f7073fb167331695af394eac9">
  <xsd:schema xmlns:xsd="http://www.w3.org/2001/XMLSchema" xmlns:xs="http://www.w3.org/2001/XMLSchema" xmlns:p="http://schemas.microsoft.com/office/2006/metadata/properties" xmlns:ns1="http://schemas.microsoft.com/sharepoint/v3" xmlns:ns2="4eed462f-0461-4f02-be76-4e1d6e5d36ec" xmlns:ns3="a8bf077c-d324-414d-ba2a-c55b711af6f9" targetNamespace="http://schemas.microsoft.com/office/2006/metadata/properties" ma:root="true" ma:fieldsID="eaeb33d5a7c02d423ed1c6ffffb3063a" ns1:_="" ns2:_="" ns3:_="">
    <xsd:import namespace="http://schemas.microsoft.com/sharepoint/v3"/>
    <xsd:import namespace="4eed462f-0461-4f02-be76-4e1d6e5d36ec"/>
    <xsd:import namespace="a8bf077c-d324-414d-ba2a-c55b711af6f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d462f-0461-4f02-be76-4e1d6e5d3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f077c-d324-414d-ba2a-c55b711af6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ed462f-0461-4f02-be76-4e1d6e5d36e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0F7499-8E52-4AAE-84A6-00C35F48540B}">
  <ds:schemaRefs>
    <ds:schemaRef ds:uri="http://schemas.microsoft.com/sharepoint/v3/contenttype/forms"/>
  </ds:schemaRefs>
</ds:datastoreItem>
</file>

<file path=customXml/itemProps2.xml><?xml version="1.0" encoding="utf-8"?>
<ds:datastoreItem xmlns:ds="http://schemas.openxmlformats.org/officeDocument/2006/customXml" ds:itemID="{3A7A499C-2E78-4A3F-BCC2-90F07B0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ed462f-0461-4f02-be76-4e1d6e5d36ec"/>
    <ds:schemaRef ds:uri="a8bf077c-d324-414d-ba2a-c55b711a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F10B-3611-4D47-B662-1A29144F3394}">
  <ds:schemaRefs>
    <ds:schemaRef ds:uri="http://schemas.openxmlformats.org/officeDocument/2006/bibliography"/>
  </ds:schemaRefs>
</ds:datastoreItem>
</file>

<file path=customXml/itemProps4.xml><?xml version="1.0" encoding="utf-8"?>
<ds:datastoreItem xmlns:ds="http://schemas.openxmlformats.org/officeDocument/2006/customXml" ds:itemID="{8F5A4E7C-CF44-4957-A0C8-BD75C3FB5DE2}">
  <ds:schemaRefs>
    <ds:schemaRef ds:uri="http://schemas.microsoft.com/office/2006/metadata/properties"/>
    <ds:schemaRef ds:uri="http://schemas.microsoft.com/office/infopath/2007/PartnerControls"/>
    <ds:schemaRef ds:uri="4eed462f-0461-4f02-be76-4e1d6e5d36e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Pages>
  <Words>22026</Words>
  <Characters>132160</Characters>
  <Application>Microsoft Office Word</Application>
  <DocSecurity>0</DocSecurity>
  <Lines>1101</Lines>
  <Paragraphs>307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Obrębska Olga</dc:creator>
  <cp:keywords/>
  <dc:description/>
  <cp:lastModifiedBy>Obrębska Olga</cp:lastModifiedBy>
  <cp:revision>3</cp:revision>
  <cp:lastPrinted>2025-02-22T16:30:00Z</cp:lastPrinted>
  <dcterms:created xsi:type="dcterms:W3CDTF">2025-03-31T12:29:00Z</dcterms:created>
  <dcterms:modified xsi:type="dcterms:W3CDTF">2025-03-31T12:29:00Z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9.1, Build 20240808</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MSIP_Label_6bd9ddd1-4d20-43f6-abfa-fc3c07406f94_Enabled">
    <vt:lpwstr>true</vt:lpwstr>
  </property>
  <property fmtid="{D5CDD505-2E9C-101B-9397-08002B2CF9AE}" pid="10" name="MSIP_Label_6bd9ddd1-4d20-43f6-abfa-fc3c07406f94_SetDate">
    <vt:lpwstr>2025-02-13T16:21:34Z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eff21227-7ac9-46d4-8cc6-f2578865dd3f</vt:lpwstr>
  </property>
  <property fmtid="{D5CDD505-2E9C-101B-9397-08002B2CF9AE}" pid="15" name="MSIP_Label_6bd9ddd1-4d20-43f6-abfa-fc3c07406f94_ContentBits">
    <vt:lpwstr>0</vt:lpwstr>
  </property>
  <property fmtid="{D5CDD505-2E9C-101B-9397-08002B2CF9AE}" pid="16" name="ContentTypeId">
    <vt:lpwstr>0x010100927972FBE2B78140A8B74152F3EC4732</vt:lpwstr>
  </property>
  <property fmtid="{D5CDD505-2E9C-101B-9397-08002B2CF9AE}" pid="17" name="MediaServiceImageTags">
    <vt:lpwstr/>
  </property>
  <property fmtid="{D5CDD505-2E9C-101B-9397-08002B2CF9AE}" pid="18" name="Last edited using">
    <vt:lpwstr>LW 9.1, Build 20240808</vt:lpwstr>
  </property>
  <property fmtid="{D5CDD505-2E9C-101B-9397-08002B2CF9AE}" pid="19" name="DQCStatus">
    <vt:lpwstr>Green (DQC version 03)</vt:lpwstr>
  </property>
</Properties>
</file>