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B0A43" w14:textId="77777777" w:rsidR="00C45D29" w:rsidRPr="00F80B36" w:rsidRDefault="00C45D29" w:rsidP="00C45D29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0A107" wp14:editId="7DFE4110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2211" w14:textId="77777777" w:rsidR="00C45D29" w:rsidRPr="005C626A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4E2D278" wp14:editId="7CB10401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2CC14" w14:textId="77777777" w:rsidR="00C45D29" w:rsidRPr="00A72E6F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14:paraId="474BF64E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14:paraId="4834DC69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EF88C53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02C2060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7E2BCA6" w14:textId="77777777" w:rsidR="00C45D29" w:rsidRPr="008978E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6BE182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5B6EA5A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0A107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14:paraId="3D072211" w14:textId="77777777" w:rsidR="00C45D29" w:rsidRPr="005C626A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4E2D278" wp14:editId="7CB10401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2CC14" w14:textId="77777777" w:rsidR="00C45D29" w:rsidRPr="00A72E6F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14:paraId="474BF64E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14:paraId="4834DC69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EF88C53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102C2060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07E2BCA6" w14:textId="77777777" w:rsidR="00C45D29" w:rsidRPr="008978E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06BE182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5B6EA5A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EA5A820" w14:textId="37CAA626" w:rsidR="00C45D29" w:rsidRPr="00F80B36" w:rsidRDefault="00C45D29" w:rsidP="00C73D6E">
      <w:pPr>
        <w:spacing w:after="0" w:line="240" w:lineRule="auto"/>
        <w:ind w:right="-569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r w:rsidR="00DA7E23">
        <w:rPr>
          <w:rFonts w:ascii="Calibri" w:eastAsia="MS Mincho" w:hAnsi="Calibri" w:cs="Times New Roman"/>
          <w:sz w:val="24"/>
          <w:szCs w:val="24"/>
          <w:lang w:eastAsia="pl-PL"/>
        </w:rPr>
        <w:t>8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="001B4A35">
        <w:rPr>
          <w:rFonts w:ascii="Calibri" w:eastAsia="MS Mincho" w:hAnsi="Calibri" w:cs="Times New Roman"/>
          <w:sz w:val="24"/>
          <w:szCs w:val="24"/>
          <w:lang w:eastAsia="pl-PL"/>
        </w:rPr>
        <w:t>czerwca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14:paraId="542F89CC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3EC63D76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5630B65A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25D07669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495B5A35" w14:textId="310603A6" w:rsidR="00C45D29" w:rsidRPr="00F80B36" w:rsidRDefault="00C45D29" w:rsidP="00C45D29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bookmarkStart w:id="0" w:name="_GoBack"/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WNP-I.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4131.</w:t>
      </w:r>
      <w:r w:rsidR="001B4A35">
        <w:rPr>
          <w:rFonts w:ascii="Calibri" w:eastAsia="MS Mincho" w:hAnsi="Calibri" w:cs="Times New Roman"/>
          <w:sz w:val="24"/>
          <w:szCs w:val="24"/>
          <w:lang w:eastAsia="pl-PL"/>
        </w:rPr>
        <w:t>67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.2020.MS</w:t>
      </w:r>
      <w:bookmarkEnd w:id="0"/>
    </w:p>
    <w:p w14:paraId="50A088B5" w14:textId="77777777" w:rsidR="00C45D29" w:rsidRPr="00F80B36" w:rsidRDefault="00C45D29" w:rsidP="00C45D29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39A95F59" w14:textId="77777777" w:rsidR="007D195E" w:rsidRDefault="007D195E" w:rsidP="007D195E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14:paraId="31BB99C6" w14:textId="77777777" w:rsidR="00F5555F" w:rsidRPr="00F5555F" w:rsidRDefault="00F5555F" w:rsidP="00F5555F">
      <w:pPr>
        <w:pStyle w:val="Bezodstpw"/>
        <w:ind w:left="4956" w:firstLine="708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Rada Gminy Sochaczew</w:t>
      </w:r>
    </w:p>
    <w:p w14:paraId="0506FC80" w14:textId="77777777" w:rsidR="00F5555F" w:rsidRPr="00F5555F" w:rsidRDefault="00F5555F" w:rsidP="00F5555F">
      <w:pPr>
        <w:pStyle w:val="Bezodstpw"/>
        <w:ind w:left="4956" w:firstLine="708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ul. Warszawska 115</w:t>
      </w:r>
    </w:p>
    <w:p w14:paraId="78117D7C" w14:textId="77777777" w:rsidR="00F5555F" w:rsidRPr="00F5555F" w:rsidRDefault="00F5555F" w:rsidP="00F5555F">
      <w:pPr>
        <w:pStyle w:val="Bezodstpw"/>
        <w:ind w:left="5664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96-500 Sochaczew</w:t>
      </w:r>
    </w:p>
    <w:p w14:paraId="5207E6B9" w14:textId="77777777" w:rsidR="00F5555F" w:rsidRDefault="00F5555F" w:rsidP="00F5555F">
      <w:pPr>
        <w:pStyle w:val="Nagwek1"/>
        <w:ind w:left="2832" w:firstLine="708"/>
        <w:rPr>
          <w:rFonts w:ascii="Calibri" w:hAnsi="Calibri"/>
          <w:sz w:val="25"/>
          <w:szCs w:val="25"/>
        </w:rPr>
      </w:pPr>
    </w:p>
    <w:p w14:paraId="142B179C" w14:textId="77777777" w:rsidR="007D195E" w:rsidRDefault="007D195E" w:rsidP="00F5555F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14:paraId="54356B53" w14:textId="77777777" w:rsidR="007D195E" w:rsidRPr="00CF610A" w:rsidRDefault="007D195E" w:rsidP="007D195E"/>
    <w:p w14:paraId="20633D13" w14:textId="3CD50712" w:rsidR="007D195E" w:rsidRPr="002B42F1" w:rsidRDefault="007D195E" w:rsidP="007D195E">
      <w:pPr>
        <w:pStyle w:val="Tekstpodstawowy"/>
        <w:spacing w:line="240" w:lineRule="auto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 xml:space="preserve">gminnym (Dz. U. z </w:t>
      </w:r>
      <w:r w:rsidR="001B4A35">
        <w:rPr>
          <w:rFonts w:ascii="Calibri" w:hAnsi="Calibri" w:cs="Calibri"/>
          <w:sz w:val="24"/>
        </w:rPr>
        <w:t>2020</w:t>
      </w:r>
      <w:r>
        <w:rPr>
          <w:rFonts w:ascii="Calibri" w:hAnsi="Calibri" w:cs="Calibri"/>
          <w:sz w:val="24"/>
        </w:rPr>
        <w:t xml:space="preserve"> r. poz. </w:t>
      </w:r>
      <w:r w:rsidR="001B4A35">
        <w:rPr>
          <w:rFonts w:ascii="Calibri" w:hAnsi="Calibri" w:cs="Calibri"/>
          <w:sz w:val="24"/>
        </w:rPr>
        <w:t>713</w:t>
      </w:r>
      <w:r w:rsidRPr="002B42F1">
        <w:rPr>
          <w:rFonts w:ascii="Calibri" w:hAnsi="Calibri" w:cs="Calibri"/>
          <w:sz w:val="24"/>
        </w:rPr>
        <w:t>)</w:t>
      </w:r>
    </w:p>
    <w:p w14:paraId="1A2AC74A" w14:textId="77777777" w:rsidR="007D195E" w:rsidRPr="002B42F1" w:rsidRDefault="007D195E" w:rsidP="007D195E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14:paraId="762C1D00" w14:textId="77777777" w:rsidR="007D195E" w:rsidRPr="00F5555F" w:rsidRDefault="007D195E" w:rsidP="00F5555F">
      <w:pPr>
        <w:spacing w:line="360" w:lineRule="auto"/>
        <w:ind w:left="-426" w:right="-468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14:paraId="15616EE8" w14:textId="7B0D256E" w:rsidR="007D195E" w:rsidRPr="0082569A" w:rsidRDefault="007D195E" w:rsidP="0082569A">
      <w:pPr>
        <w:spacing w:line="240" w:lineRule="auto"/>
        <w:ind w:left="-426" w:right="-468"/>
        <w:jc w:val="both"/>
        <w:rPr>
          <w:rFonts w:ascii="Calibri" w:hAnsi="Calibri" w:cs="Calibri"/>
          <w:bCs/>
          <w:sz w:val="24"/>
          <w:szCs w:val="24"/>
        </w:rPr>
      </w:pPr>
      <w:r w:rsidRPr="0082569A">
        <w:rPr>
          <w:rFonts w:ascii="Calibri" w:hAnsi="Calibri" w:cs="Calibri"/>
          <w:bCs/>
          <w:sz w:val="24"/>
          <w:szCs w:val="24"/>
        </w:rPr>
        <w:t>uchwały Nr X</w:t>
      </w:r>
      <w:r w:rsidR="001B4A35" w:rsidRPr="0082569A">
        <w:rPr>
          <w:rFonts w:ascii="Calibri" w:hAnsi="Calibri" w:cs="Calibri"/>
          <w:bCs/>
          <w:sz w:val="24"/>
          <w:szCs w:val="24"/>
        </w:rPr>
        <w:t>IX</w:t>
      </w:r>
      <w:r w:rsidRPr="0082569A">
        <w:rPr>
          <w:rFonts w:ascii="Calibri" w:hAnsi="Calibri" w:cs="Calibri"/>
          <w:bCs/>
          <w:sz w:val="24"/>
          <w:szCs w:val="24"/>
        </w:rPr>
        <w:t>/8</w:t>
      </w:r>
      <w:r w:rsidR="001B4A35" w:rsidRPr="0082569A">
        <w:rPr>
          <w:rFonts w:ascii="Calibri" w:hAnsi="Calibri" w:cs="Calibri"/>
          <w:bCs/>
          <w:sz w:val="24"/>
          <w:szCs w:val="24"/>
        </w:rPr>
        <w:t>9</w:t>
      </w:r>
      <w:r w:rsidRPr="0082569A">
        <w:rPr>
          <w:rFonts w:ascii="Calibri" w:hAnsi="Calibri" w:cs="Calibri"/>
          <w:bCs/>
          <w:sz w:val="24"/>
          <w:szCs w:val="24"/>
        </w:rPr>
        <w:t>/2020 Rady Gminy Sochaczew z dnia 2</w:t>
      </w:r>
      <w:r w:rsidR="001B4A35" w:rsidRPr="0082569A">
        <w:rPr>
          <w:rFonts w:ascii="Calibri" w:hAnsi="Calibri" w:cs="Calibri"/>
          <w:bCs/>
          <w:sz w:val="24"/>
          <w:szCs w:val="24"/>
        </w:rPr>
        <w:t>9</w:t>
      </w:r>
      <w:r w:rsidRPr="0082569A">
        <w:rPr>
          <w:rFonts w:ascii="Calibri" w:hAnsi="Calibri" w:cs="Calibri"/>
          <w:bCs/>
          <w:sz w:val="24"/>
          <w:szCs w:val="24"/>
        </w:rPr>
        <w:t xml:space="preserve"> </w:t>
      </w:r>
      <w:r w:rsidR="001B4A35" w:rsidRPr="0082569A">
        <w:rPr>
          <w:rFonts w:ascii="Calibri" w:hAnsi="Calibri" w:cs="Calibri"/>
          <w:bCs/>
          <w:sz w:val="24"/>
          <w:szCs w:val="24"/>
        </w:rPr>
        <w:t>kwietnia</w:t>
      </w:r>
      <w:r w:rsidRPr="0082569A">
        <w:rPr>
          <w:rFonts w:ascii="Calibri" w:hAnsi="Calibri" w:cs="Calibri"/>
          <w:bCs/>
          <w:sz w:val="24"/>
          <w:szCs w:val="24"/>
        </w:rPr>
        <w:t xml:space="preserve"> 2020 r. w sprawie</w:t>
      </w:r>
      <w:r w:rsidRPr="0082569A">
        <w:rPr>
          <w:rFonts w:ascii="Calibri" w:hAnsi="Calibri" w:cs="Calibri"/>
          <w:bCs/>
          <w:i/>
          <w:sz w:val="24"/>
          <w:szCs w:val="24"/>
        </w:rPr>
        <w:t xml:space="preserve">  zasad i trybu nadawania Honorowego Obywatelstwa Gminy Sochaczew oraz tytułu „Zasłużony dla Gminy Sochaczew”</w:t>
      </w:r>
      <w:r w:rsidRPr="0082569A">
        <w:rPr>
          <w:rFonts w:ascii="Calibri" w:hAnsi="Calibri" w:cs="Calibri"/>
          <w:bCs/>
          <w:sz w:val="24"/>
          <w:szCs w:val="24"/>
        </w:rPr>
        <w:t>, w zakresie załącznika do uchwały</w:t>
      </w:r>
      <w:r w:rsidR="00E05B21" w:rsidRPr="0082569A">
        <w:rPr>
          <w:rFonts w:ascii="Calibri" w:hAnsi="Calibri" w:cs="Calibri"/>
          <w:bCs/>
          <w:sz w:val="24"/>
          <w:szCs w:val="24"/>
        </w:rPr>
        <w:t xml:space="preserve"> pt. </w:t>
      </w:r>
      <w:r w:rsidR="00E05B21" w:rsidRPr="0082569A">
        <w:rPr>
          <w:rFonts w:ascii="Calibri" w:hAnsi="Calibri" w:cs="Calibri"/>
          <w:bCs/>
          <w:i/>
          <w:sz w:val="24"/>
          <w:szCs w:val="24"/>
        </w:rPr>
        <w:t>Regulamin nadawania Honorowego Obywatelstwa Gminy Sochaczew oraz tytułu „Zasłużony dla Gminy Sochaczew”</w:t>
      </w:r>
      <w:r w:rsidRPr="0082569A">
        <w:rPr>
          <w:rFonts w:ascii="Calibri" w:hAnsi="Calibri" w:cs="Calibri"/>
          <w:bCs/>
          <w:sz w:val="24"/>
          <w:szCs w:val="24"/>
        </w:rPr>
        <w:t>, w części dotyczącej § 3 ust. 5</w:t>
      </w:r>
      <w:r w:rsidR="0055720C" w:rsidRPr="0082569A">
        <w:rPr>
          <w:rFonts w:ascii="Calibri" w:hAnsi="Calibri" w:cs="Calibri"/>
          <w:bCs/>
          <w:sz w:val="24"/>
          <w:szCs w:val="24"/>
        </w:rPr>
        <w:t>.</w:t>
      </w:r>
    </w:p>
    <w:p w14:paraId="55E86EF4" w14:textId="77777777" w:rsidR="00C45D29" w:rsidRDefault="00C45D29" w:rsidP="007D195E">
      <w:pPr>
        <w:tabs>
          <w:tab w:val="left" w:pos="5190"/>
        </w:tabs>
        <w:spacing w:after="0" w:line="300" w:lineRule="exact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50F57B14" w14:textId="77777777" w:rsidR="00F5555F" w:rsidRDefault="00F5555F" w:rsidP="00F5555F">
      <w:pPr>
        <w:spacing w:after="0" w:line="300" w:lineRule="exact"/>
        <w:rPr>
          <w:rFonts w:eastAsia="MS Mincho" w:cstheme="minorHAnsi"/>
          <w:sz w:val="24"/>
          <w:szCs w:val="24"/>
          <w:lang w:eastAsia="pl-PL"/>
        </w:rPr>
      </w:pPr>
    </w:p>
    <w:p w14:paraId="747F9271" w14:textId="77777777" w:rsidR="00C45D29" w:rsidRPr="00F5555F" w:rsidRDefault="00F5555F" w:rsidP="00F5555F">
      <w:pPr>
        <w:spacing w:after="0" w:line="300" w:lineRule="exact"/>
        <w:ind w:left="-426" w:right="-569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14:paraId="5D21F3A2" w14:textId="77777777" w:rsidR="00C45D29" w:rsidRPr="0081749E" w:rsidRDefault="00C45D29" w:rsidP="0081749E">
      <w:pPr>
        <w:spacing w:after="0" w:line="300" w:lineRule="exact"/>
        <w:jc w:val="center"/>
        <w:rPr>
          <w:rFonts w:eastAsia="MS Mincho" w:cstheme="minorHAnsi"/>
          <w:b/>
          <w:sz w:val="24"/>
          <w:szCs w:val="24"/>
          <w:lang w:eastAsia="pl-PL"/>
        </w:rPr>
      </w:pPr>
    </w:p>
    <w:p w14:paraId="7A8C6DFB" w14:textId="11623D98" w:rsidR="00C45D29" w:rsidRPr="00303867" w:rsidRDefault="00371C6A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Na sesji </w:t>
      </w:r>
      <w:r w:rsidR="00175B45">
        <w:rPr>
          <w:rFonts w:eastAsia="Calibri" w:cstheme="minorHAnsi"/>
          <w:bCs/>
          <w:sz w:val="24"/>
          <w:szCs w:val="24"/>
        </w:rPr>
        <w:t>2</w:t>
      </w:r>
      <w:r w:rsidR="00911E17">
        <w:rPr>
          <w:rFonts w:eastAsia="Calibri" w:cstheme="minorHAnsi"/>
          <w:bCs/>
          <w:sz w:val="24"/>
          <w:szCs w:val="24"/>
        </w:rPr>
        <w:t>9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911E17">
        <w:rPr>
          <w:rFonts w:eastAsia="Calibri" w:cstheme="minorHAnsi"/>
          <w:bCs/>
          <w:sz w:val="24"/>
          <w:szCs w:val="24"/>
        </w:rPr>
        <w:t>kwietnia</w:t>
      </w:r>
      <w:r>
        <w:rPr>
          <w:rFonts w:eastAsia="Calibri" w:cstheme="minorHAnsi"/>
          <w:bCs/>
          <w:sz w:val="24"/>
          <w:szCs w:val="24"/>
        </w:rPr>
        <w:t xml:space="preserve"> 20</w:t>
      </w:r>
      <w:r w:rsidR="00175B45">
        <w:rPr>
          <w:rFonts w:eastAsia="Calibri" w:cstheme="minorHAnsi"/>
          <w:bCs/>
          <w:sz w:val="24"/>
          <w:szCs w:val="24"/>
        </w:rPr>
        <w:t>20</w:t>
      </w:r>
      <w:r>
        <w:rPr>
          <w:rFonts w:eastAsia="Calibri" w:cstheme="minorHAnsi"/>
          <w:bCs/>
          <w:sz w:val="24"/>
          <w:szCs w:val="24"/>
        </w:rPr>
        <w:t xml:space="preserve"> r. Rada</w:t>
      </w:r>
      <w:r w:rsidR="00175B45">
        <w:rPr>
          <w:rFonts w:eastAsia="Calibri" w:cstheme="minorHAnsi"/>
          <w:bCs/>
          <w:sz w:val="24"/>
          <w:szCs w:val="24"/>
        </w:rPr>
        <w:t xml:space="preserve"> Gminy Sochaczew</w:t>
      </w:r>
      <w:r>
        <w:rPr>
          <w:rFonts w:eastAsia="Calibri" w:cstheme="minorHAnsi"/>
          <w:bCs/>
          <w:sz w:val="24"/>
          <w:szCs w:val="24"/>
        </w:rPr>
        <w:t xml:space="preserve"> podjęła uchwałę Nr </w:t>
      </w:r>
      <w:r w:rsidR="00303867">
        <w:rPr>
          <w:rFonts w:eastAsia="Calibri" w:cstheme="minorHAnsi"/>
          <w:bCs/>
          <w:sz w:val="24"/>
          <w:szCs w:val="24"/>
        </w:rPr>
        <w:t>X</w:t>
      </w:r>
      <w:r w:rsidR="00911E17">
        <w:rPr>
          <w:rFonts w:eastAsia="Calibri" w:cstheme="minorHAnsi"/>
          <w:bCs/>
          <w:sz w:val="24"/>
          <w:szCs w:val="24"/>
        </w:rPr>
        <w:t>IX</w:t>
      </w:r>
      <w:r w:rsidR="00303867">
        <w:rPr>
          <w:rFonts w:eastAsia="Calibri" w:cstheme="minorHAnsi"/>
          <w:bCs/>
          <w:sz w:val="24"/>
          <w:szCs w:val="24"/>
        </w:rPr>
        <w:t>/8</w:t>
      </w:r>
      <w:r w:rsidR="00911E17">
        <w:rPr>
          <w:rFonts w:eastAsia="Calibri" w:cstheme="minorHAnsi"/>
          <w:bCs/>
          <w:sz w:val="24"/>
          <w:szCs w:val="24"/>
        </w:rPr>
        <w:t>9</w:t>
      </w:r>
      <w:r w:rsidR="00303867">
        <w:rPr>
          <w:rFonts w:eastAsia="Calibri" w:cstheme="minorHAnsi"/>
          <w:bCs/>
          <w:sz w:val="24"/>
          <w:szCs w:val="24"/>
        </w:rPr>
        <w:t xml:space="preserve">/2020 w sprawie </w:t>
      </w:r>
      <w:r w:rsidR="00303867" w:rsidRPr="00303867">
        <w:rPr>
          <w:rFonts w:eastAsia="Calibri" w:cstheme="minorHAnsi"/>
          <w:bCs/>
          <w:i/>
          <w:sz w:val="24"/>
          <w:szCs w:val="24"/>
        </w:rPr>
        <w:t>zasad i trybu nadawania Honorowego Obywatelstwa Gminy Sochaczew oraz tytułu „Zasłużony dla Gminy Sochaczew”.</w:t>
      </w:r>
    </w:p>
    <w:p w14:paraId="7864381B" w14:textId="77777777" w:rsidR="0083703A" w:rsidRDefault="00C45D29" w:rsidP="00F5555F">
      <w:pPr>
        <w:spacing w:after="0" w:line="300" w:lineRule="exact"/>
        <w:ind w:left="-426" w:right="-569" w:firstLine="709"/>
        <w:jc w:val="both"/>
        <w:rPr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W uchwa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le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wskazano, że podstawę prawną do 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jej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podjęcia stanowi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m. in.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przepis art. 18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ust. 2 pkt </w:t>
      </w:r>
      <w:r w:rsidR="00CF4F99" w:rsidRPr="0081749E">
        <w:rPr>
          <w:rFonts w:eastAsia="MS Mincho" w:cstheme="minorHAnsi"/>
          <w:sz w:val="24"/>
          <w:szCs w:val="24"/>
          <w:lang w:eastAsia="pl-PL"/>
        </w:rPr>
        <w:t>14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ustawy o samorządzie gminnym</w:t>
      </w:r>
      <w:r w:rsidR="0083703A">
        <w:rPr>
          <w:rFonts w:eastAsia="MS Mincho" w:cstheme="minorHAnsi"/>
          <w:sz w:val="24"/>
          <w:szCs w:val="24"/>
          <w:lang w:eastAsia="pl-PL"/>
        </w:rPr>
        <w:t>, zgodnie z którym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3703A">
        <w:rPr>
          <w:rStyle w:val="info-list-value-uzasadnienie"/>
          <w:rFonts w:cstheme="minorHAnsi"/>
          <w:i/>
          <w:sz w:val="24"/>
          <w:szCs w:val="24"/>
        </w:rPr>
        <w:t>D</w:t>
      </w:r>
      <w:r w:rsidR="00B80A17" w:rsidRPr="0083703A">
        <w:rPr>
          <w:rFonts w:cstheme="minorHAnsi"/>
          <w:i/>
          <w:sz w:val="24"/>
          <w:szCs w:val="24"/>
        </w:rPr>
        <w:t>o wyłącznej właściwości rady gminy należy nadawanie honorowego obywatelstwa gminy</w:t>
      </w:r>
      <w:r w:rsidR="00B80A17" w:rsidRPr="0081749E">
        <w:rPr>
          <w:rFonts w:cstheme="minorHAnsi"/>
          <w:sz w:val="24"/>
          <w:szCs w:val="24"/>
        </w:rPr>
        <w:t xml:space="preserve">. </w:t>
      </w:r>
    </w:p>
    <w:p w14:paraId="43E09AE8" w14:textId="3DB5E2AD" w:rsidR="00303867" w:rsidRDefault="00B12CEB" w:rsidP="00F5555F">
      <w:pPr>
        <w:spacing w:after="0" w:line="300" w:lineRule="exact"/>
        <w:ind w:left="-426" w:right="-569"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1749E">
        <w:rPr>
          <w:rFonts w:eastAsia="Times New Roman" w:cstheme="minorHAnsi"/>
          <w:sz w:val="24"/>
          <w:szCs w:val="24"/>
          <w:lang w:eastAsia="pl-PL"/>
        </w:rPr>
        <w:t>Z</w:t>
      </w:r>
      <w:r w:rsidRPr="00CF4F99">
        <w:rPr>
          <w:rFonts w:eastAsia="Times New Roman" w:cstheme="minorHAnsi"/>
          <w:sz w:val="24"/>
          <w:szCs w:val="24"/>
          <w:lang w:eastAsia="pl-PL"/>
        </w:rPr>
        <w:t>asady i tryb nadawania</w:t>
      </w:r>
      <w:r w:rsidRPr="0081749E">
        <w:rPr>
          <w:rFonts w:eastAsia="Times New Roman" w:cstheme="minorHAnsi"/>
          <w:sz w:val="24"/>
          <w:szCs w:val="24"/>
          <w:lang w:eastAsia="pl-PL"/>
        </w:rPr>
        <w:t xml:space="preserve"> tytułu Honorowego </w:t>
      </w:r>
      <w:r w:rsidR="00303867">
        <w:rPr>
          <w:rFonts w:eastAsia="Times New Roman" w:cstheme="minorHAnsi"/>
          <w:sz w:val="24"/>
          <w:szCs w:val="24"/>
          <w:lang w:eastAsia="pl-PL"/>
        </w:rPr>
        <w:t>Obywatelstwa Gminy Sochaczew oraz tytułu „Zasłużony dla Gminy Sochaczew” zostały przyjęte przez Radę Gminy Sochaczew 2</w:t>
      </w:r>
      <w:r w:rsidR="00911E17">
        <w:rPr>
          <w:rFonts w:eastAsia="Times New Roman" w:cstheme="minorHAnsi"/>
          <w:sz w:val="24"/>
          <w:szCs w:val="24"/>
          <w:lang w:eastAsia="pl-PL"/>
        </w:rPr>
        <w:t>9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11E17">
        <w:rPr>
          <w:rFonts w:eastAsia="Times New Roman" w:cstheme="minorHAnsi"/>
          <w:sz w:val="24"/>
          <w:szCs w:val="24"/>
          <w:lang w:eastAsia="pl-PL"/>
        </w:rPr>
        <w:t>kwietnia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2020 r. uchwałą Nr X</w:t>
      </w:r>
      <w:r w:rsidR="00911E17">
        <w:rPr>
          <w:rFonts w:eastAsia="Times New Roman" w:cstheme="minorHAnsi"/>
          <w:sz w:val="24"/>
          <w:szCs w:val="24"/>
          <w:lang w:eastAsia="pl-PL"/>
        </w:rPr>
        <w:t>IX</w:t>
      </w:r>
      <w:r w:rsidR="00303867">
        <w:rPr>
          <w:rFonts w:eastAsia="Times New Roman" w:cstheme="minorHAnsi"/>
          <w:sz w:val="24"/>
          <w:szCs w:val="24"/>
          <w:lang w:eastAsia="pl-PL"/>
        </w:rPr>
        <w:t>/8</w:t>
      </w:r>
      <w:r w:rsidR="00911E17">
        <w:rPr>
          <w:rFonts w:eastAsia="Times New Roman" w:cstheme="minorHAnsi"/>
          <w:sz w:val="24"/>
          <w:szCs w:val="24"/>
          <w:lang w:eastAsia="pl-PL"/>
        </w:rPr>
        <w:t>9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/2020. W § 3 ust. 5 </w:t>
      </w:r>
      <w:r w:rsidR="00303867" w:rsidRPr="00303867">
        <w:rPr>
          <w:rFonts w:eastAsia="Times New Roman" w:cstheme="minorHAnsi"/>
          <w:i/>
          <w:sz w:val="24"/>
          <w:szCs w:val="24"/>
          <w:lang w:eastAsia="pl-PL"/>
        </w:rPr>
        <w:t xml:space="preserve">Regulaminu nadawania Honorowego </w:t>
      </w:r>
      <w:r w:rsidR="00911E17">
        <w:rPr>
          <w:rFonts w:eastAsia="Times New Roman" w:cstheme="minorHAnsi"/>
          <w:i/>
          <w:sz w:val="24"/>
          <w:szCs w:val="24"/>
          <w:lang w:eastAsia="pl-PL"/>
        </w:rPr>
        <w:t>O</w:t>
      </w:r>
      <w:r w:rsidR="00303867" w:rsidRPr="00303867">
        <w:rPr>
          <w:rFonts w:eastAsia="Times New Roman" w:cstheme="minorHAnsi"/>
          <w:i/>
          <w:sz w:val="24"/>
          <w:szCs w:val="24"/>
          <w:lang w:eastAsia="pl-PL"/>
        </w:rPr>
        <w:t>bywatelstwa Gminy Sochaczew oraz tytułu „Zasłużony dla Gminy Sochaczew”</w:t>
      </w:r>
      <w:r w:rsidR="00303867">
        <w:rPr>
          <w:rFonts w:eastAsia="Times New Roman" w:cstheme="minorHAnsi"/>
          <w:sz w:val="24"/>
          <w:szCs w:val="24"/>
          <w:lang w:eastAsia="pl-PL"/>
        </w:rPr>
        <w:t>,</w:t>
      </w:r>
      <w:r w:rsidR="00B757DB">
        <w:rPr>
          <w:rFonts w:eastAsia="Times New Roman" w:cstheme="minorHAnsi"/>
          <w:sz w:val="24"/>
          <w:szCs w:val="24"/>
          <w:lang w:eastAsia="pl-PL"/>
        </w:rPr>
        <w:t xml:space="preserve"> stanowiącego załącznik do przedmiotowej uchwały,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zwanego dalej </w:t>
      </w:r>
      <w:r w:rsidR="00303867" w:rsidRPr="00303867">
        <w:rPr>
          <w:rFonts w:eastAsia="Times New Roman" w:cstheme="minorHAnsi"/>
          <w:i/>
          <w:sz w:val="24"/>
          <w:szCs w:val="24"/>
          <w:lang w:eastAsia="pl-PL"/>
        </w:rPr>
        <w:t>Regulaminem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2B85">
        <w:rPr>
          <w:rFonts w:eastAsia="Times New Roman" w:cstheme="minorHAnsi"/>
          <w:sz w:val="24"/>
          <w:szCs w:val="24"/>
          <w:lang w:eastAsia="pl-PL"/>
        </w:rPr>
        <w:t xml:space="preserve">ustalono, że </w:t>
      </w:r>
      <w:r w:rsidR="0082569A">
        <w:rPr>
          <w:rFonts w:eastAsia="Times New Roman" w:cstheme="minorHAnsi"/>
          <w:i/>
          <w:sz w:val="24"/>
          <w:szCs w:val="24"/>
          <w:lang w:eastAsia="pl-PL"/>
        </w:rPr>
        <w:t>Pozytywnie zaopiniowany wniosek przez Kapitułę upoważnia Przewodniczącego Rady do umieszczenia stosownego projektu uchwały Rady w porządku obrad sesji.</w:t>
      </w:r>
      <w:r w:rsidR="00861BD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842B85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0F38EE4F" w14:textId="77777777" w:rsidR="00B80A17" w:rsidRPr="0081749E" w:rsidRDefault="00B80A17" w:rsidP="00F5555F">
      <w:pPr>
        <w:spacing w:after="0" w:line="300" w:lineRule="exact"/>
        <w:ind w:left="-426" w:right="-569" w:firstLine="709"/>
        <w:jc w:val="both"/>
        <w:rPr>
          <w:sz w:val="24"/>
          <w:szCs w:val="24"/>
        </w:rPr>
      </w:pPr>
      <w:r w:rsidRPr="0081749E">
        <w:rPr>
          <w:sz w:val="24"/>
          <w:szCs w:val="24"/>
        </w:rPr>
        <w:t>N</w:t>
      </w:r>
      <w:r w:rsidR="00023B95" w:rsidRPr="0081749E">
        <w:rPr>
          <w:sz w:val="24"/>
          <w:szCs w:val="24"/>
        </w:rPr>
        <w:t>adawanie</w:t>
      </w:r>
      <w:r w:rsidR="003B7FA1" w:rsidRPr="0081749E">
        <w:rPr>
          <w:sz w:val="24"/>
          <w:szCs w:val="24"/>
        </w:rPr>
        <w:t xml:space="preserve"> honorowego</w:t>
      </w:r>
      <w:r w:rsidR="00023B95" w:rsidRPr="0081749E">
        <w:rPr>
          <w:sz w:val="24"/>
          <w:szCs w:val="24"/>
        </w:rPr>
        <w:t xml:space="preserve"> obywatelstwa gminy należy bezspornie do zadań własnych gminy. </w:t>
      </w:r>
      <w:r w:rsidR="00842B85">
        <w:rPr>
          <w:sz w:val="24"/>
          <w:szCs w:val="24"/>
        </w:rPr>
        <w:t xml:space="preserve">           </w:t>
      </w:r>
      <w:r w:rsidRPr="0081749E">
        <w:rPr>
          <w:sz w:val="24"/>
          <w:szCs w:val="24"/>
        </w:rPr>
        <w:t>W judykaturze przyjmuje się, że w</w:t>
      </w:r>
      <w:r w:rsidRPr="0081749E">
        <w:rPr>
          <w:rStyle w:val="info-list-value-uzasadnienie"/>
          <w:sz w:val="24"/>
          <w:szCs w:val="24"/>
        </w:rPr>
        <w:t xml:space="preserve"> zakresie spraw o charakterze korporacyjnym samodzielność gminy musi być większa. Interpretacja przepisów ustawowych określających kompetencje w tym zakresie </w:t>
      </w:r>
      <w:r w:rsidRPr="0081749E">
        <w:rPr>
          <w:rStyle w:val="info-list-value-uzasadnienie"/>
          <w:sz w:val="24"/>
          <w:szCs w:val="24"/>
        </w:rPr>
        <w:lastRenderedPageBreak/>
        <w:t xml:space="preserve">powinna uwzględniać istotę samorządu, cele dla których samorząd został powołany i pozostawać </w:t>
      </w:r>
      <w:r w:rsidR="00842B85">
        <w:rPr>
          <w:rStyle w:val="info-list-value-uzasadnienie"/>
          <w:sz w:val="24"/>
          <w:szCs w:val="24"/>
        </w:rPr>
        <w:t xml:space="preserve">               </w:t>
      </w:r>
      <w:r w:rsidRPr="0081749E">
        <w:rPr>
          <w:rStyle w:val="info-list-value-uzasadnienie"/>
          <w:sz w:val="24"/>
          <w:szCs w:val="24"/>
        </w:rPr>
        <w:t>w zgodzie z wartościami, które ma realizować</w:t>
      </w:r>
      <w:r w:rsidR="00717680" w:rsidRPr="0081749E">
        <w:rPr>
          <w:rStyle w:val="info-list-value-uzasadnienie"/>
          <w:sz w:val="24"/>
          <w:szCs w:val="24"/>
        </w:rPr>
        <w:t>,</w:t>
      </w:r>
      <w:r w:rsidRPr="0081749E">
        <w:rPr>
          <w:rStyle w:val="info-list-value-uzasadnienie"/>
          <w:sz w:val="24"/>
          <w:szCs w:val="24"/>
        </w:rPr>
        <w:t xml:space="preserve"> a także z zasadą subsydiarności. Taka interpretacja pozwala na przyjęcie, że rada gminy jest uprawniona nie tylko do samego nadawania honorowego obywatelstwa gminy, ale także do określenia</w:t>
      </w:r>
      <w:r w:rsidR="00B12CEB" w:rsidRPr="0081749E">
        <w:rPr>
          <w:rStyle w:val="info-list-value-uzasadnienie"/>
          <w:sz w:val="24"/>
          <w:szCs w:val="24"/>
        </w:rPr>
        <w:t>, w formie uchwały stanowiącej akt prawa miejscowego,</w:t>
      </w:r>
      <w:r w:rsidRPr="0081749E">
        <w:rPr>
          <w:sz w:val="24"/>
          <w:szCs w:val="24"/>
        </w:rPr>
        <w:t xml:space="preserve"> sposobu i trybu zgłaszania kandydatur, powołani</w:t>
      </w:r>
      <w:r w:rsidR="00B12CEB" w:rsidRPr="0081749E">
        <w:rPr>
          <w:sz w:val="24"/>
          <w:szCs w:val="24"/>
        </w:rPr>
        <w:t>a</w:t>
      </w:r>
      <w:r w:rsidRPr="0081749E">
        <w:rPr>
          <w:sz w:val="24"/>
          <w:szCs w:val="24"/>
        </w:rPr>
        <w:t xml:space="preserve"> </w:t>
      </w:r>
      <w:r w:rsidRPr="0081749E">
        <w:rPr>
          <w:rStyle w:val="highlight"/>
          <w:rFonts w:eastAsia="MS Mincho"/>
          <w:sz w:val="24"/>
          <w:szCs w:val="24"/>
        </w:rPr>
        <w:t>Kapituły</w:t>
      </w:r>
      <w:r w:rsidRPr="0081749E">
        <w:rPr>
          <w:sz w:val="24"/>
          <w:szCs w:val="24"/>
        </w:rPr>
        <w:t xml:space="preserve"> i </w:t>
      </w:r>
      <w:r w:rsidR="00B12CEB" w:rsidRPr="0081749E">
        <w:rPr>
          <w:sz w:val="24"/>
          <w:szCs w:val="24"/>
        </w:rPr>
        <w:t xml:space="preserve">uregulowania </w:t>
      </w:r>
      <w:r w:rsidRPr="0081749E">
        <w:rPr>
          <w:sz w:val="24"/>
          <w:szCs w:val="24"/>
        </w:rPr>
        <w:t>zakres</w:t>
      </w:r>
      <w:r w:rsidR="00B12CEB" w:rsidRPr="0081749E">
        <w:rPr>
          <w:sz w:val="24"/>
          <w:szCs w:val="24"/>
        </w:rPr>
        <w:t>u</w:t>
      </w:r>
      <w:r w:rsidRPr="0081749E">
        <w:rPr>
          <w:sz w:val="24"/>
          <w:szCs w:val="24"/>
        </w:rPr>
        <w:t xml:space="preserve"> jej działania</w:t>
      </w:r>
      <w:r w:rsidR="00B12CEB" w:rsidRPr="0081749E">
        <w:rPr>
          <w:sz w:val="24"/>
          <w:szCs w:val="24"/>
        </w:rPr>
        <w:t>.</w:t>
      </w:r>
      <w:r w:rsidRPr="0081749E">
        <w:rPr>
          <w:sz w:val="24"/>
          <w:szCs w:val="24"/>
        </w:rPr>
        <w:t xml:space="preserve"> </w:t>
      </w:r>
      <w:r w:rsidRPr="0081749E">
        <w:rPr>
          <w:rStyle w:val="highlight"/>
          <w:rFonts w:eastAsia="MS Mincho"/>
          <w:sz w:val="24"/>
          <w:szCs w:val="24"/>
        </w:rPr>
        <w:t>Kapituła</w:t>
      </w:r>
      <w:r w:rsidRPr="0081749E">
        <w:rPr>
          <w:sz w:val="24"/>
          <w:szCs w:val="24"/>
        </w:rPr>
        <w:t xml:space="preserve"> nie posiada </w:t>
      </w:r>
      <w:r w:rsidR="00B12CEB" w:rsidRPr="0081749E">
        <w:rPr>
          <w:sz w:val="24"/>
          <w:szCs w:val="24"/>
        </w:rPr>
        <w:t xml:space="preserve">jednak </w:t>
      </w:r>
      <w:r w:rsidRPr="0081749E">
        <w:rPr>
          <w:sz w:val="24"/>
          <w:szCs w:val="24"/>
        </w:rPr>
        <w:t>cech organu gminy, a jedynie jest organem doradczym</w:t>
      </w:r>
      <w:r w:rsidR="00B12CEB" w:rsidRPr="0081749E">
        <w:rPr>
          <w:sz w:val="24"/>
          <w:szCs w:val="24"/>
        </w:rPr>
        <w:t xml:space="preserve">, który </w:t>
      </w:r>
      <w:r w:rsidRPr="0081749E">
        <w:rPr>
          <w:sz w:val="24"/>
          <w:szCs w:val="24"/>
        </w:rPr>
        <w:t>nie</w:t>
      </w:r>
      <w:r w:rsidR="00B12CEB" w:rsidRPr="0081749E">
        <w:rPr>
          <w:sz w:val="24"/>
          <w:szCs w:val="24"/>
        </w:rPr>
        <w:t xml:space="preserve"> może </w:t>
      </w:r>
      <w:r w:rsidRPr="0081749E">
        <w:rPr>
          <w:sz w:val="24"/>
          <w:szCs w:val="24"/>
        </w:rPr>
        <w:t>narusza</w:t>
      </w:r>
      <w:r w:rsidR="00B12CEB" w:rsidRPr="0081749E">
        <w:rPr>
          <w:sz w:val="24"/>
          <w:szCs w:val="24"/>
        </w:rPr>
        <w:t>ć</w:t>
      </w:r>
      <w:r w:rsidRPr="0081749E">
        <w:rPr>
          <w:sz w:val="24"/>
          <w:szCs w:val="24"/>
        </w:rPr>
        <w:t xml:space="preserve"> ustawowych kompetencji organów samorządu terytorialnego.</w:t>
      </w:r>
      <w:r w:rsidR="00B12CEB" w:rsidRPr="0081749E">
        <w:rPr>
          <w:sz w:val="24"/>
          <w:szCs w:val="24"/>
        </w:rPr>
        <w:t xml:space="preserve"> </w:t>
      </w:r>
    </w:p>
    <w:p w14:paraId="161B0473" w14:textId="18F4BC90" w:rsidR="003B7FA1" w:rsidRPr="0081749E" w:rsidRDefault="00B12CEB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Style w:val="info-list-value-uzasadnienie"/>
          <w:sz w:val="24"/>
          <w:szCs w:val="24"/>
        </w:rPr>
        <w:t xml:space="preserve">Kapitule nie mogą tym samym przypisane zostać </w:t>
      </w:r>
      <w:r w:rsidR="00023B95" w:rsidRPr="0081749E">
        <w:rPr>
          <w:rStyle w:val="info-list-value-uzasadnienie"/>
          <w:sz w:val="24"/>
          <w:szCs w:val="24"/>
        </w:rPr>
        <w:t>kompetencj</w:t>
      </w:r>
      <w:r w:rsidRPr="0081749E">
        <w:rPr>
          <w:rStyle w:val="info-list-value-uzasadnienie"/>
          <w:sz w:val="24"/>
          <w:szCs w:val="24"/>
        </w:rPr>
        <w:t>e</w:t>
      </w:r>
      <w:r w:rsidR="00023B95" w:rsidRPr="0081749E">
        <w:rPr>
          <w:rStyle w:val="info-list-value-uzasadnienie"/>
          <w:sz w:val="24"/>
          <w:szCs w:val="24"/>
        </w:rPr>
        <w:t xml:space="preserve"> rozstrzygając</w:t>
      </w:r>
      <w:r w:rsidR="003B7FA1" w:rsidRPr="0081749E">
        <w:rPr>
          <w:rStyle w:val="info-list-value-uzasadnienie"/>
          <w:sz w:val="24"/>
          <w:szCs w:val="24"/>
        </w:rPr>
        <w:t xml:space="preserve">e. Tymczasem w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§ </w:t>
      </w:r>
      <w:r w:rsidR="00842B85">
        <w:rPr>
          <w:rFonts w:eastAsia="Times New Roman" w:cstheme="minorHAnsi"/>
          <w:sz w:val="24"/>
          <w:szCs w:val="24"/>
          <w:lang w:eastAsia="pl-PL"/>
        </w:rPr>
        <w:t>3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9E63D6">
        <w:rPr>
          <w:rFonts w:eastAsia="Times New Roman" w:cstheme="minorHAnsi"/>
          <w:sz w:val="24"/>
          <w:szCs w:val="24"/>
          <w:lang w:eastAsia="pl-PL"/>
        </w:rPr>
        <w:t>5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B7FA1" w:rsidRPr="0081749E">
        <w:rPr>
          <w:rFonts w:eastAsia="Times New Roman" w:cstheme="minorHAnsi"/>
          <w:i/>
          <w:sz w:val="24"/>
          <w:szCs w:val="24"/>
          <w:lang w:eastAsia="pl-PL"/>
        </w:rPr>
        <w:t xml:space="preserve">Regulaminu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ustalono, że </w:t>
      </w:r>
      <w:r w:rsidR="0082569A">
        <w:rPr>
          <w:rFonts w:eastAsia="Times New Roman" w:cstheme="minorHAnsi"/>
          <w:sz w:val="24"/>
          <w:szCs w:val="24"/>
          <w:lang w:eastAsia="pl-PL"/>
        </w:rPr>
        <w:t xml:space="preserve">Kapituła decyduje, które wnioski kandydatów zostaną </w:t>
      </w:r>
      <w:r w:rsidR="00C270AF">
        <w:rPr>
          <w:rFonts w:eastAsia="Times New Roman" w:cstheme="minorHAnsi"/>
          <w:sz w:val="24"/>
          <w:szCs w:val="24"/>
          <w:lang w:eastAsia="pl-PL"/>
        </w:rPr>
        <w:t>zaopiniowane</w:t>
      </w:r>
      <w:r w:rsidR="0082569A">
        <w:rPr>
          <w:rFonts w:eastAsia="Times New Roman" w:cstheme="minorHAnsi"/>
          <w:sz w:val="24"/>
          <w:szCs w:val="24"/>
          <w:lang w:eastAsia="pl-PL"/>
        </w:rPr>
        <w:t xml:space="preserve"> pozytywnie</w:t>
      </w:r>
      <w:r w:rsidR="00B539B1">
        <w:rPr>
          <w:rFonts w:eastAsia="Times New Roman" w:cstheme="minorHAnsi"/>
          <w:sz w:val="24"/>
          <w:szCs w:val="24"/>
          <w:lang w:eastAsia="pl-PL"/>
        </w:rPr>
        <w:t>. Taka regulacja oznacza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, że Kapituła</w:t>
      </w:r>
      <w:r w:rsidR="00B539B1">
        <w:rPr>
          <w:rFonts w:eastAsia="Times New Roman" w:cstheme="minorHAnsi"/>
          <w:sz w:val="24"/>
          <w:szCs w:val="24"/>
          <w:lang w:eastAsia="pl-PL"/>
        </w:rPr>
        <w:t>, będąc ciałem doradczym,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stała się podmiotem rozstrzygającym. W przypadku </w:t>
      </w:r>
      <w:r w:rsidR="00B539B1">
        <w:rPr>
          <w:rFonts w:eastAsia="Times New Roman" w:cstheme="minorHAnsi"/>
          <w:sz w:val="24"/>
          <w:szCs w:val="24"/>
          <w:lang w:eastAsia="pl-PL"/>
        </w:rPr>
        <w:t>pozostawienia przez Kapitułę wniosku bez rozpoznania</w:t>
      </w:r>
      <w:r w:rsidR="00C270AF">
        <w:rPr>
          <w:rFonts w:eastAsia="Times New Roman" w:cstheme="minorHAnsi"/>
          <w:sz w:val="24"/>
          <w:szCs w:val="24"/>
          <w:lang w:eastAsia="pl-PL"/>
        </w:rPr>
        <w:t>,</w:t>
      </w:r>
      <w:r w:rsidR="0082569A">
        <w:rPr>
          <w:rFonts w:eastAsia="Times New Roman" w:cstheme="minorHAnsi"/>
          <w:sz w:val="24"/>
          <w:szCs w:val="24"/>
          <w:lang w:eastAsia="pl-PL"/>
        </w:rPr>
        <w:t xml:space="preserve"> czy też wniosku zaopiniowanego negatywnie</w:t>
      </w:r>
      <w:r w:rsidR="00B539B1">
        <w:rPr>
          <w:rFonts w:eastAsia="Times New Roman" w:cstheme="minorHAnsi"/>
          <w:sz w:val="24"/>
          <w:szCs w:val="24"/>
          <w:lang w:eastAsia="pl-PL"/>
        </w:rPr>
        <w:t>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Rada </w:t>
      </w:r>
      <w:r w:rsidR="00B539B1">
        <w:rPr>
          <w:rFonts w:eastAsia="Times New Roman" w:cstheme="minorHAnsi"/>
          <w:sz w:val="24"/>
          <w:szCs w:val="24"/>
          <w:lang w:eastAsia="pl-PL"/>
        </w:rPr>
        <w:t>Gminy Sochaczew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jest pozbawiona możliwości dalszego procedowania i tym samym nadania </w:t>
      </w:r>
      <w:r w:rsidR="003B7FA1" w:rsidRPr="0081749E">
        <w:rPr>
          <w:sz w:val="24"/>
          <w:szCs w:val="24"/>
        </w:rPr>
        <w:t>honorowego obywatelstwa</w:t>
      </w:r>
      <w:r w:rsidR="00C270AF">
        <w:rPr>
          <w:sz w:val="24"/>
          <w:szCs w:val="24"/>
        </w:rPr>
        <w:t>, bowiem decyzja w zakresie sposobu rozpatrywania wniosków należy do Kapituły, nie zaś do Rady Gminy Sochaczew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. Takie ukształtowanie uprawnień Kapituły pozbawia ją charakteru opiniodawczo</w:t>
      </w:r>
      <w:r w:rsidR="003052E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- doradczego i czyni pozaustrojowym organem</w:t>
      </w:r>
      <w:r w:rsidR="00717680" w:rsidRPr="0081749E">
        <w:rPr>
          <w:rFonts w:eastAsia="Times New Roman" w:cstheme="minorHAnsi"/>
          <w:sz w:val="24"/>
          <w:szCs w:val="24"/>
          <w:lang w:eastAsia="pl-PL"/>
        </w:rPr>
        <w:t>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władnym do rozstrzygania spraw zastrzeżonych literalnie </w:t>
      </w:r>
      <w:r w:rsidR="0081749E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na mocy </w:t>
      </w:r>
      <w:r w:rsidR="003B7FA1" w:rsidRPr="0081749E">
        <w:rPr>
          <w:rFonts w:eastAsia="Times New Roman" w:cstheme="minorHAnsi"/>
          <w:bCs/>
          <w:sz w:val="24"/>
          <w:szCs w:val="24"/>
          <w:lang w:eastAsia="pl-PL"/>
        </w:rPr>
        <w:t xml:space="preserve">art. 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>18 ust. 2 pkt 14 u</w:t>
      </w:r>
      <w:r w:rsidR="0083703A">
        <w:rPr>
          <w:rStyle w:val="info-list-value-uzasadnienie"/>
          <w:rFonts w:cstheme="minorHAnsi"/>
          <w:sz w:val="24"/>
          <w:szCs w:val="24"/>
        </w:rPr>
        <w:t>stawy o samorządzie gminnym</w:t>
      </w:r>
      <w:r w:rsidR="0081749E">
        <w:rPr>
          <w:rStyle w:val="info-list-value-uzasadnienie"/>
          <w:rFonts w:cstheme="minorHAnsi"/>
          <w:sz w:val="24"/>
          <w:szCs w:val="24"/>
        </w:rPr>
        <w:t xml:space="preserve"> -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 xml:space="preserve"> do kompetencji Rady. </w:t>
      </w:r>
    </w:p>
    <w:p w14:paraId="258668A6" w14:textId="77777777" w:rsidR="003B7FA1" w:rsidRDefault="003B7FA1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Style w:val="info-list-value-uzasadnienie"/>
          <w:rFonts w:cstheme="minorHAnsi"/>
          <w:sz w:val="24"/>
          <w:szCs w:val="24"/>
        </w:rPr>
        <w:t>W judykaturze za dopuszczalne uznane zostało powołanie Kapituły składającej się nawet z osób spoza Rady, ale tylko w przypadku zachowania jej pomocniczego charakteru</w:t>
      </w:r>
      <w:r w:rsidR="001B5641" w:rsidRPr="0081749E">
        <w:rPr>
          <w:rStyle w:val="info-list-value-uzasadnienie"/>
          <w:rFonts w:cstheme="minorHAnsi"/>
          <w:sz w:val="24"/>
          <w:szCs w:val="24"/>
        </w:rPr>
        <w:t>,</w:t>
      </w:r>
      <w:r w:rsidRPr="0081749E">
        <w:rPr>
          <w:rStyle w:val="info-list-value-uzasadnienie"/>
          <w:rFonts w:cstheme="minorHAnsi"/>
          <w:sz w:val="24"/>
          <w:szCs w:val="24"/>
        </w:rPr>
        <w:t xml:space="preserve"> </w:t>
      </w:r>
      <w:r w:rsidR="001B5641" w:rsidRPr="0081749E">
        <w:rPr>
          <w:sz w:val="24"/>
          <w:szCs w:val="24"/>
        </w:rPr>
        <w:t>nienaruszającego ustawowych kompetencji organów samorządu terytorialnego</w:t>
      </w:r>
      <w:r w:rsidR="001B5641" w:rsidRPr="0081749E">
        <w:rPr>
          <w:rStyle w:val="info-list-value-uzasadnienie"/>
          <w:rFonts w:cstheme="minorHAnsi"/>
          <w:sz w:val="24"/>
          <w:szCs w:val="24"/>
        </w:rPr>
        <w:t xml:space="preserve"> (wyrok NSA z 27 czerwca 2017 r. sygn. akt II OSK 1862/16, wyrok NSA z 20 marca 2009 r. sygn. akt II OSK 1527/08). </w:t>
      </w:r>
    </w:p>
    <w:p w14:paraId="59EC4009" w14:textId="68E09358" w:rsidR="0081749E" w:rsidRDefault="00C45D29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Mając na uwadze treść uchwał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y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z </w:t>
      </w:r>
      <w:r w:rsidR="007205A5">
        <w:rPr>
          <w:rFonts w:eastAsia="Calibri" w:cstheme="minorHAnsi"/>
          <w:bCs/>
          <w:sz w:val="24"/>
          <w:szCs w:val="24"/>
        </w:rPr>
        <w:t>2</w:t>
      </w:r>
      <w:r w:rsidR="0082569A">
        <w:rPr>
          <w:rFonts w:eastAsia="Calibri" w:cstheme="minorHAnsi"/>
          <w:bCs/>
          <w:sz w:val="24"/>
          <w:szCs w:val="24"/>
        </w:rPr>
        <w:t>9</w:t>
      </w:r>
      <w:r w:rsidR="007205A5">
        <w:rPr>
          <w:rFonts w:eastAsia="Calibri" w:cstheme="minorHAnsi"/>
          <w:bCs/>
          <w:sz w:val="24"/>
          <w:szCs w:val="24"/>
        </w:rPr>
        <w:t xml:space="preserve"> </w:t>
      </w:r>
      <w:r w:rsidR="0082569A">
        <w:rPr>
          <w:rFonts w:eastAsia="Calibri" w:cstheme="minorHAnsi"/>
          <w:bCs/>
          <w:sz w:val="24"/>
          <w:szCs w:val="24"/>
        </w:rPr>
        <w:t>kwietnia</w:t>
      </w:r>
      <w:r w:rsidR="007205A5">
        <w:rPr>
          <w:rFonts w:eastAsia="Calibri" w:cstheme="minorHAnsi"/>
          <w:bCs/>
          <w:sz w:val="24"/>
          <w:szCs w:val="24"/>
        </w:rPr>
        <w:t xml:space="preserve"> 2020</w:t>
      </w:r>
      <w:r w:rsidR="00717680" w:rsidRPr="0081749E">
        <w:rPr>
          <w:rFonts w:eastAsia="Calibri" w:cstheme="minorHAnsi"/>
          <w:bCs/>
          <w:sz w:val="24"/>
          <w:szCs w:val="24"/>
        </w:rPr>
        <w:t> r. Nr </w:t>
      </w:r>
      <w:r w:rsidR="007205A5">
        <w:rPr>
          <w:rFonts w:eastAsia="Calibri" w:cstheme="minorHAnsi"/>
          <w:bCs/>
          <w:sz w:val="24"/>
          <w:szCs w:val="24"/>
        </w:rPr>
        <w:t>X</w:t>
      </w:r>
      <w:r w:rsidR="0082569A">
        <w:rPr>
          <w:rFonts w:eastAsia="Calibri" w:cstheme="minorHAnsi"/>
          <w:bCs/>
          <w:sz w:val="24"/>
          <w:szCs w:val="24"/>
        </w:rPr>
        <w:t>IX</w:t>
      </w:r>
      <w:r w:rsidR="007205A5">
        <w:rPr>
          <w:rFonts w:eastAsia="Calibri" w:cstheme="minorHAnsi"/>
          <w:bCs/>
          <w:sz w:val="24"/>
          <w:szCs w:val="24"/>
        </w:rPr>
        <w:t>/8</w:t>
      </w:r>
      <w:r w:rsidR="0082569A">
        <w:rPr>
          <w:rFonts w:eastAsia="Calibri" w:cstheme="minorHAnsi"/>
          <w:bCs/>
          <w:sz w:val="24"/>
          <w:szCs w:val="24"/>
        </w:rPr>
        <w:t>9</w:t>
      </w:r>
      <w:r w:rsidR="007205A5">
        <w:rPr>
          <w:rFonts w:eastAsia="Calibri" w:cstheme="minorHAnsi"/>
          <w:bCs/>
          <w:sz w:val="24"/>
          <w:szCs w:val="24"/>
        </w:rPr>
        <w:t>/2020</w:t>
      </w:r>
      <w:r w:rsidR="009222CC">
        <w:rPr>
          <w:rFonts w:eastAsia="Calibri" w:cstheme="minorHAnsi"/>
          <w:bCs/>
          <w:sz w:val="24"/>
          <w:szCs w:val="24"/>
        </w:rPr>
        <w:t xml:space="preserve"> w sprawie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 </w:t>
      </w:r>
      <w:r w:rsidR="007205A5">
        <w:rPr>
          <w:rFonts w:eastAsia="Calibri" w:cstheme="minorHAnsi"/>
          <w:bCs/>
          <w:i/>
          <w:sz w:val="24"/>
          <w:szCs w:val="24"/>
        </w:rPr>
        <w:t>zasad i trybu nadawania Honorowego Obywatelstwa Gminy Sochaczew oraz tytułu „Zasłużony dla Gminy Sochaczew”</w:t>
      </w:r>
      <w:r w:rsidRPr="0081749E">
        <w:rPr>
          <w:rFonts w:eastAsia="Calibri" w:cstheme="minorHAnsi"/>
          <w:bCs/>
          <w:i/>
          <w:sz w:val="24"/>
          <w:szCs w:val="24"/>
        </w:rPr>
        <w:t xml:space="preserve">,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stwierdzić należy, że </w:t>
      </w:r>
      <w:r w:rsidR="007205A5">
        <w:rPr>
          <w:rFonts w:eastAsia="MS Mincho" w:cstheme="minorHAnsi"/>
          <w:sz w:val="24"/>
          <w:szCs w:val="24"/>
          <w:lang w:eastAsia="pl-PL"/>
        </w:rPr>
        <w:t>Rada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, co prawda,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skorzystała z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ustawow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ego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uprawnienia do ukształtowania zasad i trybu </w:t>
      </w:r>
      <w:r w:rsidR="00717680" w:rsidRPr="0081749E">
        <w:rPr>
          <w:rStyle w:val="info-list-value-uzasadnienie"/>
          <w:sz w:val="24"/>
          <w:szCs w:val="24"/>
        </w:rPr>
        <w:t xml:space="preserve">wyróżnienia za zasługi dla </w:t>
      </w:r>
      <w:r w:rsidR="007205A5">
        <w:rPr>
          <w:rStyle w:val="info-list-value-uzasadnienie"/>
          <w:sz w:val="24"/>
          <w:szCs w:val="24"/>
        </w:rPr>
        <w:t>Gminy Sochaczew</w:t>
      </w:r>
      <w:r w:rsidR="00717680" w:rsidRPr="0081749E">
        <w:rPr>
          <w:rStyle w:val="info-list-value-uzasadnienie"/>
          <w:sz w:val="24"/>
          <w:szCs w:val="24"/>
        </w:rPr>
        <w:t xml:space="preserve">,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jednakże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czyniąc z Kapituły organ rozstrzygający </w:t>
      </w:r>
      <w:r w:rsidRPr="0081749E">
        <w:rPr>
          <w:rFonts w:eastAsia="MS Mincho" w:cstheme="minorHAnsi"/>
          <w:sz w:val="24"/>
          <w:szCs w:val="24"/>
          <w:lang w:eastAsia="pl-PL"/>
        </w:rPr>
        <w:t>istotn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i</w:t>
      </w:r>
      <w:r w:rsidRPr="0081749E">
        <w:rPr>
          <w:rFonts w:eastAsia="MS Mincho" w:cstheme="minorHAnsi"/>
          <w:sz w:val="24"/>
          <w:szCs w:val="24"/>
          <w:lang w:eastAsia="pl-PL"/>
        </w:rPr>
        <w:t>e narusz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yła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przepis</w:t>
      </w:r>
      <w:r w:rsidR="0081749E" w:rsidRPr="0081749E">
        <w:rPr>
          <w:rFonts w:eastAsia="Times New Roman" w:cstheme="minorHAnsi"/>
          <w:bCs/>
          <w:sz w:val="24"/>
          <w:szCs w:val="24"/>
          <w:lang w:eastAsia="pl-PL"/>
        </w:rPr>
        <w:t xml:space="preserve"> art. </w:t>
      </w:r>
      <w:r w:rsidR="0081749E" w:rsidRPr="0081749E">
        <w:rPr>
          <w:rStyle w:val="info-list-value-uzasadnienie"/>
          <w:rFonts w:cstheme="minorHAnsi"/>
          <w:sz w:val="24"/>
          <w:szCs w:val="24"/>
        </w:rPr>
        <w:t xml:space="preserve">18 ust. 2 pkt 14 </w:t>
      </w:r>
      <w:r w:rsidR="0083703A">
        <w:rPr>
          <w:rStyle w:val="info-list-value-uzasadnienie"/>
          <w:rFonts w:cstheme="minorHAnsi"/>
          <w:sz w:val="24"/>
          <w:szCs w:val="24"/>
        </w:rPr>
        <w:t>ustawy o samorządzie gminnym.</w:t>
      </w:r>
    </w:p>
    <w:p w14:paraId="013294B8" w14:textId="6372EEF9" w:rsidR="00B63613" w:rsidRDefault="00B63613" w:rsidP="0082569A">
      <w:pPr>
        <w:spacing w:line="240" w:lineRule="auto"/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82569A">
        <w:rPr>
          <w:rFonts w:ascii="Calibri" w:hAnsi="Calibri" w:cs="Calibri"/>
          <w:sz w:val="24"/>
          <w:szCs w:val="24"/>
        </w:rPr>
        <w:t xml:space="preserve">Konkludując niniejszy wywód należy uznać, iż zarzuty podniesione przez organ nadzoru  </w:t>
      </w:r>
      <w:r w:rsidR="0082569A">
        <w:rPr>
          <w:rFonts w:ascii="Calibri" w:hAnsi="Calibri" w:cs="Calibri"/>
          <w:sz w:val="24"/>
          <w:szCs w:val="24"/>
        </w:rPr>
        <w:t xml:space="preserve">                     </w:t>
      </w:r>
      <w:r w:rsidRPr="0082569A">
        <w:rPr>
          <w:rFonts w:ascii="Calibri" w:hAnsi="Calibri" w:cs="Calibri"/>
          <w:sz w:val="24"/>
          <w:szCs w:val="24"/>
        </w:rPr>
        <w:t xml:space="preserve">w stosunku do kwestionowanego aktu, bezsprzecznie stanowią podstawę do stwierdzenia nieważności uchwały </w:t>
      </w:r>
      <w:r w:rsidR="00E14305" w:rsidRPr="0082569A">
        <w:rPr>
          <w:rFonts w:ascii="Calibri" w:hAnsi="Calibri" w:cs="Calibri"/>
          <w:sz w:val="24"/>
          <w:szCs w:val="24"/>
        </w:rPr>
        <w:t>Nr X</w:t>
      </w:r>
      <w:r w:rsidR="0082569A">
        <w:rPr>
          <w:rFonts w:ascii="Calibri" w:hAnsi="Calibri" w:cs="Calibri"/>
          <w:sz w:val="24"/>
          <w:szCs w:val="24"/>
        </w:rPr>
        <w:t>IX</w:t>
      </w:r>
      <w:r w:rsidR="00E14305" w:rsidRPr="0082569A">
        <w:rPr>
          <w:rFonts w:ascii="Calibri" w:hAnsi="Calibri" w:cs="Calibri"/>
          <w:sz w:val="24"/>
          <w:szCs w:val="24"/>
        </w:rPr>
        <w:t>/8</w:t>
      </w:r>
      <w:r w:rsidR="0082569A">
        <w:rPr>
          <w:rFonts w:ascii="Calibri" w:hAnsi="Calibri" w:cs="Calibri"/>
          <w:sz w:val="24"/>
          <w:szCs w:val="24"/>
        </w:rPr>
        <w:t>9</w:t>
      </w:r>
      <w:r w:rsidR="00E14305" w:rsidRPr="0082569A">
        <w:rPr>
          <w:rFonts w:ascii="Calibri" w:hAnsi="Calibri" w:cs="Calibri"/>
          <w:sz w:val="24"/>
          <w:szCs w:val="24"/>
        </w:rPr>
        <w:t>/2020</w:t>
      </w:r>
      <w:r w:rsidRPr="0082569A">
        <w:rPr>
          <w:rFonts w:ascii="Calibri" w:hAnsi="Calibri" w:cs="Calibri"/>
          <w:sz w:val="24"/>
          <w:szCs w:val="24"/>
        </w:rPr>
        <w:t xml:space="preserve">, w zakresie wskazanym w </w:t>
      </w:r>
      <w:r w:rsidRPr="0082569A">
        <w:rPr>
          <w:rFonts w:ascii="Calibri" w:hAnsi="Calibri" w:cs="Calibri"/>
          <w:i/>
          <w:sz w:val="24"/>
          <w:szCs w:val="24"/>
        </w:rPr>
        <w:t>petitum</w:t>
      </w:r>
      <w:r w:rsidRPr="0082569A">
        <w:rPr>
          <w:rFonts w:ascii="Calibri" w:hAnsi="Calibri" w:cs="Calibri"/>
          <w:sz w:val="24"/>
          <w:szCs w:val="24"/>
        </w:rPr>
        <w:t xml:space="preserve"> rozstrzygnięcia.</w:t>
      </w:r>
    </w:p>
    <w:p w14:paraId="4B46A444" w14:textId="731FC42F" w:rsidR="00CC5D18" w:rsidRPr="00C73D6E" w:rsidRDefault="00CC5D18" w:rsidP="0082569A">
      <w:pPr>
        <w:spacing w:line="240" w:lineRule="auto"/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C73D6E">
        <w:rPr>
          <w:rFonts w:ascii="Calibri" w:hAnsi="Calibri" w:cs="Calibri"/>
          <w:sz w:val="24"/>
          <w:szCs w:val="24"/>
        </w:rPr>
        <w:t>Jednocześnie organ nadzoru wskazuje, iż</w:t>
      </w:r>
      <w:r w:rsidR="00C73D6E" w:rsidRPr="00C73D6E">
        <w:rPr>
          <w:rFonts w:ascii="Calibri" w:hAnsi="Calibri" w:cs="Calibri"/>
          <w:sz w:val="24"/>
          <w:szCs w:val="24"/>
        </w:rPr>
        <w:t xml:space="preserve"> rozstrzygnięciem nadzorczym z 2 kwietnia 2020 r. znak WNP-I.4131.36.2020.MS stwierdził nieważność </w:t>
      </w:r>
      <w:r w:rsidR="00C270AF">
        <w:rPr>
          <w:rFonts w:ascii="Calibri" w:hAnsi="Calibri" w:cs="Calibri"/>
          <w:sz w:val="24"/>
          <w:szCs w:val="24"/>
        </w:rPr>
        <w:t>uprzednio</w:t>
      </w:r>
      <w:r w:rsidR="00C73D6E" w:rsidRPr="00C73D6E">
        <w:rPr>
          <w:rFonts w:ascii="Calibri" w:hAnsi="Calibri" w:cs="Calibri"/>
          <w:sz w:val="24"/>
          <w:szCs w:val="24"/>
        </w:rPr>
        <w:t xml:space="preserve"> obowiązującej uchwały Rady Gminy Sochaczew Nr </w:t>
      </w:r>
      <w:r w:rsidR="00C73D6E" w:rsidRPr="00C73D6E">
        <w:rPr>
          <w:rFonts w:ascii="Calibri" w:hAnsi="Calibri" w:cs="Calibri"/>
          <w:bCs/>
          <w:sz w:val="24"/>
          <w:szCs w:val="24"/>
        </w:rPr>
        <w:t xml:space="preserve">XVII/82/2020 z dnia 25 lutego 2020 r. w </w:t>
      </w:r>
      <w:r w:rsidR="00C73D6E" w:rsidRPr="00C73D6E">
        <w:rPr>
          <w:rFonts w:ascii="Calibri" w:hAnsi="Calibri" w:cs="Calibri"/>
          <w:bCs/>
          <w:i/>
          <w:sz w:val="24"/>
          <w:szCs w:val="24"/>
        </w:rPr>
        <w:t>sprawie  zasad i trybu nadawania Honorowego Obywatelstwa Gminy Sochaczew oraz tytułu „Zasłużony dla Gminy Sochaczew”</w:t>
      </w:r>
      <w:r w:rsidR="00C73D6E" w:rsidRPr="00C73D6E">
        <w:rPr>
          <w:rFonts w:ascii="Calibri" w:hAnsi="Calibri" w:cs="Calibri"/>
          <w:bCs/>
          <w:sz w:val="24"/>
          <w:szCs w:val="24"/>
        </w:rPr>
        <w:t xml:space="preserve">, w zakresie załącznika do uchwały pt. </w:t>
      </w:r>
      <w:r w:rsidR="00C73D6E" w:rsidRPr="00C73D6E">
        <w:rPr>
          <w:rFonts w:ascii="Calibri" w:hAnsi="Calibri" w:cs="Calibri"/>
          <w:bCs/>
          <w:i/>
          <w:sz w:val="24"/>
          <w:szCs w:val="24"/>
        </w:rPr>
        <w:t>Regulamin nadawania Honorowego Obywatelstwa Gminy Sochaczew oraz tytułu „Zasłużony dla Gminy Sochaczew”</w:t>
      </w:r>
      <w:r w:rsidR="00C73D6E" w:rsidRPr="00C73D6E">
        <w:rPr>
          <w:rFonts w:ascii="Calibri" w:hAnsi="Calibri" w:cs="Calibri"/>
          <w:bCs/>
          <w:sz w:val="24"/>
          <w:szCs w:val="24"/>
        </w:rPr>
        <w:t>,</w:t>
      </w:r>
      <w:r w:rsidR="00C73D6E">
        <w:rPr>
          <w:rFonts w:ascii="Calibri" w:hAnsi="Calibri" w:cs="Calibri"/>
          <w:bCs/>
          <w:sz w:val="24"/>
          <w:szCs w:val="24"/>
        </w:rPr>
        <w:t xml:space="preserve"> m. in.</w:t>
      </w:r>
      <w:r w:rsidR="00C73D6E" w:rsidRPr="00C73D6E">
        <w:rPr>
          <w:rFonts w:ascii="Calibri" w:hAnsi="Calibri" w:cs="Calibri"/>
          <w:bCs/>
          <w:sz w:val="24"/>
          <w:szCs w:val="24"/>
        </w:rPr>
        <w:t xml:space="preserve"> w części dotyczącej </w:t>
      </w:r>
      <w:r w:rsidR="00C73D6E">
        <w:rPr>
          <w:rFonts w:ascii="Calibri" w:hAnsi="Calibri" w:cs="Calibri"/>
          <w:bCs/>
          <w:sz w:val="24"/>
          <w:szCs w:val="24"/>
        </w:rPr>
        <w:t xml:space="preserve">uprawnień Kapituły. Rozstrzygnięcie nie zostało zaskarżone do Wojewódzkiego Sądu Administracyjnego, w związku z czym Rada Gminy Sochaczew             w pełni podzieliła wywód przedstawiony w treści tegoż rozstrzygnięcia. </w:t>
      </w:r>
    </w:p>
    <w:p w14:paraId="3EBAF816" w14:textId="77777777" w:rsidR="00B757DB" w:rsidRPr="0082569A" w:rsidRDefault="00B757DB" w:rsidP="0082569A">
      <w:pPr>
        <w:spacing w:line="240" w:lineRule="auto"/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2569A">
        <w:rPr>
          <w:rFonts w:cstheme="minorHAnsi"/>
          <w:sz w:val="24"/>
          <w:szCs w:val="24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14:paraId="25CC4BCF" w14:textId="77777777" w:rsidR="00B757DB" w:rsidRPr="0082569A" w:rsidRDefault="00B757DB" w:rsidP="0082569A">
      <w:pPr>
        <w:spacing w:line="240" w:lineRule="auto"/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2569A">
        <w:rPr>
          <w:rFonts w:cstheme="minorHAnsi"/>
          <w:sz w:val="24"/>
          <w:szCs w:val="24"/>
        </w:rPr>
        <w:t>Informuję, że rozstrzygnięcie nadzorcze wstrzymuje wykonanie uchwały z mocy prawa, w części objętej rozstrzygnięciem</w:t>
      </w:r>
      <w:r w:rsidRPr="0082569A">
        <w:rPr>
          <w:rFonts w:cstheme="minorHAnsi"/>
          <w:bCs/>
          <w:sz w:val="24"/>
          <w:szCs w:val="24"/>
        </w:rPr>
        <w:t>,</w:t>
      </w:r>
      <w:r w:rsidRPr="0082569A">
        <w:rPr>
          <w:rFonts w:cstheme="minorHAnsi"/>
          <w:b/>
          <w:bCs/>
          <w:sz w:val="24"/>
          <w:szCs w:val="24"/>
        </w:rPr>
        <w:t xml:space="preserve"> </w:t>
      </w:r>
      <w:r w:rsidRPr="0082569A">
        <w:rPr>
          <w:rFonts w:cstheme="minorHAnsi"/>
          <w:bCs/>
          <w:sz w:val="24"/>
          <w:szCs w:val="24"/>
        </w:rPr>
        <w:t>z dniem jego doręczenia.</w:t>
      </w:r>
    </w:p>
    <w:p w14:paraId="5D949B24" w14:textId="77777777" w:rsidR="00C45D29" w:rsidRPr="0082569A" w:rsidRDefault="00C45D29" w:rsidP="008256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pl-PL"/>
        </w:rPr>
      </w:pPr>
    </w:p>
    <w:sectPr w:rsidR="00C45D29" w:rsidRPr="0082569A" w:rsidSect="00B247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09320" w14:textId="77777777" w:rsidR="00DA4B51" w:rsidRDefault="00DA4B51">
      <w:pPr>
        <w:spacing w:after="0" w:line="240" w:lineRule="auto"/>
      </w:pPr>
      <w:r>
        <w:separator/>
      </w:r>
    </w:p>
  </w:endnote>
  <w:endnote w:type="continuationSeparator" w:id="0">
    <w:p w14:paraId="48F5B83E" w14:textId="77777777" w:rsidR="00DA4B51" w:rsidRDefault="00DA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9CEA" w14:textId="77777777" w:rsidR="00B24711" w:rsidRDefault="00DA4B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3FCCB" w14:textId="77777777" w:rsidR="00B24711" w:rsidRDefault="00C45D2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51FA0">
      <w:rPr>
        <w:noProof/>
      </w:rPr>
      <w:t>3</w:t>
    </w:r>
    <w:r>
      <w:fldChar w:fldCharType="end"/>
    </w:r>
  </w:p>
  <w:p w14:paraId="1FB5F960" w14:textId="77777777" w:rsidR="00B24711" w:rsidRDefault="00DA4B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F1D80" w14:textId="77777777" w:rsidR="00B24711" w:rsidRDefault="00DA4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47544" w14:textId="77777777" w:rsidR="00DA4B51" w:rsidRDefault="00DA4B51">
      <w:pPr>
        <w:spacing w:after="0" w:line="240" w:lineRule="auto"/>
      </w:pPr>
      <w:r>
        <w:separator/>
      </w:r>
    </w:p>
  </w:footnote>
  <w:footnote w:type="continuationSeparator" w:id="0">
    <w:p w14:paraId="75AA8BC3" w14:textId="77777777" w:rsidR="00DA4B51" w:rsidRDefault="00DA4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CF339" w14:textId="77777777" w:rsidR="00B24711" w:rsidRDefault="00DA4B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88E22" w14:textId="77777777" w:rsidR="00B24711" w:rsidRDefault="00DA4B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3D56" w14:textId="77777777" w:rsidR="00B24711" w:rsidRDefault="00DA4B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6138C"/>
    <w:multiLevelType w:val="hybridMultilevel"/>
    <w:tmpl w:val="1C6C9E4E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486A"/>
    <w:multiLevelType w:val="hybridMultilevel"/>
    <w:tmpl w:val="AA38D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D29"/>
    <w:rsid w:val="00023B95"/>
    <w:rsid w:val="00036568"/>
    <w:rsid w:val="00092365"/>
    <w:rsid w:val="000B7C96"/>
    <w:rsid w:val="000D700A"/>
    <w:rsid w:val="00175B45"/>
    <w:rsid w:val="001B4A35"/>
    <w:rsid w:val="001B5641"/>
    <w:rsid w:val="001F7102"/>
    <w:rsid w:val="002030ED"/>
    <w:rsid w:val="0021352A"/>
    <w:rsid w:val="0029490D"/>
    <w:rsid w:val="002A1407"/>
    <w:rsid w:val="002A5A62"/>
    <w:rsid w:val="00303867"/>
    <w:rsid w:val="003052EC"/>
    <w:rsid w:val="003121A5"/>
    <w:rsid w:val="00371C6A"/>
    <w:rsid w:val="003A777D"/>
    <w:rsid w:val="003B7FA1"/>
    <w:rsid w:val="003E56E5"/>
    <w:rsid w:val="00472D29"/>
    <w:rsid w:val="00476336"/>
    <w:rsid w:val="004875E7"/>
    <w:rsid w:val="004A3BD8"/>
    <w:rsid w:val="0052348C"/>
    <w:rsid w:val="0055720C"/>
    <w:rsid w:val="0058746F"/>
    <w:rsid w:val="005B5F09"/>
    <w:rsid w:val="005C5D9F"/>
    <w:rsid w:val="00671A1C"/>
    <w:rsid w:val="00717680"/>
    <w:rsid w:val="00717CEA"/>
    <w:rsid w:val="007205A5"/>
    <w:rsid w:val="007A31F2"/>
    <w:rsid w:val="007D195E"/>
    <w:rsid w:val="008052E1"/>
    <w:rsid w:val="0081749E"/>
    <w:rsid w:val="00817F89"/>
    <w:rsid w:val="0082569A"/>
    <w:rsid w:val="0083703A"/>
    <w:rsid w:val="00842B85"/>
    <w:rsid w:val="00861BD7"/>
    <w:rsid w:val="008B25CC"/>
    <w:rsid w:val="00911E17"/>
    <w:rsid w:val="009222CC"/>
    <w:rsid w:val="00943017"/>
    <w:rsid w:val="009555DA"/>
    <w:rsid w:val="00976B13"/>
    <w:rsid w:val="00981D71"/>
    <w:rsid w:val="009E63D6"/>
    <w:rsid w:val="009E7F5D"/>
    <w:rsid w:val="00A1305C"/>
    <w:rsid w:val="00A51FA0"/>
    <w:rsid w:val="00A76026"/>
    <w:rsid w:val="00B12CEB"/>
    <w:rsid w:val="00B21013"/>
    <w:rsid w:val="00B539B1"/>
    <w:rsid w:val="00B63613"/>
    <w:rsid w:val="00B64C29"/>
    <w:rsid w:val="00B757DB"/>
    <w:rsid w:val="00B80A17"/>
    <w:rsid w:val="00C270AF"/>
    <w:rsid w:val="00C45D29"/>
    <w:rsid w:val="00C73D6E"/>
    <w:rsid w:val="00CC44E9"/>
    <w:rsid w:val="00CC5D18"/>
    <w:rsid w:val="00CF4F99"/>
    <w:rsid w:val="00D25A04"/>
    <w:rsid w:val="00D962FC"/>
    <w:rsid w:val="00DA4B51"/>
    <w:rsid w:val="00DA7E23"/>
    <w:rsid w:val="00E05B21"/>
    <w:rsid w:val="00E109C1"/>
    <w:rsid w:val="00E14305"/>
    <w:rsid w:val="00E27891"/>
    <w:rsid w:val="00E33CA6"/>
    <w:rsid w:val="00E50A13"/>
    <w:rsid w:val="00ED5C7C"/>
    <w:rsid w:val="00F5555F"/>
    <w:rsid w:val="00F7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CA0A"/>
  <w15:chartTrackingRefBased/>
  <w15:docId w15:val="{5EB5B3A9-500D-4C4F-9938-56FABCC1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5D29"/>
  </w:style>
  <w:style w:type="paragraph" w:styleId="Nagwek1">
    <w:name w:val="heading 1"/>
    <w:basedOn w:val="Normalny"/>
    <w:next w:val="Normalny"/>
    <w:link w:val="Nagwek1Znak"/>
    <w:uiPriority w:val="9"/>
    <w:qFormat/>
    <w:rsid w:val="007D195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5D29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45D29"/>
  </w:style>
  <w:style w:type="paragraph" w:customStyle="1" w:styleId="Standard">
    <w:name w:val="Standard"/>
    <w:rsid w:val="00C45D29"/>
    <w:pPr>
      <w:suppressAutoHyphens/>
      <w:autoSpaceDN w:val="0"/>
      <w:spacing w:line="249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highlight">
    <w:name w:val="highlight"/>
    <w:basedOn w:val="Domylnaczcionkaakapitu"/>
    <w:rsid w:val="00C45D29"/>
  </w:style>
  <w:style w:type="paragraph" w:styleId="NormalnyWeb">
    <w:name w:val="Normal (Web)"/>
    <w:basedOn w:val="Normalny"/>
    <w:uiPriority w:val="99"/>
    <w:semiHidden/>
    <w:unhideWhenUsed/>
    <w:rsid w:val="00C4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25A0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D1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7D195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95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54855-3ECB-46BC-882E-0F2595C6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Beata Darnowska</cp:lastModifiedBy>
  <cp:revision>2</cp:revision>
  <cp:lastPrinted>2020-06-08T08:20:00Z</cp:lastPrinted>
  <dcterms:created xsi:type="dcterms:W3CDTF">2020-06-09T12:45:00Z</dcterms:created>
  <dcterms:modified xsi:type="dcterms:W3CDTF">2020-06-09T12:45:00Z</dcterms:modified>
</cp:coreProperties>
</file>