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116E" w14:textId="28514DF4" w:rsidR="006E7808" w:rsidRPr="006E7808" w:rsidRDefault="006E7808" w:rsidP="006E7808">
      <w:pPr>
        <w:spacing w:after="0" w:line="240" w:lineRule="auto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041895"/>
      <w:r w:rsidRPr="006E7808">
        <w:rPr>
          <w:rFonts w:ascii="Lato" w:hAnsi="Lato" w:cstheme="majorHAnsi"/>
          <w:sz w:val="24"/>
          <w:szCs w:val="24"/>
        </w:rPr>
        <w:t>Załącznik nr 2 do zaproszenia – specyfikacja techniczna</w:t>
      </w:r>
    </w:p>
    <w:p w14:paraId="1A74063C" w14:textId="2E359CCC" w:rsidR="00655A57" w:rsidRPr="00F90D5C" w:rsidRDefault="00FB44E6" w:rsidP="001229F5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bookmarkEnd w:id="2"/>
    <w:p w14:paraId="75FD3FF5" w14:textId="28BAFAD3" w:rsidR="0023299D" w:rsidRDefault="00CC50D7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  <w:r w:rsidRPr="00CC50D7">
        <w:rPr>
          <w:rFonts w:ascii="Lato" w:hAnsi="Lato" w:cstheme="majorHAnsi"/>
          <w:b/>
          <w:bCs/>
          <w:sz w:val="24"/>
          <w:szCs w:val="24"/>
        </w:rPr>
        <w:t>Motopompa pływająca NIAGARA 2 (Honda GXV160)</w:t>
      </w:r>
      <w:r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0A42DF">
        <w:rPr>
          <w:rFonts w:ascii="Lato" w:hAnsi="Lato"/>
          <w:b/>
          <w:sz w:val="24"/>
          <w:szCs w:val="24"/>
        </w:rPr>
        <w:t xml:space="preserve">– </w:t>
      </w:r>
      <w:r>
        <w:rPr>
          <w:rFonts w:ascii="Lato" w:hAnsi="Lato"/>
          <w:b/>
          <w:sz w:val="24"/>
          <w:szCs w:val="24"/>
        </w:rPr>
        <w:t>6</w:t>
      </w:r>
      <w:r w:rsidR="000A42DF">
        <w:rPr>
          <w:rFonts w:ascii="Lato" w:hAnsi="Lato"/>
          <w:b/>
          <w:sz w:val="24"/>
          <w:szCs w:val="24"/>
        </w:rPr>
        <w:t xml:space="preserve"> szt.</w:t>
      </w:r>
    </w:p>
    <w:p w14:paraId="2C4459E5" w14:textId="77777777" w:rsidR="000A42DF" w:rsidRDefault="000A42DF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p w14:paraId="7D004261" w14:textId="5DF0C5BE" w:rsidR="000A42DF" w:rsidRPr="000A42DF" w:rsidRDefault="000A42DF" w:rsidP="00CC50D7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rPr>
          <w:rFonts w:ascii="Lato" w:hAnsi="Lato"/>
          <w:b/>
          <w:bCs/>
          <w:sz w:val="24"/>
          <w:szCs w:val="24"/>
        </w:rPr>
      </w:pPr>
      <w:r w:rsidRPr="000A42DF">
        <w:rPr>
          <w:rFonts w:ascii="Lato" w:hAnsi="Lato"/>
          <w:b/>
          <w:bCs/>
          <w:sz w:val="24"/>
          <w:szCs w:val="24"/>
        </w:rPr>
        <w:t>Przedmiot zamówienia</w:t>
      </w:r>
    </w:p>
    <w:p w14:paraId="0DFF7F9F" w14:textId="2FF038AF" w:rsidR="000A42DF" w:rsidRDefault="00CC50D7" w:rsidP="00CC50D7">
      <w:pPr>
        <w:spacing w:before="120" w:after="0" w:line="240" w:lineRule="auto"/>
        <w:ind w:left="425"/>
        <w:rPr>
          <w:rFonts w:ascii="Lato" w:hAnsi="Lato"/>
          <w:bCs/>
          <w:sz w:val="24"/>
          <w:szCs w:val="24"/>
        </w:rPr>
      </w:pPr>
      <w:r w:rsidRPr="00CC50D7">
        <w:rPr>
          <w:rFonts w:ascii="Lato" w:hAnsi="Lato"/>
          <w:bCs/>
          <w:sz w:val="24"/>
          <w:szCs w:val="24"/>
        </w:rPr>
        <w:t xml:space="preserve">Dostawa </w:t>
      </w:r>
      <w:r w:rsidRPr="00CC50D7">
        <w:rPr>
          <w:rFonts w:ascii="Lato" w:hAnsi="Lato"/>
          <w:b/>
          <w:bCs/>
          <w:sz w:val="24"/>
          <w:szCs w:val="24"/>
        </w:rPr>
        <w:t>6 sztuk motopomp pływających NIAGARA 2</w:t>
      </w:r>
      <w:r w:rsidRPr="00CC50D7">
        <w:rPr>
          <w:rFonts w:ascii="Lato" w:hAnsi="Lato"/>
          <w:bCs/>
          <w:sz w:val="24"/>
          <w:szCs w:val="24"/>
        </w:rPr>
        <w:t xml:space="preserve"> wyposażonych w silnik </w:t>
      </w:r>
      <w:r w:rsidRPr="00CC50D7">
        <w:rPr>
          <w:rFonts w:ascii="Lato" w:hAnsi="Lato"/>
          <w:b/>
          <w:bCs/>
          <w:sz w:val="24"/>
          <w:szCs w:val="24"/>
        </w:rPr>
        <w:t>Honda GXV160</w:t>
      </w:r>
      <w:r w:rsidRPr="00CC50D7">
        <w:rPr>
          <w:rFonts w:ascii="Lato" w:hAnsi="Lato"/>
          <w:bCs/>
          <w:sz w:val="24"/>
          <w:szCs w:val="24"/>
        </w:rPr>
        <w:t>, fabrycznie nowych, zgodnych z poniższymi wymaganiami minimalnymi.</w:t>
      </w:r>
    </w:p>
    <w:p w14:paraId="4BC4C1D1" w14:textId="65331970" w:rsidR="00CC50D7" w:rsidRPr="00CC50D7" w:rsidRDefault="00CC50D7" w:rsidP="00CC50D7">
      <w:pPr>
        <w:pStyle w:val="Akapitzlist"/>
        <w:numPr>
          <w:ilvl w:val="0"/>
          <w:numId w:val="27"/>
        </w:numPr>
        <w:spacing w:before="120" w:after="120" w:line="240" w:lineRule="auto"/>
        <w:ind w:left="425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CC50D7">
        <w:rPr>
          <w:rFonts w:ascii="Lato" w:hAnsi="Lato"/>
          <w:b/>
          <w:bCs/>
          <w:sz w:val="24"/>
          <w:szCs w:val="24"/>
        </w:rPr>
        <w:t>Wymagania ogólne</w:t>
      </w:r>
    </w:p>
    <w:p w14:paraId="5354E09B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Urządzenia fabrycznie nowe, rok produkcji 2025 lub 2024, nieużywane.</w:t>
      </w:r>
    </w:p>
    <w:p w14:paraId="7A3974E5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Kompletna dokumentacja: instrukcja PL, karta katalogowa, gwarancja producenta.</w:t>
      </w:r>
    </w:p>
    <w:p w14:paraId="09466630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Sprzęt przeznaczony do działań ratowniczych, powodziowych, wypompowywania wody z zalanych obiektów, akwenów i piwnic.</w:t>
      </w:r>
    </w:p>
    <w:p w14:paraId="6CCAEF9D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Sprzęt dopuszczony do użytkowania — świadectwo CNBOP lub dokument równoważny.</w:t>
      </w:r>
    </w:p>
    <w:p w14:paraId="4057525F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Termin dostawy — 14 dni od podpisania umowy.</w:t>
      </w:r>
    </w:p>
    <w:p w14:paraId="464B877D" w14:textId="3F8CA223" w:rsid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Gwarancja min. 12 miesięcy, preferowane 24 miesiące.</w:t>
      </w:r>
    </w:p>
    <w:p w14:paraId="55CCE168" w14:textId="77777777" w:rsidR="00CC50D7" w:rsidRPr="00CC50D7" w:rsidRDefault="00CC50D7" w:rsidP="00CC50D7">
      <w:pPr>
        <w:pStyle w:val="Akapitzlist"/>
        <w:spacing w:before="120" w:after="120"/>
        <w:ind w:left="737"/>
        <w:rPr>
          <w:rFonts w:ascii="Lato" w:hAnsi="Lato"/>
          <w:sz w:val="24"/>
          <w:szCs w:val="24"/>
        </w:rPr>
      </w:pPr>
    </w:p>
    <w:p w14:paraId="412F8589" w14:textId="3AAA6963" w:rsidR="000A42DF" w:rsidRDefault="00CC50D7" w:rsidP="00CC50D7">
      <w:pPr>
        <w:pStyle w:val="Akapitzlist"/>
        <w:numPr>
          <w:ilvl w:val="0"/>
          <w:numId w:val="27"/>
        </w:numPr>
        <w:spacing w:before="120" w:after="120"/>
        <w:ind w:left="425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CC50D7">
        <w:rPr>
          <w:rFonts w:ascii="Lato" w:hAnsi="Lato"/>
          <w:b/>
          <w:bCs/>
          <w:sz w:val="24"/>
          <w:szCs w:val="24"/>
        </w:rPr>
        <w:t>Wymagania techniczne (w formie tabeli)</w:t>
      </w: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F90D5C" w14:paraId="35C2525B" w14:textId="77777777" w:rsidTr="00CC50D7">
        <w:tc>
          <w:tcPr>
            <w:tcW w:w="562" w:type="dxa"/>
            <w:vAlign w:val="center"/>
          </w:tcPr>
          <w:p w14:paraId="0152B4AE" w14:textId="77777777" w:rsidR="0022778C" w:rsidRPr="00F90D5C" w:rsidRDefault="0022778C" w:rsidP="00CC50D7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  <w:vAlign w:val="center"/>
          </w:tcPr>
          <w:p w14:paraId="5CEA3327" w14:textId="77777777" w:rsidR="0022778C" w:rsidRPr="00F90D5C" w:rsidRDefault="0022778C" w:rsidP="00CC50D7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  <w:vAlign w:val="center"/>
          </w:tcPr>
          <w:p w14:paraId="1FB94500" w14:textId="77777777" w:rsidR="0022778C" w:rsidRPr="00F90D5C" w:rsidRDefault="0022778C" w:rsidP="00CC50D7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  <w:vAlign w:val="center"/>
          </w:tcPr>
          <w:p w14:paraId="7D90C429" w14:textId="3A84789E" w:rsidR="0022778C" w:rsidRPr="00F90D5C" w:rsidRDefault="0022778C" w:rsidP="00CC50D7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F90D5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CC50D7" w:rsidRPr="00F90D5C" w14:paraId="61750867" w14:textId="77777777" w:rsidTr="00CC50D7">
        <w:trPr>
          <w:trHeight w:val="567"/>
        </w:trPr>
        <w:tc>
          <w:tcPr>
            <w:tcW w:w="562" w:type="dxa"/>
          </w:tcPr>
          <w:p w14:paraId="7ADE3177" w14:textId="00F3A1A3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C9C37" w14:textId="6397E4A7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Typ pompy</w:t>
            </w:r>
          </w:p>
        </w:tc>
        <w:tc>
          <w:tcPr>
            <w:tcW w:w="4820" w:type="dxa"/>
          </w:tcPr>
          <w:p w14:paraId="6C38B419" w14:textId="0E1C72D3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Motopompa pływająca</w:t>
            </w:r>
          </w:p>
        </w:tc>
        <w:tc>
          <w:tcPr>
            <w:tcW w:w="2504" w:type="dxa"/>
          </w:tcPr>
          <w:p w14:paraId="0D49C0C5" w14:textId="597CB3D0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56F3B0F9" w14:textId="77777777" w:rsidTr="00CC50D7">
        <w:trPr>
          <w:trHeight w:val="567"/>
        </w:trPr>
        <w:tc>
          <w:tcPr>
            <w:tcW w:w="562" w:type="dxa"/>
          </w:tcPr>
          <w:p w14:paraId="61D03228" w14:textId="1D8C9C1F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21011A" w14:textId="3349B378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Model referencyjny</w:t>
            </w:r>
          </w:p>
        </w:tc>
        <w:tc>
          <w:tcPr>
            <w:tcW w:w="4820" w:type="dxa"/>
          </w:tcPr>
          <w:p w14:paraId="07E82C03" w14:textId="417AFC73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NIAGARA 2 (Honda GXV160)</w:t>
            </w:r>
          </w:p>
        </w:tc>
        <w:tc>
          <w:tcPr>
            <w:tcW w:w="2504" w:type="dxa"/>
          </w:tcPr>
          <w:p w14:paraId="5570798B" w14:textId="200B1D56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276622A7" w14:textId="77777777" w:rsidTr="00CC50D7">
        <w:trPr>
          <w:trHeight w:val="567"/>
        </w:trPr>
        <w:tc>
          <w:tcPr>
            <w:tcW w:w="562" w:type="dxa"/>
          </w:tcPr>
          <w:p w14:paraId="412D64A3" w14:textId="77777777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7A9510" w14:textId="239E5529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Maksymalna wydajność</w:t>
            </w:r>
          </w:p>
        </w:tc>
        <w:tc>
          <w:tcPr>
            <w:tcW w:w="4820" w:type="dxa"/>
          </w:tcPr>
          <w:p w14:paraId="4AB5441B" w14:textId="08D80C5A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1200 dm³/min</w:t>
            </w:r>
          </w:p>
        </w:tc>
        <w:tc>
          <w:tcPr>
            <w:tcW w:w="2504" w:type="dxa"/>
          </w:tcPr>
          <w:p w14:paraId="2702899D" w14:textId="65713FDC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37AA5996" w14:textId="77777777" w:rsidTr="00CC50D7">
        <w:trPr>
          <w:trHeight w:val="567"/>
        </w:trPr>
        <w:tc>
          <w:tcPr>
            <w:tcW w:w="562" w:type="dxa"/>
          </w:tcPr>
          <w:p w14:paraId="6B52AE89" w14:textId="364E03B1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FEAE89" w14:textId="3FBDE86E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Wydajność nominalna (przy 2 bar)</w:t>
            </w:r>
          </w:p>
        </w:tc>
        <w:tc>
          <w:tcPr>
            <w:tcW w:w="4820" w:type="dxa"/>
          </w:tcPr>
          <w:p w14:paraId="0E7AA5D9" w14:textId="262B2649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450 dm³/min</w:t>
            </w:r>
          </w:p>
        </w:tc>
        <w:tc>
          <w:tcPr>
            <w:tcW w:w="2504" w:type="dxa"/>
          </w:tcPr>
          <w:p w14:paraId="123934C6" w14:textId="44ABD009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47481F54" w14:textId="77777777" w:rsidTr="00CC50D7">
        <w:trPr>
          <w:trHeight w:val="567"/>
        </w:trPr>
        <w:tc>
          <w:tcPr>
            <w:tcW w:w="562" w:type="dxa"/>
          </w:tcPr>
          <w:p w14:paraId="515769FA" w14:textId="69F065A4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2708DA56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Maks. wysokość podnoszenia</w:t>
            </w:r>
          </w:p>
        </w:tc>
        <w:tc>
          <w:tcPr>
            <w:tcW w:w="4820" w:type="dxa"/>
          </w:tcPr>
          <w:p w14:paraId="33313206" w14:textId="1A628A0B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30 m</w:t>
            </w:r>
          </w:p>
        </w:tc>
        <w:tc>
          <w:tcPr>
            <w:tcW w:w="2504" w:type="dxa"/>
          </w:tcPr>
          <w:p w14:paraId="0158D09F" w14:textId="0E58BF71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62E794D7" w14:textId="77777777" w:rsidTr="00CC50D7">
        <w:trPr>
          <w:trHeight w:val="567"/>
        </w:trPr>
        <w:tc>
          <w:tcPr>
            <w:tcW w:w="562" w:type="dxa"/>
          </w:tcPr>
          <w:p w14:paraId="5D8205EC" w14:textId="46783FE9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023DEF6C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Maks. zasięg rzutu wody</w:t>
            </w:r>
          </w:p>
        </w:tc>
        <w:tc>
          <w:tcPr>
            <w:tcW w:w="4820" w:type="dxa"/>
          </w:tcPr>
          <w:p w14:paraId="4824B1BD" w14:textId="081B3D44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30 m</w:t>
            </w:r>
          </w:p>
        </w:tc>
        <w:tc>
          <w:tcPr>
            <w:tcW w:w="2504" w:type="dxa"/>
          </w:tcPr>
          <w:p w14:paraId="42C38C3B" w14:textId="7DB5012D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3A7B4875" w14:textId="77777777" w:rsidTr="00CC50D7">
        <w:trPr>
          <w:trHeight w:val="567"/>
        </w:trPr>
        <w:tc>
          <w:tcPr>
            <w:tcW w:w="562" w:type="dxa"/>
          </w:tcPr>
          <w:p w14:paraId="3ED64EDB" w14:textId="77777777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53F91745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Średnica nasady tłocznej</w:t>
            </w:r>
          </w:p>
        </w:tc>
        <w:tc>
          <w:tcPr>
            <w:tcW w:w="4820" w:type="dxa"/>
          </w:tcPr>
          <w:p w14:paraId="015EBE32" w14:textId="64665121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75 mm</w:t>
            </w:r>
          </w:p>
        </w:tc>
        <w:tc>
          <w:tcPr>
            <w:tcW w:w="2504" w:type="dxa"/>
          </w:tcPr>
          <w:p w14:paraId="2AB3456E" w14:textId="23FB2538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7FD9E435" w14:textId="77777777" w:rsidTr="00CC50D7">
        <w:trPr>
          <w:trHeight w:val="567"/>
        </w:trPr>
        <w:tc>
          <w:tcPr>
            <w:tcW w:w="562" w:type="dxa"/>
          </w:tcPr>
          <w:p w14:paraId="76184EF0" w14:textId="018DF208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633DFF4C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Minimalna głębokość ssania</w:t>
            </w:r>
          </w:p>
        </w:tc>
        <w:tc>
          <w:tcPr>
            <w:tcW w:w="4820" w:type="dxa"/>
          </w:tcPr>
          <w:p w14:paraId="1CA82D99" w14:textId="7F183FDE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max. 15 mm</w:t>
            </w:r>
          </w:p>
        </w:tc>
        <w:tc>
          <w:tcPr>
            <w:tcW w:w="2504" w:type="dxa"/>
          </w:tcPr>
          <w:p w14:paraId="7AEA0BF6" w14:textId="74CF9135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06602EBA" w14:textId="77777777" w:rsidTr="00CC50D7">
        <w:trPr>
          <w:trHeight w:val="567"/>
        </w:trPr>
        <w:tc>
          <w:tcPr>
            <w:tcW w:w="562" w:type="dxa"/>
          </w:tcPr>
          <w:p w14:paraId="2D0B522E" w14:textId="3D8AE00B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08F45B4A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Silnik</w:t>
            </w:r>
          </w:p>
        </w:tc>
        <w:tc>
          <w:tcPr>
            <w:tcW w:w="4820" w:type="dxa"/>
          </w:tcPr>
          <w:p w14:paraId="452EEF12" w14:textId="50D3786D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Honda GXV160, czterosuwowy</w:t>
            </w:r>
          </w:p>
        </w:tc>
        <w:tc>
          <w:tcPr>
            <w:tcW w:w="2504" w:type="dxa"/>
          </w:tcPr>
          <w:p w14:paraId="349655A3" w14:textId="5A02A37A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1193E782" w14:textId="77777777" w:rsidTr="00CC50D7">
        <w:trPr>
          <w:trHeight w:val="567"/>
        </w:trPr>
        <w:tc>
          <w:tcPr>
            <w:tcW w:w="562" w:type="dxa"/>
          </w:tcPr>
          <w:p w14:paraId="0C3C8D28" w14:textId="13C1D640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FFECCF" w14:textId="6938AF80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Moc silnika</w:t>
            </w:r>
          </w:p>
        </w:tc>
        <w:tc>
          <w:tcPr>
            <w:tcW w:w="4820" w:type="dxa"/>
          </w:tcPr>
          <w:p w14:paraId="3A2C7A4C" w14:textId="436C930E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3,2 kW</w:t>
            </w:r>
          </w:p>
        </w:tc>
        <w:tc>
          <w:tcPr>
            <w:tcW w:w="2504" w:type="dxa"/>
          </w:tcPr>
          <w:p w14:paraId="575C78D2" w14:textId="324657A9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0EB6353D" w14:textId="77777777" w:rsidTr="00CC50D7">
        <w:trPr>
          <w:trHeight w:val="567"/>
        </w:trPr>
        <w:tc>
          <w:tcPr>
            <w:tcW w:w="562" w:type="dxa"/>
          </w:tcPr>
          <w:p w14:paraId="743A0CEB" w14:textId="0E45026F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0E864F" w14:textId="6E0002E1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Zasilanie</w:t>
            </w:r>
          </w:p>
        </w:tc>
        <w:tc>
          <w:tcPr>
            <w:tcW w:w="4820" w:type="dxa"/>
          </w:tcPr>
          <w:p w14:paraId="3243771E" w14:textId="449041BF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benzyna</w:t>
            </w:r>
          </w:p>
        </w:tc>
        <w:tc>
          <w:tcPr>
            <w:tcW w:w="2504" w:type="dxa"/>
          </w:tcPr>
          <w:p w14:paraId="613D7B76" w14:textId="4F9DCE27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50D7" w:rsidRPr="00F90D5C" w14:paraId="5F4F4B89" w14:textId="77777777" w:rsidTr="00CC50D7">
        <w:trPr>
          <w:trHeight w:val="567"/>
        </w:trPr>
        <w:tc>
          <w:tcPr>
            <w:tcW w:w="562" w:type="dxa"/>
          </w:tcPr>
          <w:p w14:paraId="5DD91460" w14:textId="087B241C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F917F" w14:textId="77A4067C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Zbiornik paliwa</w:t>
            </w:r>
          </w:p>
        </w:tc>
        <w:tc>
          <w:tcPr>
            <w:tcW w:w="4820" w:type="dxa"/>
          </w:tcPr>
          <w:p w14:paraId="60ADA12F" w14:textId="28F273D8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min. 1,8 l</w:t>
            </w:r>
          </w:p>
        </w:tc>
        <w:tc>
          <w:tcPr>
            <w:tcW w:w="2504" w:type="dxa"/>
          </w:tcPr>
          <w:p w14:paraId="1C0AA457" w14:textId="73FA8D40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C50D7" w:rsidRPr="00F90D5C" w14:paraId="5E310380" w14:textId="77777777" w:rsidTr="00CC50D7">
        <w:trPr>
          <w:trHeight w:val="567"/>
        </w:trPr>
        <w:tc>
          <w:tcPr>
            <w:tcW w:w="562" w:type="dxa"/>
          </w:tcPr>
          <w:p w14:paraId="0C3CDDA0" w14:textId="7724FA18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0EF927" w14:textId="1DC3E8CE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Zużycie paliwa</w:t>
            </w:r>
          </w:p>
        </w:tc>
        <w:tc>
          <w:tcPr>
            <w:tcW w:w="4820" w:type="dxa"/>
          </w:tcPr>
          <w:p w14:paraId="5778FF38" w14:textId="0AC8FFB4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ok. 1,2–1,3 l/h</w:t>
            </w:r>
          </w:p>
        </w:tc>
        <w:tc>
          <w:tcPr>
            <w:tcW w:w="2504" w:type="dxa"/>
          </w:tcPr>
          <w:p w14:paraId="57E3EE12" w14:textId="6E09BD58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C50D7" w:rsidRPr="00F90D5C" w14:paraId="78421A1D" w14:textId="77777777" w:rsidTr="00CC50D7">
        <w:trPr>
          <w:trHeight w:val="567"/>
        </w:trPr>
        <w:tc>
          <w:tcPr>
            <w:tcW w:w="562" w:type="dxa"/>
          </w:tcPr>
          <w:p w14:paraId="2017CCEE" w14:textId="609B6633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1D906A" w14:textId="79F64086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Czas pracy na zbiorniku</w:t>
            </w:r>
          </w:p>
        </w:tc>
        <w:tc>
          <w:tcPr>
            <w:tcW w:w="4820" w:type="dxa"/>
          </w:tcPr>
          <w:p w14:paraId="253A1710" w14:textId="2CF188CD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ok. 1,5 h</w:t>
            </w:r>
          </w:p>
        </w:tc>
        <w:tc>
          <w:tcPr>
            <w:tcW w:w="2504" w:type="dxa"/>
          </w:tcPr>
          <w:p w14:paraId="40939183" w14:textId="06B1C4CB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C50D7" w:rsidRPr="00F90D5C" w14:paraId="503BE87B" w14:textId="77777777" w:rsidTr="00CC50D7">
        <w:trPr>
          <w:trHeight w:val="567"/>
        </w:trPr>
        <w:tc>
          <w:tcPr>
            <w:tcW w:w="562" w:type="dxa"/>
          </w:tcPr>
          <w:p w14:paraId="678C1121" w14:textId="44AC998E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7A0AD0" w14:textId="0231FCEE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Pływak / korpus</w:t>
            </w:r>
          </w:p>
        </w:tc>
        <w:tc>
          <w:tcPr>
            <w:tcW w:w="4820" w:type="dxa"/>
          </w:tcPr>
          <w:p w14:paraId="7BFD8FA5" w14:textId="503152F6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polietylen HDPE, niezatapialny</w:t>
            </w:r>
          </w:p>
        </w:tc>
        <w:tc>
          <w:tcPr>
            <w:tcW w:w="2504" w:type="dxa"/>
          </w:tcPr>
          <w:p w14:paraId="497CB516" w14:textId="6CD761E8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C50D7" w:rsidRPr="00F90D5C" w14:paraId="67CCC733" w14:textId="77777777" w:rsidTr="00CC50D7">
        <w:trPr>
          <w:trHeight w:val="567"/>
        </w:trPr>
        <w:tc>
          <w:tcPr>
            <w:tcW w:w="562" w:type="dxa"/>
          </w:tcPr>
          <w:p w14:paraId="2DAA5B27" w14:textId="2C8BAD0F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6CF8EFC2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Waga</w:t>
            </w:r>
          </w:p>
        </w:tc>
        <w:tc>
          <w:tcPr>
            <w:tcW w:w="4820" w:type="dxa"/>
          </w:tcPr>
          <w:p w14:paraId="3C931722" w14:textId="5E7B5321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ok. 30–32 kg</w:t>
            </w:r>
          </w:p>
        </w:tc>
        <w:tc>
          <w:tcPr>
            <w:tcW w:w="2504" w:type="dxa"/>
          </w:tcPr>
          <w:p w14:paraId="71EB37E9" w14:textId="1DD3EA09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CC50D7" w:rsidRPr="00F90D5C" w14:paraId="52A8CCD8" w14:textId="77777777" w:rsidTr="00CC50D7">
        <w:trPr>
          <w:trHeight w:val="567"/>
        </w:trPr>
        <w:tc>
          <w:tcPr>
            <w:tcW w:w="562" w:type="dxa"/>
          </w:tcPr>
          <w:p w14:paraId="2C179773" w14:textId="057AF570" w:rsidR="00CC50D7" w:rsidRPr="00F90D5C" w:rsidRDefault="00CC50D7" w:rsidP="00CC50D7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3FDFFE28" w:rsidR="00CC50D7" w:rsidRPr="00CC50D7" w:rsidRDefault="00CC50D7" w:rsidP="00CC50D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CC50D7">
              <w:rPr>
                <w:rFonts w:ascii="Lato" w:hAnsi="Lato" w:cs="Calibri"/>
                <w:b/>
                <w:bCs/>
                <w:sz w:val="24"/>
                <w:szCs w:val="24"/>
              </w:rPr>
              <w:t>Wymiary</w:t>
            </w:r>
          </w:p>
        </w:tc>
        <w:tc>
          <w:tcPr>
            <w:tcW w:w="4820" w:type="dxa"/>
          </w:tcPr>
          <w:p w14:paraId="1D33BA74" w14:textId="462B3FE1" w:rsidR="00CC50D7" w:rsidRPr="000A42DF" w:rsidRDefault="00CC50D7" w:rsidP="00CC50D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CC50D7">
              <w:rPr>
                <w:rFonts w:ascii="Lato" w:hAnsi="Lato"/>
                <w:sz w:val="24"/>
                <w:szCs w:val="24"/>
              </w:rPr>
              <w:t>zbliżone do 780 × 630 × 420 mm</w:t>
            </w:r>
          </w:p>
        </w:tc>
        <w:tc>
          <w:tcPr>
            <w:tcW w:w="2504" w:type="dxa"/>
          </w:tcPr>
          <w:p w14:paraId="6484B88C" w14:textId="65C60C58" w:rsidR="00CC50D7" w:rsidRPr="001229F5" w:rsidRDefault="00CC50D7" w:rsidP="00CC50D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bookmarkEnd w:id="0"/>
      <w:bookmarkEnd w:id="1"/>
    </w:tbl>
    <w:p w14:paraId="5BE427EA" w14:textId="77777777" w:rsidR="00CC50D7" w:rsidRDefault="00CC50D7" w:rsidP="00CC50D7">
      <w:pPr>
        <w:pStyle w:val="Akapitzlist"/>
        <w:spacing w:before="120" w:after="120"/>
        <w:ind w:left="425"/>
        <w:contextualSpacing w:val="0"/>
        <w:rPr>
          <w:rFonts w:ascii="Lato" w:hAnsi="Lato"/>
          <w:b/>
          <w:bCs/>
          <w:sz w:val="24"/>
          <w:szCs w:val="24"/>
        </w:rPr>
      </w:pPr>
    </w:p>
    <w:p w14:paraId="035146BA" w14:textId="36C5C35A" w:rsidR="00CC50D7" w:rsidRPr="00CC50D7" w:rsidRDefault="00CC50D7" w:rsidP="00CC50D7">
      <w:pPr>
        <w:pStyle w:val="Akapitzlist"/>
        <w:numPr>
          <w:ilvl w:val="0"/>
          <w:numId w:val="27"/>
        </w:numPr>
        <w:spacing w:before="120" w:after="120"/>
        <w:ind w:left="425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CC50D7">
        <w:rPr>
          <w:rFonts w:ascii="Lato" w:hAnsi="Lato"/>
          <w:b/>
          <w:bCs/>
          <w:sz w:val="24"/>
          <w:szCs w:val="24"/>
        </w:rPr>
        <w:t>Wyposażenie wymagane</w:t>
      </w:r>
    </w:p>
    <w:p w14:paraId="6012EEE9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Kompletne urządzenie gotowe do pracy.</w:t>
      </w:r>
    </w:p>
    <w:p w14:paraId="51645A54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Instrukcja obsługi w języku polskim.</w:t>
      </w:r>
    </w:p>
    <w:p w14:paraId="11EA38C3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Deklaracja zgodności / CNBOP.</w:t>
      </w:r>
    </w:p>
    <w:p w14:paraId="1BA31522" w14:textId="5E6C7954" w:rsid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Karta gwarancyjna.</w:t>
      </w:r>
    </w:p>
    <w:p w14:paraId="49306CA4" w14:textId="77777777" w:rsidR="00CC50D7" w:rsidRPr="00CC50D7" w:rsidRDefault="00CC50D7" w:rsidP="00CC50D7">
      <w:pPr>
        <w:pStyle w:val="Akapitzlist"/>
        <w:spacing w:before="120" w:after="120"/>
        <w:ind w:left="737"/>
        <w:rPr>
          <w:rFonts w:ascii="Lato" w:hAnsi="Lato"/>
          <w:sz w:val="24"/>
          <w:szCs w:val="24"/>
        </w:rPr>
      </w:pPr>
    </w:p>
    <w:p w14:paraId="09B9AC02" w14:textId="077854BD" w:rsidR="00CC50D7" w:rsidRPr="00CC50D7" w:rsidRDefault="00CC50D7" w:rsidP="00CC50D7">
      <w:pPr>
        <w:pStyle w:val="Akapitzlist"/>
        <w:numPr>
          <w:ilvl w:val="0"/>
          <w:numId w:val="27"/>
        </w:numPr>
        <w:spacing w:before="120" w:after="120"/>
        <w:ind w:left="425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CC50D7">
        <w:rPr>
          <w:rFonts w:ascii="Lato" w:hAnsi="Lato"/>
          <w:b/>
          <w:bCs/>
          <w:sz w:val="24"/>
          <w:szCs w:val="24"/>
        </w:rPr>
        <w:t>Warunki odbioru</w:t>
      </w:r>
    </w:p>
    <w:p w14:paraId="33088366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Odbiór w Wojewódzkim Magazynie Przeciwpowodziowym w Lubieszynie.</w:t>
      </w:r>
    </w:p>
    <w:p w14:paraId="68A59C25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Weryfikacja zgodności z ST.</w:t>
      </w:r>
    </w:p>
    <w:p w14:paraId="34642B35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Test pracy pomp (krótkie uruchomienie).</w:t>
      </w:r>
    </w:p>
    <w:p w14:paraId="01DA5C16" w14:textId="77777777" w:rsidR="00CC50D7" w:rsidRPr="00CC50D7" w:rsidRDefault="00CC50D7" w:rsidP="00CC50D7">
      <w:pPr>
        <w:pStyle w:val="Akapitzlist"/>
        <w:numPr>
          <w:ilvl w:val="1"/>
          <w:numId w:val="27"/>
        </w:numPr>
        <w:spacing w:before="120" w:after="120"/>
        <w:rPr>
          <w:rFonts w:ascii="Lato" w:hAnsi="Lato"/>
          <w:sz w:val="24"/>
          <w:szCs w:val="24"/>
        </w:rPr>
      </w:pPr>
      <w:r w:rsidRPr="00CC50D7">
        <w:rPr>
          <w:rFonts w:ascii="Lato" w:hAnsi="Lato"/>
          <w:sz w:val="24"/>
          <w:szCs w:val="24"/>
        </w:rPr>
        <w:t>Podpisanie protokołu odbioru.</w:t>
      </w:r>
    </w:p>
    <w:p w14:paraId="1F2BCAE7" w14:textId="77777777" w:rsidR="00CC50D7" w:rsidRPr="00CC50D7" w:rsidRDefault="00CC50D7" w:rsidP="00CC50D7">
      <w:pPr>
        <w:spacing w:before="120" w:after="120" w:line="240" w:lineRule="auto"/>
        <w:rPr>
          <w:rFonts w:ascii="Lato" w:hAnsi="Lato"/>
          <w:sz w:val="24"/>
          <w:szCs w:val="24"/>
        </w:rPr>
      </w:pPr>
    </w:p>
    <w:sectPr w:rsidR="00CC50D7" w:rsidRPr="00CC50D7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603D" w14:textId="77777777" w:rsidR="00B83CBB" w:rsidRPr="00DB19A9" w:rsidRDefault="00B83CBB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755B97DB" w14:textId="77777777" w:rsidR="00B83CBB" w:rsidRPr="00DB19A9" w:rsidRDefault="00B83CBB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5043" w14:textId="77777777" w:rsidR="00B83CBB" w:rsidRPr="00DB19A9" w:rsidRDefault="00B83CBB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1172392A" w14:textId="77777777" w:rsidR="00B83CBB" w:rsidRPr="00DB19A9" w:rsidRDefault="00B83CBB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432D4E"/>
    <w:multiLevelType w:val="multilevel"/>
    <w:tmpl w:val="A91C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13397F"/>
    <w:multiLevelType w:val="multilevel"/>
    <w:tmpl w:val="EEF4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D3D38"/>
    <w:multiLevelType w:val="multilevel"/>
    <w:tmpl w:val="780E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50510"/>
    <w:multiLevelType w:val="multilevel"/>
    <w:tmpl w:val="F41C6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hAnsi="Lato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471F5"/>
    <w:multiLevelType w:val="multilevel"/>
    <w:tmpl w:val="0E1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080200"/>
    <w:multiLevelType w:val="hybridMultilevel"/>
    <w:tmpl w:val="1D9A1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245B3E">
      <w:start w:val="1"/>
      <w:numFmt w:val="bullet"/>
      <w:lvlText w:val=""/>
      <w:lvlJc w:val="left"/>
      <w:pPr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E51BB"/>
    <w:multiLevelType w:val="multilevel"/>
    <w:tmpl w:val="837EFD34"/>
    <w:lvl w:ilvl="0">
      <w:start w:val="1"/>
      <w:numFmt w:val="decimal"/>
      <w:lvlText w:val="%1."/>
      <w:lvlJc w:val="left"/>
      <w:pPr>
        <w:ind w:left="737" w:hanging="453"/>
      </w:pPr>
      <w:rPr>
        <w:rFonts w:ascii="Lato" w:hAnsi="Lato" w:hint="default"/>
        <w:sz w:val="24"/>
      </w:rPr>
    </w:lvl>
    <w:lvl w:ilvl="1">
      <w:start w:val="1"/>
      <w:numFmt w:val="decimal"/>
      <w:lvlText w:val="%2)"/>
      <w:lvlJc w:val="left"/>
      <w:pPr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93416FF"/>
    <w:multiLevelType w:val="multilevel"/>
    <w:tmpl w:val="E48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75A17"/>
    <w:multiLevelType w:val="multilevel"/>
    <w:tmpl w:val="F742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7"/>
  </w:num>
  <w:num w:numId="8" w16cid:durableId="170605608">
    <w:abstractNumId w:val="6"/>
  </w:num>
  <w:num w:numId="9" w16cid:durableId="1449425243">
    <w:abstractNumId w:val="17"/>
  </w:num>
  <w:num w:numId="10" w16cid:durableId="638724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4"/>
  </w:num>
  <w:num w:numId="12" w16cid:durableId="257640275">
    <w:abstractNumId w:val="9"/>
  </w:num>
  <w:num w:numId="13" w16cid:durableId="1518348429">
    <w:abstractNumId w:val="22"/>
  </w:num>
  <w:num w:numId="14" w16cid:durableId="162821502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9"/>
  </w:num>
  <w:num w:numId="16" w16cid:durableId="1214585848">
    <w:abstractNumId w:val="20"/>
  </w:num>
  <w:num w:numId="17" w16cid:durableId="1807041582">
    <w:abstractNumId w:val="15"/>
  </w:num>
  <w:num w:numId="18" w16cid:durableId="1634434779">
    <w:abstractNumId w:val="25"/>
  </w:num>
  <w:num w:numId="19" w16cid:durableId="664404407">
    <w:abstractNumId w:val="16"/>
  </w:num>
  <w:num w:numId="20" w16cid:durableId="526211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23"/>
  </w:num>
  <w:num w:numId="24" w16cid:durableId="1927962311">
    <w:abstractNumId w:val="12"/>
  </w:num>
  <w:num w:numId="25" w16cid:durableId="29972763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420022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6217257">
    <w:abstractNumId w:val="26"/>
  </w:num>
  <w:num w:numId="28" w16cid:durableId="2024742605">
    <w:abstractNumId w:val="11"/>
  </w:num>
  <w:num w:numId="29" w16cid:durableId="1740865483">
    <w:abstractNumId w:val="18"/>
  </w:num>
  <w:num w:numId="30" w16cid:durableId="1418744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1687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48410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2DF"/>
    <w:rsid w:val="000A4D0A"/>
    <w:rsid w:val="000A6F35"/>
    <w:rsid w:val="000C460F"/>
    <w:rsid w:val="000E0050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789C"/>
    <w:rsid w:val="00196237"/>
    <w:rsid w:val="001A0245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639D"/>
    <w:rsid w:val="002C54C2"/>
    <w:rsid w:val="002C6E60"/>
    <w:rsid w:val="002C70B0"/>
    <w:rsid w:val="002E2311"/>
    <w:rsid w:val="002F27CC"/>
    <w:rsid w:val="00312A28"/>
    <w:rsid w:val="003172C3"/>
    <w:rsid w:val="00326F90"/>
    <w:rsid w:val="0034236D"/>
    <w:rsid w:val="003426AC"/>
    <w:rsid w:val="00351AC5"/>
    <w:rsid w:val="00356636"/>
    <w:rsid w:val="003645EC"/>
    <w:rsid w:val="00367ABF"/>
    <w:rsid w:val="003A3BA8"/>
    <w:rsid w:val="0041448C"/>
    <w:rsid w:val="0043064A"/>
    <w:rsid w:val="004310E7"/>
    <w:rsid w:val="00435DAA"/>
    <w:rsid w:val="004368C3"/>
    <w:rsid w:val="004424A2"/>
    <w:rsid w:val="00443A10"/>
    <w:rsid w:val="004509AE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119D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E2CD1"/>
    <w:rsid w:val="005F27CB"/>
    <w:rsid w:val="00605AD5"/>
    <w:rsid w:val="00615673"/>
    <w:rsid w:val="0062205A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E7808"/>
    <w:rsid w:val="006E7A5D"/>
    <w:rsid w:val="006F3D10"/>
    <w:rsid w:val="006F62FB"/>
    <w:rsid w:val="00701529"/>
    <w:rsid w:val="0071590E"/>
    <w:rsid w:val="00720F83"/>
    <w:rsid w:val="00740176"/>
    <w:rsid w:val="00742B4B"/>
    <w:rsid w:val="007710D5"/>
    <w:rsid w:val="00786D49"/>
    <w:rsid w:val="00793B3E"/>
    <w:rsid w:val="007D41E8"/>
    <w:rsid w:val="007D5FAF"/>
    <w:rsid w:val="007E7171"/>
    <w:rsid w:val="008210B9"/>
    <w:rsid w:val="008349CE"/>
    <w:rsid w:val="008453DC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0E65"/>
    <w:rsid w:val="008F1944"/>
    <w:rsid w:val="009014E5"/>
    <w:rsid w:val="00910F64"/>
    <w:rsid w:val="009168CD"/>
    <w:rsid w:val="0095331F"/>
    <w:rsid w:val="00975CDC"/>
    <w:rsid w:val="00983949"/>
    <w:rsid w:val="0098399F"/>
    <w:rsid w:val="009A70CF"/>
    <w:rsid w:val="00A03809"/>
    <w:rsid w:val="00A04D63"/>
    <w:rsid w:val="00A32555"/>
    <w:rsid w:val="00A42064"/>
    <w:rsid w:val="00A57057"/>
    <w:rsid w:val="00A91BA2"/>
    <w:rsid w:val="00A92C71"/>
    <w:rsid w:val="00A97C17"/>
    <w:rsid w:val="00AA1D8D"/>
    <w:rsid w:val="00AA27AC"/>
    <w:rsid w:val="00AA79E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70060"/>
    <w:rsid w:val="00B8258C"/>
    <w:rsid w:val="00B83CBB"/>
    <w:rsid w:val="00B9260A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B7BB0"/>
    <w:rsid w:val="00CC351F"/>
    <w:rsid w:val="00CC50D7"/>
    <w:rsid w:val="00CC7B3A"/>
    <w:rsid w:val="00CE2415"/>
    <w:rsid w:val="00CF6A79"/>
    <w:rsid w:val="00CF6D55"/>
    <w:rsid w:val="00D025E3"/>
    <w:rsid w:val="00D16C03"/>
    <w:rsid w:val="00D2248A"/>
    <w:rsid w:val="00D27310"/>
    <w:rsid w:val="00D30295"/>
    <w:rsid w:val="00D36EC1"/>
    <w:rsid w:val="00D52612"/>
    <w:rsid w:val="00D87FFB"/>
    <w:rsid w:val="00D96D1A"/>
    <w:rsid w:val="00DA44F4"/>
    <w:rsid w:val="00DB0ED9"/>
    <w:rsid w:val="00DB19A9"/>
    <w:rsid w:val="00DB5A41"/>
    <w:rsid w:val="00DC6EE4"/>
    <w:rsid w:val="00E20505"/>
    <w:rsid w:val="00E25AC0"/>
    <w:rsid w:val="00E32B40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A755A"/>
    <w:rsid w:val="00EC4CCC"/>
    <w:rsid w:val="00EE1A59"/>
    <w:rsid w:val="00EE56D5"/>
    <w:rsid w:val="00EF5B8C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2025-08-01T12:44:00Z</cp:lastPrinted>
  <dcterms:created xsi:type="dcterms:W3CDTF">2025-11-25T06:53:00Z</dcterms:created>
  <dcterms:modified xsi:type="dcterms:W3CDTF">2025-11-25T06:53:00Z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