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3493" w14:textId="14F41829" w:rsidR="0042397E" w:rsidRPr="00590070" w:rsidRDefault="0042397E">
      <w:pPr>
        <w:pStyle w:val="Nagwek1"/>
        <w:rPr>
          <w:rFonts w:cstheme="minorBidi"/>
          <w:noProof/>
          <w:color w:val="004C97"/>
          <w:sz w:val="28"/>
          <w:szCs w:val="28"/>
        </w:rPr>
      </w:pPr>
      <w:r w:rsidRPr="00590070">
        <w:rPr>
          <w:rFonts w:cstheme="minorBidi"/>
          <w:noProof/>
          <w:color w:val="004C97"/>
          <w:sz w:val="28"/>
          <w:szCs w:val="28"/>
        </w:rPr>
        <w:t>Polska: Oświadczenie Końcowe Misji z Artykułu IV w 202</w:t>
      </w:r>
      <w:r w:rsidR="00711C7A" w:rsidRPr="00590070">
        <w:rPr>
          <w:rFonts w:cstheme="minorBidi"/>
          <w:noProof/>
          <w:color w:val="004C97"/>
          <w:sz w:val="28"/>
          <w:szCs w:val="28"/>
        </w:rPr>
        <w:t>5</w:t>
      </w:r>
      <w:r w:rsidRPr="00590070">
        <w:rPr>
          <w:rFonts w:cstheme="minorBidi"/>
          <w:noProof/>
          <w:color w:val="004C97"/>
          <w:sz w:val="28"/>
          <w:szCs w:val="28"/>
        </w:rPr>
        <w:t xml:space="preserve"> r.</w:t>
      </w:r>
    </w:p>
    <w:p w14:paraId="5636865D" w14:textId="593588E0" w:rsidR="0042397E" w:rsidRPr="00590070" w:rsidRDefault="0042397E" w:rsidP="0042397E">
      <w:pPr>
        <w:jc w:val="center"/>
        <w:rPr>
          <w:b/>
          <w:color w:val="004C97"/>
          <w:sz w:val="28"/>
          <w:szCs w:val="28"/>
          <w:lang w:val="pl-PL"/>
        </w:rPr>
      </w:pPr>
      <w:r w:rsidRPr="00590070">
        <w:rPr>
          <w:b/>
          <w:color w:val="004C97"/>
          <w:sz w:val="28"/>
          <w:szCs w:val="28"/>
          <w:lang w:val="pl-PL"/>
        </w:rPr>
        <w:t>/</w:t>
      </w:r>
      <w:r w:rsidR="001D65CE" w:rsidRPr="001D65CE">
        <w:rPr>
          <w:b/>
          <w:color w:val="004C97"/>
          <w:sz w:val="28"/>
          <w:szCs w:val="28"/>
          <w:lang w:val="pl-PL"/>
        </w:rPr>
        <w:t xml:space="preserve"> </w:t>
      </w:r>
      <w:r w:rsidR="001D65CE" w:rsidRPr="00590070">
        <w:rPr>
          <w:b/>
          <w:color w:val="004C97"/>
          <w:sz w:val="28"/>
          <w:szCs w:val="28"/>
          <w:lang w:val="pl-PL"/>
        </w:rPr>
        <w:t xml:space="preserve">tłumaczenie </w:t>
      </w:r>
      <w:r w:rsidRPr="00590070">
        <w:rPr>
          <w:b/>
          <w:color w:val="004C97"/>
          <w:sz w:val="28"/>
          <w:szCs w:val="28"/>
          <w:lang w:val="pl-PL"/>
        </w:rPr>
        <w:t>robocze /</w:t>
      </w:r>
    </w:p>
    <w:p w14:paraId="36AFF5C7" w14:textId="77777777" w:rsidR="00B83528" w:rsidRDefault="00B83528" w:rsidP="0042397E">
      <w:pPr>
        <w:shd w:val="clear" w:color="auto" w:fill="D9D9D9" w:themeFill="background1" w:themeFillShade="D9"/>
        <w:spacing w:after="179" w:line="288" w:lineRule="auto"/>
        <w:ind w:left="103" w:right="25"/>
        <w:rPr>
          <w:sz w:val="18"/>
          <w:szCs w:val="18"/>
          <w:lang w:val="pl-PL"/>
        </w:rPr>
      </w:pPr>
    </w:p>
    <w:p w14:paraId="11D9EA4C" w14:textId="6A757254" w:rsidR="0042397E" w:rsidRPr="00590070" w:rsidRDefault="0042397E" w:rsidP="0042397E">
      <w:pPr>
        <w:shd w:val="clear" w:color="auto" w:fill="D9D9D9" w:themeFill="background1" w:themeFillShade="D9"/>
        <w:spacing w:after="179" w:line="288" w:lineRule="auto"/>
        <w:ind w:left="103" w:right="25"/>
        <w:rPr>
          <w:sz w:val="18"/>
          <w:szCs w:val="18"/>
          <w:lang w:val="pl-PL"/>
        </w:rPr>
      </w:pPr>
      <w:r w:rsidRPr="00590070">
        <w:rPr>
          <w:sz w:val="18"/>
          <w:szCs w:val="18"/>
          <w:lang w:val="pl-PL"/>
        </w:rPr>
        <w:t xml:space="preserve">Oświadczenie końcowe opisuje wstępne ustalenia pracowników MFW na zakończenie oficjalnej wizyty personelu (lub "misji"). Misje są podejmowane w ramach regularnych (zazwyczaj corocznych) konsultacji na mocy </w:t>
      </w:r>
      <w:hyperlink r:id="rId10" w:history="1">
        <w:r w:rsidRPr="00590070">
          <w:rPr>
            <w:rStyle w:val="Hipercze"/>
            <w:sz w:val="18"/>
            <w:szCs w:val="18"/>
            <w:lang w:val="pl-PL"/>
          </w:rPr>
          <w:t>Art. IV</w:t>
        </w:r>
      </w:hyperlink>
      <w:r w:rsidRPr="00590070">
        <w:rPr>
          <w:sz w:val="18"/>
          <w:szCs w:val="18"/>
          <w:lang w:val="pl-PL"/>
        </w:rPr>
        <w:t xml:space="preserve"> Statutu MFW, w kontekście wniosku o wykorzystanie zasobów MFW (zapożyczonych od MFW), w ramach dyskusji na temat programów monitorowanych przez personel lub w ramach monitorowania rozwoju sytuacji gospodarczej. </w:t>
      </w:r>
    </w:p>
    <w:p w14:paraId="1869CCF2" w14:textId="7C7E3C3D" w:rsidR="004E747E" w:rsidRPr="00590070" w:rsidRDefault="0042397E" w:rsidP="0042397E">
      <w:pPr>
        <w:shd w:val="clear" w:color="auto" w:fill="D9D9D9" w:themeFill="background1" w:themeFillShade="D9"/>
        <w:spacing w:after="179" w:line="288" w:lineRule="auto"/>
        <w:ind w:left="103" w:right="25"/>
        <w:rPr>
          <w:lang w:val="pl-PL"/>
        </w:rPr>
      </w:pPr>
      <w:r w:rsidRPr="00590070">
        <w:rPr>
          <w:sz w:val="18"/>
          <w:szCs w:val="18"/>
          <w:lang w:val="pl-PL"/>
        </w:rPr>
        <w:t xml:space="preserve">Władze wyraziły zgodę na publikację niniejszego oświadczenia. Poglądy wyrażone w niniejszym oświadczeniu są poglądami pracowników MFW i niekoniecznie reprezentują poglądy Rady Wykonawczej MFW. Na podstawie wstępnych ustaleń tej misji pracownicy przygotują sprawozdanie, które, po zatwierdzeniu przez kierownictwo, zostanie przedstawione Radzie Wykonawczej MFW w celu omówienia i zatwierdzenia. </w:t>
      </w:r>
      <w:r w:rsidR="0049396B" w:rsidRPr="00590070">
        <w:rPr>
          <w:sz w:val="18"/>
          <w:szCs w:val="18"/>
          <w:lang w:val="pl-PL"/>
        </w:rPr>
        <w:t xml:space="preserve"> </w:t>
      </w:r>
    </w:p>
    <w:p w14:paraId="2DE821C7" w14:textId="13CAD396" w:rsidR="004E747E" w:rsidRPr="00590070" w:rsidRDefault="00711C7A">
      <w:pPr>
        <w:spacing w:after="187" w:line="266" w:lineRule="auto"/>
        <w:ind w:left="-5"/>
        <w:rPr>
          <w:lang w:val="pl-PL"/>
        </w:rPr>
      </w:pPr>
      <w:r w:rsidRPr="00590070">
        <w:rPr>
          <w:b/>
          <w:lang w:val="pl-PL"/>
        </w:rPr>
        <w:t>Waszyngton</w:t>
      </w:r>
      <w:r w:rsidR="0049396B" w:rsidRPr="00590070">
        <w:rPr>
          <w:b/>
          <w:lang w:val="pl-PL"/>
        </w:rPr>
        <w:t xml:space="preserve"> – </w:t>
      </w:r>
      <w:r w:rsidRPr="00590070">
        <w:rPr>
          <w:b/>
          <w:lang w:val="pl-PL"/>
        </w:rPr>
        <w:t>24 listopada</w:t>
      </w:r>
      <w:r w:rsidR="0049396B" w:rsidRPr="00590070">
        <w:rPr>
          <w:b/>
          <w:lang w:val="pl-PL"/>
        </w:rPr>
        <w:t xml:space="preserve"> </w:t>
      </w:r>
      <w:r w:rsidR="00CB22E7" w:rsidRPr="00590070">
        <w:rPr>
          <w:b/>
          <w:lang w:val="pl-PL"/>
        </w:rPr>
        <w:t>2025</w:t>
      </w:r>
      <w:r w:rsidRPr="00590070">
        <w:rPr>
          <w:b/>
          <w:lang w:val="pl-PL"/>
        </w:rPr>
        <w:t xml:space="preserve"> r.</w:t>
      </w:r>
      <w:r w:rsidR="0049396B" w:rsidRPr="00590070">
        <w:rPr>
          <w:b/>
          <w:lang w:val="pl-PL"/>
        </w:rPr>
        <w:t>:</w:t>
      </w:r>
      <w:r w:rsidR="0049396B" w:rsidRPr="00590070">
        <w:rPr>
          <w:lang w:val="pl-PL"/>
        </w:rPr>
        <w:t xml:space="preserve">  </w:t>
      </w:r>
    </w:p>
    <w:p w14:paraId="709463DF" w14:textId="34CB129E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t xml:space="preserve">Misja Międzynarodowego Funduszu Walutowego pod przewodnictwem Geoffa Gottlieba, w składzie Kareem Ismail, Moheb Malak, Alla Myrvoda oraz Yang Yang, odwiedziła Warszawę w dniach 12–24 listopada 2025 r. w ramach </w:t>
      </w:r>
      <w:r w:rsidR="00C0741D" w:rsidRPr="00590070">
        <w:rPr>
          <w:i/>
          <w:iCs/>
          <w:lang w:val="pl-PL"/>
        </w:rPr>
        <w:t xml:space="preserve">tegorocznych </w:t>
      </w:r>
      <w:r w:rsidRPr="00590070">
        <w:rPr>
          <w:i/>
          <w:iCs/>
          <w:lang w:val="pl-PL"/>
        </w:rPr>
        <w:t xml:space="preserve">konsultacji </w:t>
      </w:r>
      <w:r w:rsidR="00C0741D" w:rsidRPr="00590070">
        <w:rPr>
          <w:i/>
          <w:iCs/>
          <w:lang w:val="pl-PL"/>
        </w:rPr>
        <w:t>na mocy</w:t>
      </w:r>
      <w:r w:rsidRPr="00590070">
        <w:rPr>
          <w:i/>
          <w:iCs/>
          <w:lang w:val="pl-PL"/>
        </w:rPr>
        <w:t xml:space="preserve"> Artykułu IV </w:t>
      </w:r>
      <w:r w:rsidR="00C0741D" w:rsidRPr="00590070">
        <w:rPr>
          <w:i/>
          <w:iCs/>
          <w:lang w:val="pl-PL"/>
        </w:rPr>
        <w:t>Statutu MFW</w:t>
      </w:r>
      <w:r w:rsidRPr="00590070">
        <w:rPr>
          <w:i/>
          <w:iCs/>
          <w:lang w:val="pl-PL"/>
        </w:rPr>
        <w:t>.</w:t>
      </w:r>
    </w:p>
    <w:p w14:paraId="07C843F2" w14:textId="011DD5D3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t>O</w:t>
      </w:r>
      <w:r w:rsidR="00C0741D" w:rsidRPr="00590070">
        <w:rPr>
          <w:i/>
          <w:iCs/>
          <w:lang w:val="pl-PL"/>
        </w:rPr>
        <w:t>żywienie</w:t>
      </w:r>
      <w:r w:rsidRPr="00590070">
        <w:rPr>
          <w:i/>
          <w:iCs/>
          <w:lang w:val="pl-PL"/>
        </w:rPr>
        <w:t xml:space="preserve"> gospodarcze Polski pozostaje silne, z</w:t>
      </w:r>
      <w:r w:rsidR="00C0741D" w:rsidRPr="00590070">
        <w:rPr>
          <w:i/>
          <w:iCs/>
          <w:lang w:val="pl-PL"/>
        </w:rPr>
        <w:t xml:space="preserve"> </w:t>
      </w:r>
      <w:r w:rsidR="00CF1597" w:rsidRPr="00590070">
        <w:rPr>
          <w:i/>
          <w:iCs/>
          <w:lang w:val="pl-PL"/>
        </w:rPr>
        <w:t>jednym z najwyższych wzrostów w Europ</w:t>
      </w:r>
      <w:r w:rsidR="00590070">
        <w:rPr>
          <w:i/>
          <w:iCs/>
          <w:lang w:val="pl-PL"/>
        </w:rPr>
        <w:t>i</w:t>
      </w:r>
      <w:r w:rsidR="00CF1597" w:rsidRPr="00590070">
        <w:rPr>
          <w:i/>
          <w:iCs/>
          <w:lang w:val="pl-PL"/>
        </w:rPr>
        <w:t>e</w:t>
      </w:r>
      <w:r w:rsidR="00590070">
        <w:rPr>
          <w:i/>
          <w:iCs/>
          <w:lang w:val="pl-PL"/>
        </w:rPr>
        <w:t>,</w:t>
      </w:r>
      <w:r w:rsidRPr="00590070">
        <w:rPr>
          <w:i/>
          <w:iCs/>
          <w:lang w:val="pl-PL"/>
        </w:rPr>
        <w:t xml:space="preserve"> i inflacją mieszczącą się obecnie w przedziale </w:t>
      </w:r>
      <w:r w:rsidR="00C0741D" w:rsidRPr="00590070">
        <w:rPr>
          <w:i/>
          <w:iCs/>
          <w:lang w:val="pl-PL"/>
        </w:rPr>
        <w:t>odchyleń od celu</w:t>
      </w:r>
      <w:r w:rsidRPr="00590070">
        <w:rPr>
          <w:i/>
          <w:iCs/>
          <w:lang w:val="pl-PL"/>
        </w:rPr>
        <w:t xml:space="preserve"> banku centralnego. Wzrost napędzany jest solidnym wzrostem płac oraz akomodacyjną polityką fiskalną, podczas gdy inflacja </w:t>
      </w:r>
      <w:r w:rsidR="00C0741D" w:rsidRPr="00590070">
        <w:rPr>
          <w:i/>
          <w:iCs/>
          <w:lang w:val="pl-PL"/>
        </w:rPr>
        <w:t>osłabła</w:t>
      </w:r>
      <w:r w:rsidRPr="00590070">
        <w:rPr>
          <w:i/>
          <w:iCs/>
          <w:lang w:val="pl-PL"/>
        </w:rPr>
        <w:t xml:space="preserve"> dzięki </w:t>
      </w:r>
      <w:r w:rsidR="00CF1597" w:rsidRPr="00590070">
        <w:rPr>
          <w:i/>
          <w:iCs/>
          <w:lang w:val="pl-PL"/>
        </w:rPr>
        <w:t>odpowiednio</w:t>
      </w:r>
      <w:r w:rsidR="00E83270" w:rsidRPr="00590070">
        <w:rPr>
          <w:i/>
          <w:iCs/>
          <w:lang w:val="pl-PL"/>
        </w:rPr>
        <w:t xml:space="preserve"> </w:t>
      </w:r>
      <w:r w:rsidRPr="00590070">
        <w:rPr>
          <w:i/>
          <w:iCs/>
          <w:lang w:val="pl-PL"/>
        </w:rPr>
        <w:t xml:space="preserve">restrykcyjnej polityce pieniężnej oraz sprzyjającym czynnikom zewnętrznym, w tym niższym cenom </w:t>
      </w:r>
      <w:r w:rsidR="00C0741D" w:rsidRPr="00590070">
        <w:rPr>
          <w:i/>
          <w:iCs/>
          <w:lang w:val="pl-PL"/>
        </w:rPr>
        <w:t>na rynkach światowych</w:t>
      </w:r>
      <w:r w:rsidRPr="00590070">
        <w:rPr>
          <w:i/>
          <w:iCs/>
          <w:lang w:val="pl-PL"/>
        </w:rPr>
        <w:t xml:space="preserve"> i silniejszemu kursowi walutowemu. Jednakże ożywienie gospodarcze</w:t>
      </w:r>
      <w:r w:rsidR="00C0741D" w:rsidRPr="00590070">
        <w:rPr>
          <w:i/>
          <w:iCs/>
          <w:lang w:val="pl-PL"/>
        </w:rPr>
        <w:t xml:space="preserve"> następuje</w:t>
      </w:r>
      <w:r w:rsidRPr="00590070">
        <w:rPr>
          <w:i/>
          <w:iCs/>
          <w:lang w:val="pl-PL"/>
        </w:rPr>
        <w:t xml:space="preserve"> częściowo kosztem gwałtownego pogorszenia sytuacji fiskalnej: deficyt należy do najwyższych w Europie, a dług publiczny szybko rośnie. W perspektywie kolejnych lat wzrost </w:t>
      </w:r>
      <w:r w:rsidR="00C0741D" w:rsidRPr="00590070">
        <w:rPr>
          <w:i/>
          <w:iCs/>
          <w:lang w:val="pl-PL"/>
        </w:rPr>
        <w:t xml:space="preserve">gospodarczy </w:t>
      </w:r>
      <w:r w:rsidRPr="00590070">
        <w:rPr>
          <w:i/>
          <w:iCs/>
          <w:lang w:val="pl-PL"/>
        </w:rPr>
        <w:t>powinien pozostać s</w:t>
      </w:r>
      <w:r w:rsidR="00C0741D" w:rsidRPr="00590070">
        <w:rPr>
          <w:i/>
          <w:iCs/>
          <w:lang w:val="pl-PL"/>
        </w:rPr>
        <w:t>il</w:t>
      </w:r>
      <w:r w:rsidRPr="00590070">
        <w:rPr>
          <w:i/>
          <w:iCs/>
          <w:lang w:val="pl-PL"/>
        </w:rPr>
        <w:t>ny, lecz narastające ryzyka fiskalne oraz wyzwania strukturalne – takie jak starzenie się społeczeństwa, ograniczona innowacyjność i niski poziom inwestycji – mogą zagrozić dalszej konwergencji Polski do światowej czołówki. Rozwiązanie tych problemów będzie wymagało zdecydowanych reform w warunkach spolaryzowanego środowiska politycznego.</w:t>
      </w:r>
    </w:p>
    <w:p w14:paraId="28E35DFA" w14:textId="77777777" w:rsidR="00711C7A" w:rsidRPr="00590070" w:rsidRDefault="00711C7A" w:rsidP="00711C7A">
      <w:pPr>
        <w:spacing w:before="160" w:after="0" w:line="300" w:lineRule="auto"/>
      </w:pPr>
      <w:r w:rsidRPr="00590070">
        <w:rPr>
          <w:i/>
          <w:iCs/>
        </w:rPr>
        <w:t>Priorytety polityki obejmują:</w:t>
      </w:r>
    </w:p>
    <w:p w14:paraId="3599091A" w14:textId="77777777" w:rsidR="00711C7A" w:rsidRPr="00590070" w:rsidRDefault="00711C7A" w:rsidP="00711C7A">
      <w:pPr>
        <w:numPr>
          <w:ilvl w:val="0"/>
          <w:numId w:val="7"/>
        </w:num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t>Stabilizację długu publicznego poprzez wiarygodną konsolidację fiskalną, opartą na wysokiej jakości działaniach i wzmocnionych ramach fiskalnych.</w:t>
      </w:r>
    </w:p>
    <w:p w14:paraId="4AFEF6A6" w14:textId="02D33AC2" w:rsidR="00711C7A" w:rsidRPr="00590070" w:rsidRDefault="00711C7A" w:rsidP="00711C7A">
      <w:pPr>
        <w:numPr>
          <w:ilvl w:val="0"/>
          <w:numId w:val="7"/>
        </w:num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t xml:space="preserve">Zapewnienie trwałego zakotwiczenia inflacji </w:t>
      </w:r>
      <w:r w:rsidR="00CF1597" w:rsidRPr="00590070">
        <w:rPr>
          <w:i/>
          <w:iCs/>
          <w:lang w:val="pl-PL"/>
        </w:rPr>
        <w:t>w pobliżu środka dopuszczalnego przedziału</w:t>
      </w:r>
      <w:r w:rsidRPr="00590070">
        <w:rPr>
          <w:i/>
          <w:iCs/>
          <w:lang w:val="pl-PL"/>
        </w:rPr>
        <w:t xml:space="preserve"> </w:t>
      </w:r>
      <w:r w:rsidR="00CF1597" w:rsidRPr="00590070">
        <w:rPr>
          <w:i/>
          <w:iCs/>
          <w:lang w:val="pl-PL"/>
        </w:rPr>
        <w:t xml:space="preserve">odchyleń od celu NBP </w:t>
      </w:r>
      <w:r w:rsidRPr="00590070">
        <w:rPr>
          <w:i/>
          <w:iCs/>
          <w:lang w:val="pl-PL"/>
        </w:rPr>
        <w:t xml:space="preserve">poprzez </w:t>
      </w:r>
      <w:r w:rsidR="00CF1597" w:rsidRPr="00590070">
        <w:rPr>
          <w:i/>
          <w:iCs/>
          <w:lang w:val="pl-PL"/>
        </w:rPr>
        <w:t xml:space="preserve">spowolnienie </w:t>
      </w:r>
      <w:r w:rsidRPr="00590070">
        <w:rPr>
          <w:i/>
          <w:iCs/>
          <w:lang w:val="pl-PL"/>
        </w:rPr>
        <w:t>dalszego luzowania polityki pieniężnej</w:t>
      </w:r>
      <w:r w:rsidR="00CF1597" w:rsidRPr="00590070">
        <w:rPr>
          <w:i/>
          <w:iCs/>
          <w:lang w:val="pl-PL"/>
        </w:rPr>
        <w:t>.</w:t>
      </w:r>
    </w:p>
    <w:p w14:paraId="32490DBB" w14:textId="299BF1A0" w:rsidR="00711C7A" w:rsidRPr="00590070" w:rsidRDefault="00C0741D" w:rsidP="00711C7A">
      <w:pPr>
        <w:numPr>
          <w:ilvl w:val="0"/>
          <w:numId w:val="7"/>
        </w:num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t>Zmniejszenie zaburz</w:t>
      </w:r>
      <w:r w:rsidR="00711C7A" w:rsidRPr="00590070">
        <w:rPr>
          <w:i/>
          <w:iCs/>
          <w:lang w:val="pl-PL"/>
        </w:rPr>
        <w:t xml:space="preserve">eń i ryzyk prawnych </w:t>
      </w:r>
      <w:r w:rsidRPr="00590070">
        <w:rPr>
          <w:i/>
          <w:iCs/>
          <w:lang w:val="pl-PL"/>
        </w:rPr>
        <w:t>ograniczających podaż</w:t>
      </w:r>
      <w:r w:rsidR="001F52CF">
        <w:rPr>
          <w:i/>
          <w:iCs/>
          <w:lang w:val="pl-PL"/>
        </w:rPr>
        <w:t xml:space="preserve"> kredytu</w:t>
      </w:r>
      <w:r w:rsidR="00711C7A" w:rsidRPr="00590070">
        <w:rPr>
          <w:i/>
          <w:iCs/>
          <w:lang w:val="pl-PL"/>
        </w:rPr>
        <w:t xml:space="preserve">, przy jednoczesnym </w:t>
      </w:r>
      <w:r w:rsidRPr="00590070">
        <w:rPr>
          <w:i/>
          <w:iCs/>
          <w:lang w:val="pl-PL"/>
        </w:rPr>
        <w:t>utrzym</w:t>
      </w:r>
      <w:r w:rsidR="00711C7A" w:rsidRPr="00590070">
        <w:rPr>
          <w:i/>
          <w:iCs/>
          <w:lang w:val="pl-PL"/>
        </w:rPr>
        <w:t>aniu stabilności finansowej.</w:t>
      </w:r>
    </w:p>
    <w:p w14:paraId="37A08717" w14:textId="32F17FD3" w:rsidR="00711C7A" w:rsidRPr="00590070" w:rsidRDefault="00C0741D" w:rsidP="00711C7A">
      <w:pPr>
        <w:numPr>
          <w:ilvl w:val="0"/>
          <w:numId w:val="7"/>
        </w:numPr>
        <w:spacing w:before="160" w:after="0" w:line="300" w:lineRule="auto"/>
        <w:rPr>
          <w:lang w:val="pl-PL"/>
        </w:rPr>
      </w:pPr>
      <w:r w:rsidRPr="00590070">
        <w:rPr>
          <w:i/>
          <w:iCs/>
          <w:lang w:val="pl-PL"/>
        </w:rPr>
        <w:lastRenderedPageBreak/>
        <w:t>Wprowadz</w:t>
      </w:r>
      <w:r w:rsidR="00711C7A" w:rsidRPr="00590070">
        <w:rPr>
          <w:i/>
          <w:iCs/>
          <w:lang w:val="pl-PL"/>
        </w:rPr>
        <w:t>enie reform strukturalnych – zarówno krajowych, jak i na poziomie UE – w celu zwiększenia innowacyjności, pogłębienia rynków kapitałowych, wsparcia produktywności pracy oraz poprawy konkurencyjności energetycznej.</w:t>
      </w:r>
    </w:p>
    <w:p w14:paraId="710424B2" w14:textId="3D624702" w:rsidR="00711C7A" w:rsidRPr="00590070" w:rsidRDefault="00711C7A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>O</w:t>
      </w:r>
      <w:r w:rsidR="00C0741D" w:rsidRPr="00590070">
        <w:rPr>
          <w:b/>
          <w:bCs/>
          <w:lang w:val="pl-PL"/>
        </w:rPr>
        <w:t>cena sytuacji bieżącej</w:t>
      </w:r>
    </w:p>
    <w:p w14:paraId="4700A7FD" w14:textId="56D6466E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Ożywienie gospodarcze Polski jest imponujące.</w:t>
      </w:r>
      <w:r w:rsidRPr="00590070">
        <w:rPr>
          <w:lang w:val="pl-PL"/>
        </w:rPr>
        <w:t xml:space="preserve"> Realn</w:t>
      </w:r>
      <w:r w:rsidR="00C0741D" w:rsidRPr="00590070">
        <w:rPr>
          <w:lang w:val="pl-PL"/>
        </w:rPr>
        <w:t>y Produkt Krajowy Brutto</w:t>
      </w:r>
      <w:r w:rsidRPr="00590070">
        <w:rPr>
          <w:lang w:val="pl-PL"/>
        </w:rPr>
        <w:t xml:space="preserve"> </w:t>
      </w:r>
      <w:r w:rsidR="00C0741D" w:rsidRPr="00590070">
        <w:rPr>
          <w:lang w:val="pl-PL"/>
        </w:rPr>
        <w:t xml:space="preserve">(PKB) </w:t>
      </w:r>
      <w:r w:rsidRPr="00590070">
        <w:rPr>
          <w:lang w:val="pl-PL"/>
        </w:rPr>
        <w:t>wzr</w:t>
      </w:r>
      <w:r w:rsidR="00C0741D" w:rsidRPr="00590070">
        <w:rPr>
          <w:lang w:val="pl-PL"/>
        </w:rPr>
        <w:t>ó</w:t>
      </w:r>
      <w:r w:rsidRPr="00590070">
        <w:rPr>
          <w:lang w:val="pl-PL"/>
        </w:rPr>
        <w:t>sł o 6% od końca 2023 r., napędzan</w:t>
      </w:r>
      <w:r w:rsidR="00C0741D" w:rsidRPr="00590070">
        <w:rPr>
          <w:lang w:val="pl-PL"/>
        </w:rPr>
        <w:t>y</w:t>
      </w:r>
      <w:r w:rsidRPr="00590070">
        <w:rPr>
          <w:lang w:val="pl-PL"/>
        </w:rPr>
        <w:t xml:space="preserve"> wzrostem realnych płac i silną konsumpcją prywatną. Stymulacja fiskalna wsparła odbudowę popytu, choć odpowiednio restrykcyjna polityka pieniężna częściowo zrównoważyła te efekty. Gospodarka funkcjonuje obecnie blisko potencjału, a rynek pracy pozostaje </w:t>
      </w:r>
      <w:r w:rsidR="00E83270" w:rsidRPr="00590070">
        <w:rPr>
          <w:lang w:val="pl-PL"/>
        </w:rPr>
        <w:t xml:space="preserve">względnie </w:t>
      </w:r>
      <w:r w:rsidRPr="00590070">
        <w:rPr>
          <w:lang w:val="pl-PL"/>
        </w:rPr>
        <w:t xml:space="preserve">napięty, </w:t>
      </w:r>
      <w:r w:rsidR="00C0741D" w:rsidRPr="00590070">
        <w:rPr>
          <w:lang w:val="pl-PL"/>
        </w:rPr>
        <w:t xml:space="preserve">pomimo </w:t>
      </w:r>
      <w:r w:rsidR="00E83270" w:rsidRPr="00590070">
        <w:rPr>
          <w:lang w:val="pl-PL"/>
        </w:rPr>
        <w:t xml:space="preserve">spadku zatrudnienia w sektorze przedsiębiorstw  i znacznego </w:t>
      </w:r>
      <w:r w:rsidR="00C0741D" w:rsidRPr="00590070">
        <w:rPr>
          <w:lang w:val="pl-PL"/>
        </w:rPr>
        <w:t xml:space="preserve">spowolnienia </w:t>
      </w:r>
      <w:r w:rsidRPr="00590070">
        <w:rPr>
          <w:lang w:val="pl-PL"/>
        </w:rPr>
        <w:t>wzrostu płac</w:t>
      </w:r>
      <w:r w:rsidR="00E83270" w:rsidRPr="00590070">
        <w:rPr>
          <w:lang w:val="pl-PL"/>
        </w:rPr>
        <w:t>.</w:t>
      </w:r>
      <w:r w:rsidRPr="00590070">
        <w:rPr>
          <w:lang w:val="pl-PL"/>
        </w:rPr>
        <w:t xml:space="preserve"> </w:t>
      </w:r>
      <w:r w:rsidR="00C0741D" w:rsidRPr="00590070">
        <w:rPr>
          <w:lang w:val="pl-PL"/>
        </w:rPr>
        <w:t>Ujem</w:t>
      </w:r>
      <w:r w:rsidRPr="00590070">
        <w:rPr>
          <w:lang w:val="pl-PL"/>
        </w:rPr>
        <w:t xml:space="preserve">na luka popytowa oraz </w:t>
      </w:r>
      <w:r w:rsidR="00CF1597" w:rsidRPr="00590070">
        <w:rPr>
          <w:lang w:val="pl-PL"/>
        </w:rPr>
        <w:t>odpowiednio</w:t>
      </w:r>
      <w:r w:rsidR="00E83270" w:rsidRPr="00590070">
        <w:rPr>
          <w:lang w:val="pl-PL"/>
        </w:rPr>
        <w:t xml:space="preserve"> </w:t>
      </w:r>
      <w:r w:rsidRPr="00590070">
        <w:rPr>
          <w:lang w:val="pl-PL"/>
        </w:rPr>
        <w:t xml:space="preserve">restrykcyjna polityka pieniężna przyczyniły się do spadku inflacji, która w październiku wyniosła 2,8% r/r, mieszcząc się w przedziale </w:t>
      </w:r>
      <w:r w:rsidR="00C0741D" w:rsidRPr="00590070">
        <w:rPr>
          <w:lang w:val="pl-PL"/>
        </w:rPr>
        <w:t>odchyleń od celu</w:t>
      </w:r>
      <w:r w:rsidRPr="00590070">
        <w:rPr>
          <w:lang w:val="pl-PL"/>
        </w:rPr>
        <w:t xml:space="preserve"> NBP (2,5% ±1 pkt proc.). Rachunek bieżący </w:t>
      </w:r>
      <w:r w:rsidR="00C0741D" w:rsidRPr="00590070">
        <w:rPr>
          <w:lang w:val="pl-PL"/>
        </w:rPr>
        <w:t xml:space="preserve">w bilansie płatniczym </w:t>
      </w:r>
      <w:r w:rsidRPr="00590070">
        <w:rPr>
          <w:lang w:val="pl-PL"/>
        </w:rPr>
        <w:t xml:space="preserve">przeszedł w niewielki deficyt, odzwierciedlając wyższą konsumpcję i słaby popyt zagraniczny, </w:t>
      </w:r>
      <w:r w:rsidR="00C0741D" w:rsidRPr="00590070">
        <w:rPr>
          <w:lang w:val="pl-PL"/>
        </w:rPr>
        <w:t>co jest</w:t>
      </w:r>
      <w:r w:rsidRPr="00590070">
        <w:rPr>
          <w:lang w:val="pl-PL"/>
        </w:rPr>
        <w:t xml:space="preserve"> zasadniczo zgodn</w:t>
      </w:r>
      <w:r w:rsidR="00C0741D" w:rsidRPr="00590070">
        <w:rPr>
          <w:lang w:val="pl-PL"/>
        </w:rPr>
        <w:t>e</w:t>
      </w:r>
      <w:r w:rsidRPr="00590070">
        <w:rPr>
          <w:lang w:val="pl-PL"/>
        </w:rPr>
        <w:t xml:space="preserve"> z poziomem wynikającym z fundamentów średnioterminowych i pożądanych polityk.</w:t>
      </w:r>
    </w:p>
    <w:p w14:paraId="7F398154" w14:textId="65795091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Nierównowaga fiskalna znacznie się pogłębiła.</w:t>
      </w:r>
      <w:r w:rsidRPr="00590070">
        <w:rPr>
          <w:lang w:val="pl-PL"/>
        </w:rPr>
        <w:t xml:space="preserve"> W 2025 r. deficyt fiskalny i dług publiczny mają osiągnąć odpowiednio 7% i niemal 60% PKB. Polska ma drugi co do wielkości deficyt fiskalny w Europie w tym roku, mimo silnej gospodarki i w zasadzie </w:t>
      </w:r>
      <w:r w:rsidR="00C0741D" w:rsidRPr="00590070">
        <w:rPr>
          <w:lang w:val="pl-PL"/>
        </w:rPr>
        <w:t>do</w:t>
      </w:r>
      <w:r w:rsidRPr="00590070">
        <w:rPr>
          <w:lang w:val="pl-PL"/>
        </w:rPr>
        <w:t xml:space="preserve">mkniętej luki popytowej. Pogłębienie deficytu od 2021 r. wynika wyłącznie ze wzrostu wydatków o 6,5% PKB; dochody wzrosły w tym czasie o 1,2% PKB. </w:t>
      </w:r>
      <w:r w:rsidR="00C0741D" w:rsidRPr="00590070">
        <w:rPr>
          <w:lang w:val="pl-PL"/>
        </w:rPr>
        <w:t>Wielkość</w:t>
      </w:r>
      <w:r w:rsidRPr="00590070">
        <w:rPr>
          <w:lang w:val="pl-PL"/>
        </w:rPr>
        <w:t xml:space="preserve"> wydatków odpowiada obecnie poziomom </w:t>
      </w:r>
      <w:r w:rsidR="00C0741D" w:rsidRPr="00590070">
        <w:rPr>
          <w:lang w:val="pl-PL"/>
        </w:rPr>
        <w:t xml:space="preserve">obserwowanym </w:t>
      </w:r>
      <w:r w:rsidRPr="00590070">
        <w:rPr>
          <w:lang w:val="pl-PL"/>
        </w:rPr>
        <w:t xml:space="preserve">w krajach Europy Zachodniej – mimo różnic w strukturze – podczas gdy dochody pozostają bliższe </w:t>
      </w:r>
      <w:r w:rsidR="00C0741D" w:rsidRPr="00590070">
        <w:rPr>
          <w:lang w:val="pl-PL"/>
        </w:rPr>
        <w:t>tym</w:t>
      </w:r>
      <w:r w:rsidRPr="00590070">
        <w:rPr>
          <w:lang w:val="pl-PL"/>
        </w:rPr>
        <w:t xml:space="preserve"> w Europie Środkowo-Wschodniej. W rezultacie dług publiczny rośnie w ostatnich latach w tempie ok. 5% PKB rocznie.</w:t>
      </w:r>
    </w:p>
    <w:p w14:paraId="5C236D59" w14:textId="77777777" w:rsidR="00711C7A" w:rsidRPr="00590070" w:rsidRDefault="00A823B1" w:rsidP="00711C7A">
      <w:pPr>
        <w:spacing w:before="160" w:line="300" w:lineRule="auto"/>
      </w:pPr>
      <w:r>
        <w:pict w14:anchorId="7DA1F07A">
          <v:rect id="_x0000_i1025" style="width:0;height:1.5pt" o:hralign="center" o:hrstd="t" o:hr="t" fillcolor="#a0a0a0" stroked="f"/>
        </w:pict>
      </w:r>
    </w:p>
    <w:p w14:paraId="5626D6A8" w14:textId="68411C97" w:rsidR="00711C7A" w:rsidRPr="00590070" w:rsidRDefault="00711C7A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>Perspektywy</w:t>
      </w:r>
      <w:r w:rsidR="00C0741D" w:rsidRPr="00590070">
        <w:rPr>
          <w:b/>
          <w:bCs/>
          <w:lang w:val="pl-PL"/>
        </w:rPr>
        <w:t xml:space="preserve"> </w:t>
      </w:r>
      <w:r w:rsidRPr="00590070">
        <w:rPr>
          <w:b/>
          <w:bCs/>
          <w:lang w:val="pl-PL"/>
        </w:rPr>
        <w:t>i ryzyka</w:t>
      </w:r>
      <w:r w:rsidR="00C0741D" w:rsidRPr="00590070">
        <w:rPr>
          <w:b/>
          <w:bCs/>
          <w:lang w:val="pl-PL"/>
        </w:rPr>
        <w:t xml:space="preserve"> gospodarcze</w:t>
      </w:r>
    </w:p>
    <w:p w14:paraId="2B05D761" w14:textId="2C1F15A1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Krótkoterminowe perspektywy wzrostu są pozytywne.</w:t>
      </w:r>
      <w:r w:rsidRPr="00590070">
        <w:rPr>
          <w:lang w:val="pl-PL"/>
        </w:rPr>
        <w:t xml:space="preserve"> Wzrost ma osiągnąć 3,2% w 2025 r. i przyspieszyć do 3,4% w 2026 r. wraz z</w:t>
      </w:r>
      <w:r w:rsidR="00C0741D" w:rsidRPr="00590070">
        <w:rPr>
          <w:lang w:val="pl-PL"/>
        </w:rPr>
        <w:t>e wzrostem</w:t>
      </w:r>
      <w:r w:rsidRPr="00590070">
        <w:rPr>
          <w:lang w:val="pl-PL"/>
        </w:rPr>
        <w:t xml:space="preserve"> wykorzystania funduszy unijnych</w:t>
      </w:r>
      <w:r w:rsidR="00C0741D" w:rsidRPr="00590070">
        <w:rPr>
          <w:lang w:val="pl-PL"/>
        </w:rPr>
        <w:t xml:space="preserve"> w ramach Krajowego Planu Odbudowy (KPO)</w:t>
      </w:r>
      <w:r w:rsidRPr="00590070">
        <w:rPr>
          <w:lang w:val="pl-PL"/>
        </w:rPr>
        <w:t xml:space="preserve"> przed ich wygaśnięciem. Wzrost płac powinien stopniowo spowalniać w związku z oznakami schładzania rynku pracy, lecz pozostanie relatywnie wysoki dzięki silnym wzrostom produktywności. W konsekwencji wydatki gospodarstw domowych będą </w:t>
      </w:r>
      <w:r w:rsidR="00C0741D" w:rsidRPr="00590070">
        <w:rPr>
          <w:lang w:val="pl-PL"/>
        </w:rPr>
        <w:t>s</w:t>
      </w:r>
      <w:r w:rsidRPr="00590070">
        <w:rPr>
          <w:lang w:val="pl-PL"/>
        </w:rPr>
        <w:t xml:space="preserve">topniowo </w:t>
      </w:r>
      <w:r w:rsidR="00C0741D" w:rsidRPr="00590070">
        <w:rPr>
          <w:lang w:val="pl-PL"/>
        </w:rPr>
        <w:t>spowalniać</w:t>
      </w:r>
      <w:r w:rsidRPr="00590070">
        <w:rPr>
          <w:lang w:val="pl-PL"/>
        </w:rPr>
        <w:t xml:space="preserve">, ale nadal będą istotnym czynnikiem wspierającym wzrost. Silna konsumpcja, opóźnione efekty aprecjacji realnego kursu walutowego oraz </w:t>
      </w:r>
      <w:r w:rsidR="00C0741D" w:rsidRPr="00590070">
        <w:rPr>
          <w:lang w:val="pl-PL"/>
        </w:rPr>
        <w:t>wydatkowanie</w:t>
      </w:r>
      <w:r w:rsidRPr="00590070">
        <w:rPr>
          <w:lang w:val="pl-PL"/>
        </w:rPr>
        <w:t xml:space="preserve"> funduszy unijnych zwiększą import, pogłębiając deficyt na rachunku bieżącym. Deficyt fiskalny </w:t>
      </w:r>
      <w:r w:rsidR="00714A0A" w:rsidRPr="00590070">
        <w:rPr>
          <w:lang w:val="pl-PL"/>
        </w:rPr>
        <w:t>najprawdopodobniej</w:t>
      </w:r>
      <w:r w:rsidRPr="00590070">
        <w:rPr>
          <w:lang w:val="pl-PL"/>
        </w:rPr>
        <w:t xml:space="preserve"> zmniejszy się tylko nieznacznie w</w:t>
      </w:r>
      <w:r w:rsidR="00714A0A" w:rsidRPr="00590070">
        <w:rPr>
          <w:lang w:val="pl-PL"/>
        </w:rPr>
        <w:t>obec</w:t>
      </w:r>
      <w:r w:rsidRPr="00590070">
        <w:rPr>
          <w:lang w:val="pl-PL"/>
        </w:rPr>
        <w:t xml:space="preserve"> politycznego impasu wokół działań konsolidacyjnych.</w:t>
      </w:r>
    </w:p>
    <w:p w14:paraId="1A2470BE" w14:textId="60FEDF69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Widzimy narastające ryzyka fiskalne w średnim terminie, mimo relatywnie s</w:t>
      </w:r>
      <w:r w:rsidR="00714A0A" w:rsidRPr="00590070">
        <w:rPr>
          <w:b/>
          <w:bCs/>
          <w:lang w:val="pl-PL"/>
        </w:rPr>
        <w:t>il</w:t>
      </w:r>
      <w:r w:rsidRPr="00590070">
        <w:rPr>
          <w:b/>
          <w:bCs/>
          <w:lang w:val="pl-PL"/>
        </w:rPr>
        <w:t>nych perspektyw wzrostu.</w:t>
      </w:r>
      <w:r w:rsidRPr="00590070">
        <w:rPr>
          <w:lang w:val="pl-PL"/>
        </w:rPr>
        <w:t xml:space="preserve"> Wzrost spowolni do 2,5% do 2030 r. w związku ze starzeniem się społeczeństwa i</w:t>
      </w:r>
      <w:r w:rsidR="00714A0A" w:rsidRPr="00590070">
        <w:rPr>
          <w:lang w:val="pl-PL"/>
        </w:rPr>
        <w:t xml:space="preserve"> spowalniając</w:t>
      </w:r>
      <w:r w:rsidRPr="00590070">
        <w:rPr>
          <w:lang w:val="pl-PL"/>
        </w:rPr>
        <w:t xml:space="preserve">ym wzrostem produktywności, </w:t>
      </w:r>
      <w:r w:rsidR="00714A0A" w:rsidRPr="00590070">
        <w:rPr>
          <w:lang w:val="pl-PL"/>
        </w:rPr>
        <w:t xml:space="preserve">w miarę wzrostu </w:t>
      </w:r>
      <w:r w:rsidRPr="00590070">
        <w:rPr>
          <w:lang w:val="pl-PL"/>
        </w:rPr>
        <w:t>dochod</w:t>
      </w:r>
      <w:r w:rsidR="00714A0A" w:rsidRPr="00590070">
        <w:rPr>
          <w:lang w:val="pl-PL"/>
        </w:rPr>
        <w:t>u</w:t>
      </w:r>
      <w:r w:rsidRPr="00590070">
        <w:rPr>
          <w:lang w:val="pl-PL"/>
        </w:rPr>
        <w:t xml:space="preserve"> per capita. Pozycja zewnętrzna Polski powinna stopniowo stabilizować się wokół niewielkiego deficytu na rachunku bieżącym (1,6% PKB). </w:t>
      </w:r>
      <w:r w:rsidR="00714A0A" w:rsidRPr="00590070">
        <w:rPr>
          <w:lang w:val="pl-PL"/>
        </w:rPr>
        <w:t>W scenariuszu bazowym d</w:t>
      </w:r>
      <w:r w:rsidRPr="00590070">
        <w:rPr>
          <w:lang w:val="pl-PL"/>
        </w:rPr>
        <w:t xml:space="preserve">eficyty fiskalne </w:t>
      </w:r>
      <w:r w:rsidRPr="00590070">
        <w:rPr>
          <w:lang w:val="pl-PL"/>
        </w:rPr>
        <w:lastRenderedPageBreak/>
        <w:t>pozostaną podwyższone, przy umiarkowanej skumulowanej konsolidacji fiskalnej rzędu 2% PKB w średnim terminie, co spowoduje wzrost długu do 76% PKB w 2030 r.</w:t>
      </w:r>
      <w:r w:rsidR="00CF1597" w:rsidRPr="00590070">
        <w:rPr>
          <w:lang w:val="pl-PL"/>
        </w:rPr>
        <w:t>, z czego około 3% PKB jest związane z udostępnianiem pożyczek KPO sekt</w:t>
      </w:r>
      <w:r w:rsidR="00590070">
        <w:rPr>
          <w:lang w:val="pl-PL"/>
        </w:rPr>
        <w:t>o</w:t>
      </w:r>
      <w:r w:rsidR="00CF1597" w:rsidRPr="00590070">
        <w:rPr>
          <w:lang w:val="pl-PL"/>
        </w:rPr>
        <w:t>rowi prywatnemu.</w:t>
      </w:r>
      <w:r w:rsidR="00590070">
        <w:rPr>
          <w:lang w:val="pl-PL"/>
        </w:rPr>
        <w:t xml:space="preserve"> </w:t>
      </w:r>
      <w:r w:rsidRPr="00590070">
        <w:rPr>
          <w:lang w:val="pl-PL"/>
        </w:rPr>
        <w:t xml:space="preserve">W rezultacie </w:t>
      </w:r>
      <w:r w:rsidR="00714A0A" w:rsidRPr="00590070">
        <w:rPr>
          <w:lang w:val="pl-PL"/>
        </w:rPr>
        <w:t>misja</w:t>
      </w:r>
      <w:r w:rsidRPr="00590070">
        <w:rPr>
          <w:lang w:val="pl-PL"/>
        </w:rPr>
        <w:t xml:space="preserve"> MFW ocenia obecnie ryzyko </w:t>
      </w:r>
      <w:r w:rsidR="00714A0A" w:rsidRPr="00590070">
        <w:rPr>
          <w:lang w:val="pl-PL"/>
        </w:rPr>
        <w:t>dla</w:t>
      </w:r>
      <w:r w:rsidRPr="00590070">
        <w:rPr>
          <w:lang w:val="pl-PL"/>
        </w:rPr>
        <w:t xml:space="preserve"> długu </w:t>
      </w:r>
      <w:r w:rsidR="00714A0A" w:rsidRPr="00590070">
        <w:rPr>
          <w:lang w:val="pl-PL"/>
        </w:rPr>
        <w:t>publicznego</w:t>
      </w:r>
      <w:r w:rsidRPr="00590070">
        <w:rPr>
          <w:lang w:val="pl-PL"/>
        </w:rPr>
        <w:t xml:space="preserve"> Polski jako średnie (wcześniej niskie).</w:t>
      </w:r>
    </w:p>
    <w:p w14:paraId="0305EDF6" w14:textId="3650F727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 xml:space="preserve">W warunkach silnej polaryzacji politycznej i wysokiej niepewności globalnej, bilans ryzyk </w:t>
      </w:r>
      <w:r w:rsidR="00714A0A" w:rsidRPr="00590070">
        <w:rPr>
          <w:b/>
          <w:bCs/>
          <w:lang w:val="pl-PL"/>
        </w:rPr>
        <w:t>jest negatywny</w:t>
      </w:r>
      <w:r w:rsidRPr="00590070">
        <w:rPr>
          <w:b/>
          <w:bCs/>
          <w:lang w:val="pl-PL"/>
        </w:rPr>
        <w:t>.</w:t>
      </w:r>
      <w:r w:rsidRPr="00590070">
        <w:rPr>
          <w:lang w:val="pl-PL"/>
        </w:rPr>
        <w:t xml:space="preserve"> Cztery krajowe kwestie są szczególnie istotne. Po pierwsze, inwestycje mogą okazać się niższe, jeśli władze nie zdołają w pełni wykorzystać pozostałych grantów </w:t>
      </w:r>
      <w:r w:rsidR="00714A0A" w:rsidRPr="00590070">
        <w:rPr>
          <w:lang w:val="pl-PL"/>
        </w:rPr>
        <w:t>KPO</w:t>
      </w:r>
      <w:r w:rsidRPr="00590070">
        <w:rPr>
          <w:lang w:val="pl-PL"/>
        </w:rPr>
        <w:t xml:space="preserve"> przed ich wygaśnięciem w 2026 r. Po drugie, przy dużych deficytach fiskalnych i ograniczonych działaniach konsolidacyjnych, nastroje rynkowe mogą się gwałtownie zmienić, podnosząc rentowności</w:t>
      </w:r>
      <w:r w:rsidR="00714A0A" w:rsidRPr="00590070">
        <w:rPr>
          <w:lang w:val="pl-PL"/>
        </w:rPr>
        <w:t xml:space="preserve"> obligacji skarbowych</w:t>
      </w:r>
      <w:r w:rsidRPr="00590070">
        <w:rPr>
          <w:lang w:val="pl-PL"/>
        </w:rPr>
        <w:t>. Po trzecie, presja inflacyjna może powrócić, jeśli wzrost zaskoczy pozytywnie, a lu</w:t>
      </w:r>
      <w:r w:rsidR="00714A0A" w:rsidRPr="00590070">
        <w:rPr>
          <w:lang w:val="pl-PL"/>
        </w:rPr>
        <w:t>ka popytowa</w:t>
      </w:r>
      <w:r w:rsidRPr="00590070">
        <w:rPr>
          <w:lang w:val="pl-PL"/>
        </w:rPr>
        <w:t xml:space="preserve"> okaże się mniejsz</w:t>
      </w:r>
      <w:r w:rsidR="00714A0A" w:rsidRPr="00590070">
        <w:rPr>
          <w:lang w:val="pl-PL"/>
        </w:rPr>
        <w:t>a</w:t>
      </w:r>
      <w:r w:rsidRPr="00590070">
        <w:rPr>
          <w:lang w:val="pl-PL"/>
        </w:rPr>
        <w:t xml:space="preserve"> niż obecnie szacowan</w:t>
      </w:r>
      <w:r w:rsidR="00714A0A" w:rsidRPr="00590070">
        <w:rPr>
          <w:lang w:val="pl-PL"/>
        </w:rPr>
        <w:t>a</w:t>
      </w:r>
      <w:r w:rsidRPr="00590070">
        <w:rPr>
          <w:lang w:val="pl-PL"/>
        </w:rPr>
        <w:t xml:space="preserve">. Po czwarte, znaczna aprecjacja realnego efektywnego kursu walutowego (20% w latach 2023–24) może bardziej zaszkodzić konkurencyjności niż obecnie przewidujemy, obniżając wzrost i pogłębiając nierównowagę zewnętrzną. </w:t>
      </w:r>
      <w:r w:rsidR="00714A0A" w:rsidRPr="00590070">
        <w:rPr>
          <w:lang w:val="pl-PL"/>
        </w:rPr>
        <w:t>K</w:t>
      </w:r>
      <w:r w:rsidRPr="00590070">
        <w:rPr>
          <w:lang w:val="pl-PL"/>
        </w:rPr>
        <w:t xml:space="preserve">luczowe ryzyka </w:t>
      </w:r>
      <w:r w:rsidR="00714A0A" w:rsidRPr="00590070">
        <w:rPr>
          <w:lang w:val="pl-PL"/>
        </w:rPr>
        <w:t xml:space="preserve">zewnętrzne </w:t>
      </w:r>
      <w:r w:rsidRPr="00590070">
        <w:rPr>
          <w:lang w:val="pl-PL"/>
        </w:rPr>
        <w:t>to pogorszenie bezpieczeństwa regionalnego oraz dalsze przeszkody dla globalnego handlu.</w:t>
      </w:r>
    </w:p>
    <w:p w14:paraId="1586AE0B" w14:textId="727A401B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 xml:space="preserve">Obok tych ryzyk, </w:t>
      </w:r>
      <w:r w:rsidR="00714A0A" w:rsidRPr="00590070">
        <w:rPr>
          <w:b/>
          <w:bCs/>
          <w:lang w:val="pl-PL"/>
        </w:rPr>
        <w:t>istnieją też</w:t>
      </w:r>
      <w:r w:rsidRPr="00590070">
        <w:rPr>
          <w:b/>
          <w:bCs/>
          <w:lang w:val="pl-PL"/>
        </w:rPr>
        <w:t xml:space="preserve"> szanse</w:t>
      </w:r>
      <w:r w:rsidR="00714A0A" w:rsidRPr="00590070">
        <w:rPr>
          <w:b/>
          <w:bCs/>
          <w:lang w:val="pl-PL"/>
        </w:rPr>
        <w:t xml:space="preserve">, a </w:t>
      </w:r>
      <w:r w:rsidRPr="00590070">
        <w:rPr>
          <w:b/>
          <w:bCs/>
          <w:lang w:val="pl-PL"/>
        </w:rPr>
        <w:t xml:space="preserve">solidne fundamenty </w:t>
      </w:r>
      <w:r w:rsidR="00714A0A" w:rsidRPr="00590070">
        <w:rPr>
          <w:b/>
          <w:bCs/>
          <w:lang w:val="pl-PL"/>
        </w:rPr>
        <w:t xml:space="preserve">gospodarcze </w:t>
      </w:r>
      <w:r w:rsidRPr="00590070">
        <w:rPr>
          <w:b/>
          <w:bCs/>
          <w:lang w:val="pl-PL"/>
        </w:rPr>
        <w:t>stanowią ważne bufory</w:t>
      </w:r>
      <w:r w:rsidR="00714A0A" w:rsidRPr="00590070">
        <w:rPr>
          <w:b/>
          <w:bCs/>
          <w:lang w:val="pl-PL"/>
        </w:rPr>
        <w:t xml:space="preserve"> bezpieczeństwa</w:t>
      </w:r>
      <w:r w:rsidRPr="00590070">
        <w:rPr>
          <w:b/>
          <w:bCs/>
          <w:lang w:val="pl-PL"/>
        </w:rPr>
        <w:t>.</w:t>
      </w:r>
      <w:r w:rsidRPr="00590070">
        <w:rPr>
          <w:lang w:val="pl-PL"/>
        </w:rPr>
        <w:t xml:space="preserve"> </w:t>
      </w:r>
      <w:r w:rsidR="00714A0A" w:rsidRPr="00590070">
        <w:rPr>
          <w:lang w:val="pl-PL"/>
        </w:rPr>
        <w:t>Dodatkowy p</w:t>
      </w:r>
      <w:r w:rsidRPr="00590070">
        <w:rPr>
          <w:lang w:val="pl-PL"/>
        </w:rPr>
        <w:t xml:space="preserve">otencjał wzrostu </w:t>
      </w:r>
      <w:r w:rsidR="00714A0A" w:rsidRPr="00590070">
        <w:rPr>
          <w:lang w:val="pl-PL"/>
        </w:rPr>
        <w:t xml:space="preserve">może </w:t>
      </w:r>
      <w:r w:rsidRPr="00590070">
        <w:rPr>
          <w:lang w:val="pl-PL"/>
        </w:rPr>
        <w:t>wynika</w:t>
      </w:r>
      <w:r w:rsidR="00714A0A" w:rsidRPr="00590070">
        <w:rPr>
          <w:lang w:val="pl-PL"/>
        </w:rPr>
        <w:t>ć</w:t>
      </w:r>
      <w:r w:rsidRPr="00590070">
        <w:rPr>
          <w:lang w:val="pl-PL"/>
        </w:rPr>
        <w:t xml:space="preserve"> z wyższej imigracji, silniejszego efektu katalitycznego funduszy </w:t>
      </w:r>
      <w:r w:rsidR="00714A0A" w:rsidRPr="00590070">
        <w:rPr>
          <w:lang w:val="pl-PL"/>
        </w:rPr>
        <w:t>KPO</w:t>
      </w:r>
      <w:r w:rsidRPr="00590070">
        <w:rPr>
          <w:lang w:val="pl-PL"/>
        </w:rPr>
        <w:t xml:space="preserve"> oraz wzrostu produktywności dzięki cyfryzacji, AI i zielonej transformacji. Ponadto kilka czynników łagodzi ryzyka: wysoki poziom rezerw walutowych, elastyczny kurs walutowy, zróżnicowana baza eksportowa i produkcyjna oraz zdrowa sytuacja finansowa przedsiębiorstw, gospodarstw domowych i sektora bankowego.</w:t>
      </w:r>
    </w:p>
    <w:p w14:paraId="6ACF8DE6" w14:textId="77777777" w:rsidR="00711C7A" w:rsidRPr="00590070" w:rsidRDefault="00A823B1" w:rsidP="00711C7A">
      <w:pPr>
        <w:spacing w:before="160" w:line="300" w:lineRule="auto"/>
      </w:pPr>
      <w:r>
        <w:pict w14:anchorId="48938230">
          <v:rect id="_x0000_i1026" style="width:0;height:1.5pt" o:hralign="center" o:hrstd="t" o:hr="t" fillcolor="#a0a0a0" stroked="f"/>
        </w:pict>
      </w:r>
    </w:p>
    <w:p w14:paraId="3783A059" w14:textId="56FA4019" w:rsidR="00711C7A" w:rsidRPr="00590070" w:rsidRDefault="00711C7A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>Zapewnienie stabilności fiskalnej</w:t>
      </w:r>
    </w:p>
    <w:p w14:paraId="4FAB5078" w14:textId="2727FE05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Zatrzymanie szybkiego wzrostu długu publicznego powinno być priorytetem.</w:t>
      </w:r>
      <w:r w:rsidRPr="00590070">
        <w:rPr>
          <w:lang w:val="pl-PL"/>
        </w:rPr>
        <w:t xml:space="preserve"> Zalecamy </w:t>
      </w:r>
      <w:r w:rsidR="00714A0A" w:rsidRPr="00590070">
        <w:rPr>
          <w:lang w:val="pl-PL"/>
        </w:rPr>
        <w:t>łączną</w:t>
      </w:r>
      <w:r w:rsidRPr="00590070">
        <w:rPr>
          <w:lang w:val="pl-PL"/>
        </w:rPr>
        <w:t xml:space="preserve"> konsolidację fiskalną rzędu 4% PKB do 2030 r., czyli o 2% PKB więcej niż w scenariuszu bazowym. Konsolidacja na poziomie 0,6% PKB przewidziana w budżecie na 2026 r. to dobry pierwszy krok, lecz przy silnym wzroście </w:t>
      </w:r>
      <w:r w:rsidR="00714A0A" w:rsidRPr="00590070">
        <w:rPr>
          <w:lang w:val="pl-PL"/>
        </w:rPr>
        <w:t xml:space="preserve">gospodarczym </w:t>
      </w:r>
      <w:r w:rsidRPr="00590070">
        <w:rPr>
          <w:lang w:val="pl-PL"/>
        </w:rPr>
        <w:t xml:space="preserve">w przyszłym roku zalecamy poszukiwanie możliwości </w:t>
      </w:r>
      <w:r w:rsidR="00714A0A" w:rsidRPr="00590070">
        <w:rPr>
          <w:lang w:val="pl-PL"/>
        </w:rPr>
        <w:t>dodatkowego zmniejszenia deficytu</w:t>
      </w:r>
      <w:r w:rsidRPr="00590070">
        <w:rPr>
          <w:lang w:val="pl-PL"/>
        </w:rPr>
        <w:t>. Taka ścieżka fiskalna sprowadzi średnioterminowy deficyt do 3% PKB i ustabilizuje dług na relatywnie wysokim poziomie 70% PKB. Dalsza konsolidacja o 1,5% PKB będzie potrzebna</w:t>
      </w:r>
      <w:r w:rsidR="00714A0A" w:rsidRPr="00590070">
        <w:rPr>
          <w:lang w:val="pl-PL"/>
        </w:rPr>
        <w:t xml:space="preserve"> w kolejnych latach</w:t>
      </w:r>
      <w:r w:rsidRPr="00590070">
        <w:rPr>
          <w:lang w:val="pl-PL"/>
        </w:rPr>
        <w:t xml:space="preserve">, by odbudować bufory fiskalne i w pełni dostosować się do unijnych ram </w:t>
      </w:r>
      <w:r w:rsidR="00714A0A" w:rsidRPr="00590070">
        <w:rPr>
          <w:lang w:val="pl-PL"/>
        </w:rPr>
        <w:t>fiskalnych</w:t>
      </w:r>
      <w:r w:rsidRPr="00590070">
        <w:rPr>
          <w:lang w:val="pl-PL"/>
        </w:rPr>
        <w:t>.</w:t>
      </w:r>
    </w:p>
    <w:p w14:paraId="7A3AF923" w14:textId="39856E35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Właściw</w:t>
      </w:r>
      <w:r w:rsidR="00714A0A" w:rsidRPr="00590070">
        <w:rPr>
          <w:b/>
          <w:bCs/>
          <w:lang w:val="pl-PL"/>
        </w:rPr>
        <w:t>a</w:t>
      </w:r>
      <w:r w:rsidRPr="00590070">
        <w:rPr>
          <w:b/>
          <w:bCs/>
          <w:lang w:val="pl-PL"/>
        </w:rPr>
        <w:t xml:space="preserve"> s</w:t>
      </w:r>
      <w:r w:rsidR="00714A0A" w:rsidRPr="00590070">
        <w:rPr>
          <w:b/>
          <w:bCs/>
          <w:lang w:val="pl-PL"/>
        </w:rPr>
        <w:t>truktura</w:t>
      </w:r>
      <w:r w:rsidRPr="00590070">
        <w:rPr>
          <w:b/>
          <w:bCs/>
          <w:lang w:val="pl-PL"/>
        </w:rPr>
        <w:t xml:space="preserve"> konsolidacji zależy od </w:t>
      </w:r>
      <w:r w:rsidR="00714A0A" w:rsidRPr="00590070">
        <w:rPr>
          <w:b/>
          <w:bCs/>
          <w:lang w:val="pl-PL"/>
        </w:rPr>
        <w:t xml:space="preserve">preferencji społecznych co do </w:t>
      </w:r>
      <w:r w:rsidRPr="00590070">
        <w:rPr>
          <w:b/>
          <w:bCs/>
          <w:lang w:val="pl-PL"/>
        </w:rPr>
        <w:t>wielkości i roli sektora publicznego.</w:t>
      </w:r>
      <w:r w:rsidRPr="00590070">
        <w:rPr>
          <w:lang w:val="pl-PL"/>
        </w:rPr>
        <w:t xml:space="preserve"> Jeśli obecne poziomy wydatków na świadczenia społeczne, obronność i płace publiczne mają zostać zachowane, przy jednoczesnym uwzględnieniu przyszłych presji związanych ze starzeniem się społeczeństwa i klimatem, dochody będą musiały wzrosnąć. W tym kontekście </w:t>
      </w:r>
      <w:r w:rsidR="00714A0A" w:rsidRPr="00590070">
        <w:rPr>
          <w:lang w:val="pl-PL"/>
        </w:rPr>
        <w:t>w</w:t>
      </w:r>
      <w:r w:rsidRPr="00590070">
        <w:rPr>
          <w:lang w:val="pl-PL"/>
        </w:rPr>
        <w:t xml:space="preserve"> polskim systemie podatkowym </w:t>
      </w:r>
      <w:r w:rsidR="00714A0A" w:rsidRPr="00590070">
        <w:rPr>
          <w:lang w:val="pl-PL"/>
        </w:rPr>
        <w:t xml:space="preserve">wyróżnia się </w:t>
      </w:r>
      <w:r w:rsidRPr="00590070">
        <w:rPr>
          <w:lang w:val="pl-PL"/>
        </w:rPr>
        <w:t xml:space="preserve">podatek dochodowy od osób fizycznych (PIT), który generuje o 5% PKB mniej dochodów </w:t>
      </w:r>
      <w:r w:rsidR="00714A0A" w:rsidRPr="00590070">
        <w:rPr>
          <w:lang w:val="pl-PL"/>
        </w:rPr>
        <w:t>w porównaniu do średniej UE</w:t>
      </w:r>
      <w:r w:rsidRPr="00590070">
        <w:rPr>
          <w:lang w:val="pl-PL"/>
        </w:rPr>
        <w:t xml:space="preserve">. Dochody z VAT można również zwiększyć poprzez ograniczenie zwolnień i preferencyjnych stawek, które należą do najbardziej kosztownych w UE. </w:t>
      </w:r>
      <w:r w:rsidR="00714A0A" w:rsidRPr="00590070">
        <w:rPr>
          <w:lang w:val="pl-PL"/>
        </w:rPr>
        <w:t>Ponadto</w:t>
      </w:r>
      <w:r w:rsidRPr="00590070">
        <w:rPr>
          <w:lang w:val="pl-PL"/>
        </w:rPr>
        <w:t xml:space="preserve"> preferencyjne i regresywne </w:t>
      </w:r>
      <w:r w:rsidRPr="00590070">
        <w:rPr>
          <w:lang w:val="pl-PL"/>
        </w:rPr>
        <w:lastRenderedPageBreak/>
        <w:t>opodatkowanie nieruchomości (dochody</w:t>
      </w:r>
      <w:r w:rsidR="00CF1597" w:rsidRPr="00590070">
        <w:rPr>
          <w:lang w:val="pl-PL"/>
        </w:rPr>
        <w:t xml:space="preserve"> z najmu</w:t>
      </w:r>
      <w:r w:rsidRPr="00590070">
        <w:rPr>
          <w:lang w:val="pl-PL"/>
        </w:rPr>
        <w:t>, zyski kapitałowe</w:t>
      </w:r>
      <w:r w:rsidR="00CF1597" w:rsidRPr="00590070">
        <w:rPr>
          <w:lang w:val="pl-PL"/>
        </w:rPr>
        <w:t>, podatek od nieruchomości</w:t>
      </w:r>
      <w:r w:rsidRPr="00590070">
        <w:rPr>
          <w:lang w:val="pl-PL"/>
        </w:rPr>
        <w:t xml:space="preserve"> i VAT) można ograniczyć, szczególnie w przypadku drugich i trzecich nieruchomości. Jeśli </w:t>
      </w:r>
      <w:r w:rsidR="00714A0A" w:rsidRPr="00590070">
        <w:rPr>
          <w:lang w:val="pl-PL"/>
        </w:rPr>
        <w:t>podwyższenie</w:t>
      </w:r>
      <w:r w:rsidRPr="00590070">
        <w:rPr>
          <w:lang w:val="pl-PL"/>
        </w:rPr>
        <w:t xml:space="preserve"> podatk</w:t>
      </w:r>
      <w:r w:rsidR="00714A0A" w:rsidRPr="00590070">
        <w:rPr>
          <w:lang w:val="pl-PL"/>
        </w:rPr>
        <w:t>ów</w:t>
      </w:r>
      <w:r w:rsidRPr="00590070">
        <w:rPr>
          <w:lang w:val="pl-PL"/>
        </w:rPr>
        <w:t xml:space="preserve"> okaż</w:t>
      </w:r>
      <w:r w:rsidR="00714A0A" w:rsidRPr="00590070">
        <w:rPr>
          <w:lang w:val="pl-PL"/>
        </w:rPr>
        <w:t>e</w:t>
      </w:r>
      <w:r w:rsidRPr="00590070">
        <w:rPr>
          <w:lang w:val="pl-PL"/>
        </w:rPr>
        <w:t xml:space="preserve"> się niemożliwe, Polska będzie musiała powrócić do mniejszego sektora publicznego, np. poprzez lepsze ukierunkowanie świadczeń społecznych i ograniczenie funduszu płac w sektorze publicznym.</w:t>
      </w:r>
    </w:p>
    <w:p w14:paraId="4374A2FC" w14:textId="5D889BEE" w:rsidR="00711C7A" w:rsidRPr="00590070" w:rsidRDefault="00711C7A" w:rsidP="00711C7A">
      <w:pPr>
        <w:spacing w:before="160" w:after="0" w:line="300" w:lineRule="auto"/>
      </w:pPr>
      <w:r w:rsidRPr="00590070">
        <w:rPr>
          <w:b/>
          <w:bCs/>
          <w:lang w:val="pl-PL"/>
        </w:rPr>
        <w:t>Dalsze wzmocnienie krajowych ram fiskalnych jest kluczowe dla wiarygodności, zwłaszcza w warunkach ostatniego wzrostu zadłużenia.</w:t>
      </w:r>
      <w:r w:rsidRPr="00590070">
        <w:rPr>
          <w:lang w:val="pl-PL"/>
        </w:rPr>
        <w:t xml:space="preserve"> </w:t>
      </w:r>
      <w:r w:rsidR="00243DB1" w:rsidRPr="00590070">
        <w:rPr>
          <w:lang w:val="pl-PL"/>
        </w:rPr>
        <w:t xml:space="preserve">Niedawna </w:t>
      </w:r>
      <w:r w:rsidR="00714A0A" w:rsidRPr="00590070">
        <w:rPr>
          <w:lang w:val="pl-PL"/>
        </w:rPr>
        <w:t>popraw</w:t>
      </w:r>
      <w:r w:rsidR="00243DB1" w:rsidRPr="00590070">
        <w:rPr>
          <w:lang w:val="pl-PL"/>
        </w:rPr>
        <w:t>a</w:t>
      </w:r>
      <w:r w:rsidRPr="00590070">
        <w:rPr>
          <w:lang w:val="pl-PL"/>
        </w:rPr>
        <w:t xml:space="preserve"> w </w:t>
      </w:r>
      <w:r w:rsidR="00714A0A" w:rsidRPr="00590070">
        <w:rPr>
          <w:lang w:val="pl-PL"/>
        </w:rPr>
        <w:t xml:space="preserve">dziedzinie </w:t>
      </w:r>
      <w:r w:rsidRPr="00590070">
        <w:rPr>
          <w:lang w:val="pl-PL"/>
        </w:rPr>
        <w:t xml:space="preserve">legislacji finansów publicznych </w:t>
      </w:r>
      <w:r w:rsidR="00243DB1" w:rsidRPr="00590070">
        <w:rPr>
          <w:lang w:val="pl-PL"/>
        </w:rPr>
        <w:t xml:space="preserve"> jest dobrym krokiem w kierunku wzmocnienia </w:t>
      </w:r>
      <w:r w:rsidRPr="00590070">
        <w:rPr>
          <w:lang w:val="pl-PL"/>
        </w:rPr>
        <w:t>skutecznoś</w:t>
      </w:r>
      <w:r w:rsidR="00243DB1" w:rsidRPr="00590070">
        <w:rPr>
          <w:lang w:val="pl-PL"/>
        </w:rPr>
        <w:t>ci</w:t>
      </w:r>
      <w:r w:rsidRPr="00590070">
        <w:rPr>
          <w:lang w:val="pl-PL"/>
        </w:rPr>
        <w:t xml:space="preserve"> ram fiskalnych </w:t>
      </w:r>
      <w:r w:rsidR="00243DB1" w:rsidRPr="00590070">
        <w:rPr>
          <w:lang w:val="pl-PL"/>
        </w:rPr>
        <w:t>poprzez p</w:t>
      </w:r>
      <w:r w:rsidRPr="00590070">
        <w:rPr>
          <w:lang w:val="pl-PL"/>
        </w:rPr>
        <w:t xml:space="preserve">oszerzenie zakresu stabilizującej reguły wydatkowej. Jednocześnie kroki w kierunku ustanowienia rady fiskalnej, w tym niedawne powołanie jej przewodniczącego, są mile widziane. </w:t>
      </w:r>
      <w:r w:rsidRPr="00590070">
        <w:t>Kluczowe jest, aby rada była niezależna i odpowiednio finansowana.</w:t>
      </w:r>
    </w:p>
    <w:p w14:paraId="6C9D6D58" w14:textId="77777777" w:rsidR="00711C7A" w:rsidRPr="00590070" w:rsidRDefault="00A823B1" w:rsidP="00711C7A">
      <w:pPr>
        <w:spacing w:before="160" w:line="300" w:lineRule="auto"/>
      </w:pPr>
      <w:r>
        <w:pict w14:anchorId="5DF64DAB">
          <v:rect id="_x0000_i1027" style="width:0;height:1.5pt" o:hralign="center" o:hrstd="t" o:hr="t" fillcolor="#a0a0a0" stroked="f"/>
        </w:pict>
      </w:r>
    </w:p>
    <w:p w14:paraId="6E78B3F7" w14:textId="77777777" w:rsidR="00711C7A" w:rsidRPr="00590070" w:rsidRDefault="00711C7A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>Zapewnienie trwałego powrotu inflacji do celu</w:t>
      </w:r>
    </w:p>
    <w:p w14:paraId="279CF342" w14:textId="7A205C60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 xml:space="preserve">Ostatnie postępy w ograniczaniu inflacji i presji z nią związanych są </w:t>
      </w:r>
      <w:r w:rsidR="009800C2" w:rsidRPr="00590070">
        <w:rPr>
          <w:b/>
          <w:bCs/>
          <w:lang w:val="pl-PL"/>
        </w:rPr>
        <w:t>pozytywne</w:t>
      </w:r>
      <w:r w:rsidRPr="00590070">
        <w:rPr>
          <w:b/>
          <w:bCs/>
          <w:lang w:val="pl-PL"/>
        </w:rPr>
        <w:t>.</w:t>
      </w:r>
      <w:r w:rsidRPr="00590070">
        <w:rPr>
          <w:lang w:val="pl-PL"/>
        </w:rPr>
        <w:t xml:space="preserve"> Inflacja ogółem i bazowa spadły odpowiednio do 2,8% i 3%, mieszcząc się w przedziale </w:t>
      </w:r>
      <w:r w:rsidR="009800C2" w:rsidRPr="00590070">
        <w:rPr>
          <w:lang w:val="pl-PL"/>
        </w:rPr>
        <w:t>odchyleń od celu</w:t>
      </w:r>
      <w:r w:rsidRPr="00590070">
        <w:rPr>
          <w:lang w:val="pl-PL"/>
        </w:rPr>
        <w:t xml:space="preserve"> NBP (2,5% ±1 pkt proc.). Nominalny wzrost płac </w:t>
      </w:r>
      <w:r w:rsidR="009800C2" w:rsidRPr="00590070">
        <w:rPr>
          <w:lang w:val="pl-PL"/>
        </w:rPr>
        <w:t>spowolnił</w:t>
      </w:r>
      <w:r w:rsidRPr="00590070">
        <w:rPr>
          <w:lang w:val="pl-PL"/>
        </w:rPr>
        <w:t xml:space="preserve"> szybciej niż oczekiwano i przy poziomie 7,5% r/r w III kwartale zbliża się do poziomu zgodnego z celem inflacyjnym. Niedawno zatwierdzona podwyżka płacy minimalnej i </w:t>
      </w:r>
      <w:r w:rsidR="009800C2" w:rsidRPr="00590070">
        <w:rPr>
          <w:lang w:val="pl-PL"/>
        </w:rPr>
        <w:t>wynagrodzeń</w:t>
      </w:r>
      <w:r w:rsidRPr="00590070">
        <w:rPr>
          <w:lang w:val="pl-PL"/>
        </w:rPr>
        <w:t xml:space="preserve"> w sektorze publicznym o 3% na 2026 r. pomoże dodatkowo ograniczyć presję</w:t>
      </w:r>
      <w:r w:rsidR="009800C2" w:rsidRPr="00590070">
        <w:rPr>
          <w:lang w:val="pl-PL"/>
        </w:rPr>
        <w:t xml:space="preserve"> płacową</w:t>
      </w:r>
      <w:r w:rsidRPr="00590070">
        <w:rPr>
          <w:lang w:val="pl-PL"/>
        </w:rPr>
        <w:t xml:space="preserve">. Ponadto badania ankietowe wskazują, że oczekiwania </w:t>
      </w:r>
      <w:r w:rsidR="009800C2" w:rsidRPr="00590070">
        <w:rPr>
          <w:lang w:val="pl-PL"/>
        </w:rPr>
        <w:t xml:space="preserve">inflacyjne </w:t>
      </w:r>
      <w:r w:rsidRPr="00590070">
        <w:rPr>
          <w:lang w:val="pl-PL"/>
        </w:rPr>
        <w:t xml:space="preserve">pozostają zasadniczo zakotwiczone. Wszystko to osiągnięto przy stosunkowo niewielkich kosztach dla wzrostu gospodarczego i zatrudnienia. Ogólnie rzecz biorąc, ostatnie wydarzenia potwierdzają </w:t>
      </w:r>
      <w:r w:rsidR="009800C2" w:rsidRPr="00590070">
        <w:rPr>
          <w:lang w:val="pl-PL"/>
        </w:rPr>
        <w:t xml:space="preserve">zasadność zachowania </w:t>
      </w:r>
      <w:r w:rsidRPr="00590070">
        <w:rPr>
          <w:lang w:val="pl-PL"/>
        </w:rPr>
        <w:t>ostrożnoś</w:t>
      </w:r>
      <w:r w:rsidR="009800C2" w:rsidRPr="00590070">
        <w:rPr>
          <w:lang w:val="pl-PL"/>
        </w:rPr>
        <w:t>ci</w:t>
      </w:r>
      <w:r w:rsidRPr="00590070">
        <w:rPr>
          <w:lang w:val="pl-PL"/>
        </w:rPr>
        <w:t xml:space="preserve"> zastosowaną </w:t>
      </w:r>
      <w:r w:rsidR="009800C2" w:rsidRPr="00590070">
        <w:rPr>
          <w:lang w:val="pl-PL"/>
        </w:rPr>
        <w:t xml:space="preserve">przez Radę Polityki Pieniężnej </w:t>
      </w:r>
      <w:r w:rsidRPr="00590070">
        <w:rPr>
          <w:lang w:val="pl-PL"/>
        </w:rPr>
        <w:t>przed rozpoczęciem luzowania polityki w maju 2025 r</w:t>
      </w:r>
      <w:r w:rsidR="009800C2" w:rsidRPr="00590070">
        <w:rPr>
          <w:lang w:val="pl-PL"/>
        </w:rPr>
        <w:t>oku</w:t>
      </w:r>
      <w:r w:rsidRPr="00590070">
        <w:rPr>
          <w:lang w:val="pl-PL"/>
        </w:rPr>
        <w:t>.</w:t>
      </w:r>
    </w:p>
    <w:p w14:paraId="4B2CED70" w14:textId="5CD2F012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 xml:space="preserve">Niemniej jednak </w:t>
      </w:r>
      <w:r w:rsidR="009800C2" w:rsidRPr="00590070">
        <w:rPr>
          <w:b/>
          <w:bCs/>
          <w:lang w:val="pl-PL"/>
        </w:rPr>
        <w:t>dalsza dezinflacja wiąże się z wyzwaniami</w:t>
      </w:r>
      <w:r w:rsidRPr="00590070">
        <w:rPr>
          <w:b/>
          <w:bCs/>
          <w:lang w:val="pl-PL"/>
        </w:rPr>
        <w:t>.</w:t>
      </w:r>
      <w:r w:rsidRPr="00590070">
        <w:rPr>
          <w:lang w:val="pl-PL"/>
        </w:rPr>
        <w:t xml:space="preserve"> </w:t>
      </w:r>
      <w:r w:rsidR="009800C2" w:rsidRPr="00590070">
        <w:rPr>
          <w:lang w:val="pl-PL"/>
        </w:rPr>
        <w:t>Wielkość luki popytowej</w:t>
      </w:r>
      <w:r w:rsidRPr="00590070">
        <w:rPr>
          <w:lang w:val="pl-PL"/>
        </w:rPr>
        <w:t xml:space="preserve"> w gospodarce jest bardzo niepewna, lecz prawdopodobnie </w:t>
      </w:r>
      <w:r w:rsidR="009800C2" w:rsidRPr="00590070">
        <w:rPr>
          <w:lang w:val="pl-PL"/>
        </w:rPr>
        <w:t xml:space="preserve">jest ona </w:t>
      </w:r>
      <w:r w:rsidRPr="00590070">
        <w:rPr>
          <w:lang w:val="pl-PL"/>
        </w:rPr>
        <w:t>już bliska zer</w:t>
      </w:r>
      <w:r w:rsidR="009800C2" w:rsidRPr="00590070">
        <w:rPr>
          <w:lang w:val="pl-PL"/>
        </w:rPr>
        <w:t>u</w:t>
      </w:r>
      <w:r w:rsidRPr="00590070">
        <w:rPr>
          <w:lang w:val="pl-PL"/>
        </w:rPr>
        <w:t xml:space="preserve">. </w:t>
      </w:r>
      <w:r w:rsidR="009800C2" w:rsidRPr="00590070">
        <w:rPr>
          <w:lang w:val="pl-PL"/>
        </w:rPr>
        <w:t>W n</w:t>
      </w:r>
      <w:r w:rsidRPr="00590070">
        <w:rPr>
          <w:lang w:val="pl-PL"/>
        </w:rPr>
        <w:t>iektór</w:t>
      </w:r>
      <w:r w:rsidR="009800C2" w:rsidRPr="00590070">
        <w:rPr>
          <w:lang w:val="pl-PL"/>
        </w:rPr>
        <w:t>ych</w:t>
      </w:r>
      <w:r w:rsidRPr="00590070">
        <w:rPr>
          <w:lang w:val="pl-PL"/>
        </w:rPr>
        <w:t xml:space="preserve"> </w:t>
      </w:r>
      <w:r w:rsidR="009800C2" w:rsidRPr="00590070">
        <w:rPr>
          <w:lang w:val="pl-PL"/>
        </w:rPr>
        <w:t>obszarach</w:t>
      </w:r>
      <w:r w:rsidRPr="00590070">
        <w:rPr>
          <w:lang w:val="pl-PL"/>
        </w:rPr>
        <w:t xml:space="preserve"> </w:t>
      </w:r>
      <w:r w:rsidR="009800C2" w:rsidRPr="00590070">
        <w:rPr>
          <w:lang w:val="pl-PL"/>
        </w:rPr>
        <w:t xml:space="preserve">presje </w:t>
      </w:r>
      <w:r w:rsidRPr="00590070">
        <w:rPr>
          <w:lang w:val="pl-PL"/>
        </w:rPr>
        <w:t xml:space="preserve">cenowe pozostają wysokie – </w:t>
      </w:r>
      <w:r w:rsidR="009800C2" w:rsidRPr="00590070">
        <w:rPr>
          <w:lang w:val="pl-PL"/>
        </w:rPr>
        <w:t>kwartalna</w:t>
      </w:r>
      <w:r w:rsidRPr="00590070">
        <w:rPr>
          <w:lang w:val="pl-PL"/>
        </w:rPr>
        <w:t xml:space="preserve"> inflacja usług w III kwartale wyniosła </w:t>
      </w:r>
      <w:r w:rsidR="005C3C59" w:rsidRPr="00590070">
        <w:rPr>
          <w:lang w:val="pl-PL"/>
        </w:rPr>
        <w:t xml:space="preserve">nieco poniżej </w:t>
      </w:r>
      <w:r w:rsidRPr="00590070">
        <w:rPr>
          <w:lang w:val="pl-PL"/>
        </w:rPr>
        <w:t xml:space="preserve">6%. Takie presje mogą się nasilić, gdy aktywność gospodarcza przyspieszy szybciej niż potencjał w przyszłym roku, w wyniku wcześniejszego luzowania polityki pieniężnej i planowanego wzrostu </w:t>
      </w:r>
      <w:r w:rsidR="009800C2" w:rsidRPr="00590070">
        <w:rPr>
          <w:lang w:val="pl-PL"/>
        </w:rPr>
        <w:t xml:space="preserve">wydatkowania </w:t>
      </w:r>
      <w:r w:rsidRPr="00590070">
        <w:rPr>
          <w:lang w:val="pl-PL"/>
        </w:rPr>
        <w:t>funduszy europejskich. Deficyt fiskalny ma się z</w:t>
      </w:r>
      <w:r w:rsidR="009800C2" w:rsidRPr="00590070">
        <w:rPr>
          <w:lang w:val="pl-PL"/>
        </w:rPr>
        <w:t>mniejszy</w:t>
      </w:r>
      <w:r w:rsidRPr="00590070">
        <w:rPr>
          <w:lang w:val="pl-PL"/>
        </w:rPr>
        <w:t>ć w przyszłym roku, lecz pozostanie wysoki i nadal będzie stanowił ryzyko dla stabilności makroekonomicznej. Znacząca część ostatniej dezinflacji wynika z czynników zewnętrznych (zarówno cen importowych, jak i aprecjacji waluty), które mogą się nagle odwrócić.</w:t>
      </w:r>
    </w:p>
    <w:p w14:paraId="159DBFF3" w14:textId="6E6E2358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 xml:space="preserve">Dlatego, przy obecnym poziomie stóp </w:t>
      </w:r>
      <w:r w:rsidR="00567B4C" w:rsidRPr="00590070">
        <w:rPr>
          <w:b/>
          <w:bCs/>
          <w:lang w:val="pl-PL"/>
        </w:rPr>
        <w:t xml:space="preserve">potencjalnie </w:t>
      </w:r>
      <w:r w:rsidRPr="00590070">
        <w:rPr>
          <w:b/>
          <w:bCs/>
          <w:lang w:val="pl-PL"/>
        </w:rPr>
        <w:t>bliski</w:t>
      </w:r>
      <w:r w:rsidR="00567B4C" w:rsidRPr="00590070">
        <w:rPr>
          <w:b/>
          <w:bCs/>
          <w:lang w:val="pl-PL"/>
        </w:rPr>
        <w:t>e</w:t>
      </w:r>
      <w:r w:rsidRPr="00590070">
        <w:rPr>
          <w:b/>
          <w:bCs/>
          <w:lang w:val="pl-PL"/>
        </w:rPr>
        <w:t>m</w:t>
      </w:r>
      <w:r w:rsidR="00567B4C" w:rsidRPr="00590070">
        <w:rPr>
          <w:b/>
          <w:bCs/>
          <w:lang w:val="pl-PL"/>
        </w:rPr>
        <w:t>u</w:t>
      </w:r>
      <w:r w:rsidRPr="00590070">
        <w:rPr>
          <w:b/>
          <w:bCs/>
          <w:lang w:val="pl-PL"/>
        </w:rPr>
        <w:t xml:space="preserve"> neutralnemu, widzimy zasadność spowolnienia tempa dalszego luzowania.</w:t>
      </w:r>
      <w:r w:rsidRPr="00590070">
        <w:rPr>
          <w:lang w:val="pl-PL"/>
        </w:rPr>
        <w:t xml:space="preserve"> Biorąc pod uwagę długi okres, w którym inflacja przekraczała przedział </w:t>
      </w:r>
      <w:r w:rsidR="009800C2" w:rsidRPr="00590070">
        <w:rPr>
          <w:lang w:val="pl-PL"/>
        </w:rPr>
        <w:t>odchyleń od celu</w:t>
      </w:r>
      <w:r w:rsidRPr="00590070">
        <w:rPr>
          <w:lang w:val="pl-PL"/>
        </w:rPr>
        <w:t xml:space="preserve">, długoterminowy koszt dla wiarygodności </w:t>
      </w:r>
      <w:r w:rsidR="009800C2" w:rsidRPr="00590070">
        <w:rPr>
          <w:lang w:val="pl-PL"/>
        </w:rPr>
        <w:t xml:space="preserve">jest prawdopodobnie większy w przypadku </w:t>
      </w:r>
      <w:r w:rsidRPr="00590070">
        <w:rPr>
          <w:lang w:val="pl-PL"/>
        </w:rPr>
        <w:t xml:space="preserve">zbyt szybkiego luzowania niż zbyt wolnego. Zalecamy </w:t>
      </w:r>
      <w:r w:rsidR="00243DB1" w:rsidRPr="00590070">
        <w:rPr>
          <w:lang w:val="pl-PL"/>
        </w:rPr>
        <w:t xml:space="preserve">podejście </w:t>
      </w:r>
      <w:r w:rsidR="00243DB1" w:rsidRPr="00590070">
        <w:rPr>
          <w:i/>
          <w:iCs/>
          <w:lang w:val="pl-PL"/>
        </w:rPr>
        <w:t>wait-and-see</w:t>
      </w:r>
      <w:r w:rsidRPr="00590070">
        <w:rPr>
          <w:lang w:val="pl-PL"/>
        </w:rPr>
        <w:t>, aby dać więcej czasu na obserwację napływających danych i</w:t>
      </w:r>
      <w:r w:rsidR="00BC17D5" w:rsidRPr="00590070">
        <w:rPr>
          <w:lang w:val="pl-PL"/>
        </w:rPr>
        <w:t xml:space="preserve"> upewnienie się co do trwałości dezinflacji w kierunku celu</w:t>
      </w:r>
      <w:r w:rsidRPr="00590070">
        <w:rPr>
          <w:lang w:val="pl-PL"/>
        </w:rPr>
        <w:t xml:space="preserve">. Jeśli </w:t>
      </w:r>
      <w:r w:rsidRPr="00590070">
        <w:rPr>
          <w:lang w:val="pl-PL"/>
        </w:rPr>
        <w:lastRenderedPageBreak/>
        <w:t xml:space="preserve">inflacja bazowa będzie dalej się obniżać, możliwe będzie dalsze luzowanie. </w:t>
      </w:r>
      <w:r w:rsidR="00BC17D5" w:rsidRPr="00590070">
        <w:rPr>
          <w:lang w:val="pl-PL"/>
        </w:rPr>
        <w:t>W tym okresie zalecamy by k</w:t>
      </w:r>
      <w:r w:rsidRPr="00590070">
        <w:rPr>
          <w:lang w:val="pl-PL"/>
        </w:rPr>
        <w:t>omunikacj</w:t>
      </w:r>
      <w:r w:rsidR="00BC17D5" w:rsidRPr="00590070">
        <w:rPr>
          <w:lang w:val="pl-PL"/>
        </w:rPr>
        <w:t>a</w:t>
      </w:r>
      <w:r w:rsidRPr="00590070">
        <w:rPr>
          <w:lang w:val="pl-PL"/>
        </w:rPr>
        <w:t xml:space="preserve"> </w:t>
      </w:r>
      <w:r w:rsidR="00BC17D5" w:rsidRPr="00590070">
        <w:rPr>
          <w:lang w:val="pl-PL"/>
        </w:rPr>
        <w:t>koncentrowała się na motywach decyzji</w:t>
      </w:r>
      <w:r w:rsidRPr="00590070">
        <w:rPr>
          <w:lang w:val="pl-PL"/>
        </w:rPr>
        <w:t>, zamiast konkretnych prognoz</w:t>
      </w:r>
      <w:r w:rsidR="00BC17D5" w:rsidRPr="00590070">
        <w:rPr>
          <w:lang w:val="pl-PL"/>
        </w:rPr>
        <w:t>ach</w:t>
      </w:r>
      <w:r w:rsidRPr="00590070">
        <w:rPr>
          <w:lang w:val="pl-PL"/>
        </w:rPr>
        <w:t xml:space="preserve"> dotyczących stóp.</w:t>
      </w:r>
    </w:p>
    <w:p w14:paraId="5FD99415" w14:textId="77777777" w:rsidR="00711C7A" w:rsidRPr="00590070" w:rsidRDefault="00A823B1" w:rsidP="00711C7A">
      <w:pPr>
        <w:spacing w:before="160" w:line="300" w:lineRule="auto"/>
      </w:pPr>
      <w:r>
        <w:pict w14:anchorId="4D0E77FB">
          <v:rect id="_x0000_i1028" style="width:0;height:1.5pt" o:hralign="center" o:hrstd="t" o:hr="t" fillcolor="#a0a0a0" stroked="f"/>
        </w:pict>
      </w:r>
    </w:p>
    <w:p w14:paraId="3912DC6B" w14:textId="5F81F2E0" w:rsidR="00711C7A" w:rsidRPr="00590070" w:rsidRDefault="00BC17D5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 xml:space="preserve">Zmniejszenie zaburzeń w podaży </w:t>
      </w:r>
      <w:r w:rsidR="00711C7A" w:rsidRPr="00590070">
        <w:rPr>
          <w:b/>
          <w:bCs/>
          <w:lang w:val="pl-PL"/>
        </w:rPr>
        <w:t>kredytu przy zachowaniu stabilności finansowej</w:t>
      </w:r>
    </w:p>
    <w:p w14:paraId="239ED934" w14:textId="124ED1F8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lang w:val="pl-PL"/>
        </w:rPr>
        <w:t>Sektor bankowy pozostaje wysoce stabilny, wspierany przez silne bufory kapitałowe i płynnościowe. Wskaźnik</w:t>
      </w:r>
      <w:r w:rsidR="00BC17D5" w:rsidRPr="00590070">
        <w:rPr>
          <w:lang w:val="pl-PL"/>
        </w:rPr>
        <w:t xml:space="preserve"> adekwatności kapitałowej</w:t>
      </w:r>
      <w:r w:rsidRPr="00590070">
        <w:rPr>
          <w:lang w:val="pl-PL"/>
        </w:rPr>
        <w:t xml:space="preserve"> Tier 1 przekracza 20 procent, a nadwyżka kapitału względem wymogów regulacyjnych jest znacząca. Wymogi płynnościowe Bazyle</w:t>
      </w:r>
      <w:r w:rsidR="00BC17D5" w:rsidRPr="00590070">
        <w:rPr>
          <w:lang w:val="pl-PL"/>
        </w:rPr>
        <w:t>i</w:t>
      </w:r>
      <w:r w:rsidRPr="00590070">
        <w:rPr>
          <w:lang w:val="pl-PL"/>
        </w:rPr>
        <w:t xml:space="preserve"> III są spełniane</w:t>
      </w:r>
      <w:r w:rsidR="00BC17D5" w:rsidRPr="00590070">
        <w:rPr>
          <w:lang w:val="pl-PL"/>
        </w:rPr>
        <w:t xml:space="preserve"> z dużą nadwyżką</w:t>
      </w:r>
      <w:r w:rsidRPr="00590070">
        <w:rPr>
          <w:lang w:val="pl-PL"/>
        </w:rPr>
        <w:t>, a testy warunków skrajnych NBP wskazują na odporność systemu nawet w przypadku poważnych odpływów depozytów. Depozyty krótkoterminowe</w:t>
      </w:r>
      <w:r w:rsidR="00BC17D5" w:rsidRPr="00590070">
        <w:rPr>
          <w:lang w:val="pl-PL"/>
        </w:rPr>
        <w:t>, które</w:t>
      </w:r>
      <w:r w:rsidRPr="00590070">
        <w:rPr>
          <w:lang w:val="pl-PL"/>
        </w:rPr>
        <w:t xml:space="preserve"> stanowią większość finansowania banków, okazały się </w:t>
      </w:r>
      <w:r w:rsidR="00BC17D5" w:rsidRPr="00590070">
        <w:rPr>
          <w:lang w:val="pl-PL"/>
        </w:rPr>
        <w:t xml:space="preserve">jego </w:t>
      </w:r>
      <w:r w:rsidRPr="00590070">
        <w:rPr>
          <w:lang w:val="pl-PL"/>
        </w:rPr>
        <w:t>stabilnym</w:t>
      </w:r>
      <w:r w:rsidR="00BC17D5" w:rsidRPr="00590070">
        <w:rPr>
          <w:lang w:val="pl-PL"/>
        </w:rPr>
        <w:t xml:space="preserve"> </w:t>
      </w:r>
      <w:r w:rsidRPr="00590070">
        <w:rPr>
          <w:lang w:val="pl-PL"/>
        </w:rPr>
        <w:t xml:space="preserve">źródłem podczas ostatnich szoków, m.in. dzięki niskiej koncentracji oraz gwarancji depozytowej obejmującej około 80 procent depozytów gospodarstw domowych. Zyski banków były podwyższone </w:t>
      </w:r>
      <w:r w:rsidR="00BC17D5" w:rsidRPr="00590070">
        <w:rPr>
          <w:lang w:val="pl-PL"/>
        </w:rPr>
        <w:t>w dużej mierze</w:t>
      </w:r>
      <w:r w:rsidRPr="00590070">
        <w:rPr>
          <w:lang w:val="pl-PL"/>
        </w:rPr>
        <w:t xml:space="preserve"> dlatego, że większość kredytów prywatnych (w tym dwie trzecie hipotek) ma zmienne oprocentowanie, które wzrosło wraz z zaostrzeniem polityki pieniężnej</w:t>
      </w:r>
      <w:r w:rsidR="00243DB1" w:rsidRPr="00590070">
        <w:rPr>
          <w:lang w:val="pl-PL"/>
        </w:rPr>
        <w:t>, a stawki depozytów zareagowały w mniejszym stopniu.</w:t>
      </w:r>
    </w:p>
    <w:p w14:paraId="1FFF5BB0" w14:textId="74D9D941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lang w:val="pl-PL"/>
        </w:rPr>
        <w:t xml:space="preserve">Wobec ogólnej stabilności, dalsze zaostrzenie regulacji powinno starannie równoważyć poziom ryzyka z kosztami jego ograniczania. Organy regulacyjne zaproponowały nowy </w:t>
      </w:r>
      <w:r w:rsidR="00BC17D5" w:rsidRPr="00590070">
        <w:rPr>
          <w:lang w:val="pl-PL"/>
        </w:rPr>
        <w:t>Wskaźnik Finansowania Długoterminowego</w:t>
      </w:r>
      <w:r w:rsidRPr="00590070">
        <w:rPr>
          <w:lang w:val="pl-PL"/>
        </w:rPr>
        <w:t xml:space="preserve"> ponad istniejące wymogi Bazyle</w:t>
      </w:r>
      <w:r w:rsidR="00BC17D5" w:rsidRPr="00590070">
        <w:rPr>
          <w:lang w:val="pl-PL"/>
        </w:rPr>
        <w:t>i</w:t>
      </w:r>
      <w:r w:rsidRPr="00590070">
        <w:rPr>
          <w:lang w:val="pl-PL"/>
        </w:rPr>
        <w:t xml:space="preserve"> III. Jego celem jest: i) ograniczenie ryzyka płynności wynikającego z niedopasowania terminów </w:t>
      </w:r>
      <w:r w:rsidR="00BC17D5" w:rsidRPr="00590070">
        <w:rPr>
          <w:lang w:val="pl-PL"/>
        </w:rPr>
        <w:t xml:space="preserve">zapadalności </w:t>
      </w:r>
      <w:r w:rsidRPr="00590070">
        <w:rPr>
          <w:lang w:val="pl-PL"/>
        </w:rPr>
        <w:t>poprzez wymóg większego udziału finansowania długoterminow</w:t>
      </w:r>
      <w:r w:rsidR="00BC17D5" w:rsidRPr="00590070">
        <w:rPr>
          <w:lang w:val="pl-PL"/>
        </w:rPr>
        <w:t>ymi insturmentami rynkowymi</w:t>
      </w:r>
      <w:r w:rsidRPr="00590070">
        <w:rPr>
          <w:lang w:val="pl-PL"/>
        </w:rPr>
        <w:t xml:space="preserve"> oraz ii) ograniczenie ryzyka stopy procentowej poprzez promowanie większego udziału hipotek o stałym oprocentowaniu. </w:t>
      </w:r>
      <w:r w:rsidR="00146EB2" w:rsidRPr="00590070">
        <w:rPr>
          <w:lang w:val="pl-PL"/>
        </w:rPr>
        <w:t>Co do zasady p</w:t>
      </w:r>
      <w:r w:rsidRPr="00590070">
        <w:rPr>
          <w:lang w:val="pl-PL"/>
        </w:rPr>
        <w:t>opieramy te cele, jednak ryzyka płynności</w:t>
      </w:r>
      <w:r w:rsidR="00BC17D5" w:rsidRPr="00590070">
        <w:rPr>
          <w:lang w:val="pl-PL"/>
        </w:rPr>
        <w:t xml:space="preserve">, jak wspomniano powyżej, </w:t>
      </w:r>
      <w:r w:rsidRPr="00590070">
        <w:rPr>
          <w:lang w:val="pl-PL"/>
        </w:rPr>
        <w:t>wydają się być</w:t>
      </w:r>
      <w:r w:rsidR="00BC17D5" w:rsidRPr="00590070">
        <w:rPr>
          <w:lang w:val="pl-PL"/>
        </w:rPr>
        <w:t xml:space="preserve"> </w:t>
      </w:r>
      <w:r w:rsidRPr="00590070">
        <w:rPr>
          <w:lang w:val="pl-PL"/>
        </w:rPr>
        <w:t xml:space="preserve">ograniczone, a rynek szybko zwiększa udział hipotek o stałym oprocentowaniu </w:t>
      </w:r>
      <w:r w:rsidR="00BC17D5" w:rsidRPr="00590070">
        <w:rPr>
          <w:lang w:val="pl-PL"/>
        </w:rPr>
        <w:t xml:space="preserve">nawet </w:t>
      </w:r>
      <w:r w:rsidRPr="00590070">
        <w:rPr>
          <w:lang w:val="pl-PL"/>
        </w:rPr>
        <w:t xml:space="preserve">bez takiego wskaźnika. Ponadto, </w:t>
      </w:r>
      <w:r w:rsidR="00BC17D5" w:rsidRPr="00590070">
        <w:rPr>
          <w:lang w:val="pl-PL"/>
        </w:rPr>
        <w:t xml:space="preserve">choć </w:t>
      </w:r>
      <w:r w:rsidRPr="00590070">
        <w:rPr>
          <w:lang w:val="pl-PL"/>
        </w:rPr>
        <w:t xml:space="preserve">większa emisja obligacji pomogłaby zdywersyfikować źródła finansowania, prawdopodobnie podniosłaby koszty kredytu, tworząc dodatkową barierę dla </w:t>
      </w:r>
      <w:r w:rsidR="00BC17D5" w:rsidRPr="00590070">
        <w:rPr>
          <w:lang w:val="pl-PL"/>
        </w:rPr>
        <w:t>podniesienia struktural</w:t>
      </w:r>
      <w:r w:rsidRPr="00590070">
        <w:rPr>
          <w:lang w:val="pl-PL"/>
        </w:rPr>
        <w:t>nie niskiego poziomu pośrednictwa finansowego.</w:t>
      </w:r>
    </w:p>
    <w:p w14:paraId="226D2078" w14:textId="398D3B4A" w:rsidR="00711C7A" w:rsidRPr="00590070" w:rsidRDefault="00711C7A" w:rsidP="00711C7A">
      <w:pPr>
        <w:spacing w:before="160" w:after="0" w:line="300" w:lineRule="auto"/>
        <w:rPr>
          <w:lang w:val="pl-PL"/>
        </w:rPr>
      </w:pPr>
      <w:r w:rsidRPr="00590070">
        <w:rPr>
          <w:lang w:val="pl-PL"/>
        </w:rPr>
        <w:t>Naszym zdaniem</w:t>
      </w:r>
      <w:r w:rsidR="00C4113D" w:rsidRPr="00590070">
        <w:rPr>
          <w:lang w:val="pl-PL"/>
        </w:rPr>
        <w:t xml:space="preserve">, </w:t>
      </w:r>
      <w:r w:rsidRPr="00590070">
        <w:rPr>
          <w:lang w:val="pl-PL"/>
        </w:rPr>
        <w:t>usuwanie zbędnych barier dla podaży kredytu prywatnego</w:t>
      </w:r>
      <w:r w:rsidR="00C4113D" w:rsidRPr="00590070">
        <w:rPr>
          <w:lang w:val="pl-PL"/>
        </w:rPr>
        <w:t xml:space="preserve"> wymaga pilnej uwagi</w:t>
      </w:r>
      <w:r w:rsidRPr="00590070">
        <w:rPr>
          <w:lang w:val="pl-PL"/>
        </w:rPr>
        <w:t xml:space="preserve">. Różnica między oprocentowaniem kredytów a stopami referencyjnymi („marża kredytowa”) jest w Polsce drugą najwyższą w UE. Strukturalnie wysokie </w:t>
      </w:r>
      <w:r w:rsidR="00C4113D" w:rsidRPr="00590070">
        <w:rPr>
          <w:lang w:val="pl-PL"/>
        </w:rPr>
        <w:t>oprocentowanie kredytu jest</w:t>
      </w:r>
      <w:r w:rsidRPr="00590070">
        <w:rPr>
          <w:lang w:val="pl-PL"/>
        </w:rPr>
        <w:t xml:space="preserve"> jednym z powodów, dla których udział kredytu w PKB pozostaje historycznie niski. Marże można ograniczyć poprzez dwie reformy:</w:t>
      </w:r>
    </w:p>
    <w:p w14:paraId="4F83518B" w14:textId="64707B5C" w:rsidR="00711C7A" w:rsidRPr="00590070" w:rsidRDefault="00711C7A" w:rsidP="00711C7A">
      <w:pPr>
        <w:numPr>
          <w:ilvl w:val="0"/>
          <w:numId w:val="8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Podatek bankowy</w:t>
      </w:r>
      <w:r w:rsidRPr="00590070">
        <w:rPr>
          <w:lang w:val="pl-PL"/>
        </w:rPr>
        <w:t xml:space="preserve"> – Podatki od aktywów, takie jak obecn</w:t>
      </w:r>
      <w:r w:rsidR="00C4113D" w:rsidRPr="00590070">
        <w:rPr>
          <w:lang w:val="pl-PL"/>
        </w:rPr>
        <w:t>y podatek bankowy</w:t>
      </w:r>
      <w:r w:rsidRPr="00590070">
        <w:rPr>
          <w:lang w:val="pl-PL"/>
        </w:rPr>
        <w:t xml:space="preserve">, zwiększają marże odsetkowe bardziej niż podatki od zysków. Ponadto </w:t>
      </w:r>
      <w:r w:rsidR="00C4113D" w:rsidRPr="00590070">
        <w:rPr>
          <w:lang w:val="pl-PL"/>
        </w:rPr>
        <w:t xml:space="preserve">nie obejmuje on </w:t>
      </w:r>
      <w:r w:rsidRPr="00590070">
        <w:rPr>
          <w:lang w:val="pl-PL"/>
        </w:rPr>
        <w:t>obligacj</w:t>
      </w:r>
      <w:r w:rsidR="00C4113D" w:rsidRPr="00590070">
        <w:rPr>
          <w:lang w:val="pl-PL"/>
        </w:rPr>
        <w:t>i</w:t>
      </w:r>
      <w:r w:rsidRPr="00590070">
        <w:rPr>
          <w:lang w:val="pl-PL"/>
        </w:rPr>
        <w:t xml:space="preserve"> skarbow</w:t>
      </w:r>
      <w:r w:rsidR="00C4113D" w:rsidRPr="00590070">
        <w:rPr>
          <w:lang w:val="pl-PL"/>
        </w:rPr>
        <w:t>ych</w:t>
      </w:r>
      <w:r w:rsidRPr="00590070">
        <w:rPr>
          <w:lang w:val="pl-PL"/>
        </w:rPr>
        <w:t xml:space="preserve">, co zniechęca do udzielania kredytów sektorowi prywatnemu. Z tych powodów niedawno </w:t>
      </w:r>
      <w:r w:rsidR="0088252A" w:rsidRPr="00590070">
        <w:rPr>
          <w:lang w:val="pl-PL"/>
        </w:rPr>
        <w:t xml:space="preserve">uchwalona przez Parlament </w:t>
      </w:r>
      <w:r w:rsidRPr="00590070">
        <w:rPr>
          <w:lang w:val="pl-PL"/>
        </w:rPr>
        <w:t xml:space="preserve">ustawa, która zmniejsza względny udział podatku od aktywów na rzecz </w:t>
      </w:r>
      <w:r w:rsidR="00C4113D" w:rsidRPr="00590070">
        <w:rPr>
          <w:lang w:val="pl-PL"/>
        </w:rPr>
        <w:t>wyższej stawki</w:t>
      </w:r>
      <w:r w:rsidRPr="00590070">
        <w:rPr>
          <w:lang w:val="pl-PL"/>
        </w:rPr>
        <w:t xml:space="preserve"> CIT, jest krokiem w dobrą stronę. W przyszłości zachęcamy do dalszych działań i znalezienia sposobu na całkowite zastąpienie podatku od aktywów bankowych w sposób neutralny fiskalnie.</w:t>
      </w:r>
    </w:p>
    <w:p w14:paraId="7BDC12F1" w14:textId="619525FF" w:rsidR="00711C7A" w:rsidRPr="00590070" w:rsidRDefault="00711C7A" w:rsidP="00711C7A">
      <w:pPr>
        <w:numPr>
          <w:ilvl w:val="0"/>
          <w:numId w:val="8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lastRenderedPageBreak/>
        <w:t>Ryzyko prawne</w:t>
      </w:r>
      <w:r w:rsidRPr="00590070">
        <w:rPr>
          <w:lang w:val="pl-PL"/>
        </w:rPr>
        <w:t xml:space="preserve"> – Drugim czynnikiem wysokich marż jest </w:t>
      </w:r>
      <w:r w:rsidR="0088252A" w:rsidRPr="00590070">
        <w:rPr>
          <w:lang w:val="pl-PL"/>
        </w:rPr>
        <w:t xml:space="preserve">wysoki koszt ryzyka prawnego oraz </w:t>
      </w:r>
      <w:r w:rsidRPr="00590070">
        <w:rPr>
          <w:lang w:val="pl-PL"/>
        </w:rPr>
        <w:t xml:space="preserve">niepewność prawna dotycząca umów kredytowych. W tym zakresie pozytywnie oceniamy trwające prace nad stworzeniem opcjonalnego, </w:t>
      </w:r>
      <w:r w:rsidR="00C4113D" w:rsidRPr="00590070">
        <w:rPr>
          <w:lang w:val="pl-PL"/>
        </w:rPr>
        <w:t>zgodnego z prawem, ustandaryzowanego w</w:t>
      </w:r>
      <w:r w:rsidRPr="00590070">
        <w:rPr>
          <w:lang w:val="pl-PL"/>
        </w:rPr>
        <w:t xml:space="preserve">zoru umowy hipotecznej. Ponadto sankcje za umowy </w:t>
      </w:r>
      <w:r w:rsidR="00C4113D" w:rsidRPr="00590070">
        <w:rPr>
          <w:lang w:val="pl-PL"/>
        </w:rPr>
        <w:t>naruszające praw</w:t>
      </w:r>
      <w:r w:rsidR="00146EB2" w:rsidRPr="00590070">
        <w:rPr>
          <w:lang w:val="pl-PL"/>
        </w:rPr>
        <w:t>o</w:t>
      </w:r>
      <w:r w:rsidRPr="00590070">
        <w:rPr>
          <w:lang w:val="pl-PL"/>
        </w:rPr>
        <w:t xml:space="preserve"> </w:t>
      </w:r>
      <w:r w:rsidR="0088252A" w:rsidRPr="00590070">
        <w:rPr>
          <w:lang w:val="pl-PL"/>
        </w:rPr>
        <w:t xml:space="preserve">dotyczące kredytu konsumenckiego </w:t>
      </w:r>
      <w:r w:rsidRPr="00590070">
        <w:rPr>
          <w:lang w:val="pl-PL"/>
        </w:rPr>
        <w:t>mogłyby być bardziej proporcjonalne do skali naruszenia.</w:t>
      </w:r>
    </w:p>
    <w:p w14:paraId="44CF9266" w14:textId="77777777" w:rsidR="00711C7A" w:rsidRPr="00590070" w:rsidRDefault="00A823B1" w:rsidP="00711C7A">
      <w:pPr>
        <w:spacing w:before="160" w:line="300" w:lineRule="auto"/>
        <w:rPr>
          <w:lang w:val="en-US"/>
        </w:rPr>
      </w:pPr>
      <w:r>
        <w:rPr>
          <w:lang w:val="en-US"/>
        </w:rPr>
        <w:pict w14:anchorId="3F1DB060">
          <v:rect id="_x0000_i1029" style="width:0;height:1.5pt" o:hralign="center" o:hrstd="t" o:hr="t" fillcolor="#a0a0a0" stroked="f"/>
        </w:pict>
      </w:r>
    </w:p>
    <w:p w14:paraId="6A302DCA" w14:textId="77777777" w:rsidR="00711C7A" w:rsidRPr="00590070" w:rsidRDefault="00711C7A" w:rsidP="00711C7A">
      <w:pPr>
        <w:spacing w:before="160" w:after="0" w:line="300" w:lineRule="auto"/>
        <w:rPr>
          <w:b/>
          <w:bCs/>
          <w:lang w:val="pl-PL"/>
        </w:rPr>
      </w:pPr>
      <w:r w:rsidRPr="00590070">
        <w:rPr>
          <w:b/>
          <w:bCs/>
          <w:lang w:val="pl-PL"/>
        </w:rPr>
        <w:t>Reformy wspierające potencjał wzrostu</w:t>
      </w:r>
    </w:p>
    <w:p w14:paraId="55599D4F" w14:textId="20EF8FF7" w:rsidR="00711C7A" w:rsidRPr="00590070" w:rsidRDefault="00C4113D" w:rsidP="00711C7A">
      <w:pPr>
        <w:spacing w:before="160" w:after="0" w:line="300" w:lineRule="auto"/>
        <w:rPr>
          <w:lang w:val="pl-PL"/>
        </w:rPr>
      </w:pPr>
      <w:r w:rsidRPr="00590070">
        <w:rPr>
          <w:lang w:val="pl-PL"/>
        </w:rPr>
        <w:t xml:space="preserve">Choć </w:t>
      </w:r>
      <w:r w:rsidR="00711C7A" w:rsidRPr="00590070">
        <w:rPr>
          <w:lang w:val="pl-PL"/>
        </w:rPr>
        <w:t>Polska utrzymuje imponująco wysoki wzrost</w:t>
      </w:r>
      <w:r w:rsidRPr="00590070">
        <w:rPr>
          <w:lang w:val="pl-PL"/>
        </w:rPr>
        <w:t xml:space="preserve"> gospodarczy</w:t>
      </w:r>
      <w:r w:rsidR="00711C7A" w:rsidRPr="00590070">
        <w:rPr>
          <w:lang w:val="pl-PL"/>
        </w:rPr>
        <w:t xml:space="preserve">, </w:t>
      </w:r>
      <w:r w:rsidRPr="00590070">
        <w:rPr>
          <w:lang w:val="pl-PL"/>
        </w:rPr>
        <w:t>do pełnej konwergencji z krajami rozwiniętymi niezbędne są</w:t>
      </w:r>
      <w:r w:rsidR="00711C7A" w:rsidRPr="00590070">
        <w:rPr>
          <w:lang w:val="pl-PL"/>
        </w:rPr>
        <w:t xml:space="preserve"> zarówno reformy krajowe, jak i na poziomie UE</w:t>
      </w:r>
      <w:r w:rsidRPr="00590070">
        <w:rPr>
          <w:lang w:val="pl-PL"/>
        </w:rPr>
        <w:t>.</w:t>
      </w:r>
      <w:r w:rsidR="00711C7A" w:rsidRPr="00590070">
        <w:rPr>
          <w:lang w:val="pl-PL"/>
        </w:rPr>
        <w:t xml:space="preserve"> Wskazujemy cztery kluczowe obszary reform:</w:t>
      </w:r>
    </w:p>
    <w:p w14:paraId="69F4D45C" w14:textId="52C80DFB" w:rsidR="00711C7A" w:rsidRPr="00590070" w:rsidRDefault="00711C7A" w:rsidP="00711C7A">
      <w:pPr>
        <w:numPr>
          <w:ilvl w:val="0"/>
          <w:numId w:val="9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Regulacje</w:t>
      </w:r>
      <w:r w:rsidRPr="00590070">
        <w:rPr>
          <w:lang w:val="pl-PL"/>
        </w:rPr>
        <w:t xml:space="preserve"> – Rząd poczynił istotne postępy w upraszczaniu regulacji, zarówno krajowych (</w:t>
      </w:r>
      <w:r w:rsidR="00C4113D" w:rsidRPr="00590070">
        <w:rPr>
          <w:lang w:val="pl-PL"/>
        </w:rPr>
        <w:t>Rządowy Zespół ds. Deregulacji</w:t>
      </w:r>
      <w:r w:rsidRPr="00590070">
        <w:rPr>
          <w:lang w:val="pl-PL"/>
        </w:rPr>
        <w:t xml:space="preserve">), jak i na poziomie </w:t>
      </w:r>
      <w:r w:rsidR="00C4113D" w:rsidRPr="00590070">
        <w:rPr>
          <w:lang w:val="pl-PL"/>
        </w:rPr>
        <w:t>unijnym</w:t>
      </w:r>
      <w:r w:rsidRPr="00590070">
        <w:rPr>
          <w:lang w:val="pl-PL"/>
        </w:rPr>
        <w:t xml:space="preserve"> </w:t>
      </w:r>
      <w:r w:rsidR="00C4113D" w:rsidRPr="00590070">
        <w:rPr>
          <w:lang w:val="pl-PL"/>
        </w:rPr>
        <w:t xml:space="preserve">podczas polskiej prezydencji w Radzie UE </w:t>
      </w:r>
      <w:r w:rsidRPr="00590070">
        <w:rPr>
          <w:lang w:val="pl-PL"/>
        </w:rPr>
        <w:t>(</w:t>
      </w:r>
      <w:r w:rsidR="00C4113D" w:rsidRPr="00590070">
        <w:rPr>
          <w:lang w:val="pl-PL"/>
        </w:rPr>
        <w:t xml:space="preserve">pakiet </w:t>
      </w:r>
      <w:r w:rsidRPr="00590070">
        <w:rPr>
          <w:lang w:val="pl-PL"/>
        </w:rPr>
        <w:t>Omnibus). Kolejnym krokiem powinno być wsparcie na poziomie UE dla nadchodzącej propozycji</w:t>
      </w:r>
      <w:r w:rsidR="00C4113D" w:rsidRPr="00590070">
        <w:rPr>
          <w:lang w:val="pl-PL"/>
        </w:rPr>
        <w:t xml:space="preserve"> tzw.</w:t>
      </w:r>
      <w:r w:rsidRPr="00590070">
        <w:rPr>
          <w:lang w:val="pl-PL"/>
        </w:rPr>
        <w:t xml:space="preserve"> „28. reżimu” – opcjonalnych ram prawnych dla firm UE, tworzących wspólny standard regulacyjny (np. w prawie spółek i rachunkowości). Umożliwi to polskim </w:t>
      </w:r>
      <w:r w:rsidR="00C4113D" w:rsidRPr="00590070">
        <w:rPr>
          <w:lang w:val="pl-PL"/>
        </w:rPr>
        <w:t>ekspansję</w:t>
      </w:r>
      <w:r w:rsidRPr="00590070">
        <w:rPr>
          <w:lang w:val="pl-PL"/>
        </w:rPr>
        <w:t xml:space="preserve"> i budowanie paneuropejskich marek. Aby reforma była skuteczna, kluczowe są dwa aspekty: po pierwsze, Polska powinna zadbać, by re</w:t>
      </w:r>
      <w:r w:rsidR="00C4113D" w:rsidRPr="00590070">
        <w:rPr>
          <w:lang w:val="pl-PL"/>
        </w:rPr>
        <w:t>gulacje te</w:t>
      </w:r>
      <w:r w:rsidRPr="00590070">
        <w:rPr>
          <w:lang w:val="pl-PL"/>
        </w:rPr>
        <w:t xml:space="preserve"> był</w:t>
      </w:r>
      <w:r w:rsidR="00C4113D" w:rsidRPr="00590070">
        <w:rPr>
          <w:lang w:val="pl-PL"/>
        </w:rPr>
        <w:t>y</w:t>
      </w:r>
      <w:r w:rsidRPr="00590070">
        <w:rPr>
          <w:lang w:val="pl-PL"/>
        </w:rPr>
        <w:t xml:space="preserve"> wystarczająco ambitn</w:t>
      </w:r>
      <w:r w:rsidR="00C4113D" w:rsidRPr="00590070">
        <w:rPr>
          <w:lang w:val="pl-PL"/>
        </w:rPr>
        <w:t>e</w:t>
      </w:r>
      <w:r w:rsidRPr="00590070">
        <w:rPr>
          <w:lang w:val="pl-PL"/>
        </w:rPr>
        <w:t xml:space="preserve"> (obejmował</w:t>
      </w:r>
      <w:r w:rsidR="00C4113D" w:rsidRPr="00590070">
        <w:rPr>
          <w:lang w:val="pl-PL"/>
        </w:rPr>
        <w:t>y</w:t>
      </w:r>
      <w:r w:rsidRPr="00590070">
        <w:rPr>
          <w:lang w:val="pl-PL"/>
        </w:rPr>
        <w:t xml:space="preserve"> istotną część ram prawnych dla firm), a po drugie, </w:t>
      </w:r>
      <w:r w:rsidR="00C4113D" w:rsidRPr="00590070">
        <w:rPr>
          <w:lang w:val="pl-PL"/>
        </w:rPr>
        <w:t>by był</w:t>
      </w:r>
      <w:r w:rsidR="00B93A35" w:rsidRPr="00590070">
        <w:rPr>
          <w:lang w:val="pl-PL"/>
        </w:rPr>
        <w:t>y</w:t>
      </w:r>
      <w:r w:rsidRPr="00590070">
        <w:rPr>
          <w:lang w:val="pl-PL"/>
        </w:rPr>
        <w:t xml:space="preserve"> być przyjęt</w:t>
      </w:r>
      <w:r w:rsidR="00B93A35" w:rsidRPr="00590070">
        <w:rPr>
          <w:lang w:val="pl-PL"/>
        </w:rPr>
        <w:t>e</w:t>
      </w:r>
      <w:r w:rsidRPr="00590070">
        <w:rPr>
          <w:lang w:val="pl-PL"/>
        </w:rPr>
        <w:t xml:space="preserve"> jako rozporządzenie, nie dyrektywa, by uniknąć rozbieżności wdrożeniowych, które podważyłyby cel reformy.</w:t>
      </w:r>
    </w:p>
    <w:p w14:paraId="7083C681" w14:textId="77777777" w:rsidR="00711C7A" w:rsidRPr="00590070" w:rsidRDefault="00711C7A" w:rsidP="00711C7A">
      <w:pPr>
        <w:numPr>
          <w:ilvl w:val="0"/>
          <w:numId w:val="9"/>
        </w:numPr>
        <w:spacing w:before="160" w:after="0" w:line="300" w:lineRule="auto"/>
        <w:rPr>
          <w:lang w:val="en-US"/>
        </w:rPr>
      </w:pPr>
      <w:r w:rsidRPr="00590070">
        <w:rPr>
          <w:b/>
          <w:bCs/>
          <w:lang w:val="en-US"/>
        </w:rPr>
        <w:t>Rynek pracy</w:t>
      </w:r>
      <w:r w:rsidRPr="00590070">
        <w:rPr>
          <w:lang w:val="en-US"/>
        </w:rPr>
        <w:t xml:space="preserve"> </w:t>
      </w:r>
    </w:p>
    <w:p w14:paraId="0A633116" w14:textId="79AA9EDF" w:rsidR="00711C7A" w:rsidRPr="00590070" w:rsidRDefault="00711C7A" w:rsidP="00711C7A">
      <w:pPr>
        <w:numPr>
          <w:ilvl w:val="1"/>
          <w:numId w:val="9"/>
        </w:numPr>
        <w:spacing w:before="160" w:after="0" w:line="300" w:lineRule="auto"/>
        <w:rPr>
          <w:lang w:val="pl-PL"/>
        </w:rPr>
      </w:pPr>
      <w:r w:rsidRPr="00590070">
        <w:rPr>
          <w:lang w:val="pl-PL"/>
        </w:rPr>
        <w:t>W zakresie podaży pracy Polska, podobnie jak większość Europy, mierzy się z wyzwaniami demograficznymi i spadkiem liczby przepracowanych godzin. Najskuteczniejszymi sposobami przeciwdziałania są stopniowe podnoszenie wieku emerytalnego oraz dalsza</w:t>
      </w:r>
      <w:r w:rsidR="00B93A35" w:rsidRPr="00590070">
        <w:rPr>
          <w:lang w:val="pl-PL"/>
        </w:rPr>
        <w:t xml:space="preserve"> napływ dobrze integrujących się migrantów</w:t>
      </w:r>
      <w:r w:rsidRPr="00590070">
        <w:rPr>
          <w:lang w:val="pl-PL"/>
        </w:rPr>
        <w:t>. Jeśli te ścieżki nie są możliwe, kluczowe są: ułatwianie pracy w niepełnym wymiarze</w:t>
      </w:r>
      <w:r w:rsidR="00B93A35" w:rsidRPr="00590070">
        <w:rPr>
          <w:lang w:val="pl-PL"/>
        </w:rPr>
        <w:t xml:space="preserve"> czasu</w:t>
      </w:r>
      <w:r w:rsidRPr="00590070">
        <w:rPr>
          <w:lang w:val="pl-PL"/>
        </w:rPr>
        <w:t>, szkolenia dla osób nieaktywnych zawodowo oraz usługi wspierające uczestnictwo w rynku pracy, takie jak opieka nad dziećmi i osobami starszymi.</w:t>
      </w:r>
    </w:p>
    <w:p w14:paraId="1A5ED3F7" w14:textId="3B3A148E" w:rsidR="00711C7A" w:rsidRPr="00590070" w:rsidRDefault="00711C7A" w:rsidP="00711C7A">
      <w:pPr>
        <w:numPr>
          <w:ilvl w:val="1"/>
          <w:numId w:val="9"/>
        </w:numPr>
        <w:spacing w:before="160" w:after="0" w:line="300" w:lineRule="auto"/>
        <w:rPr>
          <w:lang w:val="pl-PL"/>
        </w:rPr>
      </w:pPr>
      <w:r w:rsidRPr="00590070">
        <w:rPr>
          <w:lang w:val="pl-PL"/>
        </w:rPr>
        <w:t>W zakresie produktywności pracy należy skupić się na umiejętnościach i mobilności. Polska ma trzeci najniższy poziom umiejętności cyfrowych w UE, a udział w szkoleniach jest znacznie poniżej średniej UE (25% vs 34%), dlatego ważna jest współpraca z sektorem przedsiębiorstw w celu zwiększenia dostępu i adekwatności szkoleń. W zakresie mobilności, przy utrzymując</w:t>
      </w:r>
      <w:r w:rsidR="00B93A35" w:rsidRPr="00590070">
        <w:rPr>
          <w:lang w:val="pl-PL"/>
        </w:rPr>
        <w:t>ym</w:t>
      </w:r>
      <w:r w:rsidRPr="00590070">
        <w:rPr>
          <w:lang w:val="pl-PL"/>
        </w:rPr>
        <w:t xml:space="preserve"> się niski</w:t>
      </w:r>
      <w:r w:rsidR="00B93A35" w:rsidRPr="00590070">
        <w:rPr>
          <w:lang w:val="pl-PL"/>
        </w:rPr>
        <w:t>m</w:t>
      </w:r>
      <w:r w:rsidRPr="00590070">
        <w:rPr>
          <w:lang w:val="pl-PL"/>
        </w:rPr>
        <w:t xml:space="preserve"> bezrobociu, </w:t>
      </w:r>
      <w:r w:rsidR="00B93A35" w:rsidRPr="00590070">
        <w:rPr>
          <w:lang w:val="pl-PL"/>
        </w:rPr>
        <w:t xml:space="preserve">urzędy pracy </w:t>
      </w:r>
      <w:r w:rsidRPr="00590070">
        <w:rPr>
          <w:lang w:val="pl-PL"/>
        </w:rPr>
        <w:t xml:space="preserve">powinny </w:t>
      </w:r>
      <w:r w:rsidR="00B93A35" w:rsidRPr="00590070">
        <w:rPr>
          <w:lang w:val="pl-PL"/>
        </w:rPr>
        <w:t xml:space="preserve">mniej </w:t>
      </w:r>
      <w:r w:rsidRPr="00590070">
        <w:rPr>
          <w:lang w:val="pl-PL"/>
        </w:rPr>
        <w:t xml:space="preserve">koncentrować się na bezrobociu, </w:t>
      </w:r>
      <w:r w:rsidR="00B93A35" w:rsidRPr="00590070">
        <w:rPr>
          <w:lang w:val="pl-PL"/>
        </w:rPr>
        <w:t xml:space="preserve">a bardziej </w:t>
      </w:r>
      <w:r w:rsidRPr="00590070">
        <w:rPr>
          <w:lang w:val="pl-PL"/>
        </w:rPr>
        <w:t xml:space="preserve">na dopasowaniu </w:t>
      </w:r>
      <w:r w:rsidR="00B93A35" w:rsidRPr="00590070">
        <w:rPr>
          <w:lang w:val="pl-PL"/>
        </w:rPr>
        <w:t>kwalifikacji d</w:t>
      </w:r>
      <w:r w:rsidRPr="00590070">
        <w:rPr>
          <w:lang w:val="pl-PL"/>
        </w:rPr>
        <w:t xml:space="preserve">o potrzeb rynku. Zachęcamy także do ograniczenia liczby zawodów regulowanych (obecnie najwyższa w UE) oraz wsparcia propozycji </w:t>
      </w:r>
      <w:r w:rsidR="00B93A35" w:rsidRPr="00590070">
        <w:rPr>
          <w:lang w:val="pl-PL"/>
        </w:rPr>
        <w:t>unijnych</w:t>
      </w:r>
      <w:r w:rsidRPr="00590070">
        <w:rPr>
          <w:lang w:val="pl-PL"/>
        </w:rPr>
        <w:t xml:space="preserve"> </w:t>
      </w:r>
      <w:r w:rsidRPr="00590070">
        <w:rPr>
          <w:lang w:val="pl-PL"/>
        </w:rPr>
        <w:lastRenderedPageBreak/>
        <w:t>dotyczących rozszerzenia systemu automatycznego uznawania kwalifikacji zagranicznych.</w:t>
      </w:r>
    </w:p>
    <w:p w14:paraId="42F65C55" w14:textId="77777777" w:rsidR="00711C7A" w:rsidRPr="00590070" w:rsidRDefault="00711C7A" w:rsidP="00711C7A">
      <w:pPr>
        <w:numPr>
          <w:ilvl w:val="0"/>
          <w:numId w:val="9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Rynki kapitałowe</w:t>
      </w:r>
      <w:r w:rsidRPr="00590070">
        <w:rPr>
          <w:lang w:val="pl-PL"/>
        </w:rPr>
        <w:t xml:space="preserve"> – Wyróżniamy dwa cele, które często są łączone w debacie publicznej: </w:t>
      </w:r>
    </w:p>
    <w:p w14:paraId="00410C2A" w14:textId="68AD3D83" w:rsidR="00711C7A" w:rsidRPr="00590070" w:rsidRDefault="00711C7A" w:rsidP="00711C7A">
      <w:pPr>
        <w:numPr>
          <w:ilvl w:val="1"/>
          <w:numId w:val="9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Zwiększenie stóp zwrotu z oszczędności gospodarstw domowych</w:t>
      </w:r>
      <w:r w:rsidRPr="00590070">
        <w:rPr>
          <w:lang w:val="pl-PL"/>
        </w:rPr>
        <w:t xml:space="preserve"> – Ważne jest podniesienie skorygowanej o ryzyko stopy zwrotu z oszczędności Polaków poprzez ograniczenie nadmiernej ekspozycji na nieruchomości i depozyty bankowe na rzecz szerszego i bardziej zdywersyfikowanego portfela aktywów finansowych. Można to osiągnąć poprzez ograniczenie preferencji podatkowych dla nieruchomości (zwłaszcza </w:t>
      </w:r>
      <w:r w:rsidR="00626F3A" w:rsidRPr="00590070">
        <w:rPr>
          <w:lang w:val="pl-PL"/>
        </w:rPr>
        <w:t>w przypadku kolejnych mieszkań</w:t>
      </w:r>
      <w:r w:rsidRPr="00590070">
        <w:rPr>
          <w:lang w:val="pl-PL"/>
        </w:rPr>
        <w:t>), zwiększenie udziału w III filarze emerytalnym oraz dostęp</w:t>
      </w:r>
      <w:r w:rsidR="00626F3A" w:rsidRPr="00590070">
        <w:rPr>
          <w:lang w:val="pl-PL"/>
        </w:rPr>
        <w:t xml:space="preserve">ności </w:t>
      </w:r>
      <w:r w:rsidRPr="00590070">
        <w:rPr>
          <w:lang w:val="pl-PL"/>
        </w:rPr>
        <w:t>tanich i szeroko zdywersyfikowanych produktów inwestycyjnych. W tym zakresie rządow</w:t>
      </w:r>
      <w:r w:rsidR="00B93A35" w:rsidRPr="00590070">
        <w:rPr>
          <w:lang w:val="pl-PL"/>
        </w:rPr>
        <w:t>y</w:t>
      </w:r>
      <w:r w:rsidRPr="00590070">
        <w:rPr>
          <w:lang w:val="pl-PL"/>
        </w:rPr>
        <w:t xml:space="preserve"> </w:t>
      </w:r>
      <w:r w:rsidR="00B93A35" w:rsidRPr="00590070">
        <w:rPr>
          <w:lang w:val="pl-PL"/>
        </w:rPr>
        <w:t xml:space="preserve">program </w:t>
      </w:r>
      <w:r w:rsidRPr="00590070">
        <w:rPr>
          <w:lang w:val="pl-PL"/>
        </w:rPr>
        <w:t>„O</w:t>
      </w:r>
      <w:r w:rsidR="00B93A35" w:rsidRPr="00590070">
        <w:rPr>
          <w:lang w:val="pl-PL"/>
        </w:rPr>
        <w:t>KI</w:t>
      </w:r>
      <w:r w:rsidRPr="00590070">
        <w:rPr>
          <w:lang w:val="pl-PL"/>
        </w:rPr>
        <w:t>” mo</w:t>
      </w:r>
      <w:r w:rsidR="00B93A35" w:rsidRPr="00590070">
        <w:rPr>
          <w:lang w:val="pl-PL"/>
        </w:rPr>
        <w:t xml:space="preserve">że </w:t>
      </w:r>
      <w:r w:rsidRPr="00590070">
        <w:rPr>
          <w:lang w:val="pl-PL"/>
        </w:rPr>
        <w:t>być p</w:t>
      </w:r>
      <w:r w:rsidR="00B93A35" w:rsidRPr="00590070">
        <w:rPr>
          <w:lang w:val="pl-PL"/>
        </w:rPr>
        <w:t>omocny</w:t>
      </w:r>
      <w:r w:rsidRPr="00590070">
        <w:rPr>
          <w:lang w:val="pl-PL"/>
        </w:rPr>
        <w:t xml:space="preserve">, lecz kluczowe jest, by </w:t>
      </w:r>
      <w:r w:rsidR="00B93A35" w:rsidRPr="00590070">
        <w:rPr>
          <w:lang w:val="pl-PL"/>
        </w:rPr>
        <w:t>regulacje</w:t>
      </w:r>
      <w:r w:rsidRPr="00590070">
        <w:rPr>
          <w:lang w:val="pl-PL"/>
        </w:rPr>
        <w:t xml:space="preserve"> nie ograniczały inwestycji do krajowych akcji, co </w:t>
      </w:r>
      <w:r w:rsidR="00B93A35" w:rsidRPr="00590070">
        <w:rPr>
          <w:lang w:val="pl-PL"/>
        </w:rPr>
        <w:t>zmniejszałoby</w:t>
      </w:r>
      <w:r w:rsidRPr="00590070">
        <w:rPr>
          <w:lang w:val="pl-PL"/>
        </w:rPr>
        <w:t xml:space="preserve"> dywersyfikację i wzmacnia</w:t>
      </w:r>
      <w:r w:rsidR="00B93A35" w:rsidRPr="00590070">
        <w:rPr>
          <w:lang w:val="pl-PL"/>
        </w:rPr>
        <w:t>łoby</w:t>
      </w:r>
      <w:r w:rsidRPr="00590070">
        <w:rPr>
          <w:lang w:val="pl-PL"/>
        </w:rPr>
        <w:t xml:space="preserve"> fragmentację finansową w Europie.</w:t>
      </w:r>
    </w:p>
    <w:p w14:paraId="5A7C4E38" w14:textId="65F9CAED" w:rsidR="00711C7A" w:rsidRPr="00590070" w:rsidRDefault="00711C7A" w:rsidP="00711C7A">
      <w:pPr>
        <w:numPr>
          <w:ilvl w:val="1"/>
          <w:numId w:val="9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Zwiększenie finansowania dla polskich firm</w:t>
      </w:r>
      <w:r w:rsidRPr="00590070">
        <w:rPr>
          <w:lang w:val="pl-PL"/>
        </w:rPr>
        <w:t xml:space="preserve"> – Oddzielnym celem jest zwiększenie dostępu polskich firm do finansowania niezbędnego do rozwoju. Dla mniejszych, bardziej ryzykownych firm, które nie mogą polegać na zyskach czy kredytach bankowych, </w:t>
      </w:r>
      <w:r w:rsidR="00B93A35" w:rsidRPr="00590070">
        <w:rPr>
          <w:lang w:val="pl-PL"/>
        </w:rPr>
        <w:t>pomóc może</w:t>
      </w:r>
      <w:r w:rsidRPr="00590070">
        <w:rPr>
          <w:lang w:val="pl-PL"/>
        </w:rPr>
        <w:t xml:space="preserve"> platforma Innovate Poland, kierująca oszczędności instytucjonalne do alternatywnych funduszy inwestycyjnyc</w:t>
      </w:r>
      <w:r w:rsidR="00B93A35" w:rsidRPr="00590070">
        <w:rPr>
          <w:lang w:val="pl-PL"/>
        </w:rPr>
        <w:t xml:space="preserve">h. </w:t>
      </w:r>
      <w:r w:rsidRPr="00590070">
        <w:rPr>
          <w:lang w:val="pl-PL"/>
        </w:rPr>
        <w:t xml:space="preserve">Dla bardziej rozwiniętych firm naszym zdaniem tylko paneuropejskie rynki kapitałowe </w:t>
      </w:r>
      <w:r w:rsidR="00B93A35" w:rsidRPr="00590070">
        <w:rPr>
          <w:lang w:val="pl-PL"/>
        </w:rPr>
        <w:t xml:space="preserve">mogą </w:t>
      </w:r>
      <w:r w:rsidRPr="00590070">
        <w:rPr>
          <w:lang w:val="pl-PL"/>
        </w:rPr>
        <w:t>zapewni</w:t>
      </w:r>
      <w:r w:rsidR="00B93A35" w:rsidRPr="00590070">
        <w:rPr>
          <w:lang w:val="pl-PL"/>
        </w:rPr>
        <w:t>ć</w:t>
      </w:r>
      <w:r w:rsidRPr="00590070">
        <w:rPr>
          <w:lang w:val="pl-PL"/>
        </w:rPr>
        <w:t xml:space="preserve"> finansowanie dużych lub ryzykownych inwestycji. Rynki krajowe, zwłaszcza w krajach </w:t>
      </w:r>
      <w:r w:rsidR="00B93A35" w:rsidRPr="00590070">
        <w:rPr>
          <w:lang w:val="pl-PL"/>
        </w:rPr>
        <w:t xml:space="preserve">z niskimi oszczędnościami </w:t>
      </w:r>
      <w:r w:rsidRPr="00590070">
        <w:rPr>
          <w:lang w:val="pl-PL"/>
        </w:rPr>
        <w:t>taki</w:t>
      </w:r>
      <w:r w:rsidR="00B93A35" w:rsidRPr="00590070">
        <w:rPr>
          <w:lang w:val="pl-PL"/>
        </w:rPr>
        <w:t>ch</w:t>
      </w:r>
      <w:r w:rsidRPr="00590070">
        <w:rPr>
          <w:lang w:val="pl-PL"/>
        </w:rPr>
        <w:t xml:space="preserve"> jak Polska, prawdopodobnie nie zapewnią odpowiedniej skali i kosztu finansowania do budowy paneuropejskich marek. Dlatego nadal uważamy </w:t>
      </w:r>
      <w:r w:rsidR="00626F3A" w:rsidRPr="00590070">
        <w:rPr>
          <w:lang w:val="pl-PL"/>
        </w:rPr>
        <w:t>u</w:t>
      </w:r>
      <w:r w:rsidRPr="00590070">
        <w:rPr>
          <w:lang w:val="pl-PL"/>
        </w:rPr>
        <w:t xml:space="preserve">nię </w:t>
      </w:r>
      <w:r w:rsidR="00626F3A" w:rsidRPr="00590070">
        <w:rPr>
          <w:lang w:val="pl-PL"/>
        </w:rPr>
        <w:t>oszczędności i inwestycji</w:t>
      </w:r>
      <w:r w:rsidRPr="00590070">
        <w:rPr>
          <w:lang w:val="pl-PL"/>
        </w:rPr>
        <w:t xml:space="preserve"> za kluczową dla Polski. Priorytetem w najbliższym czasie jest reforma zwiększająca uprawnienia nadzorcze Europejskiego Urzędu Nadzoru Giełd i Papierów Wartościowych (ESMA).</w:t>
      </w:r>
    </w:p>
    <w:p w14:paraId="6DD1A591" w14:textId="40498D0B" w:rsidR="00711C7A" w:rsidRPr="00590070" w:rsidRDefault="00711C7A" w:rsidP="00711C7A">
      <w:pPr>
        <w:numPr>
          <w:ilvl w:val="0"/>
          <w:numId w:val="9"/>
        </w:numPr>
        <w:spacing w:before="160" w:after="0" w:line="300" w:lineRule="auto"/>
        <w:rPr>
          <w:lang w:val="pl-PL"/>
        </w:rPr>
      </w:pPr>
      <w:r w:rsidRPr="00590070">
        <w:rPr>
          <w:b/>
          <w:bCs/>
          <w:lang w:val="pl-PL"/>
        </w:rPr>
        <w:t>Energetyka</w:t>
      </w:r>
      <w:r w:rsidRPr="00590070">
        <w:rPr>
          <w:lang w:val="pl-PL"/>
        </w:rPr>
        <w:t xml:space="preserve"> – Podobnie jak na innych rynkach czynników produkcji, kluczowe jest pogłębianie jednolitego rynku energii. Polska powinna </w:t>
      </w:r>
      <w:r w:rsidR="00B93A35" w:rsidRPr="00590070">
        <w:rPr>
          <w:lang w:val="pl-PL"/>
        </w:rPr>
        <w:t>starać się o wypracowanie s</w:t>
      </w:r>
      <w:r w:rsidRPr="00590070">
        <w:rPr>
          <w:lang w:val="pl-PL"/>
        </w:rPr>
        <w:t>trategiczn</w:t>
      </w:r>
      <w:r w:rsidR="00B93A35" w:rsidRPr="00590070">
        <w:rPr>
          <w:lang w:val="pl-PL"/>
        </w:rPr>
        <w:t>ego</w:t>
      </w:r>
      <w:r w:rsidRPr="00590070">
        <w:rPr>
          <w:lang w:val="pl-PL"/>
        </w:rPr>
        <w:t xml:space="preserve"> plan</w:t>
      </w:r>
      <w:r w:rsidR="00B93A35" w:rsidRPr="00590070">
        <w:rPr>
          <w:lang w:val="pl-PL"/>
        </w:rPr>
        <w:t>u</w:t>
      </w:r>
      <w:r w:rsidRPr="00590070">
        <w:rPr>
          <w:lang w:val="pl-PL"/>
        </w:rPr>
        <w:t xml:space="preserve"> integracji </w:t>
      </w:r>
      <w:r w:rsidR="00B93A35" w:rsidRPr="00590070">
        <w:rPr>
          <w:lang w:val="pl-PL"/>
        </w:rPr>
        <w:t xml:space="preserve">unijnego </w:t>
      </w:r>
      <w:r w:rsidRPr="00590070">
        <w:rPr>
          <w:lang w:val="pl-PL"/>
        </w:rPr>
        <w:t xml:space="preserve">systemu elektroenergetycznego, który lepiej </w:t>
      </w:r>
      <w:r w:rsidR="00B93A35" w:rsidRPr="00590070">
        <w:rPr>
          <w:lang w:val="pl-PL"/>
        </w:rPr>
        <w:t>z</w:t>
      </w:r>
      <w:r w:rsidRPr="00590070">
        <w:rPr>
          <w:lang w:val="pl-PL"/>
        </w:rPr>
        <w:t>bilansuje podaż i popyt między krajami, ogranicz</w:t>
      </w:r>
      <w:r w:rsidR="00B93A35" w:rsidRPr="00590070">
        <w:rPr>
          <w:lang w:val="pl-PL"/>
        </w:rPr>
        <w:t>y</w:t>
      </w:r>
      <w:r w:rsidRPr="00590070">
        <w:rPr>
          <w:lang w:val="pl-PL"/>
        </w:rPr>
        <w:t xml:space="preserve"> potrzebę kosztownych rezerwowych elektrowni i magazyn</w:t>
      </w:r>
      <w:r w:rsidR="00B93A35" w:rsidRPr="00590070">
        <w:rPr>
          <w:lang w:val="pl-PL"/>
        </w:rPr>
        <w:t>ó</w:t>
      </w:r>
      <w:r w:rsidRPr="00590070">
        <w:rPr>
          <w:lang w:val="pl-PL"/>
        </w:rPr>
        <w:t>w</w:t>
      </w:r>
      <w:r w:rsidR="00B93A35" w:rsidRPr="00590070">
        <w:rPr>
          <w:lang w:val="pl-PL"/>
        </w:rPr>
        <w:t xml:space="preserve"> energii</w:t>
      </w:r>
      <w:r w:rsidRPr="00590070">
        <w:rPr>
          <w:lang w:val="pl-PL"/>
        </w:rPr>
        <w:t xml:space="preserve"> oraz </w:t>
      </w:r>
      <w:r w:rsidR="00B93A35" w:rsidRPr="00590070">
        <w:rPr>
          <w:lang w:val="pl-PL"/>
        </w:rPr>
        <w:t>z</w:t>
      </w:r>
      <w:r w:rsidRPr="00590070">
        <w:rPr>
          <w:lang w:val="pl-PL"/>
        </w:rPr>
        <w:t xml:space="preserve">łagodzi wahania cen. Wdrożenie ETS2 pozwoli Polsce osiągnąć cele emisyjne niższym kosztem </w:t>
      </w:r>
      <w:r w:rsidR="00146EB2" w:rsidRPr="00590070">
        <w:rPr>
          <w:lang w:val="pl-PL"/>
        </w:rPr>
        <w:t xml:space="preserve">dla wzrostu gospodarczego </w:t>
      </w:r>
      <w:r w:rsidRPr="00590070">
        <w:rPr>
          <w:lang w:val="pl-PL"/>
        </w:rPr>
        <w:t>niż obecne limity regulacyjne; rząd może złagodzić wpływ ETS2 na gospodarstwa domowe poprzez wzmocnienie programu „Czyste Powietrze”, który poprawia efektywność energetyczną domów. Wreszcie, rząd może kontynuować deregulację i uprościć procedury wydawania pozwoleń, by przyspieszyć rozwój OZE i modernizację sieci.</w:t>
      </w:r>
    </w:p>
    <w:p w14:paraId="1EC99122" w14:textId="77777777" w:rsidR="00711C7A" w:rsidRPr="00825147" w:rsidRDefault="00711C7A" w:rsidP="00711C7A">
      <w:pPr>
        <w:spacing w:before="160" w:after="0" w:line="300" w:lineRule="auto"/>
        <w:rPr>
          <w:i/>
          <w:iCs/>
          <w:lang w:val="pl-PL"/>
        </w:rPr>
      </w:pPr>
      <w:r w:rsidRPr="00590070">
        <w:rPr>
          <w:i/>
          <w:iCs/>
          <w:lang w:val="pl-PL"/>
        </w:rPr>
        <w:lastRenderedPageBreak/>
        <w:t>Misja dziękuje władzom i pozostałym partnerom za konstruktywną współpracę.</w:t>
      </w:r>
    </w:p>
    <w:p w14:paraId="30BDC4F9" w14:textId="6ADECAE8" w:rsidR="004E747E" w:rsidRPr="00C0741D" w:rsidRDefault="004E747E">
      <w:pPr>
        <w:spacing w:after="0" w:line="259" w:lineRule="auto"/>
        <w:ind w:left="0" w:right="70" w:firstLine="0"/>
        <w:jc w:val="right"/>
        <w:rPr>
          <w:lang w:val="pl-PL"/>
        </w:rPr>
      </w:pPr>
    </w:p>
    <w:sectPr w:rsidR="004E747E" w:rsidRPr="00C0741D">
      <w:headerReference w:type="even" r:id="rId11"/>
      <w:headerReference w:type="default" r:id="rId12"/>
      <w:headerReference w:type="first" r:id="rId13"/>
      <w:pgSz w:w="12240" w:h="15840"/>
      <w:pgMar w:top="1476" w:right="1945" w:bottom="1619" w:left="194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E216" w14:textId="77777777" w:rsidR="00A823B1" w:rsidRDefault="00A823B1">
      <w:pPr>
        <w:spacing w:after="0" w:line="240" w:lineRule="auto"/>
      </w:pPr>
      <w:r>
        <w:separator/>
      </w:r>
    </w:p>
  </w:endnote>
  <w:endnote w:type="continuationSeparator" w:id="0">
    <w:p w14:paraId="52EA3B78" w14:textId="77777777" w:rsidR="00A823B1" w:rsidRDefault="00A8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DC2C" w14:textId="77777777" w:rsidR="00A823B1" w:rsidRDefault="00A823B1">
      <w:pPr>
        <w:spacing w:after="0" w:line="240" w:lineRule="auto"/>
      </w:pPr>
      <w:r>
        <w:separator/>
      </w:r>
    </w:p>
  </w:footnote>
  <w:footnote w:type="continuationSeparator" w:id="0">
    <w:p w14:paraId="5D8B8F32" w14:textId="77777777" w:rsidR="00A823B1" w:rsidRDefault="00A8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0E4E" w14:textId="77777777" w:rsidR="004E747E" w:rsidRDefault="0049396B">
    <w:pPr>
      <w:spacing w:after="0" w:line="259" w:lineRule="auto"/>
      <w:ind w:lef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5E5D" w14:textId="77777777" w:rsidR="004E747E" w:rsidRDefault="0049396B">
    <w:pPr>
      <w:spacing w:after="0" w:line="259" w:lineRule="auto"/>
      <w:ind w:lef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EE86" w14:textId="77777777" w:rsidR="004E747E" w:rsidRDefault="004E747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8C54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C1318A"/>
    <w:multiLevelType w:val="multilevel"/>
    <w:tmpl w:val="682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D7BB7"/>
    <w:multiLevelType w:val="hybridMultilevel"/>
    <w:tmpl w:val="235E1B36"/>
    <w:lvl w:ilvl="0" w:tplc="C520ED66">
      <w:start w:val="1"/>
      <w:numFmt w:val="decimal"/>
      <w:pStyle w:val="ParagraphNumbering"/>
      <w:lvlText w:val="%1.     "/>
      <w:lvlJc w:val="left"/>
      <w:pPr>
        <w:ind w:left="360" w:hanging="360"/>
      </w:pPr>
      <w:rPr>
        <w:rFonts w:ascii="Segoe UI" w:hAnsi="Segoe UI"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C4920"/>
    <w:multiLevelType w:val="hybridMultilevel"/>
    <w:tmpl w:val="480C5AB0"/>
    <w:lvl w:ilvl="0" w:tplc="684CA0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BC49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8BB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C79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D4DE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E49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A5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F846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9C0F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DBF2B"/>
    <w:multiLevelType w:val="hybridMultilevel"/>
    <w:tmpl w:val="2934F58C"/>
    <w:lvl w:ilvl="0" w:tplc="B5B2E27E">
      <w:start w:val="1"/>
      <w:numFmt w:val="decimal"/>
      <w:lvlText w:val="%1."/>
      <w:lvlJc w:val="left"/>
      <w:pPr>
        <w:ind w:left="720" w:hanging="360"/>
      </w:pPr>
    </w:lvl>
    <w:lvl w:ilvl="1" w:tplc="8F645E68">
      <w:start w:val="1"/>
      <w:numFmt w:val="lowerLetter"/>
      <w:lvlText w:val="%2."/>
      <w:lvlJc w:val="left"/>
      <w:pPr>
        <w:ind w:left="1440" w:hanging="360"/>
      </w:pPr>
    </w:lvl>
    <w:lvl w:ilvl="2" w:tplc="41D4EED8">
      <w:start w:val="1"/>
      <w:numFmt w:val="lowerRoman"/>
      <w:lvlText w:val="%3."/>
      <w:lvlJc w:val="right"/>
      <w:pPr>
        <w:ind w:left="2160" w:hanging="180"/>
      </w:pPr>
    </w:lvl>
    <w:lvl w:ilvl="3" w:tplc="64D839BE">
      <w:start w:val="1"/>
      <w:numFmt w:val="decimal"/>
      <w:lvlText w:val="%4."/>
      <w:lvlJc w:val="left"/>
      <w:pPr>
        <w:ind w:left="2880" w:hanging="360"/>
      </w:pPr>
    </w:lvl>
    <w:lvl w:ilvl="4" w:tplc="7A10166C">
      <w:start w:val="1"/>
      <w:numFmt w:val="lowerLetter"/>
      <w:lvlText w:val="%5."/>
      <w:lvlJc w:val="left"/>
      <w:pPr>
        <w:ind w:left="3600" w:hanging="360"/>
      </w:pPr>
    </w:lvl>
    <w:lvl w:ilvl="5" w:tplc="751C4396">
      <w:start w:val="1"/>
      <w:numFmt w:val="lowerRoman"/>
      <w:lvlText w:val="%6."/>
      <w:lvlJc w:val="right"/>
      <w:pPr>
        <w:ind w:left="4320" w:hanging="180"/>
      </w:pPr>
    </w:lvl>
    <w:lvl w:ilvl="6" w:tplc="4642BD92">
      <w:start w:val="1"/>
      <w:numFmt w:val="decimal"/>
      <w:lvlText w:val="%7."/>
      <w:lvlJc w:val="left"/>
      <w:pPr>
        <w:ind w:left="5040" w:hanging="360"/>
      </w:pPr>
    </w:lvl>
    <w:lvl w:ilvl="7" w:tplc="FF82A4AC">
      <w:start w:val="1"/>
      <w:numFmt w:val="lowerLetter"/>
      <w:lvlText w:val="%8."/>
      <w:lvlJc w:val="left"/>
      <w:pPr>
        <w:ind w:left="5760" w:hanging="360"/>
      </w:pPr>
    </w:lvl>
    <w:lvl w:ilvl="8" w:tplc="0DD27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66B0F"/>
    <w:multiLevelType w:val="multilevel"/>
    <w:tmpl w:val="CB0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03F8D"/>
    <w:multiLevelType w:val="hybridMultilevel"/>
    <w:tmpl w:val="A520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E60F1"/>
    <w:multiLevelType w:val="multilevel"/>
    <w:tmpl w:val="71E2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7E"/>
    <w:rsid w:val="000007D1"/>
    <w:rsid w:val="00000BAA"/>
    <w:rsid w:val="00000DC3"/>
    <w:rsid w:val="00001833"/>
    <w:rsid w:val="00001FE4"/>
    <w:rsid w:val="00002A21"/>
    <w:rsid w:val="00002E96"/>
    <w:rsid w:val="00003368"/>
    <w:rsid w:val="00003FF0"/>
    <w:rsid w:val="00004551"/>
    <w:rsid w:val="00004B29"/>
    <w:rsid w:val="00004B43"/>
    <w:rsid w:val="000051D0"/>
    <w:rsid w:val="00006619"/>
    <w:rsid w:val="00006A52"/>
    <w:rsid w:val="00006D95"/>
    <w:rsid w:val="0000732A"/>
    <w:rsid w:val="00010CB7"/>
    <w:rsid w:val="00010DFF"/>
    <w:rsid w:val="00011815"/>
    <w:rsid w:val="0001216D"/>
    <w:rsid w:val="00012524"/>
    <w:rsid w:val="000128D3"/>
    <w:rsid w:val="0001332A"/>
    <w:rsid w:val="00013773"/>
    <w:rsid w:val="00015272"/>
    <w:rsid w:val="00016D1A"/>
    <w:rsid w:val="00016E9C"/>
    <w:rsid w:val="0001792A"/>
    <w:rsid w:val="00017FF2"/>
    <w:rsid w:val="0002046E"/>
    <w:rsid w:val="00021899"/>
    <w:rsid w:val="00022306"/>
    <w:rsid w:val="00025DFB"/>
    <w:rsid w:val="0002629F"/>
    <w:rsid w:val="00026BEA"/>
    <w:rsid w:val="0002770D"/>
    <w:rsid w:val="00027E7B"/>
    <w:rsid w:val="000306BC"/>
    <w:rsid w:val="0003085F"/>
    <w:rsid w:val="00030CAE"/>
    <w:rsid w:val="00030ED4"/>
    <w:rsid w:val="0003122B"/>
    <w:rsid w:val="00031F8C"/>
    <w:rsid w:val="000325B4"/>
    <w:rsid w:val="00032B23"/>
    <w:rsid w:val="00032D6A"/>
    <w:rsid w:val="000330F2"/>
    <w:rsid w:val="000332BC"/>
    <w:rsid w:val="000334AF"/>
    <w:rsid w:val="0003582C"/>
    <w:rsid w:val="00035A0D"/>
    <w:rsid w:val="00036162"/>
    <w:rsid w:val="00036641"/>
    <w:rsid w:val="00037165"/>
    <w:rsid w:val="00037868"/>
    <w:rsid w:val="0004002D"/>
    <w:rsid w:val="00040193"/>
    <w:rsid w:val="00041318"/>
    <w:rsid w:val="000428C9"/>
    <w:rsid w:val="00042D3F"/>
    <w:rsid w:val="00042D8E"/>
    <w:rsid w:val="00042ED3"/>
    <w:rsid w:val="00044133"/>
    <w:rsid w:val="00045498"/>
    <w:rsid w:val="0004574C"/>
    <w:rsid w:val="00045774"/>
    <w:rsid w:val="000459A0"/>
    <w:rsid w:val="00046CD3"/>
    <w:rsid w:val="00047693"/>
    <w:rsid w:val="00047B4E"/>
    <w:rsid w:val="00050CDF"/>
    <w:rsid w:val="00051BB3"/>
    <w:rsid w:val="000522B9"/>
    <w:rsid w:val="00052E8F"/>
    <w:rsid w:val="00053A76"/>
    <w:rsid w:val="000547F2"/>
    <w:rsid w:val="000555A2"/>
    <w:rsid w:val="000562D9"/>
    <w:rsid w:val="0005645B"/>
    <w:rsid w:val="00056487"/>
    <w:rsid w:val="00056692"/>
    <w:rsid w:val="00061E49"/>
    <w:rsid w:val="00062A1F"/>
    <w:rsid w:val="00063636"/>
    <w:rsid w:val="0006365D"/>
    <w:rsid w:val="00063D15"/>
    <w:rsid w:val="00064A07"/>
    <w:rsid w:val="0006548E"/>
    <w:rsid w:val="000657E9"/>
    <w:rsid w:val="00065923"/>
    <w:rsid w:val="00066691"/>
    <w:rsid w:val="0006726A"/>
    <w:rsid w:val="00067490"/>
    <w:rsid w:val="000708B2"/>
    <w:rsid w:val="00070A27"/>
    <w:rsid w:val="00070CC3"/>
    <w:rsid w:val="00070FC0"/>
    <w:rsid w:val="0007234A"/>
    <w:rsid w:val="00073BDB"/>
    <w:rsid w:val="000745F2"/>
    <w:rsid w:val="00074D27"/>
    <w:rsid w:val="00074F3F"/>
    <w:rsid w:val="00075CC0"/>
    <w:rsid w:val="00076C07"/>
    <w:rsid w:val="000772D5"/>
    <w:rsid w:val="00077516"/>
    <w:rsid w:val="0008167C"/>
    <w:rsid w:val="000816B7"/>
    <w:rsid w:val="0008193D"/>
    <w:rsid w:val="00082DDD"/>
    <w:rsid w:val="00082F7E"/>
    <w:rsid w:val="00083CD9"/>
    <w:rsid w:val="00083FE4"/>
    <w:rsid w:val="000849D6"/>
    <w:rsid w:val="00084BC8"/>
    <w:rsid w:val="000851C9"/>
    <w:rsid w:val="00085761"/>
    <w:rsid w:val="00086217"/>
    <w:rsid w:val="0008744A"/>
    <w:rsid w:val="0008774B"/>
    <w:rsid w:val="00087E3B"/>
    <w:rsid w:val="00090017"/>
    <w:rsid w:val="00090D57"/>
    <w:rsid w:val="00091233"/>
    <w:rsid w:val="000914D0"/>
    <w:rsid w:val="00092BDF"/>
    <w:rsid w:val="0009308F"/>
    <w:rsid w:val="0009387D"/>
    <w:rsid w:val="00093A58"/>
    <w:rsid w:val="00094A9D"/>
    <w:rsid w:val="0009635A"/>
    <w:rsid w:val="00096CD9"/>
    <w:rsid w:val="00096E01"/>
    <w:rsid w:val="000975CE"/>
    <w:rsid w:val="00097F6D"/>
    <w:rsid w:val="000A1EEA"/>
    <w:rsid w:val="000A2188"/>
    <w:rsid w:val="000A28D4"/>
    <w:rsid w:val="000A3DE9"/>
    <w:rsid w:val="000A4436"/>
    <w:rsid w:val="000A5272"/>
    <w:rsid w:val="000A71A8"/>
    <w:rsid w:val="000A7ABB"/>
    <w:rsid w:val="000A7BB6"/>
    <w:rsid w:val="000A7D79"/>
    <w:rsid w:val="000B15E4"/>
    <w:rsid w:val="000B21F5"/>
    <w:rsid w:val="000B2D39"/>
    <w:rsid w:val="000B3913"/>
    <w:rsid w:val="000B3EE6"/>
    <w:rsid w:val="000B5469"/>
    <w:rsid w:val="000B69E9"/>
    <w:rsid w:val="000B70C2"/>
    <w:rsid w:val="000C0AC6"/>
    <w:rsid w:val="000C2470"/>
    <w:rsid w:val="000C3B06"/>
    <w:rsid w:val="000C3FF6"/>
    <w:rsid w:val="000C42A6"/>
    <w:rsid w:val="000C48C3"/>
    <w:rsid w:val="000C49B4"/>
    <w:rsid w:val="000C68F8"/>
    <w:rsid w:val="000C715C"/>
    <w:rsid w:val="000C7327"/>
    <w:rsid w:val="000D00DD"/>
    <w:rsid w:val="000D0F76"/>
    <w:rsid w:val="000D12F5"/>
    <w:rsid w:val="000D15EB"/>
    <w:rsid w:val="000D199B"/>
    <w:rsid w:val="000D1E7E"/>
    <w:rsid w:val="000D2076"/>
    <w:rsid w:val="000D26A9"/>
    <w:rsid w:val="000D45EC"/>
    <w:rsid w:val="000D4923"/>
    <w:rsid w:val="000D5266"/>
    <w:rsid w:val="000D54AD"/>
    <w:rsid w:val="000D64E0"/>
    <w:rsid w:val="000D674C"/>
    <w:rsid w:val="000D6DA5"/>
    <w:rsid w:val="000E0AA6"/>
    <w:rsid w:val="000E1879"/>
    <w:rsid w:val="000E35D5"/>
    <w:rsid w:val="000E3C73"/>
    <w:rsid w:val="000E6423"/>
    <w:rsid w:val="000E6452"/>
    <w:rsid w:val="000E775D"/>
    <w:rsid w:val="000F0161"/>
    <w:rsid w:val="000F0828"/>
    <w:rsid w:val="000F09BF"/>
    <w:rsid w:val="000F1576"/>
    <w:rsid w:val="000F2048"/>
    <w:rsid w:val="000F30AF"/>
    <w:rsid w:val="000F3B26"/>
    <w:rsid w:val="000F3C42"/>
    <w:rsid w:val="000F4B49"/>
    <w:rsid w:val="000F7071"/>
    <w:rsid w:val="000F75ED"/>
    <w:rsid w:val="000F78C3"/>
    <w:rsid w:val="00100FA4"/>
    <w:rsid w:val="00101746"/>
    <w:rsid w:val="00101D49"/>
    <w:rsid w:val="001023D8"/>
    <w:rsid w:val="00103C12"/>
    <w:rsid w:val="00104058"/>
    <w:rsid w:val="001042CF"/>
    <w:rsid w:val="0010430B"/>
    <w:rsid w:val="001045F2"/>
    <w:rsid w:val="00104A8D"/>
    <w:rsid w:val="00105B56"/>
    <w:rsid w:val="00105D16"/>
    <w:rsid w:val="00105D90"/>
    <w:rsid w:val="00107108"/>
    <w:rsid w:val="00110508"/>
    <w:rsid w:val="001106C5"/>
    <w:rsid w:val="00111229"/>
    <w:rsid w:val="001113FF"/>
    <w:rsid w:val="0011162A"/>
    <w:rsid w:val="001118A9"/>
    <w:rsid w:val="00113314"/>
    <w:rsid w:val="00116992"/>
    <w:rsid w:val="00116C5F"/>
    <w:rsid w:val="001179ED"/>
    <w:rsid w:val="00121285"/>
    <w:rsid w:val="00121D57"/>
    <w:rsid w:val="0012290D"/>
    <w:rsid w:val="00124065"/>
    <w:rsid w:val="00124E9E"/>
    <w:rsid w:val="00126342"/>
    <w:rsid w:val="00126768"/>
    <w:rsid w:val="00127485"/>
    <w:rsid w:val="00127FF7"/>
    <w:rsid w:val="001300DE"/>
    <w:rsid w:val="001305B1"/>
    <w:rsid w:val="00131153"/>
    <w:rsid w:val="001311AC"/>
    <w:rsid w:val="001316D8"/>
    <w:rsid w:val="00132673"/>
    <w:rsid w:val="00132981"/>
    <w:rsid w:val="00133239"/>
    <w:rsid w:val="00133B89"/>
    <w:rsid w:val="00134445"/>
    <w:rsid w:val="001355F9"/>
    <w:rsid w:val="00136BF2"/>
    <w:rsid w:val="00137124"/>
    <w:rsid w:val="0013759E"/>
    <w:rsid w:val="00137780"/>
    <w:rsid w:val="00137C3A"/>
    <w:rsid w:val="0014018F"/>
    <w:rsid w:val="00140210"/>
    <w:rsid w:val="001403D7"/>
    <w:rsid w:val="00141651"/>
    <w:rsid w:val="00142809"/>
    <w:rsid w:val="0014290C"/>
    <w:rsid w:val="0014528E"/>
    <w:rsid w:val="00145418"/>
    <w:rsid w:val="001455D4"/>
    <w:rsid w:val="001459F3"/>
    <w:rsid w:val="00146340"/>
    <w:rsid w:val="00146EB2"/>
    <w:rsid w:val="001470C9"/>
    <w:rsid w:val="0015049A"/>
    <w:rsid w:val="00150840"/>
    <w:rsid w:val="00150E67"/>
    <w:rsid w:val="00151766"/>
    <w:rsid w:val="0015193E"/>
    <w:rsid w:val="00152A2B"/>
    <w:rsid w:val="00152D83"/>
    <w:rsid w:val="00153766"/>
    <w:rsid w:val="001555CC"/>
    <w:rsid w:val="00155C64"/>
    <w:rsid w:val="001568B1"/>
    <w:rsid w:val="0016120B"/>
    <w:rsid w:val="00162693"/>
    <w:rsid w:val="00163A8F"/>
    <w:rsid w:val="0016540D"/>
    <w:rsid w:val="001659A0"/>
    <w:rsid w:val="001661D7"/>
    <w:rsid w:val="00167EAD"/>
    <w:rsid w:val="00170198"/>
    <w:rsid w:val="00171182"/>
    <w:rsid w:val="00171362"/>
    <w:rsid w:val="00173CA8"/>
    <w:rsid w:val="00176138"/>
    <w:rsid w:val="0017644B"/>
    <w:rsid w:val="00176A3D"/>
    <w:rsid w:val="00176A9C"/>
    <w:rsid w:val="00176EBB"/>
    <w:rsid w:val="001800E6"/>
    <w:rsid w:val="00180552"/>
    <w:rsid w:val="001810AD"/>
    <w:rsid w:val="001826B9"/>
    <w:rsid w:val="00182E25"/>
    <w:rsid w:val="00185D01"/>
    <w:rsid w:val="001868AA"/>
    <w:rsid w:val="00186E42"/>
    <w:rsid w:val="00187712"/>
    <w:rsid w:val="00187BF7"/>
    <w:rsid w:val="00190701"/>
    <w:rsid w:val="001919BF"/>
    <w:rsid w:val="00191A74"/>
    <w:rsid w:val="00191C3E"/>
    <w:rsid w:val="0019359F"/>
    <w:rsid w:val="00193B65"/>
    <w:rsid w:val="00193F99"/>
    <w:rsid w:val="00194980"/>
    <w:rsid w:val="0019562A"/>
    <w:rsid w:val="00195CBD"/>
    <w:rsid w:val="00195F2F"/>
    <w:rsid w:val="0019612F"/>
    <w:rsid w:val="0019714B"/>
    <w:rsid w:val="001A063A"/>
    <w:rsid w:val="001A10C7"/>
    <w:rsid w:val="001A1305"/>
    <w:rsid w:val="001A1352"/>
    <w:rsid w:val="001A2D17"/>
    <w:rsid w:val="001A33C8"/>
    <w:rsid w:val="001A3E1D"/>
    <w:rsid w:val="001A46B9"/>
    <w:rsid w:val="001A560C"/>
    <w:rsid w:val="001A5F6A"/>
    <w:rsid w:val="001A6A7A"/>
    <w:rsid w:val="001A6A9F"/>
    <w:rsid w:val="001A6B6C"/>
    <w:rsid w:val="001A6E58"/>
    <w:rsid w:val="001A7114"/>
    <w:rsid w:val="001B13D6"/>
    <w:rsid w:val="001B22F3"/>
    <w:rsid w:val="001B24EF"/>
    <w:rsid w:val="001B2DAD"/>
    <w:rsid w:val="001B2F85"/>
    <w:rsid w:val="001B3753"/>
    <w:rsid w:val="001B3DA0"/>
    <w:rsid w:val="001B4364"/>
    <w:rsid w:val="001B4E12"/>
    <w:rsid w:val="001B5681"/>
    <w:rsid w:val="001B56AF"/>
    <w:rsid w:val="001B5BDF"/>
    <w:rsid w:val="001B6013"/>
    <w:rsid w:val="001B6687"/>
    <w:rsid w:val="001B748C"/>
    <w:rsid w:val="001C0E07"/>
    <w:rsid w:val="001C128F"/>
    <w:rsid w:val="001C12D3"/>
    <w:rsid w:val="001C260F"/>
    <w:rsid w:val="001C3A87"/>
    <w:rsid w:val="001C4202"/>
    <w:rsid w:val="001C42E2"/>
    <w:rsid w:val="001C4FF1"/>
    <w:rsid w:val="001C767D"/>
    <w:rsid w:val="001D2966"/>
    <w:rsid w:val="001D2C6C"/>
    <w:rsid w:val="001D44D3"/>
    <w:rsid w:val="001D5241"/>
    <w:rsid w:val="001D5FCD"/>
    <w:rsid w:val="001D65CE"/>
    <w:rsid w:val="001D788D"/>
    <w:rsid w:val="001E1EF0"/>
    <w:rsid w:val="001E25D5"/>
    <w:rsid w:val="001E29B3"/>
    <w:rsid w:val="001E39F7"/>
    <w:rsid w:val="001E3B3E"/>
    <w:rsid w:val="001E5EAA"/>
    <w:rsid w:val="001E61F9"/>
    <w:rsid w:val="001E67D3"/>
    <w:rsid w:val="001E69AA"/>
    <w:rsid w:val="001E713B"/>
    <w:rsid w:val="001E731B"/>
    <w:rsid w:val="001E7633"/>
    <w:rsid w:val="001E7C60"/>
    <w:rsid w:val="001F0524"/>
    <w:rsid w:val="001F0F7E"/>
    <w:rsid w:val="001F1B91"/>
    <w:rsid w:val="001F2448"/>
    <w:rsid w:val="001F3238"/>
    <w:rsid w:val="001F40CF"/>
    <w:rsid w:val="001F52CF"/>
    <w:rsid w:val="001F5321"/>
    <w:rsid w:val="001F5613"/>
    <w:rsid w:val="001F6EA7"/>
    <w:rsid w:val="001F7104"/>
    <w:rsid w:val="001F72DB"/>
    <w:rsid w:val="001F7EA7"/>
    <w:rsid w:val="00200346"/>
    <w:rsid w:val="00200415"/>
    <w:rsid w:val="00200D14"/>
    <w:rsid w:val="0020137F"/>
    <w:rsid w:val="00201593"/>
    <w:rsid w:val="002016D0"/>
    <w:rsid w:val="002017A1"/>
    <w:rsid w:val="00201B6C"/>
    <w:rsid w:val="00201D1C"/>
    <w:rsid w:val="00202486"/>
    <w:rsid w:val="0020455A"/>
    <w:rsid w:val="002048E3"/>
    <w:rsid w:val="00205196"/>
    <w:rsid w:val="00205E74"/>
    <w:rsid w:val="00206004"/>
    <w:rsid w:val="002063E9"/>
    <w:rsid w:val="002064B2"/>
    <w:rsid w:val="00206DC1"/>
    <w:rsid w:val="00207076"/>
    <w:rsid w:val="00210492"/>
    <w:rsid w:val="00210513"/>
    <w:rsid w:val="00210C70"/>
    <w:rsid w:val="0021180F"/>
    <w:rsid w:val="002122FA"/>
    <w:rsid w:val="00212ED9"/>
    <w:rsid w:val="002135B0"/>
    <w:rsid w:val="00215D5E"/>
    <w:rsid w:val="00215D75"/>
    <w:rsid w:val="00216A84"/>
    <w:rsid w:val="00216BDE"/>
    <w:rsid w:val="002200D7"/>
    <w:rsid w:val="002201EE"/>
    <w:rsid w:val="002205B0"/>
    <w:rsid w:val="00220B26"/>
    <w:rsid w:val="00221A2E"/>
    <w:rsid w:val="00221B28"/>
    <w:rsid w:val="00221D18"/>
    <w:rsid w:val="002227E1"/>
    <w:rsid w:val="00222FFA"/>
    <w:rsid w:val="002231E4"/>
    <w:rsid w:val="00223DAE"/>
    <w:rsid w:val="002245FA"/>
    <w:rsid w:val="00224941"/>
    <w:rsid w:val="00224B54"/>
    <w:rsid w:val="00224FE4"/>
    <w:rsid w:val="00225094"/>
    <w:rsid w:val="002256D7"/>
    <w:rsid w:val="00226548"/>
    <w:rsid w:val="002267D2"/>
    <w:rsid w:val="0022731B"/>
    <w:rsid w:val="00227C08"/>
    <w:rsid w:val="00227DAF"/>
    <w:rsid w:val="00227E8C"/>
    <w:rsid w:val="0023080F"/>
    <w:rsid w:val="00230FC6"/>
    <w:rsid w:val="00231B55"/>
    <w:rsid w:val="002349F3"/>
    <w:rsid w:val="00234AAE"/>
    <w:rsid w:val="00235B5C"/>
    <w:rsid w:val="00236554"/>
    <w:rsid w:val="00240611"/>
    <w:rsid w:val="0024160B"/>
    <w:rsid w:val="002427B3"/>
    <w:rsid w:val="00242E2D"/>
    <w:rsid w:val="00243DB1"/>
    <w:rsid w:val="00243FD5"/>
    <w:rsid w:val="00244486"/>
    <w:rsid w:val="0024479A"/>
    <w:rsid w:val="00244B4D"/>
    <w:rsid w:val="002453FC"/>
    <w:rsid w:val="002456DC"/>
    <w:rsid w:val="0024574E"/>
    <w:rsid w:val="002463B5"/>
    <w:rsid w:val="00247743"/>
    <w:rsid w:val="002478FF"/>
    <w:rsid w:val="00247A71"/>
    <w:rsid w:val="00247DB1"/>
    <w:rsid w:val="00250A55"/>
    <w:rsid w:val="0025298F"/>
    <w:rsid w:val="00253347"/>
    <w:rsid w:val="00253BE2"/>
    <w:rsid w:val="00255DC7"/>
    <w:rsid w:val="00256043"/>
    <w:rsid w:val="00256F70"/>
    <w:rsid w:val="00257744"/>
    <w:rsid w:val="00260F3C"/>
    <w:rsid w:val="0026237B"/>
    <w:rsid w:val="00262B2B"/>
    <w:rsid w:val="00265F84"/>
    <w:rsid w:val="00265FE8"/>
    <w:rsid w:val="00270117"/>
    <w:rsid w:val="00270AFE"/>
    <w:rsid w:val="00270E20"/>
    <w:rsid w:val="00270E2B"/>
    <w:rsid w:val="00270F89"/>
    <w:rsid w:val="00271F79"/>
    <w:rsid w:val="00272DD5"/>
    <w:rsid w:val="00273CDB"/>
    <w:rsid w:val="002747D4"/>
    <w:rsid w:val="00274F6A"/>
    <w:rsid w:val="00275037"/>
    <w:rsid w:val="00275173"/>
    <w:rsid w:val="002751DD"/>
    <w:rsid w:val="00275649"/>
    <w:rsid w:val="00277841"/>
    <w:rsid w:val="00277F79"/>
    <w:rsid w:val="0028053C"/>
    <w:rsid w:val="00280E97"/>
    <w:rsid w:val="0028161C"/>
    <w:rsid w:val="00281C2A"/>
    <w:rsid w:val="002823D0"/>
    <w:rsid w:val="0028309A"/>
    <w:rsid w:val="00283C20"/>
    <w:rsid w:val="0028411A"/>
    <w:rsid w:val="00285912"/>
    <w:rsid w:val="00285AE0"/>
    <w:rsid w:val="00286846"/>
    <w:rsid w:val="00286EAD"/>
    <w:rsid w:val="00287274"/>
    <w:rsid w:val="002878E7"/>
    <w:rsid w:val="00290231"/>
    <w:rsid w:val="002903F2"/>
    <w:rsid w:val="00290730"/>
    <w:rsid w:val="002909C3"/>
    <w:rsid w:val="00290B81"/>
    <w:rsid w:val="00290BDA"/>
    <w:rsid w:val="002920C0"/>
    <w:rsid w:val="00292815"/>
    <w:rsid w:val="00292CFB"/>
    <w:rsid w:val="00292E99"/>
    <w:rsid w:val="0029478D"/>
    <w:rsid w:val="00295898"/>
    <w:rsid w:val="00295D3F"/>
    <w:rsid w:val="00296F0C"/>
    <w:rsid w:val="00297224"/>
    <w:rsid w:val="002A1052"/>
    <w:rsid w:val="002A3D4C"/>
    <w:rsid w:val="002A3EA6"/>
    <w:rsid w:val="002A4214"/>
    <w:rsid w:val="002A4234"/>
    <w:rsid w:val="002A4D27"/>
    <w:rsid w:val="002A5497"/>
    <w:rsid w:val="002A55DF"/>
    <w:rsid w:val="002A7BC7"/>
    <w:rsid w:val="002A7D7D"/>
    <w:rsid w:val="002B0757"/>
    <w:rsid w:val="002B26CD"/>
    <w:rsid w:val="002B2F47"/>
    <w:rsid w:val="002B37B0"/>
    <w:rsid w:val="002B3D66"/>
    <w:rsid w:val="002B4084"/>
    <w:rsid w:val="002B439F"/>
    <w:rsid w:val="002B49D4"/>
    <w:rsid w:val="002B4D9B"/>
    <w:rsid w:val="002B5B76"/>
    <w:rsid w:val="002B5ED6"/>
    <w:rsid w:val="002B5F71"/>
    <w:rsid w:val="002B669E"/>
    <w:rsid w:val="002B721D"/>
    <w:rsid w:val="002B7A0D"/>
    <w:rsid w:val="002C17D0"/>
    <w:rsid w:val="002C25B4"/>
    <w:rsid w:val="002C270B"/>
    <w:rsid w:val="002C2981"/>
    <w:rsid w:val="002C2CCA"/>
    <w:rsid w:val="002C2EAB"/>
    <w:rsid w:val="002C35E0"/>
    <w:rsid w:val="002C45BE"/>
    <w:rsid w:val="002C4F41"/>
    <w:rsid w:val="002C52C1"/>
    <w:rsid w:val="002C5494"/>
    <w:rsid w:val="002C702E"/>
    <w:rsid w:val="002D0393"/>
    <w:rsid w:val="002D1EAF"/>
    <w:rsid w:val="002D44AB"/>
    <w:rsid w:val="002D4BBA"/>
    <w:rsid w:val="002D4C3A"/>
    <w:rsid w:val="002D5907"/>
    <w:rsid w:val="002D59C3"/>
    <w:rsid w:val="002D615E"/>
    <w:rsid w:val="002D737E"/>
    <w:rsid w:val="002D7855"/>
    <w:rsid w:val="002E00FB"/>
    <w:rsid w:val="002E0EF5"/>
    <w:rsid w:val="002E1581"/>
    <w:rsid w:val="002E1AA4"/>
    <w:rsid w:val="002E1D99"/>
    <w:rsid w:val="002E2162"/>
    <w:rsid w:val="002E2616"/>
    <w:rsid w:val="002E3D6C"/>
    <w:rsid w:val="002E4CA4"/>
    <w:rsid w:val="002E5639"/>
    <w:rsid w:val="002E5843"/>
    <w:rsid w:val="002E7382"/>
    <w:rsid w:val="002E7DDD"/>
    <w:rsid w:val="002F09E7"/>
    <w:rsid w:val="002F18A2"/>
    <w:rsid w:val="002F20B9"/>
    <w:rsid w:val="002F3417"/>
    <w:rsid w:val="002F35F6"/>
    <w:rsid w:val="002F3CFB"/>
    <w:rsid w:val="002F4241"/>
    <w:rsid w:val="002F591C"/>
    <w:rsid w:val="002F5DB2"/>
    <w:rsid w:val="002F60AA"/>
    <w:rsid w:val="002F6D11"/>
    <w:rsid w:val="002F735D"/>
    <w:rsid w:val="002F796A"/>
    <w:rsid w:val="0030179B"/>
    <w:rsid w:val="0030222F"/>
    <w:rsid w:val="0030287C"/>
    <w:rsid w:val="003031CD"/>
    <w:rsid w:val="00303B7A"/>
    <w:rsid w:val="00303BFE"/>
    <w:rsid w:val="00303DAC"/>
    <w:rsid w:val="00304087"/>
    <w:rsid w:val="00304D97"/>
    <w:rsid w:val="00305130"/>
    <w:rsid w:val="003056CE"/>
    <w:rsid w:val="00305827"/>
    <w:rsid w:val="00305DBA"/>
    <w:rsid w:val="003069DC"/>
    <w:rsid w:val="003077E0"/>
    <w:rsid w:val="00307CE9"/>
    <w:rsid w:val="003102F0"/>
    <w:rsid w:val="003120A3"/>
    <w:rsid w:val="003135F1"/>
    <w:rsid w:val="00314089"/>
    <w:rsid w:val="00314AAF"/>
    <w:rsid w:val="00314B88"/>
    <w:rsid w:val="00314CC1"/>
    <w:rsid w:val="003152E7"/>
    <w:rsid w:val="003153EA"/>
    <w:rsid w:val="0031549A"/>
    <w:rsid w:val="00315BA0"/>
    <w:rsid w:val="0031604A"/>
    <w:rsid w:val="00316545"/>
    <w:rsid w:val="003165D8"/>
    <w:rsid w:val="003174D9"/>
    <w:rsid w:val="00317D75"/>
    <w:rsid w:val="00320A75"/>
    <w:rsid w:val="0032112B"/>
    <w:rsid w:val="00321D5A"/>
    <w:rsid w:val="0032245E"/>
    <w:rsid w:val="003224C6"/>
    <w:rsid w:val="0032380F"/>
    <w:rsid w:val="003240AF"/>
    <w:rsid w:val="00324BD1"/>
    <w:rsid w:val="003251F7"/>
    <w:rsid w:val="0032530B"/>
    <w:rsid w:val="003257CD"/>
    <w:rsid w:val="003266F6"/>
    <w:rsid w:val="003267F8"/>
    <w:rsid w:val="00326CC2"/>
    <w:rsid w:val="0032735A"/>
    <w:rsid w:val="00327751"/>
    <w:rsid w:val="003279DD"/>
    <w:rsid w:val="00330069"/>
    <w:rsid w:val="00330966"/>
    <w:rsid w:val="003309CC"/>
    <w:rsid w:val="00330BC2"/>
    <w:rsid w:val="00330C0B"/>
    <w:rsid w:val="00330FA1"/>
    <w:rsid w:val="00331C07"/>
    <w:rsid w:val="00332401"/>
    <w:rsid w:val="00332F0D"/>
    <w:rsid w:val="00333BCC"/>
    <w:rsid w:val="00335B05"/>
    <w:rsid w:val="00335BCE"/>
    <w:rsid w:val="003366CA"/>
    <w:rsid w:val="00336E9E"/>
    <w:rsid w:val="00336ECC"/>
    <w:rsid w:val="00337053"/>
    <w:rsid w:val="00337271"/>
    <w:rsid w:val="003407F8"/>
    <w:rsid w:val="00342108"/>
    <w:rsid w:val="003423AE"/>
    <w:rsid w:val="00342A57"/>
    <w:rsid w:val="00342AC2"/>
    <w:rsid w:val="003431B5"/>
    <w:rsid w:val="0034320A"/>
    <w:rsid w:val="0034347F"/>
    <w:rsid w:val="00343686"/>
    <w:rsid w:val="003437C6"/>
    <w:rsid w:val="003439BB"/>
    <w:rsid w:val="00343A64"/>
    <w:rsid w:val="00343ADC"/>
    <w:rsid w:val="00344918"/>
    <w:rsid w:val="003452B2"/>
    <w:rsid w:val="00345388"/>
    <w:rsid w:val="00345FBE"/>
    <w:rsid w:val="00346AF3"/>
    <w:rsid w:val="00346C8F"/>
    <w:rsid w:val="003473A8"/>
    <w:rsid w:val="0034767D"/>
    <w:rsid w:val="00347B88"/>
    <w:rsid w:val="00347D0B"/>
    <w:rsid w:val="003500CB"/>
    <w:rsid w:val="0035052C"/>
    <w:rsid w:val="003507C4"/>
    <w:rsid w:val="003513ED"/>
    <w:rsid w:val="0035202D"/>
    <w:rsid w:val="00352454"/>
    <w:rsid w:val="00352690"/>
    <w:rsid w:val="00353161"/>
    <w:rsid w:val="0035426B"/>
    <w:rsid w:val="00355266"/>
    <w:rsid w:val="003561FF"/>
    <w:rsid w:val="00356BE0"/>
    <w:rsid w:val="00360C2B"/>
    <w:rsid w:val="00361E9E"/>
    <w:rsid w:val="00362191"/>
    <w:rsid w:val="00362A32"/>
    <w:rsid w:val="0036357A"/>
    <w:rsid w:val="00365BAC"/>
    <w:rsid w:val="00366346"/>
    <w:rsid w:val="00366C42"/>
    <w:rsid w:val="0036715D"/>
    <w:rsid w:val="00367FA4"/>
    <w:rsid w:val="00370A9B"/>
    <w:rsid w:val="00370B95"/>
    <w:rsid w:val="0037135D"/>
    <w:rsid w:val="003716F4"/>
    <w:rsid w:val="00372499"/>
    <w:rsid w:val="0037291D"/>
    <w:rsid w:val="00373570"/>
    <w:rsid w:val="0037417F"/>
    <w:rsid w:val="00374643"/>
    <w:rsid w:val="003757D0"/>
    <w:rsid w:val="00376351"/>
    <w:rsid w:val="00376D7C"/>
    <w:rsid w:val="003771A9"/>
    <w:rsid w:val="00377AFF"/>
    <w:rsid w:val="003804D9"/>
    <w:rsid w:val="003807CB"/>
    <w:rsid w:val="00380B1B"/>
    <w:rsid w:val="003822C0"/>
    <w:rsid w:val="003855AB"/>
    <w:rsid w:val="00386472"/>
    <w:rsid w:val="00390544"/>
    <w:rsid w:val="003909B6"/>
    <w:rsid w:val="0039110A"/>
    <w:rsid w:val="00391771"/>
    <w:rsid w:val="00391A9E"/>
    <w:rsid w:val="00391B38"/>
    <w:rsid w:val="003924DB"/>
    <w:rsid w:val="00392685"/>
    <w:rsid w:val="00392903"/>
    <w:rsid w:val="00392A0C"/>
    <w:rsid w:val="003930BE"/>
    <w:rsid w:val="00393495"/>
    <w:rsid w:val="00394274"/>
    <w:rsid w:val="0039511D"/>
    <w:rsid w:val="0039586A"/>
    <w:rsid w:val="00395B1C"/>
    <w:rsid w:val="00397FFE"/>
    <w:rsid w:val="003A05C0"/>
    <w:rsid w:val="003A1636"/>
    <w:rsid w:val="003A196D"/>
    <w:rsid w:val="003A31BE"/>
    <w:rsid w:val="003A36E2"/>
    <w:rsid w:val="003A3A61"/>
    <w:rsid w:val="003A3E4B"/>
    <w:rsid w:val="003A3F1C"/>
    <w:rsid w:val="003A4AB3"/>
    <w:rsid w:val="003A5719"/>
    <w:rsid w:val="003A6ABD"/>
    <w:rsid w:val="003A6C9F"/>
    <w:rsid w:val="003B0005"/>
    <w:rsid w:val="003B0558"/>
    <w:rsid w:val="003B072A"/>
    <w:rsid w:val="003B0B4A"/>
    <w:rsid w:val="003B11A0"/>
    <w:rsid w:val="003B1272"/>
    <w:rsid w:val="003B189E"/>
    <w:rsid w:val="003B24C1"/>
    <w:rsid w:val="003B3123"/>
    <w:rsid w:val="003B453C"/>
    <w:rsid w:val="003B4625"/>
    <w:rsid w:val="003B4890"/>
    <w:rsid w:val="003B571E"/>
    <w:rsid w:val="003B68E4"/>
    <w:rsid w:val="003B7725"/>
    <w:rsid w:val="003B7892"/>
    <w:rsid w:val="003C06AE"/>
    <w:rsid w:val="003C0E66"/>
    <w:rsid w:val="003C1A9A"/>
    <w:rsid w:val="003C2B1C"/>
    <w:rsid w:val="003C3281"/>
    <w:rsid w:val="003C3BBF"/>
    <w:rsid w:val="003C495A"/>
    <w:rsid w:val="003C4F4D"/>
    <w:rsid w:val="003C52D7"/>
    <w:rsid w:val="003C52D9"/>
    <w:rsid w:val="003C6854"/>
    <w:rsid w:val="003C71E9"/>
    <w:rsid w:val="003D0BCA"/>
    <w:rsid w:val="003D1006"/>
    <w:rsid w:val="003D1216"/>
    <w:rsid w:val="003D1DDC"/>
    <w:rsid w:val="003D23AC"/>
    <w:rsid w:val="003D3FDB"/>
    <w:rsid w:val="003D4051"/>
    <w:rsid w:val="003D412C"/>
    <w:rsid w:val="003D41D4"/>
    <w:rsid w:val="003D4B5C"/>
    <w:rsid w:val="003D55B7"/>
    <w:rsid w:val="003D67DA"/>
    <w:rsid w:val="003D6D84"/>
    <w:rsid w:val="003D7E24"/>
    <w:rsid w:val="003E080E"/>
    <w:rsid w:val="003E0814"/>
    <w:rsid w:val="003E09EF"/>
    <w:rsid w:val="003E0AC1"/>
    <w:rsid w:val="003E0E3D"/>
    <w:rsid w:val="003E0F61"/>
    <w:rsid w:val="003E21CD"/>
    <w:rsid w:val="003E33EA"/>
    <w:rsid w:val="003E4407"/>
    <w:rsid w:val="003E4717"/>
    <w:rsid w:val="003E5E78"/>
    <w:rsid w:val="003E7737"/>
    <w:rsid w:val="003E7765"/>
    <w:rsid w:val="003E7CC6"/>
    <w:rsid w:val="003F02EC"/>
    <w:rsid w:val="003F09FB"/>
    <w:rsid w:val="003F0B6A"/>
    <w:rsid w:val="003F1153"/>
    <w:rsid w:val="003F1496"/>
    <w:rsid w:val="003F26C3"/>
    <w:rsid w:val="003F35BB"/>
    <w:rsid w:val="003F4667"/>
    <w:rsid w:val="003F584A"/>
    <w:rsid w:val="003F6231"/>
    <w:rsid w:val="00400DAC"/>
    <w:rsid w:val="004019EE"/>
    <w:rsid w:val="00402003"/>
    <w:rsid w:val="00405D4E"/>
    <w:rsid w:val="00405EE4"/>
    <w:rsid w:val="00406012"/>
    <w:rsid w:val="00407426"/>
    <w:rsid w:val="004075B4"/>
    <w:rsid w:val="00407E17"/>
    <w:rsid w:val="004102BB"/>
    <w:rsid w:val="00410837"/>
    <w:rsid w:val="00411CD9"/>
    <w:rsid w:val="00412ACD"/>
    <w:rsid w:val="00412D40"/>
    <w:rsid w:val="004141E1"/>
    <w:rsid w:val="00414466"/>
    <w:rsid w:val="0041495F"/>
    <w:rsid w:val="004150D8"/>
    <w:rsid w:val="0041595A"/>
    <w:rsid w:val="00415986"/>
    <w:rsid w:val="00415E17"/>
    <w:rsid w:val="00416FBF"/>
    <w:rsid w:val="004201DE"/>
    <w:rsid w:val="00420366"/>
    <w:rsid w:val="004205A1"/>
    <w:rsid w:val="00420DF5"/>
    <w:rsid w:val="004210F5"/>
    <w:rsid w:val="004212C2"/>
    <w:rsid w:val="004213E5"/>
    <w:rsid w:val="004238F3"/>
    <w:rsid w:val="0042397E"/>
    <w:rsid w:val="00423BA2"/>
    <w:rsid w:val="004262E3"/>
    <w:rsid w:val="00427414"/>
    <w:rsid w:val="00427FC5"/>
    <w:rsid w:val="00430DC7"/>
    <w:rsid w:val="00431508"/>
    <w:rsid w:val="004321EF"/>
    <w:rsid w:val="00432557"/>
    <w:rsid w:val="00432F3A"/>
    <w:rsid w:val="0043498B"/>
    <w:rsid w:val="00434E11"/>
    <w:rsid w:val="004359D4"/>
    <w:rsid w:val="0043618D"/>
    <w:rsid w:val="00436A41"/>
    <w:rsid w:val="00437E80"/>
    <w:rsid w:val="00440BBC"/>
    <w:rsid w:val="00440E08"/>
    <w:rsid w:val="004410E5"/>
    <w:rsid w:val="004412F6"/>
    <w:rsid w:val="0044165F"/>
    <w:rsid w:val="00441950"/>
    <w:rsid w:val="00441CFB"/>
    <w:rsid w:val="00442220"/>
    <w:rsid w:val="0044231F"/>
    <w:rsid w:val="00442A9E"/>
    <w:rsid w:val="00444A0A"/>
    <w:rsid w:val="004454A6"/>
    <w:rsid w:val="00445CC2"/>
    <w:rsid w:val="00446760"/>
    <w:rsid w:val="0044727F"/>
    <w:rsid w:val="00450A03"/>
    <w:rsid w:val="00451088"/>
    <w:rsid w:val="00451C7A"/>
    <w:rsid w:val="00452519"/>
    <w:rsid w:val="00452A2C"/>
    <w:rsid w:val="00452F48"/>
    <w:rsid w:val="004532C4"/>
    <w:rsid w:val="004532F2"/>
    <w:rsid w:val="00453B68"/>
    <w:rsid w:val="00454D6D"/>
    <w:rsid w:val="00454F3D"/>
    <w:rsid w:val="00455282"/>
    <w:rsid w:val="00455431"/>
    <w:rsid w:val="004569AD"/>
    <w:rsid w:val="00457DEB"/>
    <w:rsid w:val="00460199"/>
    <w:rsid w:val="0046034B"/>
    <w:rsid w:val="00460872"/>
    <w:rsid w:val="00460BD6"/>
    <w:rsid w:val="00460FE0"/>
    <w:rsid w:val="004614DC"/>
    <w:rsid w:val="0046239F"/>
    <w:rsid w:val="0046294D"/>
    <w:rsid w:val="00462A7D"/>
    <w:rsid w:val="00463433"/>
    <w:rsid w:val="0046361B"/>
    <w:rsid w:val="00464200"/>
    <w:rsid w:val="004655C5"/>
    <w:rsid w:val="004659AB"/>
    <w:rsid w:val="00466141"/>
    <w:rsid w:val="00466196"/>
    <w:rsid w:val="00466D81"/>
    <w:rsid w:val="004679A6"/>
    <w:rsid w:val="00470567"/>
    <w:rsid w:val="00470780"/>
    <w:rsid w:val="004734DD"/>
    <w:rsid w:val="00475BB5"/>
    <w:rsid w:val="00475FE7"/>
    <w:rsid w:val="004767CD"/>
    <w:rsid w:val="00476D02"/>
    <w:rsid w:val="00477E1A"/>
    <w:rsid w:val="00480446"/>
    <w:rsid w:val="00481ABD"/>
    <w:rsid w:val="00481BFC"/>
    <w:rsid w:val="004822C1"/>
    <w:rsid w:val="00482899"/>
    <w:rsid w:val="00483783"/>
    <w:rsid w:val="004838C5"/>
    <w:rsid w:val="00486582"/>
    <w:rsid w:val="0048679B"/>
    <w:rsid w:val="00487BE8"/>
    <w:rsid w:val="00487F3E"/>
    <w:rsid w:val="00490089"/>
    <w:rsid w:val="004906BC"/>
    <w:rsid w:val="00490F9B"/>
    <w:rsid w:val="0049134F"/>
    <w:rsid w:val="004913DB"/>
    <w:rsid w:val="00491F58"/>
    <w:rsid w:val="00492388"/>
    <w:rsid w:val="0049280E"/>
    <w:rsid w:val="00493508"/>
    <w:rsid w:val="0049396B"/>
    <w:rsid w:val="00493D1C"/>
    <w:rsid w:val="00493E01"/>
    <w:rsid w:val="004948CA"/>
    <w:rsid w:val="00495C24"/>
    <w:rsid w:val="00495D89"/>
    <w:rsid w:val="00495FE8"/>
    <w:rsid w:val="004A186E"/>
    <w:rsid w:val="004A590F"/>
    <w:rsid w:val="004A69B3"/>
    <w:rsid w:val="004A7284"/>
    <w:rsid w:val="004A7358"/>
    <w:rsid w:val="004A7505"/>
    <w:rsid w:val="004A7DE2"/>
    <w:rsid w:val="004B0680"/>
    <w:rsid w:val="004B13E8"/>
    <w:rsid w:val="004B1D32"/>
    <w:rsid w:val="004B1E74"/>
    <w:rsid w:val="004B2B46"/>
    <w:rsid w:val="004B37B8"/>
    <w:rsid w:val="004B3943"/>
    <w:rsid w:val="004B5265"/>
    <w:rsid w:val="004B571F"/>
    <w:rsid w:val="004B59FD"/>
    <w:rsid w:val="004B5CA5"/>
    <w:rsid w:val="004B61F5"/>
    <w:rsid w:val="004B674C"/>
    <w:rsid w:val="004B7486"/>
    <w:rsid w:val="004B7B9B"/>
    <w:rsid w:val="004C0719"/>
    <w:rsid w:val="004C0C65"/>
    <w:rsid w:val="004C1D0C"/>
    <w:rsid w:val="004C315F"/>
    <w:rsid w:val="004C35AB"/>
    <w:rsid w:val="004C35E6"/>
    <w:rsid w:val="004C381A"/>
    <w:rsid w:val="004C4154"/>
    <w:rsid w:val="004C4970"/>
    <w:rsid w:val="004C57A6"/>
    <w:rsid w:val="004C6FEE"/>
    <w:rsid w:val="004C72BA"/>
    <w:rsid w:val="004C7E83"/>
    <w:rsid w:val="004D2785"/>
    <w:rsid w:val="004D2819"/>
    <w:rsid w:val="004D2EC0"/>
    <w:rsid w:val="004D39FA"/>
    <w:rsid w:val="004D40FC"/>
    <w:rsid w:val="004D4615"/>
    <w:rsid w:val="004D46BC"/>
    <w:rsid w:val="004D4D1C"/>
    <w:rsid w:val="004D53F2"/>
    <w:rsid w:val="004D5E8E"/>
    <w:rsid w:val="004D5F81"/>
    <w:rsid w:val="004D6A8F"/>
    <w:rsid w:val="004D7F36"/>
    <w:rsid w:val="004D7FA3"/>
    <w:rsid w:val="004E2249"/>
    <w:rsid w:val="004E3D2A"/>
    <w:rsid w:val="004E4A90"/>
    <w:rsid w:val="004E54AB"/>
    <w:rsid w:val="004E5F68"/>
    <w:rsid w:val="004E62C1"/>
    <w:rsid w:val="004E6EAE"/>
    <w:rsid w:val="004E747E"/>
    <w:rsid w:val="004E7A76"/>
    <w:rsid w:val="004E7EE7"/>
    <w:rsid w:val="004F0807"/>
    <w:rsid w:val="004F0AAB"/>
    <w:rsid w:val="004F0E21"/>
    <w:rsid w:val="004F10F1"/>
    <w:rsid w:val="004F1668"/>
    <w:rsid w:val="004F1A00"/>
    <w:rsid w:val="004F1E26"/>
    <w:rsid w:val="004F2116"/>
    <w:rsid w:val="004F2761"/>
    <w:rsid w:val="004F27D7"/>
    <w:rsid w:val="004F3482"/>
    <w:rsid w:val="004F3A00"/>
    <w:rsid w:val="004F444E"/>
    <w:rsid w:val="004F4977"/>
    <w:rsid w:val="004F4CD1"/>
    <w:rsid w:val="004F5411"/>
    <w:rsid w:val="004F67D8"/>
    <w:rsid w:val="004F6B3E"/>
    <w:rsid w:val="004F7272"/>
    <w:rsid w:val="004F7685"/>
    <w:rsid w:val="004F76FB"/>
    <w:rsid w:val="004F7A03"/>
    <w:rsid w:val="004F7B03"/>
    <w:rsid w:val="005003F1"/>
    <w:rsid w:val="005004F7"/>
    <w:rsid w:val="0050065E"/>
    <w:rsid w:val="00500BC9"/>
    <w:rsid w:val="00500C45"/>
    <w:rsid w:val="00501595"/>
    <w:rsid w:val="00502C3F"/>
    <w:rsid w:val="00502D1D"/>
    <w:rsid w:val="005035D5"/>
    <w:rsid w:val="00503680"/>
    <w:rsid w:val="00504210"/>
    <w:rsid w:val="005045ED"/>
    <w:rsid w:val="00504737"/>
    <w:rsid w:val="005069C4"/>
    <w:rsid w:val="00506C48"/>
    <w:rsid w:val="0050796A"/>
    <w:rsid w:val="00507A2E"/>
    <w:rsid w:val="00511327"/>
    <w:rsid w:val="005121D8"/>
    <w:rsid w:val="00512C88"/>
    <w:rsid w:val="005133EC"/>
    <w:rsid w:val="005137FD"/>
    <w:rsid w:val="005139F7"/>
    <w:rsid w:val="005143A4"/>
    <w:rsid w:val="005166B5"/>
    <w:rsid w:val="0051673B"/>
    <w:rsid w:val="00516DAE"/>
    <w:rsid w:val="00517621"/>
    <w:rsid w:val="00517DB5"/>
    <w:rsid w:val="005201FE"/>
    <w:rsid w:val="005203BC"/>
    <w:rsid w:val="00520852"/>
    <w:rsid w:val="00524DA1"/>
    <w:rsid w:val="0052570B"/>
    <w:rsid w:val="00525823"/>
    <w:rsid w:val="00525911"/>
    <w:rsid w:val="00525DC5"/>
    <w:rsid w:val="00526144"/>
    <w:rsid w:val="005265E9"/>
    <w:rsid w:val="00526D65"/>
    <w:rsid w:val="0052731D"/>
    <w:rsid w:val="00527494"/>
    <w:rsid w:val="00527FFD"/>
    <w:rsid w:val="00530451"/>
    <w:rsid w:val="00530BCC"/>
    <w:rsid w:val="00531A0E"/>
    <w:rsid w:val="0053239A"/>
    <w:rsid w:val="00532F92"/>
    <w:rsid w:val="005332E4"/>
    <w:rsid w:val="00533390"/>
    <w:rsid w:val="00533A44"/>
    <w:rsid w:val="00533B85"/>
    <w:rsid w:val="005350B3"/>
    <w:rsid w:val="00536EA0"/>
    <w:rsid w:val="00536F7D"/>
    <w:rsid w:val="0054045F"/>
    <w:rsid w:val="00541349"/>
    <w:rsid w:val="005414F5"/>
    <w:rsid w:val="005416C5"/>
    <w:rsid w:val="00541C2D"/>
    <w:rsid w:val="00542137"/>
    <w:rsid w:val="00542D4E"/>
    <w:rsid w:val="005437D6"/>
    <w:rsid w:val="00543FBF"/>
    <w:rsid w:val="005443F0"/>
    <w:rsid w:val="00544D25"/>
    <w:rsid w:val="00545C0D"/>
    <w:rsid w:val="00545EC0"/>
    <w:rsid w:val="005463B6"/>
    <w:rsid w:val="005466CE"/>
    <w:rsid w:val="00546A6B"/>
    <w:rsid w:val="00547186"/>
    <w:rsid w:val="00550A5F"/>
    <w:rsid w:val="00550C28"/>
    <w:rsid w:val="00550E75"/>
    <w:rsid w:val="00551189"/>
    <w:rsid w:val="00551991"/>
    <w:rsid w:val="00551AAE"/>
    <w:rsid w:val="0055365B"/>
    <w:rsid w:val="005544CA"/>
    <w:rsid w:val="0055471E"/>
    <w:rsid w:val="00555885"/>
    <w:rsid w:val="0055654C"/>
    <w:rsid w:val="00556B41"/>
    <w:rsid w:val="00557B9D"/>
    <w:rsid w:val="00560199"/>
    <w:rsid w:val="0056053D"/>
    <w:rsid w:val="00560D2B"/>
    <w:rsid w:val="005618E2"/>
    <w:rsid w:val="00562844"/>
    <w:rsid w:val="00562ADF"/>
    <w:rsid w:val="00562B04"/>
    <w:rsid w:val="00563E4A"/>
    <w:rsid w:val="005643F6"/>
    <w:rsid w:val="00564C0A"/>
    <w:rsid w:val="00565AE3"/>
    <w:rsid w:val="00566CAD"/>
    <w:rsid w:val="00567006"/>
    <w:rsid w:val="00567047"/>
    <w:rsid w:val="00567B4C"/>
    <w:rsid w:val="00567C4F"/>
    <w:rsid w:val="0057172F"/>
    <w:rsid w:val="00571E67"/>
    <w:rsid w:val="00572416"/>
    <w:rsid w:val="00572A2C"/>
    <w:rsid w:val="0057366F"/>
    <w:rsid w:val="00574BD5"/>
    <w:rsid w:val="00574DB5"/>
    <w:rsid w:val="00575357"/>
    <w:rsid w:val="00577559"/>
    <w:rsid w:val="005804A8"/>
    <w:rsid w:val="005804B0"/>
    <w:rsid w:val="00580C46"/>
    <w:rsid w:val="00580D14"/>
    <w:rsid w:val="00581198"/>
    <w:rsid w:val="005812CC"/>
    <w:rsid w:val="0058179B"/>
    <w:rsid w:val="005818E7"/>
    <w:rsid w:val="00581DCF"/>
    <w:rsid w:val="00581FA5"/>
    <w:rsid w:val="00582A00"/>
    <w:rsid w:val="00586C57"/>
    <w:rsid w:val="0058739F"/>
    <w:rsid w:val="00590070"/>
    <w:rsid w:val="00590103"/>
    <w:rsid w:val="005901CA"/>
    <w:rsid w:val="00590583"/>
    <w:rsid w:val="00590C2C"/>
    <w:rsid w:val="00591075"/>
    <w:rsid w:val="005913E9"/>
    <w:rsid w:val="00592AD5"/>
    <w:rsid w:val="005945DF"/>
    <w:rsid w:val="005948C1"/>
    <w:rsid w:val="0059499F"/>
    <w:rsid w:val="00595585"/>
    <w:rsid w:val="00595E89"/>
    <w:rsid w:val="00595F37"/>
    <w:rsid w:val="005962B1"/>
    <w:rsid w:val="005977DE"/>
    <w:rsid w:val="00597DAF"/>
    <w:rsid w:val="00597E50"/>
    <w:rsid w:val="005A0193"/>
    <w:rsid w:val="005A06CC"/>
    <w:rsid w:val="005A0817"/>
    <w:rsid w:val="005A0E55"/>
    <w:rsid w:val="005A12B7"/>
    <w:rsid w:val="005A2093"/>
    <w:rsid w:val="005A2F38"/>
    <w:rsid w:val="005A4812"/>
    <w:rsid w:val="005A4817"/>
    <w:rsid w:val="005A5B4C"/>
    <w:rsid w:val="005A5DBB"/>
    <w:rsid w:val="005A5F84"/>
    <w:rsid w:val="005A6250"/>
    <w:rsid w:val="005A67A9"/>
    <w:rsid w:val="005A6EE9"/>
    <w:rsid w:val="005B1D0C"/>
    <w:rsid w:val="005B32A8"/>
    <w:rsid w:val="005B49DE"/>
    <w:rsid w:val="005B4FA0"/>
    <w:rsid w:val="005B5356"/>
    <w:rsid w:val="005B5A2C"/>
    <w:rsid w:val="005B5F36"/>
    <w:rsid w:val="005B67F9"/>
    <w:rsid w:val="005B6864"/>
    <w:rsid w:val="005B6B8B"/>
    <w:rsid w:val="005B7019"/>
    <w:rsid w:val="005B78E7"/>
    <w:rsid w:val="005C33C7"/>
    <w:rsid w:val="005C3C59"/>
    <w:rsid w:val="005C3CAC"/>
    <w:rsid w:val="005C3E2F"/>
    <w:rsid w:val="005C5C86"/>
    <w:rsid w:val="005C68A5"/>
    <w:rsid w:val="005C7E73"/>
    <w:rsid w:val="005D1343"/>
    <w:rsid w:val="005D1DA4"/>
    <w:rsid w:val="005D31C4"/>
    <w:rsid w:val="005D3604"/>
    <w:rsid w:val="005D4845"/>
    <w:rsid w:val="005D6699"/>
    <w:rsid w:val="005D6C93"/>
    <w:rsid w:val="005D78DD"/>
    <w:rsid w:val="005E00F8"/>
    <w:rsid w:val="005E1592"/>
    <w:rsid w:val="005E18AB"/>
    <w:rsid w:val="005E22B3"/>
    <w:rsid w:val="005E45A7"/>
    <w:rsid w:val="005E4AF7"/>
    <w:rsid w:val="005E52A0"/>
    <w:rsid w:val="005E60D4"/>
    <w:rsid w:val="005E63E7"/>
    <w:rsid w:val="005E6744"/>
    <w:rsid w:val="005E6958"/>
    <w:rsid w:val="005E73AB"/>
    <w:rsid w:val="005E73B2"/>
    <w:rsid w:val="005F0309"/>
    <w:rsid w:val="005F0315"/>
    <w:rsid w:val="005F0CC2"/>
    <w:rsid w:val="005F14A5"/>
    <w:rsid w:val="005F1B8D"/>
    <w:rsid w:val="005F2280"/>
    <w:rsid w:val="005F2D67"/>
    <w:rsid w:val="005F332D"/>
    <w:rsid w:val="005F3EE1"/>
    <w:rsid w:val="005F463D"/>
    <w:rsid w:val="005F5C6A"/>
    <w:rsid w:val="005F615E"/>
    <w:rsid w:val="005F67EB"/>
    <w:rsid w:val="005F6CED"/>
    <w:rsid w:val="00602B53"/>
    <w:rsid w:val="00603715"/>
    <w:rsid w:val="006039F0"/>
    <w:rsid w:val="00603A95"/>
    <w:rsid w:val="006046BA"/>
    <w:rsid w:val="0060512F"/>
    <w:rsid w:val="00605444"/>
    <w:rsid w:val="006056F4"/>
    <w:rsid w:val="0060617E"/>
    <w:rsid w:val="00606F8A"/>
    <w:rsid w:val="00607554"/>
    <w:rsid w:val="00607CBB"/>
    <w:rsid w:val="006102A0"/>
    <w:rsid w:val="006104E1"/>
    <w:rsid w:val="006104F8"/>
    <w:rsid w:val="006117CC"/>
    <w:rsid w:val="006122ED"/>
    <w:rsid w:val="00612F1B"/>
    <w:rsid w:val="00614B33"/>
    <w:rsid w:val="00614D2F"/>
    <w:rsid w:val="00615A88"/>
    <w:rsid w:val="00617553"/>
    <w:rsid w:val="006178CB"/>
    <w:rsid w:val="00617D2B"/>
    <w:rsid w:val="006206AE"/>
    <w:rsid w:val="00620B17"/>
    <w:rsid w:val="006214AB"/>
    <w:rsid w:val="00621721"/>
    <w:rsid w:val="006259B2"/>
    <w:rsid w:val="00625AB8"/>
    <w:rsid w:val="00625B12"/>
    <w:rsid w:val="006265C4"/>
    <w:rsid w:val="006265DD"/>
    <w:rsid w:val="006269E9"/>
    <w:rsid w:val="00626C62"/>
    <w:rsid w:val="00626CD3"/>
    <w:rsid w:val="00626CFC"/>
    <w:rsid w:val="00626F3A"/>
    <w:rsid w:val="00626F8E"/>
    <w:rsid w:val="0062732B"/>
    <w:rsid w:val="0063039E"/>
    <w:rsid w:val="00630623"/>
    <w:rsid w:val="00631A96"/>
    <w:rsid w:val="006322C9"/>
    <w:rsid w:val="00632A58"/>
    <w:rsid w:val="006333D7"/>
    <w:rsid w:val="00633978"/>
    <w:rsid w:val="00635200"/>
    <w:rsid w:val="00635D42"/>
    <w:rsid w:val="00635E71"/>
    <w:rsid w:val="00635EC9"/>
    <w:rsid w:val="00636DE8"/>
    <w:rsid w:val="00637620"/>
    <w:rsid w:val="006377D3"/>
    <w:rsid w:val="006378FD"/>
    <w:rsid w:val="006403B5"/>
    <w:rsid w:val="00640F31"/>
    <w:rsid w:val="0064126A"/>
    <w:rsid w:val="00641319"/>
    <w:rsid w:val="00641CA9"/>
    <w:rsid w:val="006423D0"/>
    <w:rsid w:val="006427C6"/>
    <w:rsid w:val="00643182"/>
    <w:rsid w:val="0064319B"/>
    <w:rsid w:val="00643903"/>
    <w:rsid w:val="006459A8"/>
    <w:rsid w:val="00646EE9"/>
    <w:rsid w:val="00647202"/>
    <w:rsid w:val="00647266"/>
    <w:rsid w:val="0065050C"/>
    <w:rsid w:val="006513EB"/>
    <w:rsid w:val="00651A98"/>
    <w:rsid w:val="006521AD"/>
    <w:rsid w:val="006530B8"/>
    <w:rsid w:val="00654990"/>
    <w:rsid w:val="00655DA3"/>
    <w:rsid w:val="00657647"/>
    <w:rsid w:val="00660377"/>
    <w:rsid w:val="00661245"/>
    <w:rsid w:val="00661E8C"/>
    <w:rsid w:val="006631B9"/>
    <w:rsid w:val="006631FD"/>
    <w:rsid w:val="00663CE7"/>
    <w:rsid w:val="0066527F"/>
    <w:rsid w:val="00665522"/>
    <w:rsid w:val="00665AE4"/>
    <w:rsid w:val="00666CEC"/>
    <w:rsid w:val="00667DCC"/>
    <w:rsid w:val="0067023C"/>
    <w:rsid w:val="006703CB"/>
    <w:rsid w:val="00670402"/>
    <w:rsid w:val="0067093A"/>
    <w:rsid w:val="00671628"/>
    <w:rsid w:val="00671B0F"/>
    <w:rsid w:val="00672231"/>
    <w:rsid w:val="0067228F"/>
    <w:rsid w:val="00672A27"/>
    <w:rsid w:val="00673227"/>
    <w:rsid w:val="00673402"/>
    <w:rsid w:val="0067376B"/>
    <w:rsid w:val="00673ADB"/>
    <w:rsid w:val="0067480A"/>
    <w:rsid w:val="006759E5"/>
    <w:rsid w:val="006759F3"/>
    <w:rsid w:val="00675A40"/>
    <w:rsid w:val="00676B4D"/>
    <w:rsid w:val="00677055"/>
    <w:rsid w:val="00677189"/>
    <w:rsid w:val="00677C78"/>
    <w:rsid w:val="00677E2D"/>
    <w:rsid w:val="0068054C"/>
    <w:rsid w:val="00680F0E"/>
    <w:rsid w:val="00681389"/>
    <w:rsid w:val="00681BB7"/>
    <w:rsid w:val="0068225F"/>
    <w:rsid w:val="0068229E"/>
    <w:rsid w:val="006823C1"/>
    <w:rsid w:val="00682794"/>
    <w:rsid w:val="006835CE"/>
    <w:rsid w:val="00684293"/>
    <w:rsid w:val="00684F49"/>
    <w:rsid w:val="00685762"/>
    <w:rsid w:val="0068795E"/>
    <w:rsid w:val="00690B4E"/>
    <w:rsid w:val="0069184E"/>
    <w:rsid w:val="00691FEC"/>
    <w:rsid w:val="0069208E"/>
    <w:rsid w:val="00692B37"/>
    <w:rsid w:val="006947E9"/>
    <w:rsid w:val="00694D58"/>
    <w:rsid w:val="00695070"/>
    <w:rsid w:val="00695608"/>
    <w:rsid w:val="006961C0"/>
    <w:rsid w:val="0069670D"/>
    <w:rsid w:val="00696734"/>
    <w:rsid w:val="006969D6"/>
    <w:rsid w:val="00696AC6"/>
    <w:rsid w:val="00697084"/>
    <w:rsid w:val="006A0071"/>
    <w:rsid w:val="006A048A"/>
    <w:rsid w:val="006A04D9"/>
    <w:rsid w:val="006A0AC4"/>
    <w:rsid w:val="006A0DCF"/>
    <w:rsid w:val="006A1D5D"/>
    <w:rsid w:val="006A2311"/>
    <w:rsid w:val="006A2646"/>
    <w:rsid w:val="006A28AF"/>
    <w:rsid w:val="006A3ABF"/>
    <w:rsid w:val="006A407D"/>
    <w:rsid w:val="006A4F4A"/>
    <w:rsid w:val="006A59D2"/>
    <w:rsid w:val="006A64CB"/>
    <w:rsid w:val="006A65C4"/>
    <w:rsid w:val="006A72A2"/>
    <w:rsid w:val="006A762A"/>
    <w:rsid w:val="006A76D4"/>
    <w:rsid w:val="006B0240"/>
    <w:rsid w:val="006B11DA"/>
    <w:rsid w:val="006B1E51"/>
    <w:rsid w:val="006B1ECE"/>
    <w:rsid w:val="006B31C4"/>
    <w:rsid w:val="006B3C3E"/>
    <w:rsid w:val="006B459D"/>
    <w:rsid w:val="006B46AA"/>
    <w:rsid w:val="006B46DF"/>
    <w:rsid w:val="006B4D24"/>
    <w:rsid w:val="006B593F"/>
    <w:rsid w:val="006B62D9"/>
    <w:rsid w:val="006B6BB3"/>
    <w:rsid w:val="006C0AD3"/>
    <w:rsid w:val="006C21A1"/>
    <w:rsid w:val="006C29A9"/>
    <w:rsid w:val="006C2E4C"/>
    <w:rsid w:val="006C2F20"/>
    <w:rsid w:val="006C35BA"/>
    <w:rsid w:val="006C35E9"/>
    <w:rsid w:val="006C5C35"/>
    <w:rsid w:val="006C70AA"/>
    <w:rsid w:val="006C7197"/>
    <w:rsid w:val="006C75FA"/>
    <w:rsid w:val="006C7AFA"/>
    <w:rsid w:val="006D0AF0"/>
    <w:rsid w:val="006D1A05"/>
    <w:rsid w:val="006D21A5"/>
    <w:rsid w:val="006D2697"/>
    <w:rsid w:val="006D2DC9"/>
    <w:rsid w:val="006D313B"/>
    <w:rsid w:val="006D376E"/>
    <w:rsid w:val="006D38C2"/>
    <w:rsid w:val="006D3A54"/>
    <w:rsid w:val="006D3A96"/>
    <w:rsid w:val="006D3F12"/>
    <w:rsid w:val="006D50CB"/>
    <w:rsid w:val="006D5443"/>
    <w:rsid w:val="006D683D"/>
    <w:rsid w:val="006D6A2B"/>
    <w:rsid w:val="006D7778"/>
    <w:rsid w:val="006E019C"/>
    <w:rsid w:val="006E1BC8"/>
    <w:rsid w:val="006E54D8"/>
    <w:rsid w:val="006E5D9E"/>
    <w:rsid w:val="006E643A"/>
    <w:rsid w:val="006F0E59"/>
    <w:rsid w:val="006F1403"/>
    <w:rsid w:val="006F1491"/>
    <w:rsid w:val="006F1802"/>
    <w:rsid w:val="006F1D11"/>
    <w:rsid w:val="006F3581"/>
    <w:rsid w:val="006F4C0A"/>
    <w:rsid w:val="006F4C0D"/>
    <w:rsid w:val="006F5954"/>
    <w:rsid w:val="006F675E"/>
    <w:rsid w:val="006F7350"/>
    <w:rsid w:val="00700C8E"/>
    <w:rsid w:val="00702EDA"/>
    <w:rsid w:val="0070329F"/>
    <w:rsid w:val="0070370B"/>
    <w:rsid w:val="00704317"/>
    <w:rsid w:val="00704469"/>
    <w:rsid w:val="0070467F"/>
    <w:rsid w:val="00705192"/>
    <w:rsid w:val="00707B0E"/>
    <w:rsid w:val="00707FF7"/>
    <w:rsid w:val="0071092F"/>
    <w:rsid w:val="00710B2A"/>
    <w:rsid w:val="00711143"/>
    <w:rsid w:val="00711581"/>
    <w:rsid w:val="00711C7A"/>
    <w:rsid w:val="00711D21"/>
    <w:rsid w:val="00712A65"/>
    <w:rsid w:val="00712BEB"/>
    <w:rsid w:val="00713408"/>
    <w:rsid w:val="00713610"/>
    <w:rsid w:val="00713B36"/>
    <w:rsid w:val="00714A0A"/>
    <w:rsid w:val="00715A81"/>
    <w:rsid w:val="00715AB5"/>
    <w:rsid w:val="00716667"/>
    <w:rsid w:val="007166DC"/>
    <w:rsid w:val="007167AF"/>
    <w:rsid w:val="00716A32"/>
    <w:rsid w:val="00717B63"/>
    <w:rsid w:val="007211DC"/>
    <w:rsid w:val="00722CDB"/>
    <w:rsid w:val="00723047"/>
    <w:rsid w:val="00724443"/>
    <w:rsid w:val="00725F05"/>
    <w:rsid w:val="007266CE"/>
    <w:rsid w:val="007267E6"/>
    <w:rsid w:val="00726FCA"/>
    <w:rsid w:val="0072740E"/>
    <w:rsid w:val="00727EC9"/>
    <w:rsid w:val="00730809"/>
    <w:rsid w:val="00730E1F"/>
    <w:rsid w:val="007315AE"/>
    <w:rsid w:val="00731C1A"/>
    <w:rsid w:val="00731D25"/>
    <w:rsid w:val="00731F57"/>
    <w:rsid w:val="00732367"/>
    <w:rsid w:val="007323E9"/>
    <w:rsid w:val="00732545"/>
    <w:rsid w:val="007327E1"/>
    <w:rsid w:val="00732DBD"/>
    <w:rsid w:val="007339FD"/>
    <w:rsid w:val="00734162"/>
    <w:rsid w:val="007348A4"/>
    <w:rsid w:val="00734AD7"/>
    <w:rsid w:val="00735379"/>
    <w:rsid w:val="00735E47"/>
    <w:rsid w:val="007365CE"/>
    <w:rsid w:val="0073673C"/>
    <w:rsid w:val="00736C26"/>
    <w:rsid w:val="00737A65"/>
    <w:rsid w:val="00737BE3"/>
    <w:rsid w:val="00740A43"/>
    <w:rsid w:val="00740E11"/>
    <w:rsid w:val="007416F3"/>
    <w:rsid w:val="007424D1"/>
    <w:rsid w:val="00742E77"/>
    <w:rsid w:val="007431EA"/>
    <w:rsid w:val="007433A8"/>
    <w:rsid w:val="00743E71"/>
    <w:rsid w:val="00744234"/>
    <w:rsid w:val="00744DF8"/>
    <w:rsid w:val="00746124"/>
    <w:rsid w:val="007467C9"/>
    <w:rsid w:val="00747EFD"/>
    <w:rsid w:val="0075045F"/>
    <w:rsid w:val="00750F3E"/>
    <w:rsid w:val="00753087"/>
    <w:rsid w:val="007530D8"/>
    <w:rsid w:val="00753D15"/>
    <w:rsid w:val="007547DE"/>
    <w:rsid w:val="00755017"/>
    <w:rsid w:val="00755716"/>
    <w:rsid w:val="00756727"/>
    <w:rsid w:val="007569B5"/>
    <w:rsid w:val="007573A9"/>
    <w:rsid w:val="007573D5"/>
    <w:rsid w:val="0075741B"/>
    <w:rsid w:val="00757838"/>
    <w:rsid w:val="00757EA3"/>
    <w:rsid w:val="00760440"/>
    <w:rsid w:val="007611B5"/>
    <w:rsid w:val="00763DBD"/>
    <w:rsid w:val="00763E3D"/>
    <w:rsid w:val="00763EA2"/>
    <w:rsid w:val="0076524C"/>
    <w:rsid w:val="00765508"/>
    <w:rsid w:val="00766694"/>
    <w:rsid w:val="007667F4"/>
    <w:rsid w:val="0076728B"/>
    <w:rsid w:val="00770229"/>
    <w:rsid w:val="00770C4E"/>
    <w:rsid w:val="00770E59"/>
    <w:rsid w:val="00771E65"/>
    <w:rsid w:val="00772E5C"/>
    <w:rsid w:val="00773AD1"/>
    <w:rsid w:val="007745D1"/>
    <w:rsid w:val="00774D88"/>
    <w:rsid w:val="007754DD"/>
    <w:rsid w:val="007759E4"/>
    <w:rsid w:val="00775A68"/>
    <w:rsid w:val="00775D39"/>
    <w:rsid w:val="00775E06"/>
    <w:rsid w:val="00776B60"/>
    <w:rsid w:val="00780419"/>
    <w:rsid w:val="00780AC4"/>
    <w:rsid w:val="007810D4"/>
    <w:rsid w:val="0078280F"/>
    <w:rsid w:val="00782920"/>
    <w:rsid w:val="00783544"/>
    <w:rsid w:val="0078394C"/>
    <w:rsid w:val="00783D94"/>
    <w:rsid w:val="007846A3"/>
    <w:rsid w:val="00784BA8"/>
    <w:rsid w:val="00784FFF"/>
    <w:rsid w:val="00785067"/>
    <w:rsid w:val="007854E3"/>
    <w:rsid w:val="00786AA3"/>
    <w:rsid w:val="00790F4E"/>
    <w:rsid w:val="00791255"/>
    <w:rsid w:val="007923A3"/>
    <w:rsid w:val="0079280D"/>
    <w:rsid w:val="00792843"/>
    <w:rsid w:val="00792B62"/>
    <w:rsid w:val="00793688"/>
    <w:rsid w:val="007943C5"/>
    <w:rsid w:val="00795133"/>
    <w:rsid w:val="0079570C"/>
    <w:rsid w:val="007A20E7"/>
    <w:rsid w:val="007A342A"/>
    <w:rsid w:val="007A402E"/>
    <w:rsid w:val="007A50E8"/>
    <w:rsid w:val="007A521B"/>
    <w:rsid w:val="007A5334"/>
    <w:rsid w:val="007A5453"/>
    <w:rsid w:val="007A5891"/>
    <w:rsid w:val="007A611B"/>
    <w:rsid w:val="007A614C"/>
    <w:rsid w:val="007A720A"/>
    <w:rsid w:val="007A7DC2"/>
    <w:rsid w:val="007A7F08"/>
    <w:rsid w:val="007B02B9"/>
    <w:rsid w:val="007B1F25"/>
    <w:rsid w:val="007B20EE"/>
    <w:rsid w:val="007B2C29"/>
    <w:rsid w:val="007B31A7"/>
    <w:rsid w:val="007B3E4E"/>
    <w:rsid w:val="007B47D8"/>
    <w:rsid w:val="007B4DD0"/>
    <w:rsid w:val="007B54A8"/>
    <w:rsid w:val="007B658C"/>
    <w:rsid w:val="007B7531"/>
    <w:rsid w:val="007C0324"/>
    <w:rsid w:val="007C0506"/>
    <w:rsid w:val="007C0849"/>
    <w:rsid w:val="007C11DA"/>
    <w:rsid w:val="007C2048"/>
    <w:rsid w:val="007C204D"/>
    <w:rsid w:val="007C309C"/>
    <w:rsid w:val="007C44FF"/>
    <w:rsid w:val="007C4E35"/>
    <w:rsid w:val="007C586F"/>
    <w:rsid w:val="007C623D"/>
    <w:rsid w:val="007C6350"/>
    <w:rsid w:val="007C6578"/>
    <w:rsid w:val="007C7AD0"/>
    <w:rsid w:val="007D010D"/>
    <w:rsid w:val="007D0171"/>
    <w:rsid w:val="007D0682"/>
    <w:rsid w:val="007D0EF7"/>
    <w:rsid w:val="007D105C"/>
    <w:rsid w:val="007D11C3"/>
    <w:rsid w:val="007D2165"/>
    <w:rsid w:val="007D2DBA"/>
    <w:rsid w:val="007D2E39"/>
    <w:rsid w:val="007D3377"/>
    <w:rsid w:val="007D3B6A"/>
    <w:rsid w:val="007D4141"/>
    <w:rsid w:val="007D416D"/>
    <w:rsid w:val="007D4D03"/>
    <w:rsid w:val="007D559E"/>
    <w:rsid w:val="007D5C37"/>
    <w:rsid w:val="007D6F77"/>
    <w:rsid w:val="007E02EE"/>
    <w:rsid w:val="007E10F6"/>
    <w:rsid w:val="007E14FD"/>
    <w:rsid w:val="007E1D64"/>
    <w:rsid w:val="007E3BCD"/>
    <w:rsid w:val="007E3DC1"/>
    <w:rsid w:val="007E3E97"/>
    <w:rsid w:val="007E51C5"/>
    <w:rsid w:val="007E7976"/>
    <w:rsid w:val="007E7A81"/>
    <w:rsid w:val="007E7F0E"/>
    <w:rsid w:val="007F02C8"/>
    <w:rsid w:val="007F0358"/>
    <w:rsid w:val="007F0860"/>
    <w:rsid w:val="007F1AD1"/>
    <w:rsid w:val="007F1D72"/>
    <w:rsid w:val="007F1E47"/>
    <w:rsid w:val="007F21D5"/>
    <w:rsid w:val="007F2A1E"/>
    <w:rsid w:val="007F3D3E"/>
    <w:rsid w:val="007F438A"/>
    <w:rsid w:val="007F465A"/>
    <w:rsid w:val="007F47A5"/>
    <w:rsid w:val="007F482C"/>
    <w:rsid w:val="007F4BF8"/>
    <w:rsid w:val="007F56B7"/>
    <w:rsid w:val="007F5EB8"/>
    <w:rsid w:val="007F61D4"/>
    <w:rsid w:val="007F6C82"/>
    <w:rsid w:val="007F7735"/>
    <w:rsid w:val="007F7ACC"/>
    <w:rsid w:val="00800D26"/>
    <w:rsid w:val="008017BE"/>
    <w:rsid w:val="00801A65"/>
    <w:rsid w:val="008020F9"/>
    <w:rsid w:val="008032B6"/>
    <w:rsid w:val="008033DD"/>
    <w:rsid w:val="008053FC"/>
    <w:rsid w:val="008069EF"/>
    <w:rsid w:val="00806A59"/>
    <w:rsid w:val="00807C52"/>
    <w:rsid w:val="008113AF"/>
    <w:rsid w:val="00811548"/>
    <w:rsid w:val="00811BF5"/>
    <w:rsid w:val="00811CC6"/>
    <w:rsid w:val="00811DFE"/>
    <w:rsid w:val="00812FF0"/>
    <w:rsid w:val="00813535"/>
    <w:rsid w:val="00813AE7"/>
    <w:rsid w:val="0081451F"/>
    <w:rsid w:val="00814D1B"/>
    <w:rsid w:val="00815334"/>
    <w:rsid w:val="00815E40"/>
    <w:rsid w:val="00815FA3"/>
    <w:rsid w:val="0081652F"/>
    <w:rsid w:val="00816AD9"/>
    <w:rsid w:val="008174AD"/>
    <w:rsid w:val="00817D59"/>
    <w:rsid w:val="00823723"/>
    <w:rsid w:val="0082401A"/>
    <w:rsid w:val="00824082"/>
    <w:rsid w:val="00824242"/>
    <w:rsid w:val="00825BBA"/>
    <w:rsid w:val="0082700F"/>
    <w:rsid w:val="0082704D"/>
    <w:rsid w:val="0082734C"/>
    <w:rsid w:val="00827B98"/>
    <w:rsid w:val="008304D4"/>
    <w:rsid w:val="0083113C"/>
    <w:rsid w:val="00831BF5"/>
    <w:rsid w:val="0083235F"/>
    <w:rsid w:val="008326DE"/>
    <w:rsid w:val="008331DD"/>
    <w:rsid w:val="00833A0F"/>
    <w:rsid w:val="00835CBA"/>
    <w:rsid w:val="00836DBA"/>
    <w:rsid w:val="00836E7A"/>
    <w:rsid w:val="008371F9"/>
    <w:rsid w:val="00837395"/>
    <w:rsid w:val="00840393"/>
    <w:rsid w:val="0084089A"/>
    <w:rsid w:val="00841666"/>
    <w:rsid w:val="00841CD5"/>
    <w:rsid w:val="00841DCA"/>
    <w:rsid w:val="00842118"/>
    <w:rsid w:val="008429D0"/>
    <w:rsid w:val="008432A1"/>
    <w:rsid w:val="00843B43"/>
    <w:rsid w:val="0084603D"/>
    <w:rsid w:val="00846D41"/>
    <w:rsid w:val="00847D0F"/>
    <w:rsid w:val="00850406"/>
    <w:rsid w:val="0085152A"/>
    <w:rsid w:val="00851BC4"/>
    <w:rsid w:val="00852181"/>
    <w:rsid w:val="00852E89"/>
    <w:rsid w:val="00853BC0"/>
    <w:rsid w:val="00854B8F"/>
    <w:rsid w:val="00855780"/>
    <w:rsid w:val="00855C99"/>
    <w:rsid w:val="008570C2"/>
    <w:rsid w:val="00857911"/>
    <w:rsid w:val="008609AE"/>
    <w:rsid w:val="00861A05"/>
    <w:rsid w:val="00861B64"/>
    <w:rsid w:val="00861FA6"/>
    <w:rsid w:val="00862CD1"/>
    <w:rsid w:val="00864EC2"/>
    <w:rsid w:val="00866A66"/>
    <w:rsid w:val="00866E44"/>
    <w:rsid w:val="00871C6E"/>
    <w:rsid w:val="00872476"/>
    <w:rsid w:val="00872D96"/>
    <w:rsid w:val="008738AA"/>
    <w:rsid w:val="00873F15"/>
    <w:rsid w:val="00874E7A"/>
    <w:rsid w:val="0087530D"/>
    <w:rsid w:val="008758FD"/>
    <w:rsid w:val="008808C1"/>
    <w:rsid w:val="0088111C"/>
    <w:rsid w:val="0088130B"/>
    <w:rsid w:val="008813BC"/>
    <w:rsid w:val="00881571"/>
    <w:rsid w:val="0088252A"/>
    <w:rsid w:val="008825EB"/>
    <w:rsid w:val="0088292B"/>
    <w:rsid w:val="00882E62"/>
    <w:rsid w:val="00883086"/>
    <w:rsid w:val="0088317B"/>
    <w:rsid w:val="008853A6"/>
    <w:rsid w:val="0088575F"/>
    <w:rsid w:val="008861F3"/>
    <w:rsid w:val="00886A80"/>
    <w:rsid w:val="008874E5"/>
    <w:rsid w:val="00887939"/>
    <w:rsid w:val="00890755"/>
    <w:rsid w:val="00890EAA"/>
    <w:rsid w:val="0089253F"/>
    <w:rsid w:val="00893255"/>
    <w:rsid w:val="0089435D"/>
    <w:rsid w:val="00894B9E"/>
    <w:rsid w:val="00895233"/>
    <w:rsid w:val="008957CA"/>
    <w:rsid w:val="008966ED"/>
    <w:rsid w:val="00896BE0"/>
    <w:rsid w:val="00897338"/>
    <w:rsid w:val="008975B6"/>
    <w:rsid w:val="008A08F2"/>
    <w:rsid w:val="008A1032"/>
    <w:rsid w:val="008A12DA"/>
    <w:rsid w:val="008A1FE9"/>
    <w:rsid w:val="008A327B"/>
    <w:rsid w:val="008A43CB"/>
    <w:rsid w:val="008A457B"/>
    <w:rsid w:val="008A488D"/>
    <w:rsid w:val="008A5337"/>
    <w:rsid w:val="008A6E85"/>
    <w:rsid w:val="008A7087"/>
    <w:rsid w:val="008A7090"/>
    <w:rsid w:val="008B046E"/>
    <w:rsid w:val="008B0908"/>
    <w:rsid w:val="008B22D3"/>
    <w:rsid w:val="008B23FF"/>
    <w:rsid w:val="008B267C"/>
    <w:rsid w:val="008B3D76"/>
    <w:rsid w:val="008B3F41"/>
    <w:rsid w:val="008B4019"/>
    <w:rsid w:val="008B478C"/>
    <w:rsid w:val="008B48A9"/>
    <w:rsid w:val="008B50FF"/>
    <w:rsid w:val="008B717C"/>
    <w:rsid w:val="008B7D74"/>
    <w:rsid w:val="008C019B"/>
    <w:rsid w:val="008C0954"/>
    <w:rsid w:val="008C09E7"/>
    <w:rsid w:val="008C15DA"/>
    <w:rsid w:val="008C2079"/>
    <w:rsid w:val="008C305D"/>
    <w:rsid w:val="008C4525"/>
    <w:rsid w:val="008C4735"/>
    <w:rsid w:val="008C5938"/>
    <w:rsid w:val="008C6278"/>
    <w:rsid w:val="008C6FC2"/>
    <w:rsid w:val="008C7C39"/>
    <w:rsid w:val="008D0A4B"/>
    <w:rsid w:val="008D0F44"/>
    <w:rsid w:val="008D1889"/>
    <w:rsid w:val="008D220B"/>
    <w:rsid w:val="008D276B"/>
    <w:rsid w:val="008D3DD6"/>
    <w:rsid w:val="008D4176"/>
    <w:rsid w:val="008D470D"/>
    <w:rsid w:val="008D4A75"/>
    <w:rsid w:val="008D5B4E"/>
    <w:rsid w:val="008D5EF4"/>
    <w:rsid w:val="008D6275"/>
    <w:rsid w:val="008D63A0"/>
    <w:rsid w:val="008D63A4"/>
    <w:rsid w:val="008D6D4F"/>
    <w:rsid w:val="008D72A6"/>
    <w:rsid w:val="008D7333"/>
    <w:rsid w:val="008D76AE"/>
    <w:rsid w:val="008D7F6B"/>
    <w:rsid w:val="008E0561"/>
    <w:rsid w:val="008E075C"/>
    <w:rsid w:val="008E0ACD"/>
    <w:rsid w:val="008E0B5E"/>
    <w:rsid w:val="008E0CCD"/>
    <w:rsid w:val="008E1E91"/>
    <w:rsid w:val="008E2265"/>
    <w:rsid w:val="008E26CC"/>
    <w:rsid w:val="008E2BFE"/>
    <w:rsid w:val="008E3D14"/>
    <w:rsid w:val="008E4A4B"/>
    <w:rsid w:val="008E4AA5"/>
    <w:rsid w:val="008E5BD9"/>
    <w:rsid w:val="008E5E05"/>
    <w:rsid w:val="008E66D7"/>
    <w:rsid w:val="008E6D30"/>
    <w:rsid w:val="008F06CF"/>
    <w:rsid w:val="008F234B"/>
    <w:rsid w:val="008F29CC"/>
    <w:rsid w:val="008F342C"/>
    <w:rsid w:val="008F412F"/>
    <w:rsid w:val="008F566B"/>
    <w:rsid w:val="008F5672"/>
    <w:rsid w:val="008F5B30"/>
    <w:rsid w:val="008F6342"/>
    <w:rsid w:val="008F6756"/>
    <w:rsid w:val="008F6CA1"/>
    <w:rsid w:val="009004DD"/>
    <w:rsid w:val="009004F7"/>
    <w:rsid w:val="00901B13"/>
    <w:rsid w:val="00903BA9"/>
    <w:rsid w:val="00903BB2"/>
    <w:rsid w:val="009049D7"/>
    <w:rsid w:val="00904F78"/>
    <w:rsid w:val="009057B1"/>
    <w:rsid w:val="009068E5"/>
    <w:rsid w:val="00906C25"/>
    <w:rsid w:val="00906C92"/>
    <w:rsid w:val="00906D16"/>
    <w:rsid w:val="00906ED0"/>
    <w:rsid w:val="009070FD"/>
    <w:rsid w:val="00907243"/>
    <w:rsid w:val="00907492"/>
    <w:rsid w:val="009077F4"/>
    <w:rsid w:val="00907A2C"/>
    <w:rsid w:val="00910B72"/>
    <w:rsid w:val="00911DE6"/>
    <w:rsid w:val="00914FDB"/>
    <w:rsid w:val="00915042"/>
    <w:rsid w:val="00915EE4"/>
    <w:rsid w:val="00915F11"/>
    <w:rsid w:val="00916135"/>
    <w:rsid w:val="00920342"/>
    <w:rsid w:val="009208ED"/>
    <w:rsid w:val="00920E85"/>
    <w:rsid w:val="00922008"/>
    <w:rsid w:val="00922704"/>
    <w:rsid w:val="00922C86"/>
    <w:rsid w:val="00923AD1"/>
    <w:rsid w:val="00924440"/>
    <w:rsid w:val="00924651"/>
    <w:rsid w:val="0092494B"/>
    <w:rsid w:val="00924EF4"/>
    <w:rsid w:val="009252AC"/>
    <w:rsid w:val="00925859"/>
    <w:rsid w:val="009271E5"/>
    <w:rsid w:val="00927490"/>
    <w:rsid w:val="00927819"/>
    <w:rsid w:val="00931A38"/>
    <w:rsid w:val="009326CF"/>
    <w:rsid w:val="0093308F"/>
    <w:rsid w:val="00934B52"/>
    <w:rsid w:val="0093660A"/>
    <w:rsid w:val="00936787"/>
    <w:rsid w:val="00936F12"/>
    <w:rsid w:val="00937E80"/>
    <w:rsid w:val="009403C8"/>
    <w:rsid w:val="009407C8"/>
    <w:rsid w:val="00940A4D"/>
    <w:rsid w:val="00941789"/>
    <w:rsid w:val="00942C4C"/>
    <w:rsid w:val="009438EB"/>
    <w:rsid w:val="00943A3B"/>
    <w:rsid w:val="009447F5"/>
    <w:rsid w:val="0094493E"/>
    <w:rsid w:val="00944AD8"/>
    <w:rsid w:val="00950CDE"/>
    <w:rsid w:val="00950F03"/>
    <w:rsid w:val="00951271"/>
    <w:rsid w:val="009514CE"/>
    <w:rsid w:val="00952E3E"/>
    <w:rsid w:val="00952E5E"/>
    <w:rsid w:val="009539E7"/>
    <w:rsid w:val="0095491E"/>
    <w:rsid w:val="00954D06"/>
    <w:rsid w:val="00955515"/>
    <w:rsid w:val="0095662C"/>
    <w:rsid w:val="00956B23"/>
    <w:rsid w:val="0095786B"/>
    <w:rsid w:val="00957B5A"/>
    <w:rsid w:val="009606EA"/>
    <w:rsid w:val="0096212D"/>
    <w:rsid w:val="00963026"/>
    <w:rsid w:val="00963E62"/>
    <w:rsid w:val="009647FB"/>
    <w:rsid w:val="009648C4"/>
    <w:rsid w:val="00964CC8"/>
    <w:rsid w:val="00965BD7"/>
    <w:rsid w:val="00965F97"/>
    <w:rsid w:val="00966D51"/>
    <w:rsid w:val="0097021F"/>
    <w:rsid w:val="009713E4"/>
    <w:rsid w:val="009721A5"/>
    <w:rsid w:val="00972DE7"/>
    <w:rsid w:val="0097343A"/>
    <w:rsid w:val="00973B69"/>
    <w:rsid w:val="0097429C"/>
    <w:rsid w:val="0097477D"/>
    <w:rsid w:val="009752B1"/>
    <w:rsid w:val="009758BA"/>
    <w:rsid w:val="009763E5"/>
    <w:rsid w:val="009771B9"/>
    <w:rsid w:val="00977296"/>
    <w:rsid w:val="009800C2"/>
    <w:rsid w:val="009800CE"/>
    <w:rsid w:val="0098072F"/>
    <w:rsid w:val="0098186C"/>
    <w:rsid w:val="009829BE"/>
    <w:rsid w:val="0098410E"/>
    <w:rsid w:val="00984238"/>
    <w:rsid w:val="00984DC5"/>
    <w:rsid w:val="00985175"/>
    <w:rsid w:val="00985396"/>
    <w:rsid w:val="009872C9"/>
    <w:rsid w:val="009877A9"/>
    <w:rsid w:val="00990628"/>
    <w:rsid w:val="00991E0E"/>
    <w:rsid w:val="009936F6"/>
    <w:rsid w:val="009937B1"/>
    <w:rsid w:val="00993829"/>
    <w:rsid w:val="00994973"/>
    <w:rsid w:val="009959D3"/>
    <w:rsid w:val="00996670"/>
    <w:rsid w:val="009967B2"/>
    <w:rsid w:val="009A00E4"/>
    <w:rsid w:val="009A0143"/>
    <w:rsid w:val="009A0227"/>
    <w:rsid w:val="009A0335"/>
    <w:rsid w:val="009A102F"/>
    <w:rsid w:val="009A2FC6"/>
    <w:rsid w:val="009A34F4"/>
    <w:rsid w:val="009A3598"/>
    <w:rsid w:val="009A3DB9"/>
    <w:rsid w:val="009A3E5A"/>
    <w:rsid w:val="009A49F9"/>
    <w:rsid w:val="009A51CB"/>
    <w:rsid w:val="009A5DA3"/>
    <w:rsid w:val="009A6D12"/>
    <w:rsid w:val="009A6E71"/>
    <w:rsid w:val="009A73F7"/>
    <w:rsid w:val="009B02AC"/>
    <w:rsid w:val="009B1268"/>
    <w:rsid w:val="009B1470"/>
    <w:rsid w:val="009B18CC"/>
    <w:rsid w:val="009B3212"/>
    <w:rsid w:val="009B3B8E"/>
    <w:rsid w:val="009B40D0"/>
    <w:rsid w:val="009B4247"/>
    <w:rsid w:val="009B436C"/>
    <w:rsid w:val="009B4E2A"/>
    <w:rsid w:val="009B72F7"/>
    <w:rsid w:val="009C0200"/>
    <w:rsid w:val="009C1C4F"/>
    <w:rsid w:val="009C2B85"/>
    <w:rsid w:val="009C31B1"/>
    <w:rsid w:val="009C35AF"/>
    <w:rsid w:val="009C3B23"/>
    <w:rsid w:val="009C468D"/>
    <w:rsid w:val="009C55B8"/>
    <w:rsid w:val="009C576E"/>
    <w:rsid w:val="009C5F3E"/>
    <w:rsid w:val="009C6AB6"/>
    <w:rsid w:val="009C6AD9"/>
    <w:rsid w:val="009C72FC"/>
    <w:rsid w:val="009C772F"/>
    <w:rsid w:val="009C77AE"/>
    <w:rsid w:val="009C78FE"/>
    <w:rsid w:val="009C7953"/>
    <w:rsid w:val="009D0BCD"/>
    <w:rsid w:val="009D0E4A"/>
    <w:rsid w:val="009D1991"/>
    <w:rsid w:val="009D209F"/>
    <w:rsid w:val="009D2F5D"/>
    <w:rsid w:val="009D3138"/>
    <w:rsid w:val="009D345D"/>
    <w:rsid w:val="009D35CC"/>
    <w:rsid w:val="009D3A28"/>
    <w:rsid w:val="009D3B57"/>
    <w:rsid w:val="009D4740"/>
    <w:rsid w:val="009D4D98"/>
    <w:rsid w:val="009D659F"/>
    <w:rsid w:val="009D73D6"/>
    <w:rsid w:val="009E013E"/>
    <w:rsid w:val="009E01AB"/>
    <w:rsid w:val="009E01E6"/>
    <w:rsid w:val="009E187F"/>
    <w:rsid w:val="009E2050"/>
    <w:rsid w:val="009E2EC6"/>
    <w:rsid w:val="009E3DDE"/>
    <w:rsid w:val="009E480F"/>
    <w:rsid w:val="009E4E06"/>
    <w:rsid w:val="009E4F24"/>
    <w:rsid w:val="009E56A7"/>
    <w:rsid w:val="009E56D1"/>
    <w:rsid w:val="009E6324"/>
    <w:rsid w:val="009E662C"/>
    <w:rsid w:val="009E6BCB"/>
    <w:rsid w:val="009E7362"/>
    <w:rsid w:val="009E7853"/>
    <w:rsid w:val="009F2AB8"/>
    <w:rsid w:val="009F30AE"/>
    <w:rsid w:val="009F32A2"/>
    <w:rsid w:val="009F3EE6"/>
    <w:rsid w:val="009F4936"/>
    <w:rsid w:val="009F5111"/>
    <w:rsid w:val="009F527B"/>
    <w:rsid w:val="009F6677"/>
    <w:rsid w:val="009F737F"/>
    <w:rsid w:val="009F7CEE"/>
    <w:rsid w:val="00A00038"/>
    <w:rsid w:val="00A00149"/>
    <w:rsid w:val="00A00BD6"/>
    <w:rsid w:val="00A02AAD"/>
    <w:rsid w:val="00A03AA5"/>
    <w:rsid w:val="00A03B4E"/>
    <w:rsid w:val="00A0468B"/>
    <w:rsid w:val="00A05789"/>
    <w:rsid w:val="00A061E4"/>
    <w:rsid w:val="00A0658D"/>
    <w:rsid w:val="00A0751C"/>
    <w:rsid w:val="00A105E5"/>
    <w:rsid w:val="00A110FF"/>
    <w:rsid w:val="00A11BB0"/>
    <w:rsid w:val="00A12299"/>
    <w:rsid w:val="00A12C4A"/>
    <w:rsid w:val="00A138B7"/>
    <w:rsid w:val="00A13C4C"/>
    <w:rsid w:val="00A14127"/>
    <w:rsid w:val="00A14287"/>
    <w:rsid w:val="00A14D3D"/>
    <w:rsid w:val="00A15004"/>
    <w:rsid w:val="00A15C26"/>
    <w:rsid w:val="00A1669D"/>
    <w:rsid w:val="00A16C74"/>
    <w:rsid w:val="00A17166"/>
    <w:rsid w:val="00A171FF"/>
    <w:rsid w:val="00A1732E"/>
    <w:rsid w:val="00A208FF"/>
    <w:rsid w:val="00A213B1"/>
    <w:rsid w:val="00A2153D"/>
    <w:rsid w:val="00A21EDB"/>
    <w:rsid w:val="00A224F0"/>
    <w:rsid w:val="00A22634"/>
    <w:rsid w:val="00A22BBC"/>
    <w:rsid w:val="00A2330E"/>
    <w:rsid w:val="00A23352"/>
    <w:rsid w:val="00A2445C"/>
    <w:rsid w:val="00A252BF"/>
    <w:rsid w:val="00A262A6"/>
    <w:rsid w:val="00A26B9D"/>
    <w:rsid w:val="00A27BD2"/>
    <w:rsid w:val="00A27DD7"/>
    <w:rsid w:val="00A27F58"/>
    <w:rsid w:val="00A303EA"/>
    <w:rsid w:val="00A305C1"/>
    <w:rsid w:val="00A30885"/>
    <w:rsid w:val="00A31564"/>
    <w:rsid w:val="00A318B8"/>
    <w:rsid w:val="00A32928"/>
    <w:rsid w:val="00A32ACC"/>
    <w:rsid w:val="00A3346B"/>
    <w:rsid w:val="00A338F1"/>
    <w:rsid w:val="00A33AD4"/>
    <w:rsid w:val="00A33B90"/>
    <w:rsid w:val="00A33E80"/>
    <w:rsid w:val="00A33F7B"/>
    <w:rsid w:val="00A34181"/>
    <w:rsid w:val="00A34BD0"/>
    <w:rsid w:val="00A34FE1"/>
    <w:rsid w:val="00A37FCF"/>
    <w:rsid w:val="00A40321"/>
    <w:rsid w:val="00A41234"/>
    <w:rsid w:val="00A416A9"/>
    <w:rsid w:val="00A4246B"/>
    <w:rsid w:val="00A42E0D"/>
    <w:rsid w:val="00A430FA"/>
    <w:rsid w:val="00A44D0E"/>
    <w:rsid w:val="00A44FCD"/>
    <w:rsid w:val="00A45AD0"/>
    <w:rsid w:val="00A466E0"/>
    <w:rsid w:val="00A46723"/>
    <w:rsid w:val="00A46820"/>
    <w:rsid w:val="00A4723B"/>
    <w:rsid w:val="00A47326"/>
    <w:rsid w:val="00A5026D"/>
    <w:rsid w:val="00A50674"/>
    <w:rsid w:val="00A50A43"/>
    <w:rsid w:val="00A51FBC"/>
    <w:rsid w:val="00A532AC"/>
    <w:rsid w:val="00A54C29"/>
    <w:rsid w:val="00A54C8A"/>
    <w:rsid w:val="00A565A5"/>
    <w:rsid w:val="00A56A5B"/>
    <w:rsid w:val="00A5705D"/>
    <w:rsid w:val="00A5720B"/>
    <w:rsid w:val="00A574FA"/>
    <w:rsid w:val="00A57D02"/>
    <w:rsid w:val="00A57ED9"/>
    <w:rsid w:val="00A60162"/>
    <w:rsid w:val="00A610BF"/>
    <w:rsid w:val="00A611C0"/>
    <w:rsid w:val="00A614C2"/>
    <w:rsid w:val="00A61C08"/>
    <w:rsid w:val="00A61C85"/>
    <w:rsid w:val="00A6286B"/>
    <w:rsid w:val="00A63082"/>
    <w:rsid w:val="00A6371C"/>
    <w:rsid w:val="00A64277"/>
    <w:rsid w:val="00A66933"/>
    <w:rsid w:val="00A66A19"/>
    <w:rsid w:val="00A66E05"/>
    <w:rsid w:val="00A67563"/>
    <w:rsid w:val="00A67BD8"/>
    <w:rsid w:val="00A67C27"/>
    <w:rsid w:val="00A703AF"/>
    <w:rsid w:val="00A70D40"/>
    <w:rsid w:val="00A719EE"/>
    <w:rsid w:val="00A732A7"/>
    <w:rsid w:val="00A7370D"/>
    <w:rsid w:val="00A73BE9"/>
    <w:rsid w:val="00A74B26"/>
    <w:rsid w:val="00A75565"/>
    <w:rsid w:val="00A75627"/>
    <w:rsid w:val="00A75BD1"/>
    <w:rsid w:val="00A77038"/>
    <w:rsid w:val="00A77191"/>
    <w:rsid w:val="00A803AE"/>
    <w:rsid w:val="00A80BD9"/>
    <w:rsid w:val="00A8127B"/>
    <w:rsid w:val="00A823B1"/>
    <w:rsid w:val="00A82F33"/>
    <w:rsid w:val="00A8351A"/>
    <w:rsid w:val="00A847E1"/>
    <w:rsid w:val="00A84B25"/>
    <w:rsid w:val="00A85042"/>
    <w:rsid w:val="00A8596F"/>
    <w:rsid w:val="00A85DA8"/>
    <w:rsid w:val="00A867D9"/>
    <w:rsid w:val="00A869E8"/>
    <w:rsid w:val="00A8705D"/>
    <w:rsid w:val="00A87095"/>
    <w:rsid w:val="00A87322"/>
    <w:rsid w:val="00A87D6B"/>
    <w:rsid w:val="00A9010B"/>
    <w:rsid w:val="00A901CB"/>
    <w:rsid w:val="00A9136D"/>
    <w:rsid w:val="00A92456"/>
    <w:rsid w:val="00A9246C"/>
    <w:rsid w:val="00A92F2C"/>
    <w:rsid w:val="00A937DE"/>
    <w:rsid w:val="00A9403A"/>
    <w:rsid w:val="00A944EB"/>
    <w:rsid w:val="00A94777"/>
    <w:rsid w:val="00A95140"/>
    <w:rsid w:val="00A960B5"/>
    <w:rsid w:val="00A964D1"/>
    <w:rsid w:val="00A9662C"/>
    <w:rsid w:val="00A97045"/>
    <w:rsid w:val="00AA05A8"/>
    <w:rsid w:val="00AA0BBC"/>
    <w:rsid w:val="00AA1284"/>
    <w:rsid w:val="00AA2EA9"/>
    <w:rsid w:val="00AA3436"/>
    <w:rsid w:val="00AA3AA0"/>
    <w:rsid w:val="00AA5A12"/>
    <w:rsid w:val="00AA694A"/>
    <w:rsid w:val="00AA77BA"/>
    <w:rsid w:val="00AA7F54"/>
    <w:rsid w:val="00AB07F0"/>
    <w:rsid w:val="00AB14B0"/>
    <w:rsid w:val="00AB193F"/>
    <w:rsid w:val="00AB2B51"/>
    <w:rsid w:val="00AB3167"/>
    <w:rsid w:val="00AB31E5"/>
    <w:rsid w:val="00AB34BD"/>
    <w:rsid w:val="00AB49B5"/>
    <w:rsid w:val="00AB4B79"/>
    <w:rsid w:val="00AB5F81"/>
    <w:rsid w:val="00AB6D4E"/>
    <w:rsid w:val="00AB76C2"/>
    <w:rsid w:val="00AB7F6C"/>
    <w:rsid w:val="00AC0E91"/>
    <w:rsid w:val="00AC2084"/>
    <w:rsid w:val="00AC2394"/>
    <w:rsid w:val="00AC24D6"/>
    <w:rsid w:val="00AC25A6"/>
    <w:rsid w:val="00AC2AAD"/>
    <w:rsid w:val="00AC2BF3"/>
    <w:rsid w:val="00AC2C1C"/>
    <w:rsid w:val="00AC30CA"/>
    <w:rsid w:val="00AC3879"/>
    <w:rsid w:val="00AC3C79"/>
    <w:rsid w:val="00AC419E"/>
    <w:rsid w:val="00AC4472"/>
    <w:rsid w:val="00AC48A2"/>
    <w:rsid w:val="00AC5B6C"/>
    <w:rsid w:val="00AC6347"/>
    <w:rsid w:val="00AC6615"/>
    <w:rsid w:val="00AC6F22"/>
    <w:rsid w:val="00AC7050"/>
    <w:rsid w:val="00AC71B1"/>
    <w:rsid w:val="00AC7AA9"/>
    <w:rsid w:val="00AC7AFC"/>
    <w:rsid w:val="00AD02D8"/>
    <w:rsid w:val="00AD0442"/>
    <w:rsid w:val="00AD13C1"/>
    <w:rsid w:val="00AD1FB1"/>
    <w:rsid w:val="00AD2216"/>
    <w:rsid w:val="00AD27C6"/>
    <w:rsid w:val="00AD53AF"/>
    <w:rsid w:val="00AD5C7D"/>
    <w:rsid w:val="00AD66A3"/>
    <w:rsid w:val="00AE1719"/>
    <w:rsid w:val="00AE2116"/>
    <w:rsid w:val="00AE2561"/>
    <w:rsid w:val="00AE30C8"/>
    <w:rsid w:val="00AE3699"/>
    <w:rsid w:val="00AE369B"/>
    <w:rsid w:val="00AE3F63"/>
    <w:rsid w:val="00AE4856"/>
    <w:rsid w:val="00AE598B"/>
    <w:rsid w:val="00AE5C1D"/>
    <w:rsid w:val="00AE7348"/>
    <w:rsid w:val="00AF116B"/>
    <w:rsid w:val="00AF145C"/>
    <w:rsid w:val="00AF1B29"/>
    <w:rsid w:val="00AF4880"/>
    <w:rsid w:val="00AF4950"/>
    <w:rsid w:val="00AF54B1"/>
    <w:rsid w:val="00AF6F29"/>
    <w:rsid w:val="00B000A2"/>
    <w:rsid w:val="00B00161"/>
    <w:rsid w:val="00B0020E"/>
    <w:rsid w:val="00B00AF4"/>
    <w:rsid w:val="00B011E1"/>
    <w:rsid w:val="00B012CB"/>
    <w:rsid w:val="00B03FAE"/>
    <w:rsid w:val="00B040D2"/>
    <w:rsid w:val="00B04CC7"/>
    <w:rsid w:val="00B05302"/>
    <w:rsid w:val="00B07134"/>
    <w:rsid w:val="00B073A4"/>
    <w:rsid w:val="00B07955"/>
    <w:rsid w:val="00B07C54"/>
    <w:rsid w:val="00B07FC2"/>
    <w:rsid w:val="00B10065"/>
    <w:rsid w:val="00B10195"/>
    <w:rsid w:val="00B10635"/>
    <w:rsid w:val="00B10DD6"/>
    <w:rsid w:val="00B11111"/>
    <w:rsid w:val="00B111D2"/>
    <w:rsid w:val="00B12964"/>
    <w:rsid w:val="00B12CD0"/>
    <w:rsid w:val="00B13388"/>
    <w:rsid w:val="00B134A4"/>
    <w:rsid w:val="00B14CFA"/>
    <w:rsid w:val="00B150A4"/>
    <w:rsid w:val="00B15388"/>
    <w:rsid w:val="00B15918"/>
    <w:rsid w:val="00B15979"/>
    <w:rsid w:val="00B15AF8"/>
    <w:rsid w:val="00B1643F"/>
    <w:rsid w:val="00B16AEB"/>
    <w:rsid w:val="00B202E7"/>
    <w:rsid w:val="00B20301"/>
    <w:rsid w:val="00B2043A"/>
    <w:rsid w:val="00B205BE"/>
    <w:rsid w:val="00B2086A"/>
    <w:rsid w:val="00B20ECB"/>
    <w:rsid w:val="00B23D08"/>
    <w:rsid w:val="00B2465C"/>
    <w:rsid w:val="00B246DD"/>
    <w:rsid w:val="00B24732"/>
    <w:rsid w:val="00B26750"/>
    <w:rsid w:val="00B26A19"/>
    <w:rsid w:val="00B271A1"/>
    <w:rsid w:val="00B27CDB"/>
    <w:rsid w:val="00B30463"/>
    <w:rsid w:val="00B30A34"/>
    <w:rsid w:val="00B311D6"/>
    <w:rsid w:val="00B316F1"/>
    <w:rsid w:val="00B3431E"/>
    <w:rsid w:val="00B3473B"/>
    <w:rsid w:val="00B35186"/>
    <w:rsid w:val="00B35323"/>
    <w:rsid w:val="00B35D52"/>
    <w:rsid w:val="00B36A00"/>
    <w:rsid w:val="00B40551"/>
    <w:rsid w:val="00B40A72"/>
    <w:rsid w:val="00B41311"/>
    <w:rsid w:val="00B41BF1"/>
    <w:rsid w:val="00B42569"/>
    <w:rsid w:val="00B4413E"/>
    <w:rsid w:val="00B445F5"/>
    <w:rsid w:val="00B44A56"/>
    <w:rsid w:val="00B44D02"/>
    <w:rsid w:val="00B45C08"/>
    <w:rsid w:val="00B47145"/>
    <w:rsid w:val="00B4734D"/>
    <w:rsid w:val="00B47C18"/>
    <w:rsid w:val="00B47C6C"/>
    <w:rsid w:val="00B50E32"/>
    <w:rsid w:val="00B51204"/>
    <w:rsid w:val="00B51437"/>
    <w:rsid w:val="00B51A57"/>
    <w:rsid w:val="00B52E78"/>
    <w:rsid w:val="00B53672"/>
    <w:rsid w:val="00B540E6"/>
    <w:rsid w:val="00B543A4"/>
    <w:rsid w:val="00B544A0"/>
    <w:rsid w:val="00B5484C"/>
    <w:rsid w:val="00B54D1A"/>
    <w:rsid w:val="00B55521"/>
    <w:rsid w:val="00B555B3"/>
    <w:rsid w:val="00B556A8"/>
    <w:rsid w:val="00B56159"/>
    <w:rsid w:val="00B56BAE"/>
    <w:rsid w:val="00B570C0"/>
    <w:rsid w:val="00B57499"/>
    <w:rsid w:val="00B6001D"/>
    <w:rsid w:val="00B60BC3"/>
    <w:rsid w:val="00B61262"/>
    <w:rsid w:val="00B616FA"/>
    <w:rsid w:val="00B61AED"/>
    <w:rsid w:val="00B61E6F"/>
    <w:rsid w:val="00B6240F"/>
    <w:rsid w:val="00B62F21"/>
    <w:rsid w:val="00B630B5"/>
    <w:rsid w:val="00B6403D"/>
    <w:rsid w:val="00B64046"/>
    <w:rsid w:val="00B64578"/>
    <w:rsid w:val="00B653C9"/>
    <w:rsid w:val="00B65623"/>
    <w:rsid w:val="00B65746"/>
    <w:rsid w:val="00B65BE1"/>
    <w:rsid w:val="00B6783C"/>
    <w:rsid w:val="00B6784D"/>
    <w:rsid w:val="00B6798B"/>
    <w:rsid w:val="00B67B14"/>
    <w:rsid w:val="00B67BBB"/>
    <w:rsid w:val="00B67DAC"/>
    <w:rsid w:val="00B718B5"/>
    <w:rsid w:val="00B71FDC"/>
    <w:rsid w:val="00B72472"/>
    <w:rsid w:val="00B72ACF"/>
    <w:rsid w:val="00B72E4F"/>
    <w:rsid w:val="00B73105"/>
    <w:rsid w:val="00B7448B"/>
    <w:rsid w:val="00B75559"/>
    <w:rsid w:val="00B75C28"/>
    <w:rsid w:val="00B75CA4"/>
    <w:rsid w:val="00B76369"/>
    <w:rsid w:val="00B7720C"/>
    <w:rsid w:val="00B80240"/>
    <w:rsid w:val="00B83528"/>
    <w:rsid w:val="00B8354B"/>
    <w:rsid w:val="00B843DC"/>
    <w:rsid w:val="00B85EAB"/>
    <w:rsid w:val="00B866A1"/>
    <w:rsid w:val="00B86A44"/>
    <w:rsid w:val="00B86BCA"/>
    <w:rsid w:val="00B86E98"/>
    <w:rsid w:val="00B90182"/>
    <w:rsid w:val="00B9057C"/>
    <w:rsid w:val="00B9070D"/>
    <w:rsid w:val="00B90EA2"/>
    <w:rsid w:val="00B9114A"/>
    <w:rsid w:val="00B925B1"/>
    <w:rsid w:val="00B935B6"/>
    <w:rsid w:val="00B937DE"/>
    <w:rsid w:val="00B93A35"/>
    <w:rsid w:val="00B95369"/>
    <w:rsid w:val="00B956C8"/>
    <w:rsid w:val="00B9662D"/>
    <w:rsid w:val="00B972C8"/>
    <w:rsid w:val="00B97B41"/>
    <w:rsid w:val="00B97C2B"/>
    <w:rsid w:val="00B97EF6"/>
    <w:rsid w:val="00BA15B1"/>
    <w:rsid w:val="00BA3664"/>
    <w:rsid w:val="00BA38C3"/>
    <w:rsid w:val="00BA40F6"/>
    <w:rsid w:val="00BA49CA"/>
    <w:rsid w:val="00BA4DE3"/>
    <w:rsid w:val="00BA4FC8"/>
    <w:rsid w:val="00BA54A9"/>
    <w:rsid w:val="00BA5F68"/>
    <w:rsid w:val="00BA674F"/>
    <w:rsid w:val="00BA6A7A"/>
    <w:rsid w:val="00BA6EEB"/>
    <w:rsid w:val="00BA7484"/>
    <w:rsid w:val="00BB0035"/>
    <w:rsid w:val="00BB0C0B"/>
    <w:rsid w:val="00BB0DC3"/>
    <w:rsid w:val="00BB16A1"/>
    <w:rsid w:val="00BB3525"/>
    <w:rsid w:val="00BB3FF9"/>
    <w:rsid w:val="00BB44AA"/>
    <w:rsid w:val="00BB46F5"/>
    <w:rsid w:val="00BB56F3"/>
    <w:rsid w:val="00BB59EC"/>
    <w:rsid w:val="00BB5FE6"/>
    <w:rsid w:val="00BB65F9"/>
    <w:rsid w:val="00BB68A5"/>
    <w:rsid w:val="00BB69B6"/>
    <w:rsid w:val="00BB6D06"/>
    <w:rsid w:val="00BB7034"/>
    <w:rsid w:val="00BB7D32"/>
    <w:rsid w:val="00BC1636"/>
    <w:rsid w:val="00BC17D5"/>
    <w:rsid w:val="00BC1E6A"/>
    <w:rsid w:val="00BC33AF"/>
    <w:rsid w:val="00BC3497"/>
    <w:rsid w:val="00BC3823"/>
    <w:rsid w:val="00BC3984"/>
    <w:rsid w:val="00BC3FD4"/>
    <w:rsid w:val="00BC4129"/>
    <w:rsid w:val="00BC4B43"/>
    <w:rsid w:val="00BC4CA3"/>
    <w:rsid w:val="00BC6EEA"/>
    <w:rsid w:val="00BC70D8"/>
    <w:rsid w:val="00BC7401"/>
    <w:rsid w:val="00BC788D"/>
    <w:rsid w:val="00BC78B1"/>
    <w:rsid w:val="00BC7F92"/>
    <w:rsid w:val="00BD0448"/>
    <w:rsid w:val="00BD1FEC"/>
    <w:rsid w:val="00BD2382"/>
    <w:rsid w:val="00BD32D3"/>
    <w:rsid w:val="00BD3717"/>
    <w:rsid w:val="00BD3D1B"/>
    <w:rsid w:val="00BD4941"/>
    <w:rsid w:val="00BD4AD6"/>
    <w:rsid w:val="00BD503C"/>
    <w:rsid w:val="00BD510C"/>
    <w:rsid w:val="00BD57C2"/>
    <w:rsid w:val="00BD5D17"/>
    <w:rsid w:val="00BD6C16"/>
    <w:rsid w:val="00BD6ED7"/>
    <w:rsid w:val="00BD72F9"/>
    <w:rsid w:val="00BD7C48"/>
    <w:rsid w:val="00BE0392"/>
    <w:rsid w:val="00BE2707"/>
    <w:rsid w:val="00BE279E"/>
    <w:rsid w:val="00BE2ACC"/>
    <w:rsid w:val="00BE3101"/>
    <w:rsid w:val="00BE3161"/>
    <w:rsid w:val="00BE3BDD"/>
    <w:rsid w:val="00BE3DE4"/>
    <w:rsid w:val="00BE559A"/>
    <w:rsid w:val="00BE6232"/>
    <w:rsid w:val="00BE649D"/>
    <w:rsid w:val="00BE684C"/>
    <w:rsid w:val="00BE7AD7"/>
    <w:rsid w:val="00BE7DDB"/>
    <w:rsid w:val="00BE7F2E"/>
    <w:rsid w:val="00BF0B68"/>
    <w:rsid w:val="00BF25AA"/>
    <w:rsid w:val="00BF25C4"/>
    <w:rsid w:val="00BF2F54"/>
    <w:rsid w:val="00BF4632"/>
    <w:rsid w:val="00BF471C"/>
    <w:rsid w:val="00BF47FB"/>
    <w:rsid w:val="00BF4C1D"/>
    <w:rsid w:val="00BF4EBB"/>
    <w:rsid w:val="00BF50F0"/>
    <w:rsid w:val="00BF533B"/>
    <w:rsid w:val="00BF545C"/>
    <w:rsid w:val="00BF66AE"/>
    <w:rsid w:val="00BF68A8"/>
    <w:rsid w:val="00BF7661"/>
    <w:rsid w:val="00C0097D"/>
    <w:rsid w:val="00C00F34"/>
    <w:rsid w:val="00C01ED5"/>
    <w:rsid w:val="00C03477"/>
    <w:rsid w:val="00C03631"/>
    <w:rsid w:val="00C043E6"/>
    <w:rsid w:val="00C04886"/>
    <w:rsid w:val="00C055CF"/>
    <w:rsid w:val="00C06053"/>
    <w:rsid w:val="00C060B5"/>
    <w:rsid w:val="00C0741D"/>
    <w:rsid w:val="00C0777E"/>
    <w:rsid w:val="00C07D49"/>
    <w:rsid w:val="00C10055"/>
    <w:rsid w:val="00C1217E"/>
    <w:rsid w:val="00C121F9"/>
    <w:rsid w:val="00C129C8"/>
    <w:rsid w:val="00C14336"/>
    <w:rsid w:val="00C14EC4"/>
    <w:rsid w:val="00C14F2C"/>
    <w:rsid w:val="00C14FDB"/>
    <w:rsid w:val="00C15155"/>
    <w:rsid w:val="00C15A83"/>
    <w:rsid w:val="00C16A44"/>
    <w:rsid w:val="00C16AB5"/>
    <w:rsid w:val="00C16AFD"/>
    <w:rsid w:val="00C207D6"/>
    <w:rsid w:val="00C20B4B"/>
    <w:rsid w:val="00C2296B"/>
    <w:rsid w:val="00C22AD7"/>
    <w:rsid w:val="00C25CDF"/>
    <w:rsid w:val="00C32C8F"/>
    <w:rsid w:val="00C33FC0"/>
    <w:rsid w:val="00C342F2"/>
    <w:rsid w:val="00C34920"/>
    <w:rsid w:val="00C34AE6"/>
    <w:rsid w:val="00C35753"/>
    <w:rsid w:val="00C35B54"/>
    <w:rsid w:val="00C372F1"/>
    <w:rsid w:val="00C373D4"/>
    <w:rsid w:val="00C37A89"/>
    <w:rsid w:val="00C405D9"/>
    <w:rsid w:val="00C4113D"/>
    <w:rsid w:val="00C41286"/>
    <w:rsid w:val="00C41568"/>
    <w:rsid w:val="00C41A25"/>
    <w:rsid w:val="00C42E43"/>
    <w:rsid w:val="00C43AC9"/>
    <w:rsid w:val="00C44272"/>
    <w:rsid w:val="00C45C54"/>
    <w:rsid w:val="00C47371"/>
    <w:rsid w:val="00C47A1C"/>
    <w:rsid w:val="00C47D8F"/>
    <w:rsid w:val="00C514C4"/>
    <w:rsid w:val="00C51E8B"/>
    <w:rsid w:val="00C51F12"/>
    <w:rsid w:val="00C5380F"/>
    <w:rsid w:val="00C5509E"/>
    <w:rsid w:val="00C560C8"/>
    <w:rsid w:val="00C565E7"/>
    <w:rsid w:val="00C57D4D"/>
    <w:rsid w:val="00C60598"/>
    <w:rsid w:val="00C619ED"/>
    <w:rsid w:val="00C623C2"/>
    <w:rsid w:val="00C62DF5"/>
    <w:rsid w:val="00C63288"/>
    <w:rsid w:val="00C64377"/>
    <w:rsid w:val="00C6471C"/>
    <w:rsid w:val="00C64C77"/>
    <w:rsid w:val="00C67046"/>
    <w:rsid w:val="00C67D1B"/>
    <w:rsid w:val="00C702F3"/>
    <w:rsid w:val="00C704B9"/>
    <w:rsid w:val="00C70E7A"/>
    <w:rsid w:val="00C7107F"/>
    <w:rsid w:val="00C71DF6"/>
    <w:rsid w:val="00C72C8C"/>
    <w:rsid w:val="00C732AF"/>
    <w:rsid w:val="00C74243"/>
    <w:rsid w:val="00C745E2"/>
    <w:rsid w:val="00C74E0E"/>
    <w:rsid w:val="00C759C3"/>
    <w:rsid w:val="00C76107"/>
    <w:rsid w:val="00C77567"/>
    <w:rsid w:val="00C776A5"/>
    <w:rsid w:val="00C80353"/>
    <w:rsid w:val="00C810C4"/>
    <w:rsid w:val="00C81EEF"/>
    <w:rsid w:val="00C82896"/>
    <w:rsid w:val="00C82E2E"/>
    <w:rsid w:val="00C832E9"/>
    <w:rsid w:val="00C83CEC"/>
    <w:rsid w:val="00C8711B"/>
    <w:rsid w:val="00C87344"/>
    <w:rsid w:val="00C90531"/>
    <w:rsid w:val="00C90B97"/>
    <w:rsid w:val="00C90C5D"/>
    <w:rsid w:val="00C92B13"/>
    <w:rsid w:val="00C94222"/>
    <w:rsid w:val="00C95956"/>
    <w:rsid w:val="00C97513"/>
    <w:rsid w:val="00C9772A"/>
    <w:rsid w:val="00C97923"/>
    <w:rsid w:val="00C97CD2"/>
    <w:rsid w:val="00CA000B"/>
    <w:rsid w:val="00CA0306"/>
    <w:rsid w:val="00CA0662"/>
    <w:rsid w:val="00CA0BEC"/>
    <w:rsid w:val="00CA0CBD"/>
    <w:rsid w:val="00CA0E32"/>
    <w:rsid w:val="00CA12C1"/>
    <w:rsid w:val="00CA1494"/>
    <w:rsid w:val="00CA2D48"/>
    <w:rsid w:val="00CA32A0"/>
    <w:rsid w:val="00CA4D14"/>
    <w:rsid w:val="00CA4ED8"/>
    <w:rsid w:val="00CA5318"/>
    <w:rsid w:val="00CA5CCF"/>
    <w:rsid w:val="00CA6EC8"/>
    <w:rsid w:val="00CA75A1"/>
    <w:rsid w:val="00CA7B06"/>
    <w:rsid w:val="00CA7C2B"/>
    <w:rsid w:val="00CB07FA"/>
    <w:rsid w:val="00CB22E7"/>
    <w:rsid w:val="00CB2653"/>
    <w:rsid w:val="00CB2B6C"/>
    <w:rsid w:val="00CB2C80"/>
    <w:rsid w:val="00CB31C6"/>
    <w:rsid w:val="00CB47CC"/>
    <w:rsid w:val="00CB4E01"/>
    <w:rsid w:val="00CB5300"/>
    <w:rsid w:val="00CB5943"/>
    <w:rsid w:val="00CB6236"/>
    <w:rsid w:val="00CC187A"/>
    <w:rsid w:val="00CC1EFF"/>
    <w:rsid w:val="00CC34FE"/>
    <w:rsid w:val="00CC3ED0"/>
    <w:rsid w:val="00CC416E"/>
    <w:rsid w:val="00CC43E7"/>
    <w:rsid w:val="00CC4435"/>
    <w:rsid w:val="00CC4B85"/>
    <w:rsid w:val="00CC573F"/>
    <w:rsid w:val="00CC5879"/>
    <w:rsid w:val="00CC59F3"/>
    <w:rsid w:val="00CC76C1"/>
    <w:rsid w:val="00CD1481"/>
    <w:rsid w:val="00CD28F8"/>
    <w:rsid w:val="00CD3AD7"/>
    <w:rsid w:val="00CD41D3"/>
    <w:rsid w:val="00CD4D62"/>
    <w:rsid w:val="00CD58BA"/>
    <w:rsid w:val="00CD651E"/>
    <w:rsid w:val="00CD694A"/>
    <w:rsid w:val="00CD6A4E"/>
    <w:rsid w:val="00CE0AFC"/>
    <w:rsid w:val="00CE2600"/>
    <w:rsid w:val="00CE2CCB"/>
    <w:rsid w:val="00CE2CCC"/>
    <w:rsid w:val="00CE360B"/>
    <w:rsid w:val="00CE3FF7"/>
    <w:rsid w:val="00CE437A"/>
    <w:rsid w:val="00CE4629"/>
    <w:rsid w:val="00CE4ACF"/>
    <w:rsid w:val="00CE5375"/>
    <w:rsid w:val="00CE67B0"/>
    <w:rsid w:val="00CE748B"/>
    <w:rsid w:val="00CF0A53"/>
    <w:rsid w:val="00CF1597"/>
    <w:rsid w:val="00CF25B0"/>
    <w:rsid w:val="00CF26C5"/>
    <w:rsid w:val="00CF319C"/>
    <w:rsid w:val="00CF3C93"/>
    <w:rsid w:val="00CF4590"/>
    <w:rsid w:val="00CF46D9"/>
    <w:rsid w:val="00CF4971"/>
    <w:rsid w:val="00CF4F74"/>
    <w:rsid w:val="00CF54CF"/>
    <w:rsid w:val="00CF600C"/>
    <w:rsid w:val="00CF6151"/>
    <w:rsid w:val="00CF64C1"/>
    <w:rsid w:val="00CF672A"/>
    <w:rsid w:val="00CF711D"/>
    <w:rsid w:val="00CF7141"/>
    <w:rsid w:val="00D00302"/>
    <w:rsid w:val="00D01872"/>
    <w:rsid w:val="00D02552"/>
    <w:rsid w:val="00D035A6"/>
    <w:rsid w:val="00D03C08"/>
    <w:rsid w:val="00D03D92"/>
    <w:rsid w:val="00D03F15"/>
    <w:rsid w:val="00D045B2"/>
    <w:rsid w:val="00D05845"/>
    <w:rsid w:val="00D05D4B"/>
    <w:rsid w:val="00D07248"/>
    <w:rsid w:val="00D0727A"/>
    <w:rsid w:val="00D074DE"/>
    <w:rsid w:val="00D075FC"/>
    <w:rsid w:val="00D07DE5"/>
    <w:rsid w:val="00D07E1D"/>
    <w:rsid w:val="00D11626"/>
    <w:rsid w:val="00D11D62"/>
    <w:rsid w:val="00D1298A"/>
    <w:rsid w:val="00D12E24"/>
    <w:rsid w:val="00D1320D"/>
    <w:rsid w:val="00D13CAB"/>
    <w:rsid w:val="00D1427F"/>
    <w:rsid w:val="00D1499B"/>
    <w:rsid w:val="00D15490"/>
    <w:rsid w:val="00D158CE"/>
    <w:rsid w:val="00D1653E"/>
    <w:rsid w:val="00D1657D"/>
    <w:rsid w:val="00D1681C"/>
    <w:rsid w:val="00D169FE"/>
    <w:rsid w:val="00D16C6A"/>
    <w:rsid w:val="00D16E3B"/>
    <w:rsid w:val="00D17B63"/>
    <w:rsid w:val="00D20029"/>
    <w:rsid w:val="00D21740"/>
    <w:rsid w:val="00D22023"/>
    <w:rsid w:val="00D22634"/>
    <w:rsid w:val="00D22AC1"/>
    <w:rsid w:val="00D23940"/>
    <w:rsid w:val="00D23BDA"/>
    <w:rsid w:val="00D24100"/>
    <w:rsid w:val="00D2469B"/>
    <w:rsid w:val="00D24E06"/>
    <w:rsid w:val="00D251FF"/>
    <w:rsid w:val="00D25809"/>
    <w:rsid w:val="00D26043"/>
    <w:rsid w:val="00D265C7"/>
    <w:rsid w:val="00D269A4"/>
    <w:rsid w:val="00D274C2"/>
    <w:rsid w:val="00D3020D"/>
    <w:rsid w:val="00D3029A"/>
    <w:rsid w:val="00D30842"/>
    <w:rsid w:val="00D31397"/>
    <w:rsid w:val="00D31524"/>
    <w:rsid w:val="00D32438"/>
    <w:rsid w:val="00D32869"/>
    <w:rsid w:val="00D33682"/>
    <w:rsid w:val="00D33B8A"/>
    <w:rsid w:val="00D34DD6"/>
    <w:rsid w:val="00D34EFD"/>
    <w:rsid w:val="00D35213"/>
    <w:rsid w:val="00D35E1F"/>
    <w:rsid w:val="00D36AC9"/>
    <w:rsid w:val="00D36C13"/>
    <w:rsid w:val="00D36E9B"/>
    <w:rsid w:val="00D375FE"/>
    <w:rsid w:val="00D3DCF2"/>
    <w:rsid w:val="00D42E87"/>
    <w:rsid w:val="00D43065"/>
    <w:rsid w:val="00D43A44"/>
    <w:rsid w:val="00D44499"/>
    <w:rsid w:val="00D4458B"/>
    <w:rsid w:val="00D44898"/>
    <w:rsid w:val="00D44BCA"/>
    <w:rsid w:val="00D457F5"/>
    <w:rsid w:val="00D469DC"/>
    <w:rsid w:val="00D4B148"/>
    <w:rsid w:val="00D506A3"/>
    <w:rsid w:val="00D50B2C"/>
    <w:rsid w:val="00D51E14"/>
    <w:rsid w:val="00D5212A"/>
    <w:rsid w:val="00D52E77"/>
    <w:rsid w:val="00D53678"/>
    <w:rsid w:val="00D53E1A"/>
    <w:rsid w:val="00D53F5F"/>
    <w:rsid w:val="00D54618"/>
    <w:rsid w:val="00D54EE1"/>
    <w:rsid w:val="00D55690"/>
    <w:rsid w:val="00D55CF9"/>
    <w:rsid w:val="00D56554"/>
    <w:rsid w:val="00D5686A"/>
    <w:rsid w:val="00D568CB"/>
    <w:rsid w:val="00D56B4B"/>
    <w:rsid w:val="00D60EF7"/>
    <w:rsid w:val="00D623C2"/>
    <w:rsid w:val="00D628AF"/>
    <w:rsid w:val="00D65677"/>
    <w:rsid w:val="00D707E6"/>
    <w:rsid w:val="00D715A6"/>
    <w:rsid w:val="00D73B9A"/>
    <w:rsid w:val="00D73DF9"/>
    <w:rsid w:val="00D746DE"/>
    <w:rsid w:val="00D75D37"/>
    <w:rsid w:val="00D75E06"/>
    <w:rsid w:val="00D76229"/>
    <w:rsid w:val="00D769A1"/>
    <w:rsid w:val="00D806DD"/>
    <w:rsid w:val="00D80B29"/>
    <w:rsid w:val="00D81EDB"/>
    <w:rsid w:val="00D82689"/>
    <w:rsid w:val="00D8285A"/>
    <w:rsid w:val="00D82870"/>
    <w:rsid w:val="00D841A9"/>
    <w:rsid w:val="00D84B2C"/>
    <w:rsid w:val="00D85F73"/>
    <w:rsid w:val="00D87848"/>
    <w:rsid w:val="00D90457"/>
    <w:rsid w:val="00D904CF"/>
    <w:rsid w:val="00D907DD"/>
    <w:rsid w:val="00D909A0"/>
    <w:rsid w:val="00D90B7B"/>
    <w:rsid w:val="00D90D20"/>
    <w:rsid w:val="00D90D25"/>
    <w:rsid w:val="00D9129B"/>
    <w:rsid w:val="00D918A6"/>
    <w:rsid w:val="00D91CC1"/>
    <w:rsid w:val="00D93C4D"/>
    <w:rsid w:val="00D93CC9"/>
    <w:rsid w:val="00D940CA"/>
    <w:rsid w:val="00D94588"/>
    <w:rsid w:val="00D94D84"/>
    <w:rsid w:val="00D9552C"/>
    <w:rsid w:val="00D95EF2"/>
    <w:rsid w:val="00D9715C"/>
    <w:rsid w:val="00D973C1"/>
    <w:rsid w:val="00DA001C"/>
    <w:rsid w:val="00DA003F"/>
    <w:rsid w:val="00DA1F2D"/>
    <w:rsid w:val="00DA2B7C"/>
    <w:rsid w:val="00DA2D8F"/>
    <w:rsid w:val="00DA2DD5"/>
    <w:rsid w:val="00DA3F9B"/>
    <w:rsid w:val="00DA4293"/>
    <w:rsid w:val="00DA5694"/>
    <w:rsid w:val="00DA597E"/>
    <w:rsid w:val="00DA7375"/>
    <w:rsid w:val="00DA759C"/>
    <w:rsid w:val="00DB0D31"/>
    <w:rsid w:val="00DB1120"/>
    <w:rsid w:val="00DB14D0"/>
    <w:rsid w:val="00DB1519"/>
    <w:rsid w:val="00DB291F"/>
    <w:rsid w:val="00DB3755"/>
    <w:rsid w:val="00DB3DFD"/>
    <w:rsid w:val="00DB457F"/>
    <w:rsid w:val="00DB4988"/>
    <w:rsid w:val="00DB4BF0"/>
    <w:rsid w:val="00DB50A5"/>
    <w:rsid w:val="00DB5523"/>
    <w:rsid w:val="00DB61E3"/>
    <w:rsid w:val="00DB6437"/>
    <w:rsid w:val="00DB6701"/>
    <w:rsid w:val="00DB6BA9"/>
    <w:rsid w:val="00DB7368"/>
    <w:rsid w:val="00DC0139"/>
    <w:rsid w:val="00DC039A"/>
    <w:rsid w:val="00DC1344"/>
    <w:rsid w:val="00DC19DD"/>
    <w:rsid w:val="00DC2691"/>
    <w:rsid w:val="00DC294E"/>
    <w:rsid w:val="00DC2C41"/>
    <w:rsid w:val="00DC3F39"/>
    <w:rsid w:val="00DC4257"/>
    <w:rsid w:val="00DC5208"/>
    <w:rsid w:val="00DC5A10"/>
    <w:rsid w:val="00DC614D"/>
    <w:rsid w:val="00DC65FD"/>
    <w:rsid w:val="00DC66F1"/>
    <w:rsid w:val="00DC6F19"/>
    <w:rsid w:val="00DD0146"/>
    <w:rsid w:val="00DD0708"/>
    <w:rsid w:val="00DD0C6C"/>
    <w:rsid w:val="00DD0EE8"/>
    <w:rsid w:val="00DD108D"/>
    <w:rsid w:val="00DD2600"/>
    <w:rsid w:val="00DD2A0E"/>
    <w:rsid w:val="00DD3C62"/>
    <w:rsid w:val="00DD448E"/>
    <w:rsid w:val="00DD5510"/>
    <w:rsid w:val="00DD5665"/>
    <w:rsid w:val="00DD5853"/>
    <w:rsid w:val="00DD58FA"/>
    <w:rsid w:val="00DD5AA5"/>
    <w:rsid w:val="00DD5E78"/>
    <w:rsid w:val="00DD67E6"/>
    <w:rsid w:val="00DE01D3"/>
    <w:rsid w:val="00DE038D"/>
    <w:rsid w:val="00DE06DB"/>
    <w:rsid w:val="00DE134E"/>
    <w:rsid w:val="00DE15DF"/>
    <w:rsid w:val="00DE204C"/>
    <w:rsid w:val="00DE23E3"/>
    <w:rsid w:val="00DE2DAB"/>
    <w:rsid w:val="00DE37AB"/>
    <w:rsid w:val="00DE386E"/>
    <w:rsid w:val="00DE4062"/>
    <w:rsid w:val="00DE44A1"/>
    <w:rsid w:val="00DE4739"/>
    <w:rsid w:val="00DE49C7"/>
    <w:rsid w:val="00DE50C4"/>
    <w:rsid w:val="00DE6857"/>
    <w:rsid w:val="00DE7C16"/>
    <w:rsid w:val="00DE7F32"/>
    <w:rsid w:val="00DF0BD8"/>
    <w:rsid w:val="00DF2B32"/>
    <w:rsid w:val="00DF3B5B"/>
    <w:rsid w:val="00DF52A8"/>
    <w:rsid w:val="00DF5589"/>
    <w:rsid w:val="00DF5F11"/>
    <w:rsid w:val="00DF62B8"/>
    <w:rsid w:val="00DF62D7"/>
    <w:rsid w:val="00DF6587"/>
    <w:rsid w:val="00DF7288"/>
    <w:rsid w:val="00E00647"/>
    <w:rsid w:val="00E017D7"/>
    <w:rsid w:val="00E0218D"/>
    <w:rsid w:val="00E0228A"/>
    <w:rsid w:val="00E03173"/>
    <w:rsid w:val="00E036F8"/>
    <w:rsid w:val="00E03702"/>
    <w:rsid w:val="00E03EEB"/>
    <w:rsid w:val="00E041FC"/>
    <w:rsid w:val="00E04E84"/>
    <w:rsid w:val="00E06306"/>
    <w:rsid w:val="00E06C54"/>
    <w:rsid w:val="00E07A57"/>
    <w:rsid w:val="00E1037A"/>
    <w:rsid w:val="00E103E0"/>
    <w:rsid w:val="00E10B67"/>
    <w:rsid w:val="00E10D40"/>
    <w:rsid w:val="00E10DA4"/>
    <w:rsid w:val="00E10E7D"/>
    <w:rsid w:val="00E118BE"/>
    <w:rsid w:val="00E12941"/>
    <w:rsid w:val="00E130C8"/>
    <w:rsid w:val="00E13380"/>
    <w:rsid w:val="00E14AF9"/>
    <w:rsid w:val="00E153EA"/>
    <w:rsid w:val="00E1646E"/>
    <w:rsid w:val="00E167A4"/>
    <w:rsid w:val="00E16C7E"/>
    <w:rsid w:val="00E16CD5"/>
    <w:rsid w:val="00E177F4"/>
    <w:rsid w:val="00E17CCC"/>
    <w:rsid w:val="00E21CA0"/>
    <w:rsid w:val="00E21D1D"/>
    <w:rsid w:val="00E2327D"/>
    <w:rsid w:val="00E23AF1"/>
    <w:rsid w:val="00E23D37"/>
    <w:rsid w:val="00E24DE4"/>
    <w:rsid w:val="00E2584D"/>
    <w:rsid w:val="00E2592B"/>
    <w:rsid w:val="00E26A06"/>
    <w:rsid w:val="00E26A29"/>
    <w:rsid w:val="00E26C7B"/>
    <w:rsid w:val="00E26D72"/>
    <w:rsid w:val="00E27506"/>
    <w:rsid w:val="00E30247"/>
    <w:rsid w:val="00E30C95"/>
    <w:rsid w:val="00E30E41"/>
    <w:rsid w:val="00E32185"/>
    <w:rsid w:val="00E3243D"/>
    <w:rsid w:val="00E32BA0"/>
    <w:rsid w:val="00E330B1"/>
    <w:rsid w:val="00E33DBF"/>
    <w:rsid w:val="00E340B4"/>
    <w:rsid w:val="00E34294"/>
    <w:rsid w:val="00E345AB"/>
    <w:rsid w:val="00E34D22"/>
    <w:rsid w:val="00E34F57"/>
    <w:rsid w:val="00E35613"/>
    <w:rsid w:val="00E35954"/>
    <w:rsid w:val="00E35A39"/>
    <w:rsid w:val="00E35FA7"/>
    <w:rsid w:val="00E3618D"/>
    <w:rsid w:val="00E40062"/>
    <w:rsid w:val="00E40663"/>
    <w:rsid w:val="00E40BDC"/>
    <w:rsid w:val="00E41143"/>
    <w:rsid w:val="00E411DB"/>
    <w:rsid w:val="00E41608"/>
    <w:rsid w:val="00E41A58"/>
    <w:rsid w:val="00E41B71"/>
    <w:rsid w:val="00E41D9A"/>
    <w:rsid w:val="00E42543"/>
    <w:rsid w:val="00E42830"/>
    <w:rsid w:val="00E4283D"/>
    <w:rsid w:val="00E44B80"/>
    <w:rsid w:val="00E44C2A"/>
    <w:rsid w:val="00E44FAB"/>
    <w:rsid w:val="00E4530C"/>
    <w:rsid w:val="00E45D11"/>
    <w:rsid w:val="00E461B6"/>
    <w:rsid w:val="00E46921"/>
    <w:rsid w:val="00E46D43"/>
    <w:rsid w:val="00E46E05"/>
    <w:rsid w:val="00E47967"/>
    <w:rsid w:val="00E47D88"/>
    <w:rsid w:val="00E51FFD"/>
    <w:rsid w:val="00E523EE"/>
    <w:rsid w:val="00E52C89"/>
    <w:rsid w:val="00E53088"/>
    <w:rsid w:val="00E534D9"/>
    <w:rsid w:val="00E54623"/>
    <w:rsid w:val="00E55280"/>
    <w:rsid w:val="00E55F65"/>
    <w:rsid w:val="00E56407"/>
    <w:rsid w:val="00E56FB1"/>
    <w:rsid w:val="00E572B5"/>
    <w:rsid w:val="00E57D58"/>
    <w:rsid w:val="00E60FFE"/>
    <w:rsid w:val="00E618D0"/>
    <w:rsid w:val="00E62FE8"/>
    <w:rsid w:val="00E63AAE"/>
    <w:rsid w:val="00E63EE4"/>
    <w:rsid w:val="00E65E17"/>
    <w:rsid w:val="00E66B84"/>
    <w:rsid w:val="00E67B2A"/>
    <w:rsid w:val="00E723A4"/>
    <w:rsid w:val="00E724E1"/>
    <w:rsid w:val="00E7260B"/>
    <w:rsid w:val="00E72E80"/>
    <w:rsid w:val="00E73E20"/>
    <w:rsid w:val="00E74B1E"/>
    <w:rsid w:val="00E7538C"/>
    <w:rsid w:val="00E7545E"/>
    <w:rsid w:val="00E75C34"/>
    <w:rsid w:val="00E7735B"/>
    <w:rsid w:val="00E77C75"/>
    <w:rsid w:val="00E77E55"/>
    <w:rsid w:val="00E814A9"/>
    <w:rsid w:val="00E81C9D"/>
    <w:rsid w:val="00E83270"/>
    <w:rsid w:val="00E83B4D"/>
    <w:rsid w:val="00E83E56"/>
    <w:rsid w:val="00E84452"/>
    <w:rsid w:val="00E84EAC"/>
    <w:rsid w:val="00E85E46"/>
    <w:rsid w:val="00E86E5D"/>
    <w:rsid w:val="00E872D3"/>
    <w:rsid w:val="00E875A5"/>
    <w:rsid w:val="00E87AD8"/>
    <w:rsid w:val="00E87F72"/>
    <w:rsid w:val="00E90025"/>
    <w:rsid w:val="00E90223"/>
    <w:rsid w:val="00E903A0"/>
    <w:rsid w:val="00E909FD"/>
    <w:rsid w:val="00E90DEE"/>
    <w:rsid w:val="00E9226B"/>
    <w:rsid w:val="00E928F4"/>
    <w:rsid w:val="00E92D14"/>
    <w:rsid w:val="00E92D7C"/>
    <w:rsid w:val="00E944AE"/>
    <w:rsid w:val="00E969BF"/>
    <w:rsid w:val="00E9753E"/>
    <w:rsid w:val="00E979D2"/>
    <w:rsid w:val="00E97DD0"/>
    <w:rsid w:val="00E97E3B"/>
    <w:rsid w:val="00EA0A36"/>
    <w:rsid w:val="00EA0AE5"/>
    <w:rsid w:val="00EA137B"/>
    <w:rsid w:val="00EA1FA3"/>
    <w:rsid w:val="00EA2113"/>
    <w:rsid w:val="00EA2BBD"/>
    <w:rsid w:val="00EA3314"/>
    <w:rsid w:val="00EA4715"/>
    <w:rsid w:val="00EA4889"/>
    <w:rsid w:val="00EA72FB"/>
    <w:rsid w:val="00EA7367"/>
    <w:rsid w:val="00EA7B2A"/>
    <w:rsid w:val="00EA7C8C"/>
    <w:rsid w:val="00EA7FD8"/>
    <w:rsid w:val="00EB0011"/>
    <w:rsid w:val="00EB06B4"/>
    <w:rsid w:val="00EB0AF2"/>
    <w:rsid w:val="00EB0DEC"/>
    <w:rsid w:val="00EB1225"/>
    <w:rsid w:val="00EB1EE7"/>
    <w:rsid w:val="00EB28A3"/>
    <w:rsid w:val="00EB36B9"/>
    <w:rsid w:val="00EB3BCA"/>
    <w:rsid w:val="00EB3C86"/>
    <w:rsid w:val="00EB4009"/>
    <w:rsid w:val="00EB40E9"/>
    <w:rsid w:val="00EB48D2"/>
    <w:rsid w:val="00EB5334"/>
    <w:rsid w:val="00EB602D"/>
    <w:rsid w:val="00EB6357"/>
    <w:rsid w:val="00EC07EC"/>
    <w:rsid w:val="00EC0DCA"/>
    <w:rsid w:val="00EC25EB"/>
    <w:rsid w:val="00EC3A83"/>
    <w:rsid w:val="00EC3C48"/>
    <w:rsid w:val="00EC67BF"/>
    <w:rsid w:val="00EC6A9A"/>
    <w:rsid w:val="00ED10C3"/>
    <w:rsid w:val="00ED1196"/>
    <w:rsid w:val="00ED14CE"/>
    <w:rsid w:val="00ED1FC9"/>
    <w:rsid w:val="00ED23A1"/>
    <w:rsid w:val="00ED2D41"/>
    <w:rsid w:val="00ED3E05"/>
    <w:rsid w:val="00ED3E30"/>
    <w:rsid w:val="00ED409D"/>
    <w:rsid w:val="00ED49A4"/>
    <w:rsid w:val="00ED4AD8"/>
    <w:rsid w:val="00ED5DB3"/>
    <w:rsid w:val="00ED62D1"/>
    <w:rsid w:val="00ED7068"/>
    <w:rsid w:val="00ED73C9"/>
    <w:rsid w:val="00ED78FF"/>
    <w:rsid w:val="00EE0221"/>
    <w:rsid w:val="00EE2954"/>
    <w:rsid w:val="00EE4B60"/>
    <w:rsid w:val="00EE635A"/>
    <w:rsid w:val="00EE6FCF"/>
    <w:rsid w:val="00EE7516"/>
    <w:rsid w:val="00EE7FF0"/>
    <w:rsid w:val="00EF0AF4"/>
    <w:rsid w:val="00EF0BE6"/>
    <w:rsid w:val="00EF0F93"/>
    <w:rsid w:val="00EF17BA"/>
    <w:rsid w:val="00EF220C"/>
    <w:rsid w:val="00EF222B"/>
    <w:rsid w:val="00EF29D3"/>
    <w:rsid w:val="00EF2E7B"/>
    <w:rsid w:val="00EF30F4"/>
    <w:rsid w:val="00EF3814"/>
    <w:rsid w:val="00EF4BD1"/>
    <w:rsid w:val="00EF4E83"/>
    <w:rsid w:val="00EF5635"/>
    <w:rsid w:val="00EF5D92"/>
    <w:rsid w:val="00EF60BB"/>
    <w:rsid w:val="00EF6B03"/>
    <w:rsid w:val="00EF7130"/>
    <w:rsid w:val="00EF7538"/>
    <w:rsid w:val="00EF778B"/>
    <w:rsid w:val="00F002F1"/>
    <w:rsid w:val="00F00616"/>
    <w:rsid w:val="00F00808"/>
    <w:rsid w:val="00F011EF"/>
    <w:rsid w:val="00F01702"/>
    <w:rsid w:val="00F018D1"/>
    <w:rsid w:val="00F02A32"/>
    <w:rsid w:val="00F044FD"/>
    <w:rsid w:val="00F04C7A"/>
    <w:rsid w:val="00F04DB7"/>
    <w:rsid w:val="00F05BA8"/>
    <w:rsid w:val="00F05C44"/>
    <w:rsid w:val="00F05EFA"/>
    <w:rsid w:val="00F063AA"/>
    <w:rsid w:val="00F066A8"/>
    <w:rsid w:val="00F07374"/>
    <w:rsid w:val="00F11525"/>
    <w:rsid w:val="00F119B8"/>
    <w:rsid w:val="00F12B82"/>
    <w:rsid w:val="00F1307A"/>
    <w:rsid w:val="00F1342E"/>
    <w:rsid w:val="00F140ED"/>
    <w:rsid w:val="00F15FB3"/>
    <w:rsid w:val="00F16A6B"/>
    <w:rsid w:val="00F17412"/>
    <w:rsid w:val="00F22B26"/>
    <w:rsid w:val="00F23219"/>
    <w:rsid w:val="00F23D3E"/>
    <w:rsid w:val="00F24605"/>
    <w:rsid w:val="00F25A4B"/>
    <w:rsid w:val="00F25E41"/>
    <w:rsid w:val="00F2633E"/>
    <w:rsid w:val="00F27886"/>
    <w:rsid w:val="00F3089C"/>
    <w:rsid w:val="00F3151E"/>
    <w:rsid w:val="00F31B85"/>
    <w:rsid w:val="00F3206D"/>
    <w:rsid w:val="00F32C2E"/>
    <w:rsid w:val="00F332C8"/>
    <w:rsid w:val="00F3697D"/>
    <w:rsid w:val="00F371B8"/>
    <w:rsid w:val="00F3743D"/>
    <w:rsid w:val="00F40701"/>
    <w:rsid w:val="00F41C0E"/>
    <w:rsid w:val="00F4356E"/>
    <w:rsid w:val="00F4439E"/>
    <w:rsid w:val="00F44682"/>
    <w:rsid w:val="00F44F84"/>
    <w:rsid w:val="00F44F89"/>
    <w:rsid w:val="00F457EE"/>
    <w:rsid w:val="00F46050"/>
    <w:rsid w:val="00F465F1"/>
    <w:rsid w:val="00F46FB5"/>
    <w:rsid w:val="00F50AE7"/>
    <w:rsid w:val="00F51113"/>
    <w:rsid w:val="00F51D48"/>
    <w:rsid w:val="00F5318F"/>
    <w:rsid w:val="00F541D0"/>
    <w:rsid w:val="00F54637"/>
    <w:rsid w:val="00F54878"/>
    <w:rsid w:val="00F55651"/>
    <w:rsid w:val="00F557AD"/>
    <w:rsid w:val="00F55C82"/>
    <w:rsid w:val="00F5643D"/>
    <w:rsid w:val="00F56564"/>
    <w:rsid w:val="00F56F27"/>
    <w:rsid w:val="00F57B0E"/>
    <w:rsid w:val="00F57DE1"/>
    <w:rsid w:val="00F60D31"/>
    <w:rsid w:val="00F631DC"/>
    <w:rsid w:val="00F63365"/>
    <w:rsid w:val="00F6358E"/>
    <w:rsid w:val="00F63769"/>
    <w:rsid w:val="00F63DAC"/>
    <w:rsid w:val="00F63E08"/>
    <w:rsid w:val="00F64A7A"/>
    <w:rsid w:val="00F658A3"/>
    <w:rsid w:val="00F660EB"/>
    <w:rsid w:val="00F66D20"/>
    <w:rsid w:val="00F66EDE"/>
    <w:rsid w:val="00F67C1B"/>
    <w:rsid w:val="00F717D6"/>
    <w:rsid w:val="00F71C51"/>
    <w:rsid w:val="00F71E34"/>
    <w:rsid w:val="00F72265"/>
    <w:rsid w:val="00F7265C"/>
    <w:rsid w:val="00F7304E"/>
    <w:rsid w:val="00F73EEA"/>
    <w:rsid w:val="00F75079"/>
    <w:rsid w:val="00F764C7"/>
    <w:rsid w:val="00F76E03"/>
    <w:rsid w:val="00F77419"/>
    <w:rsid w:val="00F7756B"/>
    <w:rsid w:val="00F77889"/>
    <w:rsid w:val="00F77D66"/>
    <w:rsid w:val="00F80B95"/>
    <w:rsid w:val="00F81201"/>
    <w:rsid w:val="00F818F2"/>
    <w:rsid w:val="00F8284C"/>
    <w:rsid w:val="00F833AD"/>
    <w:rsid w:val="00F837C9"/>
    <w:rsid w:val="00F84423"/>
    <w:rsid w:val="00F84BC1"/>
    <w:rsid w:val="00F84D01"/>
    <w:rsid w:val="00F86089"/>
    <w:rsid w:val="00F86929"/>
    <w:rsid w:val="00F86EFF"/>
    <w:rsid w:val="00F901F5"/>
    <w:rsid w:val="00F911FE"/>
    <w:rsid w:val="00F93D6D"/>
    <w:rsid w:val="00F94194"/>
    <w:rsid w:val="00F97276"/>
    <w:rsid w:val="00F97A64"/>
    <w:rsid w:val="00FA0268"/>
    <w:rsid w:val="00FA1548"/>
    <w:rsid w:val="00FA22EF"/>
    <w:rsid w:val="00FA2603"/>
    <w:rsid w:val="00FA27DD"/>
    <w:rsid w:val="00FA2C0D"/>
    <w:rsid w:val="00FA2CB4"/>
    <w:rsid w:val="00FA31A4"/>
    <w:rsid w:val="00FA3884"/>
    <w:rsid w:val="00FA4035"/>
    <w:rsid w:val="00FA4245"/>
    <w:rsid w:val="00FA42FC"/>
    <w:rsid w:val="00FA453D"/>
    <w:rsid w:val="00FA4CC3"/>
    <w:rsid w:val="00FA4D68"/>
    <w:rsid w:val="00FA54FF"/>
    <w:rsid w:val="00FA59D4"/>
    <w:rsid w:val="00FA647E"/>
    <w:rsid w:val="00FA6B30"/>
    <w:rsid w:val="00FA7C05"/>
    <w:rsid w:val="00FB1464"/>
    <w:rsid w:val="00FB274C"/>
    <w:rsid w:val="00FB3AE2"/>
    <w:rsid w:val="00FB3C14"/>
    <w:rsid w:val="00FB4427"/>
    <w:rsid w:val="00FB444F"/>
    <w:rsid w:val="00FB521D"/>
    <w:rsid w:val="00FB55E6"/>
    <w:rsid w:val="00FB5A41"/>
    <w:rsid w:val="00FB6768"/>
    <w:rsid w:val="00FB67AA"/>
    <w:rsid w:val="00FB79F7"/>
    <w:rsid w:val="00FC02AE"/>
    <w:rsid w:val="00FC1C46"/>
    <w:rsid w:val="00FC2D05"/>
    <w:rsid w:val="00FC426A"/>
    <w:rsid w:val="00FC4580"/>
    <w:rsid w:val="00FC4C9C"/>
    <w:rsid w:val="00FC4D62"/>
    <w:rsid w:val="00FC4D6E"/>
    <w:rsid w:val="00FC61AA"/>
    <w:rsid w:val="00FC6C05"/>
    <w:rsid w:val="00FC70F3"/>
    <w:rsid w:val="00FC717E"/>
    <w:rsid w:val="00FC7ACF"/>
    <w:rsid w:val="00FD181D"/>
    <w:rsid w:val="00FD1F50"/>
    <w:rsid w:val="00FD2918"/>
    <w:rsid w:val="00FD2D2A"/>
    <w:rsid w:val="00FD3F28"/>
    <w:rsid w:val="00FD4F8C"/>
    <w:rsid w:val="00FD5AD9"/>
    <w:rsid w:val="00FD67E5"/>
    <w:rsid w:val="00FD79B0"/>
    <w:rsid w:val="00FD7CC4"/>
    <w:rsid w:val="00FE04CF"/>
    <w:rsid w:val="00FE0EDD"/>
    <w:rsid w:val="00FE2177"/>
    <w:rsid w:val="00FE2AE6"/>
    <w:rsid w:val="00FE39C8"/>
    <w:rsid w:val="00FE42B6"/>
    <w:rsid w:val="00FE5240"/>
    <w:rsid w:val="00FE7A56"/>
    <w:rsid w:val="00FE7CE8"/>
    <w:rsid w:val="00FF162D"/>
    <w:rsid w:val="00FF1AFF"/>
    <w:rsid w:val="00FF2091"/>
    <w:rsid w:val="00FF2D3D"/>
    <w:rsid w:val="00FF4E92"/>
    <w:rsid w:val="00FF5E93"/>
    <w:rsid w:val="00FF78F3"/>
    <w:rsid w:val="0215D7FD"/>
    <w:rsid w:val="0265397C"/>
    <w:rsid w:val="02DB45EC"/>
    <w:rsid w:val="03297DBE"/>
    <w:rsid w:val="03B36DC8"/>
    <w:rsid w:val="04603CE5"/>
    <w:rsid w:val="053DA122"/>
    <w:rsid w:val="05A86313"/>
    <w:rsid w:val="05F89499"/>
    <w:rsid w:val="0753A4F8"/>
    <w:rsid w:val="085CB5B4"/>
    <w:rsid w:val="08D31645"/>
    <w:rsid w:val="09C1A032"/>
    <w:rsid w:val="0A4B39B6"/>
    <w:rsid w:val="0A5B0A90"/>
    <w:rsid w:val="0B0B38C3"/>
    <w:rsid w:val="0B1695C1"/>
    <w:rsid w:val="0BFC9302"/>
    <w:rsid w:val="0D3742A1"/>
    <w:rsid w:val="0D3B39E0"/>
    <w:rsid w:val="0E15D1F9"/>
    <w:rsid w:val="0E630437"/>
    <w:rsid w:val="0FE1C91F"/>
    <w:rsid w:val="10A32F1C"/>
    <w:rsid w:val="11F02E14"/>
    <w:rsid w:val="1224C090"/>
    <w:rsid w:val="1360FE93"/>
    <w:rsid w:val="139150C5"/>
    <w:rsid w:val="14BAFED5"/>
    <w:rsid w:val="1685DF7D"/>
    <w:rsid w:val="17610444"/>
    <w:rsid w:val="17655FE9"/>
    <w:rsid w:val="1992E1E3"/>
    <w:rsid w:val="19A494B2"/>
    <w:rsid w:val="19BEA870"/>
    <w:rsid w:val="1A583DC0"/>
    <w:rsid w:val="1BFE59E4"/>
    <w:rsid w:val="1C3C10AF"/>
    <w:rsid w:val="1CC85AB2"/>
    <w:rsid w:val="1F7C62A7"/>
    <w:rsid w:val="20846366"/>
    <w:rsid w:val="20912F29"/>
    <w:rsid w:val="209A02C6"/>
    <w:rsid w:val="20E84B6C"/>
    <w:rsid w:val="23B50083"/>
    <w:rsid w:val="245431BC"/>
    <w:rsid w:val="267D30A8"/>
    <w:rsid w:val="27C9B0EF"/>
    <w:rsid w:val="281156C3"/>
    <w:rsid w:val="28787117"/>
    <w:rsid w:val="28C5DDCA"/>
    <w:rsid w:val="28D49551"/>
    <w:rsid w:val="2A369011"/>
    <w:rsid w:val="2A9543D2"/>
    <w:rsid w:val="2B38343D"/>
    <w:rsid w:val="2B7347FC"/>
    <w:rsid w:val="2C1E825E"/>
    <w:rsid w:val="2D4DE6CA"/>
    <w:rsid w:val="2E1EDED8"/>
    <w:rsid w:val="2E78EC92"/>
    <w:rsid w:val="2F5AD319"/>
    <w:rsid w:val="2FC51DB5"/>
    <w:rsid w:val="30F6C4B8"/>
    <w:rsid w:val="325195AD"/>
    <w:rsid w:val="32C66EF5"/>
    <w:rsid w:val="32D4CE54"/>
    <w:rsid w:val="3505D660"/>
    <w:rsid w:val="35EE3883"/>
    <w:rsid w:val="3611E024"/>
    <w:rsid w:val="368E120F"/>
    <w:rsid w:val="37480651"/>
    <w:rsid w:val="3782F18C"/>
    <w:rsid w:val="38883DEF"/>
    <w:rsid w:val="39461D6B"/>
    <w:rsid w:val="3BA4F4CA"/>
    <w:rsid w:val="3C5FA694"/>
    <w:rsid w:val="3C8E31D3"/>
    <w:rsid w:val="3D9E894B"/>
    <w:rsid w:val="3E34A8B2"/>
    <w:rsid w:val="3EC395E5"/>
    <w:rsid w:val="3EF8B4A1"/>
    <w:rsid w:val="3F6432DE"/>
    <w:rsid w:val="3F98FE1E"/>
    <w:rsid w:val="4051CDC5"/>
    <w:rsid w:val="4096384B"/>
    <w:rsid w:val="40ABCD1A"/>
    <w:rsid w:val="40EC880B"/>
    <w:rsid w:val="4104C19C"/>
    <w:rsid w:val="4128B82C"/>
    <w:rsid w:val="429A2FD5"/>
    <w:rsid w:val="4396669C"/>
    <w:rsid w:val="439EA19B"/>
    <w:rsid w:val="44F72AE4"/>
    <w:rsid w:val="46B0DC90"/>
    <w:rsid w:val="47667F77"/>
    <w:rsid w:val="47852805"/>
    <w:rsid w:val="47B77404"/>
    <w:rsid w:val="4852A88A"/>
    <w:rsid w:val="48986C55"/>
    <w:rsid w:val="49410752"/>
    <w:rsid w:val="496615D1"/>
    <w:rsid w:val="4984497F"/>
    <w:rsid w:val="49D52E8C"/>
    <w:rsid w:val="4A83D30B"/>
    <w:rsid w:val="4B070F7B"/>
    <w:rsid w:val="4B1A8E1E"/>
    <w:rsid w:val="4C709849"/>
    <w:rsid w:val="4D60A748"/>
    <w:rsid w:val="4D772E22"/>
    <w:rsid w:val="4DB01A70"/>
    <w:rsid w:val="4DE402E5"/>
    <w:rsid w:val="4E4BB80C"/>
    <w:rsid w:val="509D7DAD"/>
    <w:rsid w:val="50CD3B84"/>
    <w:rsid w:val="514F21AE"/>
    <w:rsid w:val="539BC0EB"/>
    <w:rsid w:val="54ED09E9"/>
    <w:rsid w:val="552308BA"/>
    <w:rsid w:val="57CE0AA4"/>
    <w:rsid w:val="57E45A5A"/>
    <w:rsid w:val="57FBAEE3"/>
    <w:rsid w:val="585199C0"/>
    <w:rsid w:val="58C53D5D"/>
    <w:rsid w:val="58FFCF07"/>
    <w:rsid w:val="590113CC"/>
    <w:rsid w:val="595DB93F"/>
    <w:rsid w:val="5ACD0E48"/>
    <w:rsid w:val="5BB48F80"/>
    <w:rsid w:val="5CB7B3D6"/>
    <w:rsid w:val="5D2251DA"/>
    <w:rsid w:val="5F4160E7"/>
    <w:rsid w:val="5FA0EF54"/>
    <w:rsid w:val="6069E743"/>
    <w:rsid w:val="61155DDA"/>
    <w:rsid w:val="6146508B"/>
    <w:rsid w:val="61AFC5C2"/>
    <w:rsid w:val="61D429C5"/>
    <w:rsid w:val="61EAA203"/>
    <w:rsid w:val="62FBD4BD"/>
    <w:rsid w:val="6308A7B4"/>
    <w:rsid w:val="63283FD3"/>
    <w:rsid w:val="632CD1AA"/>
    <w:rsid w:val="64010D76"/>
    <w:rsid w:val="65657A90"/>
    <w:rsid w:val="66415805"/>
    <w:rsid w:val="66969996"/>
    <w:rsid w:val="673C5BDA"/>
    <w:rsid w:val="68580688"/>
    <w:rsid w:val="68DB45B6"/>
    <w:rsid w:val="690D9899"/>
    <w:rsid w:val="6987F9E6"/>
    <w:rsid w:val="6A2F015D"/>
    <w:rsid w:val="6AD28AAB"/>
    <w:rsid w:val="6C43D449"/>
    <w:rsid w:val="6CF45198"/>
    <w:rsid w:val="6D4215DF"/>
    <w:rsid w:val="6E68BA58"/>
    <w:rsid w:val="6FBB5BE9"/>
    <w:rsid w:val="706CD052"/>
    <w:rsid w:val="70D60214"/>
    <w:rsid w:val="71415C0A"/>
    <w:rsid w:val="74413859"/>
    <w:rsid w:val="749925C0"/>
    <w:rsid w:val="74C26D39"/>
    <w:rsid w:val="74F79E51"/>
    <w:rsid w:val="751CA76C"/>
    <w:rsid w:val="75987E4D"/>
    <w:rsid w:val="763A4D2F"/>
    <w:rsid w:val="76E09267"/>
    <w:rsid w:val="77013330"/>
    <w:rsid w:val="77B37127"/>
    <w:rsid w:val="77BB46D2"/>
    <w:rsid w:val="77DC10F4"/>
    <w:rsid w:val="78436505"/>
    <w:rsid w:val="788AAC5D"/>
    <w:rsid w:val="7992F7BC"/>
    <w:rsid w:val="79B1BF74"/>
    <w:rsid w:val="7A43A938"/>
    <w:rsid w:val="7B7BADFD"/>
    <w:rsid w:val="7C086C81"/>
    <w:rsid w:val="7D5CC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C7AF3"/>
  <w15:docId w15:val="{EF029B5F-64A1-4223-9372-EDBD3B56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37480651"/>
    <w:pPr>
      <w:spacing w:after="177"/>
      <w:ind w:left="10" w:hanging="10"/>
    </w:pPr>
    <w:rPr>
      <w:rFonts w:ascii="Arial" w:eastAsia="Arial" w:hAnsi="Arial"/>
      <w:noProof/>
      <w:color w:val="000000" w:themeColor="text1"/>
      <w:sz w:val="20"/>
      <w:szCs w:val="20"/>
      <w:lang w:val="en-GB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4" w:line="259" w:lineRule="auto"/>
      <w:ind w:right="3"/>
      <w:jc w:val="center"/>
      <w:outlineLvl w:val="0"/>
    </w:pPr>
    <w:rPr>
      <w:rFonts w:ascii="Arial" w:eastAsia="Arial" w:hAnsi="Arial" w:cs="Arial"/>
      <w:b/>
      <w:color w:val="009CDE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9CDE"/>
      <w:sz w:val="20"/>
    </w:rPr>
  </w:style>
  <w:style w:type="paragraph" w:styleId="Poprawka">
    <w:name w:val="Revision"/>
    <w:hidden/>
    <w:uiPriority w:val="99"/>
    <w:semiHidden/>
    <w:rsid w:val="009E013E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1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3748065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1AA"/>
    <w:rPr>
      <w:rFonts w:ascii="Arial" w:eastAsia="Arial" w:hAnsi="Arial"/>
      <w:noProof/>
      <w:color w:val="000000" w:themeColor="text1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1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1AA"/>
    <w:rPr>
      <w:rFonts w:ascii="Arial" w:eastAsia="Arial" w:hAnsi="Arial" w:cs="Arial"/>
      <w:b/>
      <w:bCs/>
      <w:noProof/>
      <w:color w:val="000000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semiHidden/>
    <w:unhideWhenUsed/>
    <w:rsid w:val="37480651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29B3"/>
    <w:rPr>
      <w:rFonts w:ascii="Arial" w:eastAsia="Arial" w:hAnsi="Arial"/>
      <w:noProof/>
      <w:color w:val="000000" w:themeColor="text1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37480651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E29B3"/>
    <w:rPr>
      <w:rFonts w:ascii="Arial" w:eastAsia="Arial" w:hAnsi="Arial"/>
      <w:noProof/>
      <w:color w:val="000000" w:themeColor="text1"/>
      <w:sz w:val="20"/>
      <w:szCs w:val="20"/>
      <w:lang w:val="en-GB"/>
    </w:rPr>
  </w:style>
  <w:style w:type="paragraph" w:customStyle="1" w:styleId="ParagraphNumbering">
    <w:name w:val="Paragraph Numbering"/>
    <w:basedOn w:val="Normalny"/>
    <w:link w:val="ParagraphNumberingChar"/>
    <w:uiPriority w:val="1"/>
    <w:qFormat/>
    <w:rsid w:val="673C5BDA"/>
    <w:pPr>
      <w:numPr>
        <w:numId w:val="3"/>
      </w:numPr>
      <w:spacing w:after="240" w:line="300" w:lineRule="exact"/>
    </w:pPr>
    <w:rPr>
      <w:rFonts w:ascii="Segoe UI" w:eastAsia="MS Mincho" w:hAnsi="Segoe UI" w:cs="Times New Roman"/>
      <w:color w:val="auto"/>
      <w:sz w:val="21"/>
      <w:szCs w:val="21"/>
      <w:lang w:val="en-US" w:eastAsia="en-US"/>
    </w:rPr>
  </w:style>
  <w:style w:type="character" w:customStyle="1" w:styleId="ParagraphNumberingChar">
    <w:name w:val="Paragraph Numbering Char"/>
    <w:basedOn w:val="Domylnaczcionkaakapitu"/>
    <w:link w:val="ParagraphNumbering"/>
    <w:uiPriority w:val="1"/>
    <w:qFormat/>
    <w:locked/>
    <w:rsid w:val="00B134A4"/>
    <w:rPr>
      <w:rFonts w:ascii="Segoe UI" w:eastAsia="MS Mincho" w:hAnsi="Segoe UI" w:cs="Times New Roman"/>
      <w:noProof/>
      <w:sz w:val="21"/>
      <w:szCs w:val="21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B122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apunktowana">
    <w:name w:val="List Bullet"/>
    <w:basedOn w:val="Normalny"/>
    <w:uiPriority w:val="5"/>
    <w:unhideWhenUsed/>
    <w:qFormat/>
    <w:rsid w:val="00556B41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7C08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2A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A00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870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mf.org/external/pubs/ft/aa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ADDAB9079034AB6F63B580C5B620A" ma:contentTypeVersion="19" ma:contentTypeDescription="Create a new document." ma:contentTypeScope="" ma:versionID="890a9690a90dfba937372ff1a39a5bca">
  <xsd:schema xmlns:xsd="http://www.w3.org/2001/XMLSchema" xmlns:xs="http://www.w3.org/2001/XMLSchema" xmlns:p="http://schemas.microsoft.com/office/2006/metadata/properties" xmlns:ns2="6123d145-15f9-4533-b283-f26f35aed326" xmlns:ns3="f0ffe985-48b2-46b4-8cc5-936a3a86543b" targetNamespace="http://schemas.microsoft.com/office/2006/metadata/properties" ma:root="true" ma:fieldsID="3ccaf0ba668b584eb47fdfa9532c4768" ns2:_="" ns3:_="">
    <xsd:import namespace="6123d145-15f9-4533-b283-f26f35aed326"/>
    <xsd:import namespace="f0ffe985-48b2-46b4-8cc5-936a3a865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d145-15f9-4533-b283-f26f35aed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b0229-19ef-4425-8520-9f00e8db6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e985-48b2-46b4-8cc5-936a3a865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818b5f-7675-4026-9bba-4b6b01ccb309}" ma:internalName="TaxCatchAll" ma:showField="CatchAllData" ma:web="f0ffe985-48b2-46b4-8cc5-936a3a865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fe985-48b2-46b4-8cc5-936a3a86543b" xsi:nil="true"/>
    <Notes xmlns="6123d145-15f9-4533-b283-f26f35aed326" xsi:nil="true"/>
    <lcf76f155ced4ddcb4097134ff3c332f xmlns="6123d145-15f9-4533-b283-f26f35aed3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BD7D9-3782-48DC-B522-AECF25598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8E248-3D4F-4CDD-A7B7-E961E01B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3d145-15f9-4533-b283-f26f35aed326"/>
    <ds:schemaRef ds:uri="f0ffe985-48b2-46b4-8cc5-936a3a865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C8494-DD48-4C57-B108-FA9DE19CC6B0}">
  <ds:schemaRefs>
    <ds:schemaRef ds:uri="http://schemas.microsoft.com/office/2006/metadata/properties"/>
    <ds:schemaRef ds:uri="http://schemas.microsoft.com/office/infopath/2007/PartnerControls"/>
    <ds:schemaRef ds:uri="f0ffe985-48b2-46b4-8cc5-936a3a86543b"/>
    <ds:schemaRef ds:uri="6123d145-15f9-4533-b283-f26f35aed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2965</Words>
  <Characters>17792</Characters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20716</CharactersWithSpaces>
  <SharedDoc>false</SharedDoc>
  <HLinks>
    <vt:vector size="12" baseType="variant"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https://www.imf.org/external/pubs/ft/aa/index.htm</vt:lpwstr>
      </vt:variant>
      <vt:variant>
        <vt:lpwstr/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https://www.imf.org/external/pubs/ft/aa/index.htm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Polska: Oświadczenie Końcowe Misji z Artykułu IV w 2025 r.</dc:title>
  <dc:subject/>
  <dc:creator>Ministerstwo Finansów</dc:creator>
  <cp:keywords/>
  <cp:lastPrinted>2025-11-21T10:28:00Z</cp:lastPrinted>
  <dcterms:created xsi:type="dcterms:W3CDTF">2025-11-24T12:43:00Z</dcterms:created>
  <dcterms:modified xsi:type="dcterms:W3CDTF">2025-11-24T14:18:00Z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2024-10-17T10:58:00Z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9e8fe5a6-279b-4cfe-b0ec-beb5624b9498</vt:lpwstr>
  </property>
  <property fmtid="{D5CDD505-2E9C-101B-9397-08002B2CF9AE}" pid="8" name="MSIP_Label_0c07ed86-5dc5-4593-ad03-a8684b843815_ContentBits">
    <vt:lpwstr>0</vt:lpwstr>
  </property>
  <property fmtid="{D5CDD505-2E9C-101B-9397-08002B2CF9AE}" pid="9" name="ContentTypeId">
    <vt:lpwstr>0x010100D2AADDAB9079034AB6F63B580C5B620A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MFCATEGORY">
    <vt:lpwstr>InformacjePubliczneInformacjeSektoraPublicznego</vt:lpwstr>
  </property>
  <property fmtid="{D5CDD505-2E9C-101B-9397-08002B2CF9AE}" pid="13" name="MFClassifiedBy">
    <vt:lpwstr>UxC4dwLulzfINJ8nQH+xvX5LNGipWa4BRSZhPgxsCvk5ILxIt08Uf756Lgqqy1wyv2CrjBAwF1iBtpXsBIIolw==</vt:lpwstr>
  </property>
  <property fmtid="{D5CDD505-2E9C-101B-9397-08002B2CF9AE}" pid="14" name="MFClassificationDate">
    <vt:lpwstr>2025-11-24T13:42:15.3405901+01:00</vt:lpwstr>
  </property>
  <property fmtid="{D5CDD505-2E9C-101B-9397-08002B2CF9AE}" pid="15" name="MFClassifiedBySID">
    <vt:lpwstr>UxC4dwLulzfINJ8nQH+xvX5LNGipWa4BRSZhPgxsCvm42mrIC/DSDv0ggS+FjUN/2v1BBotkLlY5aAiEhoi6uayMXOM0HIGHlDTnogzA92IT5hQsDUs6xlX/3/GNFUDM</vt:lpwstr>
  </property>
  <property fmtid="{D5CDD505-2E9C-101B-9397-08002B2CF9AE}" pid="16" name="MFGRNItemId">
    <vt:lpwstr>GRN-b810b367-5099-40c7-b849-448fdd6b72c1</vt:lpwstr>
  </property>
  <property fmtid="{D5CDD505-2E9C-101B-9397-08002B2CF9AE}" pid="17" name="MFHash">
    <vt:lpwstr>Sg0zfaqOkCiKK0m35pJGyF3UarwnxYzli1MoqF9cZ1U=</vt:lpwstr>
  </property>
  <property fmtid="{D5CDD505-2E9C-101B-9397-08002B2CF9AE}" pid="18" name="MFVisualMarkingsSettings">
    <vt:lpwstr>HeaderAlignment=1;FooterAlignment=1</vt:lpwstr>
  </property>
  <property fmtid="{D5CDD505-2E9C-101B-9397-08002B2CF9AE}" pid="19" name="DLPManualFileClassification">
    <vt:lpwstr>{2755b7d9-e53d-4779-a40c-03797dcf43b3}</vt:lpwstr>
  </property>
  <property fmtid="{D5CDD505-2E9C-101B-9397-08002B2CF9AE}" pid="20" name="MFRefresh">
    <vt:lpwstr>False</vt:lpwstr>
  </property>
</Properties>
</file>