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D53D0" w14:textId="77777777" w:rsidR="00D71D5A" w:rsidRPr="00C40369" w:rsidRDefault="00D71D5A" w:rsidP="0027655C">
      <w:pPr>
        <w:pStyle w:val="tabelaw"/>
        <w:tabs>
          <w:tab w:val="left" w:pos="480"/>
        </w:tabs>
        <w:spacing w:after="0" w:line="360" w:lineRule="auto"/>
        <w:ind w:right="-143"/>
        <w:jc w:val="center"/>
        <w:rPr>
          <w:rFonts w:ascii="Times New Roman" w:hAnsi="Times New Roman"/>
        </w:rPr>
      </w:pPr>
    </w:p>
    <w:p w14:paraId="67650FA1" w14:textId="77777777" w:rsidR="00D71D5A" w:rsidRPr="00C40369" w:rsidRDefault="00D71D5A" w:rsidP="00D71D5A">
      <w:pPr>
        <w:pStyle w:val="tabelaw"/>
        <w:tabs>
          <w:tab w:val="left" w:pos="480"/>
        </w:tabs>
        <w:spacing w:after="0" w:line="360" w:lineRule="auto"/>
        <w:jc w:val="center"/>
        <w:rPr>
          <w:rFonts w:ascii="Times New Roman" w:hAnsi="Times New Roman"/>
        </w:rPr>
      </w:pPr>
    </w:p>
    <w:p w14:paraId="2B156EC1" w14:textId="77777777" w:rsidR="00D71D5A" w:rsidRPr="00C40369" w:rsidRDefault="00D71D5A" w:rsidP="00D71D5A">
      <w:pPr>
        <w:pStyle w:val="tabelaw"/>
        <w:tabs>
          <w:tab w:val="left" w:pos="480"/>
        </w:tabs>
        <w:spacing w:after="0" w:line="360" w:lineRule="auto"/>
        <w:jc w:val="center"/>
        <w:rPr>
          <w:rFonts w:ascii="Times New Roman" w:hAnsi="Times New Roman"/>
        </w:rPr>
      </w:pPr>
    </w:p>
    <w:tbl>
      <w:tblPr>
        <w:tblW w:w="9426" w:type="dxa"/>
        <w:jc w:val="center"/>
        <w:tblLayout w:type="fixed"/>
        <w:tblCellMar>
          <w:left w:w="70" w:type="dxa"/>
          <w:right w:w="70" w:type="dxa"/>
        </w:tblCellMar>
        <w:tblLook w:val="0000" w:firstRow="0" w:lastRow="0" w:firstColumn="0" w:lastColumn="0" w:noHBand="0" w:noVBand="0"/>
      </w:tblPr>
      <w:tblGrid>
        <w:gridCol w:w="9426"/>
      </w:tblGrid>
      <w:tr w:rsidR="00D71D5A" w:rsidRPr="00F771E1" w14:paraId="604443BF" w14:textId="77777777" w:rsidTr="00D71D5A">
        <w:trPr>
          <w:cantSplit/>
          <w:jc w:val="center"/>
        </w:trPr>
        <w:tc>
          <w:tcPr>
            <w:tcW w:w="9426" w:type="dxa"/>
            <w:tcBorders>
              <w:top w:val="nil"/>
              <w:left w:val="nil"/>
              <w:bottom w:val="nil"/>
              <w:right w:val="nil"/>
            </w:tcBorders>
          </w:tcPr>
          <w:p w14:paraId="70469EBA" w14:textId="77777777" w:rsidR="00D71D5A" w:rsidRPr="00F771E1" w:rsidRDefault="008D5999" w:rsidP="005E6A37">
            <w:pPr>
              <w:pStyle w:val="plgd"/>
              <w:tabs>
                <w:tab w:val="left" w:pos="480"/>
              </w:tabs>
              <w:spacing w:line="360" w:lineRule="auto"/>
              <w:jc w:val="center"/>
              <w:rPr>
                <w:rFonts w:ascii="Times New Roman" w:hAnsi="Times New Roman"/>
                <w:sz w:val="28"/>
              </w:rPr>
            </w:pPr>
            <w:r w:rsidRPr="00F771E1">
              <w:rPr>
                <w:rFonts w:ascii="Times New Roman" w:hAnsi="Times New Roman"/>
                <w:noProof/>
                <w:sz w:val="28"/>
              </w:rPr>
              <w:drawing>
                <wp:inline distT="0" distB="0" distL="0" distR="0" wp14:anchorId="4AC9C0B6" wp14:editId="38F2E846">
                  <wp:extent cx="890270" cy="977900"/>
                  <wp:effectExtent l="0" t="0" r="508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270" cy="977900"/>
                          </a:xfrm>
                          <a:prstGeom prst="rect">
                            <a:avLst/>
                          </a:prstGeom>
                          <a:noFill/>
                          <a:ln>
                            <a:noFill/>
                          </a:ln>
                        </pic:spPr>
                      </pic:pic>
                    </a:graphicData>
                  </a:graphic>
                </wp:inline>
              </w:drawing>
            </w:r>
          </w:p>
        </w:tc>
      </w:tr>
    </w:tbl>
    <w:p w14:paraId="35E7F218" w14:textId="77777777" w:rsidR="00D71D5A" w:rsidRPr="00F771E1" w:rsidRDefault="00D71D5A" w:rsidP="00D71D5A">
      <w:pPr>
        <w:pStyle w:val="tabelaw"/>
        <w:tabs>
          <w:tab w:val="left" w:pos="480"/>
        </w:tabs>
        <w:spacing w:after="0" w:line="360" w:lineRule="auto"/>
        <w:jc w:val="center"/>
        <w:rPr>
          <w:rFonts w:ascii="Times New Roman" w:hAnsi="Times New Roman"/>
        </w:rPr>
      </w:pPr>
    </w:p>
    <w:p w14:paraId="1E3F584A" w14:textId="77777777" w:rsidR="00D71D5A" w:rsidRPr="00F771E1" w:rsidRDefault="00D71D5A" w:rsidP="00D71D5A">
      <w:pPr>
        <w:tabs>
          <w:tab w:val="left" w:pos="480"/>
        </w:tabs>
        <w:spacing w:line="360" w:lineRule="auto"/>
        <w:jc w:val="center"/>
        <w:rPr>
          <w:sz w:val="26"/>
        </w:rPr>
      </w:pPr>
    </w:p>
    <w:p w14:paraId="7F2AD2FD" w14:textId="77777777" w:rsidR="00D71D5A" w:rsidRPr="00F771E1" w:rsidRDefault="00D71D5A" w:rsidP="00D71D5A">
      <w:pPr>
        <w:tabs>
          <w:tab w:val="left" w:pos="480"/>
        </w:tabs>
        <w:spacing w:line="360" w:lineRule="auto"/>
        <w:jc w:val="center"/>
        <w:rPr>
          <w:sz w:val="26"/>
        </w:rPr>
      </w:pPr>
    </w:p>
    <w:p w14:paraId="28ED3863" w14:textId="77777777" w:rsidR="00D71D5A" w:rsidRPr="00F771E1" w:rsidRDefault="00D71D5A" w:rsidP="00D71D5A">
      <w:pPr>
        <w:pStyle w:val="tabelaw"/>
        <w:tabs>
          <w:tab w:val="left" w:pos="480"/>
        </w:tabs>
        <w:spacing w:after="0" w:line="360" w:lineRule="auto"/>
        <w:rPr>
          <w:rFonts w:ascii="Times New Roman" w:hAnsi="Times New Roman"/>
        </w:rPr>
      </w:pPr>
    </w:p>
    <w:p w14:paraId="2F98E6D6" w14:textId="77777777" w:rsidR="00D71D5A" w:rsidRPr="00F771E1" w:rsidRDefault="00D71D5A" w:rsidP="006F2732">
      <w:pPr>
        <w:spacing w:line="360" w:lineRule="auto"/>
        <w:jc w:val="center"/>
        <w:rPr>
          <w:b/>
          <w:sz w:val="28"/>
          <w:szCs w:val="28"/>
        </w:rPr>
      </w:pPr>
      <w:r w:rsidRPr="00F771E1">
        <w:rPr>
          <w:b/>
          <w:sz w:val="28"/>
          <w:szCs w:val="28"/>
        </w:rPr>
        <w:t>INFORMACJA</w:t>
      </w:r>
    </w:p>
    <w:p w14:paraId="17DC746A" w14:textId="77777777" w:rsidR="00D71D5A" w:rsidRPr="00F771E1" w:rsidRDefault="00D71D5A" w:rsidP="00F77970">
      <w:pPr>
        <w:spacing w:line="360" w:lineRule="auto"/>
        <w:jc w:val="center"/>
        <w:rPr>
          <w:b/>
          <w:sz w:val="28"/>
          <w:szCs w:val="28"/>
        </w:rPr>
      </w:pPr>
      <w:r w:rsidRPr="00F771E1">
        <w:rPr>
          <w:b/>
          <w:sz w:val="28"/>
          <w:szCs w:val="28"/>
        </w:rPr>
        <w:t xml:space="preserve">O PORĘCZENIACH </w:t>
      </w:r>
      <w:r w:rsidR="005F569B" w:rsidRPr="00F771E1">
        <w:rPr>
          <w:b/>
          <w:sz w:val="28"/>
          <w:szCs w:val="28"/>
        </w:rPr>
        <w:t>I GWARANCJACH UDZIELONYCH W</w:t>
      </w:r>
      <w:r w:rsidR="002D5D99">
        <w:rPr>
          <w:b/>
          <w:sz w:val="28"/>
          <w:szCs w:val="28"/>
        </w:rPr>
        <w:t> </w:t>
      </w:r>
      <w:r w:rsidR="005F569B" w:rsidRPr="00F771E1">
        <w:rPr>
          <w:b/>
          <w:sz w:val="28"/>
          <w:szCs w:val="28"/>
        </w:rPr>
        <w:t>201</w:t>
      </w:r>
      <w:r w:rsidR="006D6F93" w:rsidRPr="00F771E1">
        <w:rPr>
          <w:b/>
          <w:sz w:val="28"/>
          <w:szCs w:val="28"/>
        </w:rPr>
        <w:t>9</w:t>
      </w:r>
      <w:r w:rsidR="002D5D99">
        <w:rPr>
          <w:b/>
          <w:sz w:val="28"/>
          <w:szCs w:val="28"/>
        </w:rPr>
        <w:t> </w:t>
      </w:r>
      <w:r w:rsidRPr="00F771E1">
        <w:rPr>
          <w:b/>
          <w:sz w:val="28"/>
          <w:szCs w:val="28"/>
        </w:rPr>
        <w:t>ROKU PRZEZ SKARB PAŃSTWA, NIEKTÓRE OSOBY PRAWNE</w:t>
      </w:r>
      <w:r w:rsidR="00F77970" w:rsidRPr="00F771E1">
        <w:rPr>
          <w:b/>
          <w:sz w:val="28"/>
          <w:szCs w:val="28"/>
        </w:rPr>
        <w:t xml:space="preserve"> </w:t>
      </w:r>
      <w:r w:rsidRPr="00F771E1">
        <w:rPr>
          <w:b/>
          <w:sz w:val="28"/>
          <w:szCs w:val="28"/>
        </w:rPr>
        <w:t>ORAZ BANK GOSPODARSTWA KRAJOWEGO</w:t>
      </w:r>
    </w:p>
    <w:p w14:paraId="7F6AC3B8" w14:textId="77777777" w:rsidR="00D71D5A" w:rsidRPr="00F771E1" w:rsidRDefault="00D71D5A" w:rsidP="00D71D5A">
      <w:pPr>
        <w:tabs>
          <w:tab w:val="left" w:pos="480"/>
        </w:tabs>
        <w:spacing w:line="360" w:lineRule="auto"/>
        <w:jc w:val="center"/>
        <w:rPr>
          <w:sz w:val="26"/>
        </w:rPr>
      </w:pPr>
    </w:p>
    <w:p w14:paraId="3DE37968" w14:textId="77777777" w:rsidR="00D71D5A" w:rsidRPr="00F771E1" w:rsidRDefault="00D71D5A" w:rsidP="00D71D5A">
      <w:pPr>
        <w:tabs>
          <w:tab w:val="left" w:pos="480"/>
        </w:tabs>
        <w:spacing w:line="360" w:lineRule="auto"/>
        <w:jc w:val="center"/>
        <w:rPr>
          <w:sz w:val="26"/>
        </w:rPr>
      </w:pPr>
    </w:p>
    <w:p w14:paraId="5AB56585" w14:textId="77777777" w:rsidR="00D71D5A" w:rsidRPr="00F771E1" w:rsidRDefault="00D71D5A" w:rsidP="00D71D5A">
      <w:pPr>
        <w:tabs>
          <w:tab w:val="left" w:pos="480"/>
        </w:tabs>
        <w:spacing w:line="360" w:lineRule="auto"/>
        <w:jc w:val="center"/>
        <w:rPr>
          <w:sz w:val="26"/>
        </w:rPr>
      </w:pPr>
    </w:p>
    <w:p w14:paraId="7C0477E1" w14:textId="77777777" w:rsidR="00D71D5A" w:rsidRPr="00F771E1" w:rsidRDefault="00D71D5A" w:rsidP="00D71D5A">
      <w:pPr>
        <w:tabs>
          <w:tab w:val="left" w:pos="480"/>
        </w:tabs>
        <w:spacing w:line="360" w:lineRule="auto"/>
        <w:jc w:val="center"/>
        <w:rPr>
          <w:sz w:val="26"/>
        </w:rPr>
      </w:pPr>
    </w:p>
    <w:p w14:paraId="5277E767" w14:textId="77777777" w:rsidR="00D71D5A" w:rsidRPr="00F771E1" w:rsidRDefault="00D71D5A" w:rsidP="00D71D5A">
      <w:pPr>
        <w:tabs>
          <w:tab w:val="left" w:pos="480"/>
        </w:tabs>
        <w:spacing w:line="360" w:lineRule="auto"/>
        <w:jc w:val="center"/>
        <w:rPr>
          <w:sz w:val="26"/>
        </w:rPr>
      </w:pPr>
    </w:p>
    <w:p w14:paraId="5CF52D36" w14:textId="77777777" w:rsidR="00D71D5A" w:rsidRPr="00F771E1" w:rsidRDefault="00D71D5A" w:rsidP="00D71D5A">
      <w:pPr>
        <w:pStyle w:val="pktlitcyfw0"/>
        <w:tabs>
          <w:tab w:val="left" w:pos="480"/>
        </w:tabs>
        <w:spacing w:after="0" w:line="360" w:lineRule="auto"/>
        <w:ind w:left="0" w:firstLine="0"/>
        <w:jc w:val="center"/>
        <w:rPr>
          <w:rFonts w:ascii="Times New Roman" w:hAnsi="Times New Roman"/>
        </w:rPr>
      </w:pPr>
    </w:p>
    <w:p w14:paraId="44D465CE" w14:textId="77777777" w:rsidR="00D71D5A" w:rsidRPr="00F771E1" w:rsidRDefault="00D71D5A" w:rsidP="00D71D5A">
      <w:pPr>
        <w:tabs>
          <w:tab w:val="left" w:pos="480"/>
        </w:tabs>
        <w:spacing w:line="360" w:lineRule="auto"/>
        <w:jc w:val="center"/>
        <w:rPr>
          <w:sz w:val="26"/>
        </w:rPr>
      </w:pPr>
    </w:p>
    <w:p w14:paraId="23526CF9" w14:textId="77777777" w:rsidR="00D71D5A" w:rsidRPr="00F771E1" w:rsidRDefault="00D71D5A" w:rsidP="00D71D5A">
      <w:pPr>
        <w:tabs>
          <w:tab w:val="left" w:pos="480"/>
        </w:tabs>
        <w:spacing w:line="360" w:lineRule="auto"/>
        <w:jc w:val="center"/>
        <w:rPr>
          <w:sz w:val="26"/>
        </w:rPr>
      </w:pPr>
    </w:p>
    <w:p w14:paraId="2C2B5DD5" w14:textId="77777777" w:rsidR="00D71D5A" w:rsidRPr="00F771E1" w:rsidRDefault="00D71D5A" w:rsidP="00D71D5A">
      <w:pPr>
        <w:tabs>
          <w:tab w:val="left" w:pos="480"/>
        </w:tabs>
        <w:spacing w:line="360" w:lineRule="auto"/>
        <w:jc w:val="center"/>
        <w:rPr>
          <w:sz w:val="26"/>
        </w:rPr>
      </w:pPr>
    </w:p>
    <w:p w14:paraId="16BB71E6" w14:textId="77777777" w:rsidR="00D71D5A" w:rsidRPr="00F771E1" w:rsidRDefault="00D71D5A" w:rsidP="00D71D5A">
      <w:pPr>
        <w:tabs>
          <w:tab w:val="left" w:pos="480"/>
        </w:tabs>
        <w:spacing w:line="360" w:lineRule="auto"/>
        <w:jc w:val="center"/>
        <w:rPr>
          <w:sz w:val="26"/>
        </w:rPr>
      </w:pPr>
    </w:p>
    <w:p w14:paraId="300D3CE7" w14:textId="77777777" w:rsidR="00D71D5A" w:rsidRPr="00F771E1" w:rsidRDefault="00D71D5A" w:rsidP="00D71D5A">
      <w:pPr>
        <w:tabs>
          <w:tab w:val="left" w:pos="480"/>
        </w:tabs>
        <w:spacing w:line="360" w:lineRule="auto"/>
        <w:jc w:val="center"/>
        <w:rPr>
          <w:sz w:val="26"/>
        </w:rPr>
      </w:pPr>
    </w:p>
    <w:p w14:paraId="06E6342D" w14:textId="77777777" w:rsidR="00D71D5A" w:rsidRPr="00F771E1" w:rsidRDefault="00D71D5A" w:rsidP="00D71D5A">
      <w:pPr>
        <w:tabs>
          <w:tab w:val="left" w:pos="480"/>
        </w:tabs>
        <w:spacing w:line="360" w:lineRule="auto"/>
        <w:jc w:val="center"/>
        <w:rPr>
          <w:sz w:val="26"/>
        </w:rPr>
      </w:pPr>
    </w:p>
    <w:p w14:paraId="486C560C" w14:textId="77777777" w:rsidR="00A76F6C" w:rsidRPr="00F771E1" w:rsidRDefault="00A76F6C" w:rsidP="00D71D5A">
      <w:pPr>
        <w:pStyle w:val="Tekstpodstawowy3"/>
        <w:jc w:val="center"/>
        <w:rPr>
          <w:b/>
          <w:bCs/>
        </w:rPr>
      </w:pPr>
    </w:p>
    <w:p w14:paraId="7F2DF0EF" w14:textId="77777777" w:rsidR="00A76F6C" w:rsidRPr="00F771E1" w:rsidRDefault="00A76F6C" w:rsidP="00D71D5A">
      <w:pPr>
        <w:pStyle w:val="Tekstpodstawowy3"/>
        <w:jc w:val="center"/>
        <w:rPr>
          <w:b/>
          <w:bCs/>
        </w:rPr>
      </w:pPr>
    </w:p>
    <w:p w14:paraId="2080F437" w14:textId="77777777" w:rsidR="00A76F6C" w:rsidRPr="00F771E1" w:rsidRDefault="00A76F6C" w:rsidP="00D71D5A">
      <w:pPr>
        <w:pStyle w:val="Tekstpodstawowy3"/>
        <w:jc w:val="center"/>
        <w:rPr>
          <w:b/>
          <w:bCs/>
        </w:rPr>
      </w:pPr>
    </w:p>
    <w:p w14:paraId="0E25B155" w14:textId="77777777" w:rsidR="003A331E" w:rsidRDefault="003A331E" w:rsidP="003A331E">
      <w:pPr>
        <w:pStyle w:val="Tekstpodstawowy3"/>
        <w:spacing w:after="0"/>
        <w:jc w:val="center"/>
        <w:rPr>
          <w:b/>
          <w:bCs/>
        </w:rPr>
      </w:pPr>
      <w:r>
        <w:rPr>
          <w:b/>
          <w:bCs/>
        </w:rPr>
        <w:t>WARSZAWA</w:t>
      </w:r>
    </w:p>
    <w:p w14:paraId="5710CB11" w14:textId="77777777" w:rsidR="00D71D5A" w:rsidRPr="00F771E1" w:rsidRDefault="006D6F93" w:rsidP="003A331E">
      <w:pPr>
        <w:pStyle w:val="Tekstpodstawowy3"/>
        <w:spacing w:after="0"/>
        <w:jc w:val="center"/>
        <w:rPr>
          <w:b/>
          <w:bCs/>
        </w:rPr>
      </w:pPr>
      <w:r w:rsidRPr="00F771E1">
        <w:rPr>
          <w:b/>
          <w:bCs/>
        </w:rPr>
        <w:t>2020</w:t>
      </w:r>
    </w:p>
    <w:p w14:paraId="3A4B2611" w14:textId="77777777" w:rsidR="00D71D5A" w:rsidRPr="00F771E1" w:rsidRDefault="00D71D5A" w:rsidP="005329AD">
      <w:pPr>
        <w:pStyle w:val="Nagwekspisutreci"/>
        <w:spacing w:before="120" w:after="120"/>
        <w:ind w:right="-284"/>
        <w:rPr>
          <w:rFonts w:ascii="Times New Roman" w:hAnsi="Times New Roman"/>
          <w:color w:val="auto"/>
        </w:rPr>
      </w:pPr>
    </w:p>
    <w:p w14:paraId="70001A50" w14:textId="77777777" w:rsidR="00D71D5A" w:rsidRPr="00F771E1" w:rsidRDefault="00D71D5A" w:rsidP="005329AD">
      <w:pPr>
        <w:pStyle w:val="Nagwekspisutreci"/>
        <w:spacing w:before="120" w:after="120"/>
        <w:ind w:right="-284"/>
        <w:rPr>
          <w:rFonts w:ascii="Times New Roman" w:hAnsi="Times New Roman"/>
          <w:color w:val="auto"/>
        </w:rPr>
      </w:pPr>
    </w:p>
    <w:p w14:paraId="4EFE5B7C" w14:textId="77777777" w:rsidR="00D71D5A" w:rsidRPr="00F771E1" w:rsidRDefault="00D71D5A" w:rsidP="005329AD">
      <w:pPr>
        <w:pStyle w:val="Nagwekspisutreci"/>
        <w:spacing w:before="120" w:after="120"/>
        <w:ind w:right="-284"/>
        <w:rPr>
          <w:rFonts w:ascii="Times New Roman" w:hAnsi="Times New Roman"/>
          <w:color w:val="auto"/>
        </w:rPr>
      </w:pPr>
    </w:p>
    <w:p w14:paraId="0F087798" w14:textId="77777777" w:rsidR="00D71D5A" w:rsidRPr="00F771E1" w:rsidRDefault="00D71D5A" w:rsidP="005329AD">
      <w:pPr>
        <w:pStyle w:val="Nagwekspisutreci"/>
        <w:spacing w:before="120" w:after="120"/>
        <w:ind w:right="-284"/>
        <w:rPr>
          <w:rFonts w:ascii="Times New Roman" w:hAnsi="Times New Roman"/>
          <w:color w:val="auto"/>
        </w:rPr>
      </w:pPr>
    </w:p>
    <w:p w14:paraId="52E0CA00" w14:textId="77777777" w:rsidR="00D71D5A" w:rsidRPr="00F771E1" w:rsidRDefault="00D71D5A" w:rsidP="005329AD">
      <w:pPr>
        <w:pStyle w:val="Nagwekspisutreci"/>
        <w:spacing w:before="120" w:after="120"/>
        <w:ind w:right="-284"/>
        <w:rPr>
          <w:rFonts w:ascii="Times New Roman" w:hAnsi="Times New Roman"/>
          <w:color w:val="auto"/>
        </w:rPr>
      </w:pPr>
    </w:p>
    <w:p w14:paraId="14B23C4B" w14:textId="77777777" w:rsidR="00D71D5A" w:rsidRPr="00F771E1" w:rsidRDefault="00D71D5A" w:rsidP="005329AD">
      <w:pPr>
        <w:pStyle w:val="Nagwekspisutreci"/>
        <w:spacing w:before="120" w:after="120"/>
        <w:ind w:right="-284"/>
        <w:rPr>
          <w:rFonts w:ascii="Times New Roman" w:hAnsi="Times New Roman"/>
          <w:color w:val="auto"/>
        </w:rPr>
      </w:pPr>
    </w:p>
    <w:p w14:paraId="14BFB801" w14:textId="77777777" w:rsidR="00D71D5A" w:rsidRPr="00F771E1" w:rsidRDefault="00D71D5A" w:rsidP="005329AD">
      <w:pPr>
        <w:pStyle w:val="Nagwekspisutreci"/>
        <w:spacing w:before="120" w:after="120"/>
        <w:ind w:right="-284"/>
        <w:rPr>
          <w:rFonts w:ascii="Times New Roman" w:hAnsi="Times New Roman"/>
          <w:color w:val="auto"/>
        </w:rPr>
      </w:pPr>
    </w:p>
    <w:p w14:paraId="1A02BF07" w14:textId="77777777" w:rsidR="00D71D5A" w:rsidRPr="00F771E1" w:rsidRDefault="00D71D5A" w:rsidP="005329AD">
      <w:pPr>
        <w:pStyle w:val="Nagwekspisutreci"/>
        <w:spacing w:before="120" w:after="120"/>
        <w:ind w:right="-284"/>
        <w:rPr>
          <w:rFonts w:ascii="Times New Roman" w:hAnsi="Times New Roman"/>
          <w:color w:val="auto"/>
        </w:rPr>
      </w:pPr>
    </w:p>
    <w:p w14:paraId="76674003" w14:textId="77777777" w:rsidR="00D71D5A" w:rsidRPr="00F771E1" w:rsidRDefault="00D71D5A" w:rsidP="005329AD">
      <w:pPr>
        <w:pStyle w:val="Nagwekspisutreci"/>
        <w:spacing w:before="120" w:after="120"/>
        <w:ind w:right="-284"/>
        <w:rPr>
          <w:rFonts w:ascii="Times New Roman" w:hAnsi="Times New Roman"/>
          <w:color w:val="auto"/>
        </w:rPr>
      </w:pPr>
    </w:p>
    <w:p w14:paraId="720FB670" w14:textId="77777777" w:rsidR="00D71D5A" w:rsidRPr="00F771E1" w:rsidRDefault="00D71D5A" w:rsidP="005329AD">
      <w:pPr>
        <w:pStyle w:val="Nagwekspisutreci"/>
        <w:spacing w:before="120" w:after="120"/>
        <w:ind w:right="-284"/>
        <w:rPr>
          <w:rFonts w:ascii="Times New Roman" w:hAnsi="Times New Roman"/>
          <w:color w:val="auto"/>
        </w:rPr>
      </w:pPr>
    </w:p>
    <w:p w14:paraId="5FD6D08F" w14:textId="77777777" w:rsidR="00D71D5A" w:rsidRPr="00F771E1" w:rsidRDefault="00D71D5A" w:rsidP="005329AD">
      <w:pPr>
        <w:pStyle w:val="Nagwekspisutreci"/>
        <w:spacing w:before="120" w:after="120"/>
        <w:ind w:right="-284"/>
        <w:rPr>
          <w:rFonts w:ascii="Times New Roman" w:hAnsi="Times New Roman"/>
          <w:color w:val="auto"/>
        </w:rPr>
      </w:pPr>
    </w:p>
    <w:p w14:paraId="4F0BF11D" w14:textId="77777777" w:rsidR="00D71D5A" w:rsidRPr="00F771E1" w:rsidRDefault="00D71D5A" w:rsidP="005329AD">
      <w:pPr>
        <w:pStyle w:val="Nagwekspisutreci"/>
        <w:spacing w:before="120" w:after="120"/>
        <w:ind w:right="-284"/>
        <w:rPr>
          <w:rFonts w:ascii="Times New Roman" w:hAnsi="Times New Roman"/>
          <w:color w:val="auto"/>
        </w:rPr>
      </w:pPr>
    </w:p>
    <w:p w14:paraId="182DC658" w14:textId="77777777" w:rsidR="00D71D5A" w:rsidRPr="00F771E1" w:rsidRDefault="00D71D5A" w:rsidP="005329AD">
      <w:pPr>
        <w:pStyle w:val="Nagwekspisutreci"/>
        <w:spacing w:before="120" w:after="120"/>
        <w:ind w:right="-284"/>
        <w:rPr>
          <w:rFonts w:ascii="Times New Roman" w:hAnsi="Times New Roman"/>
          <w:color w:val="auto"/>
        </w:rPr>
      </w:pPr>
    </w:p>
    <w:p w14:paraId="2F1EEB85" w14:textId="77777777" w:rsidR="00D71D5A" w:rsidRPr="00F771E1" w:rsidRDefault="00D71D5A" w:rsidP="005329AD">
      <w:pPr>
        <w:pStyle w:val="Nagwekspisutreci"/>
        <w:spacing w:before="120" w:after="120"/>
        <w:ind w:right="-284"/>
        <w:rPr>
          <w:rFonts w:ascii="Times New Roman" w:hAnsi="Times New Roman"/>
          <w:color w:val="auto"/>
        </w:rPr>
      </w:pPr>
    </w:p>
    <w:p w14:paraId="503E2714" w14:textId="77777777" w:rsidR="00D71D5A" w:rsidRPr="00F771E1" w:rsidRDefault="00D71D5A" w:rsidP="005329AD">
      <w:pPr>
        <w:pStyle w:val="Nagwekspisutreci"/>
        <w:spacing w:before="120" w:after="120"/>
        <w:ind w:right="-284"/>
        <w:rPr>
          <w:rFonts w:ascii="Times New Roman" w:hAnsi="Times New Roman"/>
          <w:color w:val="auto"/>
        </w:rPr>
      </w:pPr>
    </w:p>
    <w:p w14:paraId="7B6E1B54" w14:textId="77777777" w:rsidR="00D71D5A" w:rsidRPr="00F771E1" w:rsidRDefault="00D71D5A" w:rsidP="005329AD">
      <w:pPr>
        <w:pStyle w:val="Nagwekspisutreci"/>
        <w:spacing w:before="120" w:after="120"/>
        <w:ind w:right="-284"/>
        <w:rPr>
          <w:rFonts w:ascii="Times New Roman" w:hAnsi="Times New Roman"/>
          <w:color w:val="auto"/>
        </w:rPr>
      </w:pPr>
    </w:p>
    <w:p w14:paraId="4A1B6964" w14:textId="77777777" w:rsidR="00D71D5A" w:rsidRPr="00F771E1" w:rsidRDefault="00D71D5A" w:rsidP="005329AD">
      <w:pPr>
        <w:pStyle w:val="Nagwekspisutreci"/>
        <w:spacing w:before="120" w:after="120"/>
        <w:ind w:right="-284"/>
        <w:rPr>
          <w:rFonts w:ascii="Times New Roman" w:hAnsi="Times New Roman"/>
          <w:color w:val="auto"/>
        </w:rPr>
      </w:pPr>
    </w:p>
    <w:p w14:paraId="18A6EF2E" w14:textId="77777777" w:rsidR="00D71D5A" w:rsidRPr="00F771E1" w:rsidRDefault="00D71D5A" w:rsidP="005329AD">
      <w:pPr>
        <w:pStyle w:val="Nagwekspisutreci"/>
        <w:spacing w:before="120" w:after="120"/>
        <w:ind w:right="-284"/>
        <w:rPr>
          <w:rFonts w:ascii="Times New Roman" w:hAnsi="Times New Roman"/>
          <w:color w:val="auto"/>
        </w:rPr>
      </w:pPr>
    </w:p>
    <w:p w14:paraId="573286FC" w14:textId="77777777" w:rsidR="00D71D5A" w:rsidRPr="00F771E1" w:rsidRDefault="00D71D5A" w:rsidP="005329AD">
      <w:pPr>
        <w:pStyle w:val="Nagwekspisutreci"/>
        <w:spacing w:before="120" w:after="120"/>
        <w:ind w:right="-284"/>
        <w:rPr>
          <w:rFonts w:ascii="Times New Roman" w:hAnsi="Times New Roman"/>
          <w:color w:val="auto"/>
        </w:rPr>
      </w:pPr>
    </w:p>
    <w:p w14:paraId="48715221" w14:textId="77777777" w:rsidR="00D71D5A" w:rsidRPr="00F771E1" w:rsidRDefault="00D71D5A" w:rsidP="005329AD">
      <w:pPr>
        <w:pStyle w:val="Nagwekspisutreci"/>
        <w:spacing w:before="120" w:after="120"/>
        <w:ind w:right="-284"/>
        <w:rPr>
          <w:rFonts w:ascii="Times New Roman" w:hAnsi="Times New Roman"/>
          <w:color w:val="auto"/>
        </w:rPr>
      </w:pPr>
    </w:p>
    <w:p w14:paraId="3E689AFF" w14:textId="77777777" w:rsidR="00D71D5A" w:rsidRPr="00F771E1" w:rsidRDefault="00D71D5A" w:rsidP="005329AD">
      <w:pPr>
        <w:pStyle w:val="Nagwekspisutreci"/>
        <w:spacing w:before="120" w:after="120"/>
        <w:ind w:right="-284"/>
        <w:rPr>
          <w:rFonts w:ascii="Times New Roman" w:hAnsi="Times New Roman"/>
          <w:color w:val="auto"/>
        </w:rPr>
      </w:pPr>
    </w:p>
    <w:p w14:paraId="4E0F0EC3" w14:textId="77777777" w:rsidR="00D71D5A" w:rsidRPr="00F771E1" w:rsidRDefault="00D71D5A" w:rsidP="005329AD">
      <w:pPr>
        <w:pStyle w:val="Nagwekspisutreci"/>
        <w:spacing w:before="120" w:after="120"/>
        <w:ind w:right="-284"/>
        <w:rPr>
          <w:rFonts w:ascii="Times New Roman" w:hAnsi="Times New Roman"/>
          <w:color w:val="auto"/>
        </w:rPr>
      </w:pPr>
    </w:p>
    <w:p w14:paraId="32B63EC9" w14:textId="77777777" w:rsidR="00D71D5A" w:rsidRPr="00F771E1" w:rsidRDefault="00D71D5A" w:rsidP="005329AD">
      <w:pPr>
        <w:pStyle w:val="Nagwekspisutreci"/>
        <w:spacing w:before="120" w:after="120"/>
        <w:ind w:right="-284"/>
        <w:rPr>
          <w:rFonts w:ascii="Times New Roman" w:hAnsi="Times New Roman"/>
          <w:color w:val="auto"/>
        </w:rPr>
      </w:pPr>
    </w:p>
    <w:p w14:paraId="149366BC" w14:textId="77777777" w:rsidR="00D71D5A" w:rsidRPr="00F771E1" w:rsidRDefault="00D71D5A" w:rsidP="005329AD">
      <w:pPr>
        <w:pStyle w:val="Nagwekspisutreci"/>
        <w:spacing w:before="120" w:after="120"/>
        <w:ind w:right="-284"/>
        <w:rPr>
          <w:rFonts w:ascii="Times New Roman" w:hAnsi="Times New Roman"/>
          <w:color w:val="auto"/>
        </w:rPr>
      </w:pPr>
    </w:p>
    <w:p w14:paraId="75D8F93C" w14:textId="77777777" w:rsidR="00D71D5A" w:rsidRPr="00F771E1" w:rsidRDefault="00D71D5A" w:rsidP="005329AD">
      <w:pPr>
        <w:pStyle w:val="Nagwekspisutreci"/>
        <w:spacing w:before="120" w:after="120"/>
        <w:ind w:right="-284"/>
        <w:rPr>
          <w:rFonts w:ascii="Times New Roman" w:hAnsi="Times New Roman"/>
          <w:color w:val="auto"/>
        </w:rPr>
      </w:pPr>
    </w:p>
    <w:p w14:paraId="1FDE62D1" w14:textId="77777777" w:rsidR="00D71D5A" w:rsidRPr="00F771E1" w:rsidRDefault="00D71D5A" w:rsidP="005329AD">
      <w:pPr>
        <w:pStyle w:val="Nagwekspisutreci"/>
        <w:spacing w:before="120" w:after="120"/>
        <w:ind w:right="-284"/>
        <w:rPr>
          <w:rFonts w:ascii="Times New Roman" w:hAnsi="Times New Roman"/>
          <w:color w:val="auto"/>
        </w:rPr>
      </w:pPr>
    </w:p>
    <w:p w14:paraId="3181B4AF" w14:textId="77777777" w:rsidR="00D71D5A" w:rsidRPr="00F771E1" w:rsidRDefault="00D71D5A" w:rsidP="005329AD">
      <w:pPr>
        <w:pStyle w:val="Nagwekspisutreci"/>
        <w:spacing w:before="120" w:after="120"/>
        <w:ind w:right="-284"/>
        <w:rPr>
          <w:rFonts w:ascii="Times New Roman" w:hAnsi="Times New Roman"/>
          <w:color w:val="auto"/>
        </w:rPr>
      </w:pPr>
    </w:p>
    <w:p w14:paraId="57FD5F5C" w14:textId="77777777" w:rsidR="00D71D5A" w:rsidRPr="00F771E1" w:rsidRDefault="00D71D5A" w:rsidP="005329AD">
      <w:pPr>
        <w:pStyle w:val="Nagwekspisutreci"/>
        <w:spacing w:before="120" w:after="120"/>
        <w:ind w:right="-284"/>
        <w:rPr>
          <w:rFonts w:ascii="Times New Roman" w:hAnsi="Times New Roman"/>
          <w:color w:val="auto"/>
        </w:rPr>
      </w:pPr>
    </w:p>
    <w:p w14:paraId="2E4038B2" w14:textId="77777777" w:rsidR="009E3BE9" w:rsidRPr="00F771E1" w:rsidRDefault="009E3BE9" w:rsidP="00DB24C2">
      <w:pPr>
        <w:pStyle w:val="Nagwekspisutreci"/>
        <w:spacing w:before="120" w:after="120" w:line="240" w:lineRule="auto"/>
        <w:ind w:right="-284"/>
        <w:rPr>
          <w:rFonts w:ascii="Times New Roman" w:hAnsi="Times New Roman"/>
          <w:color w:val="auto"/>
          <w:sz w:val="26"/>
          <w:szCs w:val="26"/>
        </w:rPr>
      </w:pPr>
      <w:r w:rsidRPr="00F771E1">
        <w:rPr>
          <w:rFonts w:ascii="Times New Roman" w:hAnsi="Times New Roman"/>
          <w:color w:val="auto"/>
          <w:sz w:val="26"/>
          <w:szCs w:val="26"/>
        </w:rPr>
        <w:lastRenderedPageBreak/>
        <w:t>Spis treści</w:t>
      </w:r>
    </w:p>
    <w:p w14:paraId="70CBCA32" w14:textId="77777777" w:rsidR="001F6151" w:rsidRDefault="00A508C1">
      <w:pPr>
        <w:pStyle w:val="Spistreci1"/>
        <w:rPr>
          <w:rFonts w:asciiTheme="minorHAnsi" w:eastAsiaTheme="minorEastAsia" w:hAnsiTheme="minorHAnsi" w:cstheme="minorBidi"/>
          <w:b w:val="0"/>
          <w:sz w:val="22"/>
          <w:szCs w:val="22"/>
        </w:rPr>
      </w:pPr>
      <w:r w:rsidRPr="00F771E1">
        <w:fldChar w:fldCharType="begin"/>
      </w:r>
      <w:r w:rsidR="00D9320D" w:rsidRPr="00F771E1">
        <w:instrText xml:space="preserve"> TOC \o "1-4" \h \z \u </w:instrText>
      </w:r>
      <w:r w:rsidRPr="00F771E1">
        <w:fldChar w:fldCharType="separate"/>
      </w:r>
      <w:hyperlink w:anchor="_Toc37242613" w:history="1">
        <w:r w:rsidR="001F6151" w:rsidRPr="00D463A2">
          <w:rPr>
            <w:rStyle w:val="Hipercze"/>
          </w:rPr>
          <w:t>1.</w:t>
        </w:r>
        <w:r w:rsidR="001F6151">
          <w:rPr>
            <w:rFonts w:asciiTheme="minorHAnsi" w:eastAsiaTheme="minorEastAsia" w:hAnsiTheme="minorHAnsi" w:cstheme="minorBidi"/>
            <w:b w:val="0"/>
            <w:sz w:val="22"/>
            <w:szCs w:val="22"/>
          </w:rPr>
          <w:tab/>
        </w:r>
        <w:r w:rsidR="001F6151" w:rsidRPr="00D463A2">
          <w:rPr>
            <w:rStyle w:val="Hipercze"/>
          </w:rPr>
          <w:t>Streszczenie najważniejszych informacji</w:t>
        </w:r>
        <w:r w:rsidR="001F6151">
          <w:rPr>
            <w:webHidden/>
          </w:rPr>
          <w:tab/>
        </w:r>
        <w:r>
          <w:rPr>
            <w:webHidden/>
          </w:rPr>
          <w:fldChar w:fldCharType="begin"/>
        </w:r>
        <w:r w:rsidR="001F6151">
          <w:rPr>
            <w:webHidden/>
          </w:rPr>
          <w:instrText xml:space="preserve"> PAGEREF _Toc37242613 \h </w:instrText>
        </w:r>
        <w:r>
          <w:rPr>
            <w:webHidden/>
          </w:rPr>
        </w:r>
        <w:r>
          <w:rPr>
            <w:webHidden/>
          </w:rPr>
          <w:fldChar w:fldCharType="separate"/>
        </w:r>
        <w:r w:rsidR="001F6151">
          <w:rPr>
            <w:webHidden/>
          </w:rPr>
          <w:t>2</w:t>
        </w:r>
        <w:r>
          <w:rPr>
            <w:webHidden/>
          </w:rPr>
          <w:fldChar w:fldCharType="end"/>
        </w:r>
      </w:hyperlink>
    </w:p>
    <w:p w14:paraId="5518CF95" w14:textId="77777777" w:rsidR="001F6151" w:rsidRDefault="00350418">
      <w:pPr>
        <w:pStyle w:val="Spistreci2"/>
        <w:rPr>
          <w:rFonts w:asciiTheme="minorHAnsi" w:eastAsiaTheme="minorEastAsia" w:hAnsiTheme="minorHAnsi" w:cstheme="minorBidi"/>
          <w:bCs w:val="0"/>
          <w:lang w:eastAsia="pl-PL"/>
        </w:rPr>
      </w:pPr>
      <w:hyperlink w:anchor="_Toc37242614" w:history="1">
        <w:r w:rsidR="001F6151" w:rsidRPr="00D463A2">
          <w:rPr>
            <w:rStyle w:val="Hipercze"/>
          </w:rPr>
          <w:t>1.1</w:t>
        </w:r>
        <w:r w:rsidR="001F6151">
          <w:rPr>
            <w:rFonts w:asciiTheme="minorHAnsi" w:eastAsiaTheme="minorEastAsia" w:hAnsiTheme="minorHAnsi" w:cstheme="minorBidi"/>
            <w:bCs w:val="0"/>
            <w:lang w:eastAsia="pl-PL"/>
          </w:rPr>
          <w:tab/>
        </w:r>
        <w:r w:rsidR="001F6151" w:rsidRPr="00D463A2">
          <w:rPr>
            <w:rStyle w:val="Hipercze"/>
          </w:rPr>
          <w:t>Streszczenie najważniejszych informacji z zakresu gwarancji i poręczeń Skarbu Państwa udzielonych na podstawie ustawy o poręczeniach i gwarancjach</w:t>
        </w:r>
        <w:r w:rsidR="001F6151">
          <w:rPr>
            <w:webHidden/>
          </w:rPr>
          <w:tab/>
        </w:r>
        <w:r w:rsidR="00A508C1">
          <w:rPr>
            <w:webHidden/>
          </w:rPr>
          <w:fldChar w:fldCharType="begin"/>
        </w:r>
        <w:r w:rsidR="001F6151">
          <w:rPr>
            <w:webHidden/>
          </w:rPr>
          <w:instrText xml:space="preserve"> PAGEREF _Toc37242614 \h </w:instrText>
        </w:r>
        <w:r w:rsidR="00A508C1">
          <w:rPr>
            <w:webHidden/>
          </w:rPr>
        </w:r>
        <w:r w:rsidR="00A508C1">
          <w:rPr>
            <w:webHidden/>
          </w:rPr>
          <w:fldChar w:fldCharType="separate"/>
        </w:r>
        <w:r w:rsidR="001F6151">
          <w:rPr>
            <w:webHidden/>
          </w:rPr>
          <w:t>2</w:t>
        </w:r>
        <w:r w:rsidR="00A508C1">
          <w:rPr>
            <w:webHidden/>
          </w:rPr>
          <w:fldChar w:fldCharType="end"/>
        </w:r>
      </w:hyperlink>
    </w:p>
    <w:p w14:paraId="33E064DE" w14:textId="77777777" w:rsidR="001F6151" w:rsidRDefault="00350418">
      <w:pPr>
        <w:pStyle w:val="Spistreci1"/>
        <w:rPr>
          <w:rFonts w:asciiTheme="minorHAnsi" w:eastAsiaTheme="minorEastAsia" w:hAnsiTheme="minorHAnsi" w:cstheme="minorBidi"/>
          <w:b w:val="0"/>
          <w:sz w:val="22"/>
          <w:szCs w:val="22"/>
        </w:rPr>
      </w:pPr>
      <w:hyperlink w:anchor="_Toc37242615" w:history="1">
        <w:r w:rsidR="001F6151" w:rsidRPr="00D463A2">
          <w:rPr>
            <w:rStyle w:val="Hipercze"/>
          </w:rPr>
          <w:t>2.</w:t>
        </w:r>
        <w:r w:rsidR="001F6151">
          <w:rPr>
            <w:rFonts w:asciiTheme="minorHAnsi" w:eastAsiaTheme="minorEastAsia" w:hAnsiTheme="minorHAnsi" w:cstheme="minorBidi"/>
            <w:b w:val="0"/>
            <w:sz w:val="22"/>
            <w:szCs w:val="22"/>
          </w:rPr>
          <w:tab/>
        </w:r>
        <w:r w:rsidR="001F6151" w:rsidRPr="00D463A2">
          <w:rPr>
            <w:rStyle w:val="Hipercze"/>
          </w:rPr>
          <w:t>Informacja sporządzona w oparciu o ustawę o poręczeniach i gwarancjach na temat poręczeń i gwarancji udzielonych w 2019 r. przez Skarb Państwa, niektóre osoby prawne oraz Bank Gospodarstwa Krajowego</w:t>
        </w:r>
        <w:r w:rsidR="001F6151">
          <w:rPr>
            <w:webHidden/>
          </w:rPr>
          <w:tab/>
        </w:r>
        <w:r w:rsidR="00A508C1">
          <w:rPr>
            <w:webHidden/>
          </w:rPr>
          <w:fldChar w:fldCharType="begin"/>
        </w:r>
        <w:r w:rsidR="001F6151">
          <w:rPr>
            <w:webHidden/>
          </w:rPr>
          <w:instrText xml:space="preserve"> PAGEREF _Toc37242615 \h </w:instrText>
        </w:r>
        <w:r w:rsidR="00A508C1">
          <w:rPr>
            <w:webHidden/>
          </w:rPr>
        </w:r>
        <w:r w:rsidR="00A508C1">
          <w:rPr>
            <w:webHidden/>
          </w:rPr>
          <w:fldChar w:fldCharType="separate"/>
        </w:r>
        <w:r w:rsidR="001F6151">
          <w:rPr>
            <w:webHidden/>
          </w:rPr>
          <w:t>3</w:t>
        </w:r>
        <w:r w:rsidR="00A508C1">
          <w:rPr>
            <w:webHidden/>
          </w:rPr>
          <w:fldChar w:fldCharType="end"/>
        </w:r>
      </w:hyperlink>
    </w:p>
    <w:p w14:paraId="428A550A" w14:textId="77777777" w:rsidR="001F6151" w:rsidRDefault="00350418">
      <w:pPr>
        <w:pStyle w:val="Spistreci2"/>
        <w:rPr>
          <w:rFonts w:asciiTheme="minorHAnsi" w:eastAsiaTheme="minorEastAsia" w:hAnsiTheme="minorHAnsi" w:cstheme="minorBidi"/>
          <w:bCs w:val="0"/>
          <w:lang w:eastAsia="pl-PL"/>
        </w:rPr>
      </w:pPr>
      <w:hyperlink w:anchor="_Toc37242616" w:history="1">
        <w:r w:rsidR="001F6151" w:rsidRPr="00D463A2">
          <w:rPr>
            <w:rStyle w:val="Hipercze"/>
          </w:rPr>
          <w:t>2.1</w:t>
        </w:r>
        <w:r w:rsidR="001F6151">
          <w:rPr>
            <w:rFonts w:asciiTheme="minorHAnsi" w:eastAsiaTheme="minorEastAsia" w:hAnsiTheme="minorHAnsi" w:cstheme="minorBidi"/>
            <w:bCs w:val="0"/>
            <w:lang w:eastAsia="pl-PL"/>
          </w:rPr>
          <w:tab/>
        </w:r>
        <w:r w:rsidR="001F6151" w:rsidRPr="00D463A2">
          <w:rPr>
            <w:rStyle w:val="Hipercze"/>
          </w:rPr>
          <w:t>Regulacje prawne dotyczące obowiązku sprawozdawczego</w:t>
        </w:r>
        <w:r w:rsidR="001F6151">
          <w:rPr>
            <w:webHidden/>
          </w:rPr>
          <w:tab/>
        </w:r>
        <w:r w:rsidR="00A508C1">
          <w:rPr>
            <w:webHidden/>
          </w:rPr>
          <w:fldChar w:fldCharType="begin"/>
        </w:r>
        <w:r w:rsidR="001F6151">
          <w:rPr>
            <w:webHidden/>
          </w:rPr>
          <w:instrText xml:space="preserve"> PAGEREF _Toc37242616 \h </w:instrText>
        </w:r>
        <w:r w:rsidR="00A508C1">
          <w:rPr>
            <w:webHidden/>
          </w:rPr>
        </w:r>
        <w:r w:rsidR="00A508C1">
          <w:rPr>
            <w:webHidden/>
          </w:rPr>
          <w:fldChar w:fldCharType="separate"/>
        </w:r>
        <w:r w:rsidR="001F6151">
          <w:rPr>
            <w:webHidden/>
          </w:rPr>
          <w:t>3</w:t>
        </w:r>
        <w:r w:rsidR="00A508C1">
          <w:rPr>
            <w:webHidden/>
          </w:rPr>
          <w:fldChar w:fldCharType="end"/>
        </w:r>
      </w:hyperlink>
    </w:p>
    <w:p w14:paraId="4FED49E8" w14:textId="77777777" w:rsidR="001F6151" w:rsidRDefault="00350418">
      <w:pPr>
        <w:pStyle w:val="Spistreci2"/>
        <w:rPr>
          <w:rFonts w:asciiTheme="minorHAnsi" w:eastAsiaTheme="minorEastAsia" w:hAnsiTheme="minorHAnsi" w:cstheme="minorBidi"/>
          <w:bCs w:val="0"/>
          <w:lang w:eastAsia="pl-PL"/>
        </w:rPr>
      </w:pPr>
      <w:hyperlink w:anchor="_Toc37242617" w:history="1">
        <w:r w:rsidR="001F6151" w:rsidRPr="00D463A2">
          <w:rPr>
            <w:rStyle w:val="Hipercze"/>
          </w:rPr>
          <w:t xml:space="preserve">2.2 </w:t>
        </w:r>
        <w:r w:rsidR="001F6151">
          <w:rPr>
            <w:rFonts w:asciiTheme="minorHAnsi" w:eastAsiaTheme="minorEastAsia" w:hAnsiTheme="minorHAnsi" w:cstheme="minorBidi"/>
            <w:bCs w:val="0"/>
            <w:lang w:eastAsia="pl-PL"/>
          </w:rPr>
          <w:tab/>
        </w:r>
        <w:r w:rsidR="001F6151" w:rsidRPr="00D463A2">
          <w:rPr>
            <w:rStyle w:val="Hipercze"/>
          </w:rPr>
          <w:t>Gwarancje i poręczenia udzielone przez Skarb Państwa</w:t>
        </w:r>
        <w:r w:rsidR="001F6151">
          <w:rPr>
            <w:webHidden/>
          </w:rPr>
          <w:tab/>
        </w:r>
        <w:r w:rsidR="00A508C1">
          <w:rPr>
            <w:webHidden/>
          </w:rPr>
          <w:fldChar w:fldCharType="begin"/>
        </w:r>
        <w:r w:rsidR="001F6151">
          <w:rPr>
            <w:webHidden/>
          </w:rPr>
          <w:instrText xml:space="preserve"> PAGEREF _Toc37242617 \h </w:instrText>
        </w:r>
        <w:r w:rsidR="00A508C1">
          <w:rPr>
            <w:webHidden/>
          </w:rPr>
        </w:r>
        <w:r w:rsidR="00A508C1">
          <w:rPr>
            <w:webHidden/>
          </w:rPr>
          <w:fldChar w:fldCharType="separate"/>
        </w:r>
        <w:r w:rsidR="001F6151">
          <w:rPr>
            <w:webHidden/>
          </w:rPr>
          <w:t>4</w:t>
        </w:r>
        <w:r w:rsidR="00A508C1">
          <w:rPr>
            <w:webHidden/>
          </w:rPr>
          <w:fldChar w:fldCharType="end"/>
        </w:r>
      </w:hyperlink>
    </w:p>
    <w:p w14:paraId="5D392AFC" w14:textId="77777777" w:rsidR="001F6151" w:rsidRDefault="00350418">
      <w:pPr>
        <w:pStyle w:val="Spistreci3"/>
        <w:rPr>
          <w:rFonts w:asciiTheme="minorHAnsi" w:eastAsiaTheme="minorEastAsia" w:hAnsiTheme="minorHAnsi" w:cstheme="minorBidi"/>
          <w:noProof/>
          <w:lang w:eastAsia="pl-PL"/>
        </w:rPr>
      </w:pPr>
      <w:hyperlink w:anchor="_Toc37242618" w:history="1">
        <w:r w:rsidR="001F6151" w:rsidRPr="00D463A2">
          <w:rPr>
            <w:rStyle w:val="Hipercze"/>
            <w:noProof/>
          </w:rPr>
          <w:t xml:space="preserve">2.2.1 </w:t>
        </w:r>
        <w:r w:rsidR="001F6151">
          <w:rPr>
            <w:rFonts w:asciiTheme="minorHAnsi" w:eastAsiaTheme="minorEastAsia" w:hAnsiTheme="minorHAnsi" w:cstheme="minorBidi"/>
            <w:noProof/>
            <w:lang w:eastAsia="pl-PL"/>
          </w:rPr>
          <w:tab/>
        </w:r>
        <w:r w:rsidR="001F6151" w:rsidRPr="00D463A2">
          <w:rPr>
            <w:rStyle w:val="Hipercze"/>
            <w:noProof/>
          </w:rPr>
          <w:t>Udzielone gwarancje i poręczenia Skarbu Państwa</w:t>
        </w:r>
        <w:r w:rsidR="001F6151">
          <w:rPr>
            <w:noProof/>
            <w:webHidden/>
          </w:rPr>
          <w:tab/>
        </w:r>
        <w:r w:rsidR="00A508C1">
          <w:rPr>
            <w:noProof/>
            <w:webHidden/>
          </w:rPr>
          <w:fldChar w:fldCharType="begin"/>
        </w:r>
        <w:r w:rsidR="001F6151">
          <w:rPr>
            <w:noProof/>
            <w:webHidden/>
          </w:rPr>
          <w:instrText xml:space="preserve"> PAGEREF _Toc37242618 \h </w:instrText>
        </w:r>
        <w:r w:rsidR="00A508C1">
          <w:rPr>
            <w:noProof/>
            <w:webHidden/>
          </w:rPr>
        </w:r>
        <w:r w:rsidR="00A508C1">
          <w:rPr>
            <w:noProof/>
            <w:webHidden/>
          </w:rPr>
          <w:fldChar w:fldCharType="separate"/>
        </w:r>
        <w:r w:rsidR="001F6151">
          <w:rPr>
            <w:noProof/>
            <w:webHidden/>
          </w:rPr>
          <w:t>4</w:t>
        </w:r>
        <w:r w:rsidR="00A508C1">
          <w:rPr>
            <w:noProof/>
            <w:webHidden/>
          </w:rPr>
          <w:fldChar w:fldCharType="end"/>
        </w:r>
      </w:hyperlink>
    </w:p>
    <w:p w14:paraId="7533005A" w14:textId="77777777" w:rsidR="001F6151" w:rsidRDefault="00350418">
      <w:pPr>
        <w:pStyle w:val="Spistreci3"/>
        <w:rPr>
          <w:rFonts w:asciiTheme="minorHAnsi" w:eastAsiaTheme="minorEastAsia" w:hAnsiTheme="minorHAnsi" w:cstheme="minorBidi"/>
          <w:noProof/>
          <w:lang w:eastAsia="pl-PL"/>
        </w:rPr>
      </w:pPr>
      <w:hyperlink w:anchor="_Toc37242619" w:history="1">
        <w:r w:rsidR="001F6151" w:rsidRPr="00D463A2">
          <w:rPr>
            <w:rStyle w:val="Hipercze"/>
            <w:noProof/>
          </w:rPr>
          <w:t>2.2.2 Wykorzystanie ustawowego limitu poręczeń i gwarancji Skarbu Państwa na rok 2019</w:t>
        </w:r>
        <w:r w:rsidR="001F6151">
          <w:rPr>
            <w:noProof/>
            <w:webHidden/>
          </w:rPr>
          <w:tab/>
        </w:r>
        <w:r w:rsidR="00A508C1">
          <w:rPr>
            <w:noProof/>
            <w:webHidden/>
          </w:rPr>
          <w:fldChar w:fldCharType="begin"/>
        </w:r>
        <w:r w:rsidR="001F6151">
          <w:rPr>
            <w:noProof/>
            <w:webHidden/>
          </w:rPr>
          <w:instrText xml:space="preserve"> PAGEREF _Toc37242619 \h </w:instrText>
        </w:r>
        <w:r w:rsidR="00A508C1">
          <w:rPr>
            <w:noProof/>
            <w:webHidden/>
          </w:rPr>
        </w:r>
        <w:r w:rsidR="00A508C1">
          <w:rPr>
            <w:noProof/>
            <w:webHidden/>
          </w:rPr>
          <w:fldChar w:fldCharType="separate"/>
        </w:r>
        <w:r w:rsidR="001F6151">
          <w:rPr>
            <w:noProof/>
            <w:webHidden/>
          </w:rPr>
          <w:t>5</w:t>
        </w:r>
        <w:r w:rsidR="00A508C1">
          <w:rPr>
            <w:noProof/>
            <w:webHidden/>
          </w:rPr>
          <w:fldChar w:fldCharType="end"/>
        </w:r>
      </w:hyperlink>
    </w:p>
    <w:p w14:paraId="40A171BC" w14:textId="77777777" w:rsidR="001F6151" w:rsidRDefault="00350418">
      <w:pPr>
        <w:pStyle w:val="Spistreci3"/>
        <w:rPr>
          <w:rFonts w:asciiTheme="minorHAnsi" w:eastAsiaTheme="minorEastAsia" w:hAnsiTheme="minorHAnsi" w:cstheme="minorBidi"/>
          <w:noProof/>
          <w:lang w:eastAsia="pl-PL"/>
        </w:rPr>
      </w:pPr>
      <w:hyperlink w:anchor="_Toc37242620" w:history="1">
        <w:r w:rsidR="001F6151" w:rsidRPr="00D463A2">
          <w:rPr>
            <w:rStyle w:val="Hipercze"/>
            <w:noProof/>
          </w:rPr>
          <w:t>2.2.3</w:t>
        </w:r>
        <w:r w:rsidR="001F6151">
          <w:rPr>
            <w:rFonts w:asciiTheme="minorHAnsi" w:eastAsiaTheme="minorEastAsia" w:hAnsiTheme="minorHAnsi" w:cstheme="minorBidi"/>
            <w:noProof/>
            <w:lang w:eastAsia="pl-PL"/>
          </w:rPr>
          <w:tab/>
        </w:r>
        <w:r w:rsidR="001F6151" w:rsidRPr="00D463A2">
          <w:rPr>
            <w:rStyle w:val="Hipercze"/>
            <w:noProof/>
          </w:rPr>
          <w:t>Opłaty prowizyjne od udzielonych gwarancji i poręczeń wpłacane na rachunek rezerw poręczeniowych i gwarancyjnych Skarbu Państwa</w:t>
        </w:r>
        <w:r w:rsidR="001F6151">
          <w:rPr>
            <w:noProof/>
            <w:webHidden/>
          </w:rPr>
          <w:tab/>
        </w:r>
        <w:r w:rsidR="00A508C1">
          <w:rPr>
            <w:noProof/>
            <w:webHidden/>
          </w:rPr>
          <w:fldChar w:fldCharType="begin"/>
        </w:r>
        <w:r w:rsidR="001F6151">
          <w:rPr>
            <w:noProof/>
            <w:webHidden/>
          </w:rPr>
          <w:instrText xml:space="preserve"> PAGEREF _Toc37242620 \h </w:instrText>
        </w:r>
        <w:r w:rsidR="00A508C1">
          <w:rPr>
            <w:noProof/>
            <w:webHidden/>
          </w:rPr>
        </w:r>
        <w:r w:rsidR="00A508C1">
          <w:rPr>
            <w:noProof/>
            <w:webHidden/>
          </w:rPr>
          <w:fldChar w:fldCharType="separate"/>
        </w:r>
        <w:r w:rsidR="001F6151">
          <w:rPr>
            <w:noProof/>
            <w:webHidden/>
          </w:rPr>
          <w:t>5</w:t>
        </w:r>
        <w:r w:rsidR="00A508C1">
          <w:rPr>
            <w:noProof/>
            <w:webHidden/>
          </w:rPr>
          <w:fldChar w:fldCharType="end"/>
        </w:r>
      </w:hyperlink>
    </w:p>
    <w:p w14:paraId="0C9508A6" w14:textId="77777777" w:rsidR="001F6151" w:rsidRDefault="00350418">
      <w:pPr>
        <w:pStyle w:val="Spistreci3"/>
        <w:rPr>
          <w:rFonts w:asciiTheme="minorHAnsi" w:eastAsiaTheme="minorEastAsia" w:hAnsiTheme="minorHAnsi" w:cstheme="minorBidi"/>
          <w:noProof/>
          <w:lang w:eastAsia="pl-PL"/>
        </w:rPr>
      </w:pPr>
      <w:hyperlink w:anchor="_Toc37242621" w:history="1">
        <w:r w:rsidR="001F6151" w:rsidRPr="00D463A2">
          <w:rPr>
            <w:rStyle w:val="Hipercze"/>
            <w:noProof/>
          </w:rPr>
          <w:t xml:space="preserve">2.2.4 </w:t>
        </w:r>
        <w:r w:rsidR="001F6151">
          <w:rPr>
            <w:rFonts w:asciiTheme="minorHAnsi" w:eastAsiaTheme="minorEastAsia" w:hAnsiTheme="minorHAnsi" w:cstheme="minorBidi"/>
            <w:noProof/>
            <w:lang w:eastAsia="pl-PL"/>
          </w:rPr>
          <w:tab/>
        </w:r>
        <w:r w:rsidR="001F6151" w:rsidRPr="00D463A2">
          <w:rPr>
            <w:rStyle w:val="Hipercze"/>
            <w:noProof/>
          </w:rPr>
          <w:t>Niewymagalne zobowiązania Skarbu Państwa</w:t>
        </w:r>
        <w:r w:rsidR="001F6151">
          <w:rPr>
            <w:noProof/>
            <w:webHidden/>
          </w:rPr>
          <w:tab/>
        </w:r>
        <w:r w:rsidR="00A508C1">
          <w:rPr>
            <w:noProof/>
            <w:webHidden/>
          </w:rPr>
          <w:fldChar w:fldCharType="begin"/>
        </w:r>
        <w:r w:rsidR="001F6151">
          <w:rPr>
            <w:noProof/>
            <w:webHidden/>
          </w:rPr>
          <w:instrText xml:space="preserve"> PAGEREF _Toc37242621 \h </w:instrText>
        </w:r>
        <w:r w:rsidR="00A508C1">
          <w:rPr>
            <w:noProof/>
            <w:webHidden/>
          </w:rPr>
        </w:r>
        <w:r w:rsidR="00A508C1">
          <w:rPr>
            <w:noProof/>
            <w:webHidden/>
          </w:rPr>
          <w:fldChar w:fldCharType="separate"/>
        </w:r>
        <w:r w:rsidR="001F6151">
          <w:rPr>
            <w:noProof/>
            <w:webHidden/>
          </w:rPr>
          <w:t>6</w:t>
        </w:r>
        <w:r w:rsidR="00A508C1">
          <w:rPr>
            <w:noProof/>
            <w:webHidden/>
          </w:rPr>
          <w:fldChar w:fldCharType="end"/>
        </w:r>
      </w:hyperlink>
    </w:p>
    <w:p w14:paraId="4C79897E" w14:textId="77777777" w:rsidR="001F6151" w:rsidRDefault="00350418">
      <w:pPr>
        <w:pStyle w:val="Spistreci3"/>
        <w:rPr>
          <w:rFonts w:asciiTheme="minorHAnsi" w:eastAsiaTheme="minorEastAsia" w:hAnsiTheme="minorHAnsi" w:cstheme="minorBidi"/>
          <w:noProof/>
          <w:lang w:eastAsia="pl-PL"/>
        </w:rPr>
      </w:pPr>
      <w:hyperlink w:anchor="_Toc37242622" w:history="1">
        <w:r w:rsidR="001F6151" w:rsidRPr="00D463A2">
          <w:rPr>
            <w:rStyle w:val="Hipercze"/>
            <w:noProof/>
          </w:rPr>
          <w:t>2.2.5 Wydatki i należności Skarbu Państwa</w:t>
        </w:r>
        <w:r w:rsidR="001F6151">
          <w:rPr>
            <w:noProof/>
            <w:webHidden/>
          </w:rPr>
          <w:tab/>
        </w:r>
        <w:r w:rsidR="00A508C1">
          <w:rPr>
            <w:noProof/>
            <w:webHidden/>
          </w:rPr>
          <w:fldChar w:fldCharType="begin"/>
        </w:r>
        <w:r w:rsidR="001F6151">
          <w:rPr>
            <w:noProof/>
            <w:webHidden/>
          </w:rPr>
          <w:instrText xml:space="preserve"> PAGEREF _Toc37242622 \h </w:instrText>
        </w:r>
        <w:r w:rsidR="00A508C1">
          <w:rPr>
            <w:noProof/>
            <w:webHidden/>
          </w:rPr>
        </w:r>
        <w:r w:rsidR="00A508C1">
          <w:rPr>
            <w:noProof/>
            <w:webHidden/>
          </w:rPr>
          <w:fldChar w:fldCharType="separate"/>
        </w:r>
        <w:r w:rsidR="001F6151">
          <w:rPr>
            <w:noProof/>
            <w:webHidden/>
          </w:rPr>
          <w:t>8</w:t>
        </w:r>
        <w:r w:rsidR="00A508C1">
          <w:rPr>
            <w:noProof/>
            <w:webHidden/>
          </w:rPr>
          <w:fldChar w:fldCharType="end"/>
        </w:r>
      </w:hyperlink>
    </w:p>
    <w:p w14:paraId="6D9C81A9" w14:textId="77777777" w:rsidR="001F6151" w:rsidRDefault="00350418">
      <w:pPr>
        <w:pStyle w:val="Spistreci2"/>
        <w:rPr>
          <w:rFonts w:asciiTheme="minorHAnsi" w:eastAsiaTheme="minorEastAsia" w:hAnsiTheme="minorHAnsi" w:cstheme="minorBidi"/>
          <w:bCs w:val="0"/>
          <w:lang w:eastAsia="pl-PL"/>
        </w:rPr>
      </w:pPr>
      <w:hyperlink w:anchor="_Toc37242623" w:history="1">
        <w:r w:rsidR="001F6151" w:rsidRPr="00D463A2">
          <w:rPr>
            <w:rStyle w:val="Hipercze"/>
          </w:rPr>
          <w:t xml:space="preserve">2.3 </w:t>
        </w:r>
        <w:r w:rsidR="001F6151">
          <w:rPr>
            <w:rFonts w:asciiTheme="minorHAnsi" w:eastAsiaTheme="minorEastAsia" w:hAnsiTheme="minorHAnsi" w:cstheme="minorBidi"/>
            <w:bCs w:val="0"/>
            <w:lang w:eastAsia="pl-PL"/>
          </w:rPr>
          <w:tab/>
        </w:r>
        <w:r w:rsidR="001F6151" w:rsidRPr="00D463A2">
          <w:rPr>
            <w:rStyle w:val="Hipercze"/>
          </w:rPr>
          <w:t>Poręczenia i gwarancje udzielone przez niektóre osoby prawne</w:t>
        </w:r>
        <w:r w:rsidR="001F6151">
          <w:rPr>
            <w:webHidden/>
          </w:rPr>
          <w:tab/>
        </w:r>
        <w:r w:rsidR="00A508C1">
          <w:rPr>
            <w:webHidden/>
          </w:rPr>
          <w:fldChar w:fldCharType="begin"/>
        </w:r>
        <w:r w:rsidR="001F6151">
          <w:rPr>
            <w:webHidden/>
          </w:rPr>
          <w:instrText xml:space="preserve"> PAGEREF _Toc37242623 \h </w:instrText>
        </w:r>
        <w:r w:rsidR="00A508C1">
          <w:rPr>
            <w:webHidden/>
          </w:rPr>
        </w:r>
        <w:r w:rsidR="00A508C1">
          <w:rPr>
            <w:webHidden/>
          </w:rPr>
          <w:fldChar w:fldCharType="separate"/>
        </w:r>
        <w:r w:rsidR="001F6151">
          <w:rPr>
            <w:webHidden/>
          </w:rPr>
          <w:t>9</w:t>
        </w:r>
        <w:r w:rsidR="00A508C1">
          <w:rPr>
            <w:webHidden/>
          </w:rPr>
          <w:fldChar w:fldCharType="end"/>
        </w:r>
      </w:hyperlink>
    </w:p>
    <w:p w14:paraId="282716E6" w14:textId="77777777" w:rsidR="001F6151" w:rsidRDefault="00350418">
      <w:pPr>
        <w:pStyle w:val="Spistreci2"/>
        <w:rPr>
          <w:rFonts w:asciiTheme="minorHAnsi" w:eastAsiaTheme="minorEastAsia" w:hAnsiTheme="minorHAnsi" w:cstheme="minorBidi"/>
          <w:bCs w:val="0"/>
          <w:lang w:eastAsia="pl-PL"/>
        </w:rPr>
      </w:pPr>
      <w:hyperlink w:anchor="_Toc37242624" w:history="1">
        <w:r w:rsidR="001F6151" w:rsidRPr="00D463A2">
          <w:rPr>
            <w:rStyle w:val="Hipercze"/>
          </w:rPr>
          <w:t xml:space="preserve">2.4 </w:t>
        </w:r>
        <w:r w:rsidR="001F6151">
          <w:rPr>
            <w:rFonts w:asciiTheme="minorHAnsi" w:eastAsiaTheme="minorEastAsia" w:hAnsiTheme="minorHAnsi" w:cstheme="minorBidi"/>
            <w:bCs w:val="0"/>
            <w:lang w:eastAsia="pl-PL"/>
          </w:rPr>
          <w:tab/>
        </w:r>
        <w:r w:rsidR="001F6151" w:rsidRPr="00D463A2">
          <w:rPr>
            <w:rStyle w:val="Hipercze"/>
          </w:rPr>
          <w:t>Poręczenia i gwarancje Banku Gospodarstwa Krajowego</w:t>
        </w:r>
        <w:r w:rsidR="001F6151">
          <w:rPr>
            <w:webHidden/>
          </w:rPr>
          <w:tab/>
        </w:r>
        <w:r w:rsidR="00A508C1">
          <w:rPr>
            <w:webHidden/>
          </w:rPr>
          <w:fldChar w:fldCharType="begin"/>
        </w:r>
        <w:r w:rsidR="001F6151">
          <w:rPr>
            <w:webHidden/>
          </w:rPr>
          <w:instrText xml:space="preserve"> PAGEREF _Toc37242624 \h </w:instrText>
        </w:r>
        <w:r w:rsidR="00A508C1">
          <w:rPr>
            <w:webHidden/>
          </w:rPr>
        </w:r>
        <w:r w:rsidR="00A508C1">
          <w:rPr>
            <w:webHidden/>
          </w:rPr>
          <w:fldChar w:fldCharType="separate"/>
        </w:r>
        <w:r w:rsidR="001F6151">
          <w:rPr>
            <w:webHidden/>
          </w:rPr>
          <w:t>10</w:t>
        </w:r>
        <w:r w:rsidR="00A508C1">
          <w:rPr>
            <w:webHidden/>
          </w:rPr>
          <w:fldChar w:fldCharType="end"/>
        </w:r>
      </w:hyperlink>
    </w:p>
    <w:p w14:paraId="7EA63B9C" w14:textId="77777777" w:rsidR="001F6151" w:rsidRDefault="00350418">
      <w:pPr>
        <w:pStyle w:val="Spistreci3"/>
        <w:rPr>
          <w:rFonts w:asciiTheme="minorHAnsi" w:eastAsiaTheme="minorEastAsia" w:hAnsiTheme="minorHAnsi" w:cstheme="minorBidi"/>
          <w:noProof/>
          <w:lang w:eastAsia="pl-PL"/>
        </w:rPr>
      </w:pPr>
      <w:hyperlink w:anchor="_Toc37242625" w:history="1">
        <w:r w:rsidR="001F6151" w:rsidRPr="00D463A2">
          <w:rPr>
            <w:rStyle w:val="Hipercze"/>
            <w:noProof/>
          </w:rPr>
          <w:t xml:space="preserve">2.4.1 </w:t>
        </w:r>
        <w:r w:rsidR="001F6151">
          <w:rPr>
            <w:rFonts w:asciiTheme="minorHAnsi" w:eastAsiaTheme="minorEastAsia" w:hAnsiTheme="minorHAnsi" w:cstheme="minorBidi"/>
            <w:noProof/>
            <w:lang w:eastAsia="pl-PL"/>
          </w:rPr>
          <w:tab/>
        </w:r>
        <w:r w:rsidR="001F6151" w:rsidRPr="00D463A2">
          <w:rPr>
            <w:rStyle w:val="Hipercze"/>
            <w:noProof/>
          </w:rPr>
          <w:t>Program Wspierania Przedsiębiorczości</w:t>
        </w:r>
        <w:r w:rsidR="001F6151">
          <w:rPr>
            <w:noProof/>
            <w:webHidden/>
          </w:rPr>
          <w:tab/>
        </w:r>
        <w:r w:rsidR="00A508C1">
          <w:rPr>
            <w:noProof/>
            <w:webHidden/>
          </w:rPr>
          <w:fldChar w:fldCharType="begin"/>
        </w:r>
        <w:r w:rsidR="001F6151">
          <w:rPr>
            <w:noProof/>
            <w:webHidden/>
          </w:rPr>
          <w:instrText xml:space="preserve"> PAGEREF _Toc37242625 \h </w:instrText>
        </w:r>
        <w:r w:rsidR="00A508C1">
          <w:rPr>
            <w:noProof/>
            <w:webHidden/>
          </w:rPr>
        </w:r>
        <w:r w:rsidR="00A508C1">
          <w:rPr>
            <w:noProof/>
            <w:webHidden/>
          </w:rPr>
          <w:fldChar w:fldCharType="separate"/>
        </w:r>
        <w:r w:rsidR="001F6151">
          <w:rPr>
            <w:noProof/>
            <w:webHidden/>
          </w:rPr>
          <w:t>10</w:t>
        </w:r>
        <w:r w:rsidR="00A508C1">
          <w:rPr>
            <w:noProof/>
            <w:webHidden/>
          </w:rPr>
          <w:fldChar w:fldCharType="end"/>
        </w:r>
      </w:hyperlink>
    </w:p>
    <w:p w14:paraId="4A49C981" w14:textId="77777777" w:rsidR="001F6151" w:rsidRDefault="00350418">
      <w:pPr>
        <w:pStyle w:val="Spistreci4"/>
        <w:rPr>
          <w:rFonts w:asciiTheme="minorHAnsi" w:eastAsiaTheme="minorEastAsia" w:hAnsiTheme="minorHAnsi" w:cstheme="minorBidi"/>
        </w:rPr>
      </w:pPr>
      <w:hyperlink w:anchor="_Toc37242626" w:history="1">
        <w:r w:rsidR="001F6151" w:rsidRPr="00D463A2">
          <w:rPr>
            <w:rStyle w:val="Hipercze"/>
          </w:rPr>
          <w:t>2.4.1.1</w:t>
        </w:r>
        <w:r w:rsidR="001F6151">
          <w:rPr>
            <w:rFonts w:asciiTheme="minorHAnsi" w:eastAsiaTheme="minorEastAsia" w:hAnsiTheme="minorHAnsi" w:cstheme="minorBidi"/>
          </w:rPr>
          <w:tab/>
        </w:r>
        <w:r w:rsidR="001F6151" w:rsidRPr="00D463A2">
          <w:rPr>
            <w:rStyle w:val="Hipercze"/>
          </w:rPr>
          <w:t>Charakterystyka działalności poręczeniowo-gwarancyjnej Banku Gospodarstwa Krajowego w ramach Programu Wspierania Przedsiębiorczości</w:t>
        </w:r>
        <w:r w:rsidR="001F6151">
          <w:rPr>
            <w:webHidden/>
          </w:rPr>
          <w:tab/>
        </w:r>
        <w:r w:rsidR="00A508C1">
          <w:rPr>
            <w:webHidden/>
          </w:rPr>
          <w:fldChar w:fldCharType="begin"/>
        </w:r>
        <w:r w:rsidR="001F6151">
          <w:rPr>
            <w:webHidden/>
          </w:rPr>
          <w:instrText xml:space="preserve"> PAGEREF _Toc37242626 \h </w:instrText>
        </w:r>
        <w:r w:rsidR="00A508C1">
          <w:rPr>
            <w:webHidden/>
          </w:rPr>
        </w:r>
        <w:r w:rsidR="00A508C1">
          <w:rPr>
            <w:webHidden/>
          </w:rPr>
          <w:fldChar w:fldCharType="separate"/>
        </w:r>
        <w:r w:rsidR="001F6151">
          <w:rPr>
            <w:webHidden/>
          </w:rPr>
          <w:t>10</w:t>
        </w:r>
        <w:r w:rsidR="00A508C1">
          <w:rPr>
            <w:webHidden/>
          </w:rPr>
          <w:fldChar w:fldCharType="end"/>
        </w:r>
      </w:hyperlink>
    </w:p>
    <w:p w14:paraId="0BC44131" w14:textId="77777777" w:rsidR="001F6151" w:rsidRDefault="00350418">
      <w:pPr>
        <w:pStyle w:val="Spistreci4"/>
        <w:rPr>
          <w:rFonts w:asciiTheme="minorHAnsi" w:eastAsiaTheme="minorEastAsia" w:hAnsiTheme="minorHAnsi" w:cstheme="minorBidi"/>
        </w:rPr>
      </w:pPr>
      <w:hyperlink w:anchor="_Toc37242627" w:history="1">
        <w:r w:rsidR="001F6151" w:rsidRPr="00D463A2">
          <w:rPr>
            <w:rStyle w:val="Hipercze"/>
          </w:rPr>
          <w:t>2.4.1.2 Poręczenia i gwarancje udzielone w 2019 r. w ramach Programu Wspierania Przedsiębiorczości</w:t>
        </w:r>
        <w:r w:rsidR="001F6151">
          <w:rPr>
            <w:webHidden/>
          </w:rPr>
          <w:tab/>
        </w:r>
        <w:r w:rsidR="00A508C1">
          <w:rPr>
            <w:webHidden/>
          </w:rPr>
          <w:fldChar w:fldCharType="begin"/>
        </w:r>
        <w:r w:rsidR="001F6151">
          <w:rPr>
            <w:webHidden/>
          </w:rPr>
          <w:instrText xml:space="preserve"> PAGEREF _Toc37242627 \h </w:instrText>
        </w:r>
        <w:r w:rsidR="00A508C1">
          <w:rPr>
            <w:webHidden/>
          </w:rPr>
        </w:r>
        <w:r w:rsidR="00A508C1">
          <w:rPr>
            <w:webHidden/>
          </w:rPr>
          <w:fldChar w:fldCharType="separate"/>
        </w:r>
        <w:r w:rsidR="001F6151">
          <w:rPr>
            <w:webHidden/>
          </w:rPr>
          <w:t>12</w:t>
        </w:r>
        <w:r w:rsidR="00A508C1">
          <w:rPr>
            <w:webHidden/>
          </w:rPr>
          <w:fldChar w:fldCharType="end"/>
        </w:r>
      </w:hyperlink>
    </w:p>
    <w:p w14:paraId="0305BACA" w14:textId="77777777" w:rsidR="001F6151" w:rsidRDefault="00350418">
      <w:pPr>
        <w:pStyle w:val="Spistreci4"/>
        <w:rPr>
          <w:rFonts w:asciiTheme="minorHAnsi" w:eastAsiaTheme="minorEastAsia" w:hAnsiTheme="minorHAnsi" w:cstheme="minorBidi"/>
        </w:rPr>
      </w:pPr>
      <w:hyperlink w:anchor="_Toc37242628" w:history="1">
        <w:r w:rsidR="001F6151" w:rsidRPr="00D463A2">
          <w:rPr>
            <w:rStyle w:val="Hipercze"/>
          </w:rPr>
          <w:t>2.4.1.3 Wsparcie kapitałowe funduszy poręczeniowych w ramach Programu Wspierania Przedsiębiorczości</w:t>
        </w:r>
        <w:r w:rsidR="001F6151">
          <w:rPr>
            <w:webHidden/>
          </w:rPr>
          <w:tab/>
        </w:r>
        <w:r w:rsidR="00A508C1">
          <w:rPr>
            <w:webHidden/>
          </w:rPr>
          <w:fldChar w:fldCharType="begin"/>
        </w:r>
        <w:r w:rsidR="001F6151">
          <w:rPr>
            <w:webHidden/>
          </w:rPr>
          <w:instrText xml:space="preserve"> PAGEREF _Toc37242628 \h </w:instrText>
        </w:r>
        <w:r w:rsidR="00A508C1">
          <w:rPr>
            <w:webHidden/>
          </w:rPr>
        </w:r>
        <w:r w:rsidR="00A508C1">
          <w:rPr>
            <w:webHidden/>
          </w:rPr>
          <w:fldChar w:fldCharType="separate"/>
        </w:r>
        <w:r w:rsidR="001F6151">
          <w:rPr>
            <w:webHidden/>
          </w:rPr>
          <w:t>13</w:t>
        </w:r>
        <w:r w:rsidR="00A508C1">
          <w:rPr>
            <w:webHidden/>
          </w:rPr>
          <w:fldChar w:fldCharType="end"/>
        </w:r>
      </w:hyperlink>
    </w:p>
    <w:p w14:paraId="0DDB7D86" w14:textId="77777777" w:rsidR="001F6151" w:rsidRDefault="00350418">
      <w:pPr>
        <w:pStyle w:val="Spistreci3"/>
        <w:rPr>
          <w:rFonts w:asciiTheme="minorHAnsi" w:eastAsiaTheme="minorEastAsia" w:hAnsiTheme="minorHAnsi" w:cstheme="minorBidi"/>
          <w:noProof/>
          <w:lang w:eastAsia="pl-PL"/>
        </w:rPr>
      </w:pPr>
      <w:hyperlink w:anchor="_Toc37242629" w:history="1">
        <w:r w:rsidR="001F6151" w:rsidRPr="00D463A2">
          <w:rPr>
            <w:rStyle w:val="Hipercze"/>
            <w:noProof/>
          </w:rPr>
          <w:t xml:space="preserve">2.4.2 </w:t>
        </w:r>
        <w:r w:rsidR="001F6151">
          <w:rPr>
            <w:rFonts w:asciiTheme="minorHAnsi" w:eastAsiaTheme="minorEastAsia" w:hAnsiTheme="minorHAnsi" w:cstheme="minorBidi"/>
            <w:noProof/>
            <w:lang w:eastAsia="pl-PL"/>
          </w:rPr>
          <w:tab/>
        </w:r>
        <w:r w:rsidR="001F6151" w:rsidRPr="00D463A2">
          <w:rPr>
            <w:rStyle w:val="Hipercze"/>
            <w:noProof/>
          </w:rPr>
          <w:t>Program Wsparcia Prywatyzacji</w:t>
        </w:r>
        <w:r w:rsidR="001F6151">
          <w:rPr>
            <w:noProof/>
            <w:webHidden/>
          </w:rPr>
          <w:tab/>
        </w:r>
        <w:r w:rsidR="00A508C1">
          <w:rPr>
            <w:noProof/>
            <w:webHidden/>
          </w:rPr>
          <w:fldChar w:fldCharType="begin"/>
        </w:r>
        <w:r w:rsidR="001F6151">
          <w:rPr>
            <w:noProof/>
            <w:webHidden/>
          </w:rPr>
          <w:instrText xml:space="preserve"> PAGEREF _Toc37242629 \h </w:instrText>
        </w:r>
        <w:r w:rsidR="00A508C1">
          <w:rPr>
            <w:noProof/>
            <w:webHidden/>
          </w:rPr>
        </w:r>
        <w:r w:rsidR="00A508C1">
          <w:rPr>
            <w:noProof/>
            <w:webHidden/>
          </w:rPr>
          <w:fldChar w:fldCharType="separate"/>
        </w:r>
        <w:r w:rsidR="001F6151">
          <w:rPr>
            <w:noProof/>
            <w:webHidden/>
          </w:rPr>
          <w:t>14</w:t>
        </w:r>
        <w:r w:rsidR="00A508C1">
          <w:rPr>
            <w:noProof/>
            <w:webHidden/>
          </w:rPr>
          <w:fldChar w:fldCharType="end"/>
        </w:r>
      </w:hyperlink>
    </w:p>
    <w:p w14:paraId="386B429E" w14:textId="77777777" w:rsidR="001F6151" w:rsidRDefault="00350418">
      <w:pPr>
        <w:pStyle w:val="Spistreci3"/>
        <w:rPr>
          <w:rFonts w:asciiTheme="minorHAnsi" w:eastAsiaTheme="minorEastAsia" w:hAnsiTheme="minorHAnsi" w:cstheme="minorBidi"/>
          <w:noProof/>
          <w:lang w:eastAsia="pl-PL"/>
        </w:rPr>
      </w:pPr>
      <w:hyperlink w:anchor="_Toc37242630" w:history="1">
        <w:r w:rsidR="001F6151" w:rsidRPr="00D463A2">
          <w:rPr>
            <w:rStyle w:val="Hipercze"/>
            <w:noProof/>
          </w:rPr>
          <w:t xml:space="preserve">2.4.3 </w:t>
        </w:r>
        <w:r w:rsidR="001F6151">
          <w:rPr>
            <w:rFonts w:asciiTheme="minorHAnsi" w:eastAsiaTheme="minorEastAsia" w:hAnsiTheme="minorHAnsi" w:cstheme="minorBidi"/>
            <w:noProof/>
            <w:lang w:eastAsia="pl-PL"/>
          </w:rPr>
          <w:tab/>
        </w:r>
        <w:r w:rsidR="001F6151" w:rsidRPr="00D463A2">
          <w:rPr>
            <w:rStyle w:val="Hipercze"/>
            <w:noProof/>
          </w:rPr>
          <w:t>Akcje i udziały przekazane nieodpłatnie Bankowi Gospodarstwa Krajowego</w:t>
        </w:r>
        <w:r w:rsidR="001F6151">
          <w:rPr>
            <w:noProof/>
            <w:webHidden/>
          </w:rPr>
          <w:tab/>
        </w:r>
        <w:r w:rsidR="00A508C1">
          <w:rPr>
            <w:noProof/>
            <w:webHidden/>
          </w:rPr>
          <w:fldChar w:fldCharType="begin"/>
        </w:r>
        <w:r w:rsidR="001F6151">
          <w:rPr>
            <w:noProof/>
            <w:webHidden/>
          </w:rPr>
          <w:instrText xml:space="preserve"> PAGEREF _Toc37242630 \h </w:instrText>
        </w:r>
        <w:r w:rsidR="00A508C1">
          <w:rPr>
            <w:noProof/>
            <w:webHidden/>
          </w:rPr>
        </w:r>
        <w:r w:rsidR="00A508C1">
          <w:rPr>
            <w:noProof/>
            <w:webHidden/>
          </w:rPr>
          <w:fldChar w:fldCharType="separate"/>
        </w:r>
        <w:r w:rsidR="001F6151">
          <w:rPr>
            <w:noProof/>
            <w:webHidden/>
          </w:rPr>
          <w:t>14</w:t>
        </w:r>
        <w:r w:rsidR="00A508C1">
          <w:rPr>
            <w:noProof/>
            <w:webHidden/>
          </w:rPr>
          <w:fldChar w:fldCharType="end"/>
        </w:r>
      </w:hyperlink>
    </w:p>
    <w:p w14:paraId="05E77614" w14:textId="77777777" w:rsidR="001F6151" w:rsidRDefault="00350418">
      <w:pPr>
        <w:pStyle w:val="Spistreci2"/>
        <w:rPr>
          <w:rFonts w:asciiTheme="minorHAnsi" w:eastAsiaTheme="minorEastAsia" w:hAnsiTheme="minorHAnsi" w:cstheme="minorBidi"/>
          <w:bCs w:val="0"/>
          <w:lang w:eastAsia="pl-PL"/>
        </w:rPr>
      </w:pPr>
      <w:hyperlink w:anchor="_Toc37242631" w:history="1">
        <w:r w:rsidR="001F6151" w:rsidRPr="00D463A2">
          <w:rPr>
            <w:rStyle w:val="Hipercze"/>
          </w:rPr>
          <w:t xml:space="preserve">2.5 </w:t>
        </w:r>
        <w:r w:rsidR="001F6151">
          <w:rPr>
            <w:rFonts w:asciiTheme="minorHAnsi" w:eastAsiaTheme="minorEastAsia" w:hAnsiTheme="minorHAnsi" w:cstheme="minorBidi"/>
            <w:bCs w:val="0"/>
            <w:lang w:eastAsia="pl-PL"/>
          </w:rPr>
          <w:tab/>
        </w:r>
        <w:r w:rsidR="001F6151" w:rsidRPr="00D463A2">
          <w:rPr>
            <w:rStyle w:val="Hipercze"/>
          </w:rPr>
          <w:t>Informacja o liczbie i wartości akcji składających się na zasób majątkowy Skarbu Państwa przeznaczony na zaspokaja</w:t>
        </w:r>
        <w:r w:rsidR="00641E08">
          <w:rPr>
            <w:rStyle w:val="Hipercze"/>
          </w:rPr>
          <w:t xml:space="preserve">nie roszczeń z tytułu poręczeń </w:t>
        </w:r>
        <w:r w:rsidR="001F6151" w:rsidRPr="00D463A2">
          <w:rPr>
            <w:rStyle w:val="Hipercze"/>
          </w:rPr>
          <w:t>i gwarancji udzielonych przez Skarb Państwa</w:t>
        </w:r>
        <w:r w:rsidR="001F6151">
          <w:rPr>
            <w:webHidden/>
          </w:rPr>
          <w:tab/>
        </w:r>
        <w:r w:rsidR="00A508C1">
          <w:rPr>
            <w:webHidden/>
          </w:rPr>
          <w:fldChar w:fldCharType="begin"/>
        </w:r>
        <w:r w:rsidR="001F6151">
          <w:rPr>
            <w:webHidden/>
          </w:rPr>
          <w:instrText xml:space="preserve"> PAGEREF _Toc37242631 \h </w:instrText>
        </w:r>
        <w:r w:rsidR="00A508C1">
          <w:rPr>
            <w:webHidden/>
          </w:rPr>
        </w:r>
        <w:r w:rsidR="00A508C1">
          <w:rPr>
            <w:webHidden/>
          </w:rPr>
          <w:fldChar w:fldCharType="separate"/>
        </w:r>
        <w:r w:rsidR="001F6151">
          <w:rPr>
            <w:webHidden/>
          </w:rPr>
          <w:t>14</w:t>
        </w:r>
        <w:r w:rsidR="00A508C1">
          <w:rPr>
            <w:webHidden/>
          </w:rPr>
          <w:fldChar w:fldCharType="end"/>
        </w:r>
      </w:hyperlink>
    </w:p>
    <w:p w14:paraId="1BA9861B" w14:textId="77777777" w:rsidR="001F6151" w:rsidRDefault="00350418">
      <w:pPr>
        <w:pStyle w:val="Spistreci2"/>
        <w:rPr>
          <w:rFonts w:asciiTheme="minorHAnsi" w:eastAsiaTheme="minorEastAsia" w:hAnsiTheme="minorHAnsi" w:cstheme="minorBidi"/>
          <w:bCs w:val="0"/>
          <w:lang w:eastAsia="pl-PL"/>
        </w:rPr>
      </w:pPr>
      <w:hyperlink w:anchor="_Toc37242632" w:history="1">
        <w:r w:rsidR="001F6151" w:rsidRPr="00D463A2">
          <w:rPr>
            <w:rStyle w:val="Hipercze"/>
          </w:rPr>
          <w:t xml:space="preserve">2.6 </w:t>
        </w:r>
        <w:r w:rsidR="001F6151">
          <w:rPr>
            <w:rFonts w:asciiTheme="minorHAnsi" w:eastAsiaTheme="minorEastAsia" w:hAnsiTheme="minorHAnsi" w:cstheme="minorBidi"/>
            <w:bCs w:val="0"/>
            <w:lang w:eastAsia="pl-PL"/>
          </w:rPr>
          <w:tab/>
        </w:r>
        <w:r w:rsidR="001F6151" w:rsidRPr="00D463A2">
          <w:rPr>
            <w:rStyle w:val="Hipercze"/>
          </w:rPr>
          <w:t>Informacja o wykorzystaniu środków gromadzonych na rachunku rezerw poręczeniowych i gwarancyjnych Skarbu Państwa</w:t>
        </w:r>
        <w:r w:rsidR="001F6151">
          <w:rPr>
            <w:webHidden/>
          </w:rPr>
          <w:tab/>
        </w:r>
        <w:r w:rsidR="00A508C1">
          <w:rPr>
            <w:webHidden/>
          </w:rPr>
          <w:fldChar w:fldCharType="begin"/>
        </w:r>
        <w:r w:rsidR="001F6151">
          <w:rPr>
            <w:webHidden/>
          </w:rPr>
          <w:instrText xml:space="preserve"> PAGEREF _Toc37242632 \h </w:instrText>
        </w:r>
        <w:r w:rsidR="00A508C1">
          <w:rPr>
            <w:webHidden/>
          </w:rPr>
        </w:r>
        <w:r w:rsidR="00A508C1">
          <w:rPr>
            <w:webHidden/>
          </w:rPr>
          <w:fldChar w:fldCharType="separate"/>
        </w:r>
        <w:r w:rsidR="001F6151">
          <w:rPr>
            <w:webHidden/>
          </w:rPr>
          <w:t>15</w:t>
        </w:r>
        <w:r w:rsidR="00A508C1">
          <w:rPr>
            <w:webHidden/>
          </w:rPr>
          <w:fldChar w:fldCharType="end"/>
        </w:r>
      </w:hyperlink>
    </w:p>
    <w:p w14:paraId="518A6D0F" w14:textId="77777777" w:rsidR="009E3BE9" w:rsidRPr="00F771E1" w:rsidRDefault="00A508C1" w:rsidP="00DB24C2">
      <w:pPr>
        <w:spacing w:before="120" w:after="120"/>
        <w:ind w:right="-285"/>
      </w:pPr>
      <w:r w:rsidRPr="00F771E1">
        <w:rPr>
          <w:b/>
          <w:noProof/>
        </w:rPr>
        <w:fldChar w:fldCharType="end"/>
      </w:r>
    </w:p>
    <w:p w14:paraId="4686BB94" w14:textId="77777777" w:rsidR="00D71D5A" w:rsidRPr="00F771E1" w:rsidRDefault="00D71D5A" w:rsidP="00D71D5A">
      <w:pPr>
        <w:tabs>
          <w:tab w:val="left" w:pos="6298"/>
        </w:tabs>
        <w:ind w:right="-285"/>
        <w:jc w:val="both"/>
        <w:rPr>
          <w:b/>
        </w:rPr>
        <w:sectPr w:rsidR="00D71D5A" w:rsidRPr="00F771E1" w:rsidSect="00AF4BBF">
          <w:footerReference w:type="even" r:id="rId9"/>
          <w:footerReference w:type="default" r:id="rId10"/>
          <w:pgSz w:w="11906" w:h="16838" w:code="9"/>
          <w:pgMar w:top="1465" w:right="1700" w:bottom="1628" w:left="1418" w:header="709" w:footer="709" w:gutter="284"/>
          <w:paperSrc w:first="7" w:other="7"/>
          <w:cols w:space="708"/>
          <w:titlePg/>
          <w:docGrid w:linePitch="326"/>
        </w:sectPr>
      </w:pPr>
    </w:p>
    <w:p w14:paraId="39D70285" w14:textId="77777777" w:rsidR="00D71D5A" w:rsidRPr="00F771E1" w:rsidRDefault="00D71D5A" w:rsidP="00D71D5A">
      <w:pPr>
        <w:tabs>
          <w:tab w:val="left" w:pos="6298"/>
        </w:tabs>
        <w:ind w:right="-285"/>
        <w:jc w:val="both"/>
        <w:rPr>
          <w:b/>
        </w:rPr>
        <w:sectPr w:rsidR="00D71D5A" w:rsidRPr="00F771E1" w:rsidSect="00AF4BBF">
          <w:pgSz w:w="11906" w:h="16838" w:code="9"/>
          <w:pgMar w:top="1465" w:right="1700" w:bottom="1628" w:left="1418" w:header="709" w:footer="709" w:gutter="284"/>
          <w:paperSrc w:first="7" w:other="7"/>
          <w:cols w:space="708"/>
          <w:titlePg/>
          <w:docGrid w:linePitch="326"/>
        </w:sectPr>
      </w:pPr>
    </w:p>
    <w:p w14:paraId="0888756C" w14:textId="77777777" w:rsidR="00E74726" w:rsidRPr="00F771E1" w:rsidRDefault="00E74726" w:rsidP="002874A0">
      <w:pPr>
        <w:pStyle w:val="Nagwek1"/>
        <w:numPr>
          <w:ilvl w:val="0"/>
          <w:numId w:val="7"/>
        </w:numPr>
        <w:spacing w:before="120" w:after="120"/>
        <w:ind w:left="567" w:right="-1" w:hanging="567"/>
        <w:jc w:val="both"/>
        <w:rPr>
          <w:rFonts w:ascii="Times New Roman" w:hAnsi="Times New Roman" w:cs="Times New Roman"/>
          <w:sz w:val="26"/>
          <w:szCs w:val="26"/>
        </w:rPr>
      </w:pPr>
      <w:bookmarkStart w:id="0" w:name="_Toc351990860"/>
      <w:bookmarkStart w:id="1" w:name="_Toc352076138"/>
      <w:bookmarkStart w:id="2" w:name="_Toc352237510"/>
      <w:bookmarkStart w:id="3" w:name="_Toc37242613"/>
      <w:r w:rsidRPr="00F771E1">
        <w:rPr>
          <w:rFonts w:ascii="Times New Roman" w:hAnsi="Times New Roman" w:cs="Times New Roman"/>
          <w:sz w:val="26"/>
          <w:szCs w:val="26"/>
        </w:rPr>
        <w:lastRenderedPageBreak/>
        <w:t>Streszczenie najważniejszych informacji</w:t>
      </w:r>
      <w:bookmarkEnd w:id="0"/>
      <w:bookmarkEnd w:id="1"/>
      <w:bookmarkEnd w:id="2"/>
      <w:bookmarkEnd w:id="3"/>
      <w:r w:rsidRPr="00F771E1">
        <w:rPr>
          <w:rFonts w:ascii="Times New Roman" w:hAnsi="Times New Roman" w:cs="Times New Roman"/>
          <w:sz w:val="26"/>
          <w:szCs w:val="26"/>
        </w:rPr>
        <w:t xml:space="preserve"> </w:t>
      </w:r>
    </w:p>
    <w:p w14:paraId="760D602F" w14:textId="77777777" w:rsidR="008E32FA" w:rsidRPr="00F771E1" w:rsidRDefault="008E32FA" w:rsidP="00C20FF3">
      <w:pPr>
        <w:pStyle w:val="Nagwek2"/>
        <w:spacing w:before="120" w:after="120"/>
        <w:ind w:left="567" w:hanging="567"/>
        <w:jc w:val="both"/>
        <w:rPr>
          <w:rFonts w:ascii="Times New Roman" w:hAnsi="Times New Roman"/>
          <w:i w:val="0"/>
          <w:sz w:val="24"/>
          <w:szCs w:val="24"/>
        </w:rPr>
      </w:pPr>
      <w:bookmarkStart w:id="4" w:name="_Toc37242614"/>
      <w:r w:rsidRPr="00F771E1">
        <w:rPr>
          <w:rFonts w:ascii="Times New Roman" w:hAnsi="Times New Roman"/>
          <w:i w:val="0"/>
          <w:sz w:val="24"/>
          <w:szCs w:val="24"/>
        </w:rPr>
        <w:t>1.1</w:t>
      </w:r>
      <w:r w:rsidRPr="00F771E1">
        <w:rPr>
          <w:rFonts w:ascii="Times New Roman" w:hAnsi="Times New Roman"/>
          <w:i w:val="0"/>
          <w:sz w:val="24"/>
          <w:szCs w:val="24"/>
        </w:rPr>
        <w:tab/>
        <w:t xml:space="preserve">Streszczenie najważniejszych informacji </w:t>
      </w:r>
      <w:r w:rsidR="00CC701C" w:rsidRPr="00F771E1">
        <w:rPr>
          <w:rFonts w:ascii="Times New Roman" w:hAnsi="Times New Roman"/>
          <w:i w:val="0"/>
          <w:sz w:val="24"/>
          <w:szCs w:val="24"/>
        </w:rPr>
        <w:t>z zakresu</w:t>
      </w:r>
      <w:r w:rsidRPr="00F771E1">
        <w:rPr>
          <w:rFonts w:ascii="Times New Roman" w:hAnsi="Times New Roman"/>
          <w:i w:val="0"/>
          <w:sz w:val="24"/>
          <w:szCs w:val="24"/>
        </w:rPr>
        <w:t xml:space="preserve"> gwarancji i poręczeń </w:t>
      </w:r>
      <w:r w:rsidR="00CC701C" w:rsidRPr="00F771E1">
        <w:rPr>
          <w:rFonts w:ascii="Times New Roman" w:hAnsi="Times New Roman"/>
          <w:i w:val="0"/>
          <w:sz w:val="24"/>
          <w:szCs w:val="24"/>
        </w:rPr>
        <w:t xml:space="preserve">Skarbu Państwa </w:t>
      </w:r>
      <w:r w:rsidRPr="00F771E1">
        <w:rPr>
          <w:rFonts w:ascii="Times New Roman" w:hAnsi="Times New Roman"/>
          <w:i w:val="0"/>
          <w:sz w:val="24"/>
          <w:szCs w:val="24"/>
        </w:rPr>
        <w:t>udzielonych na podstawie ustawy o poręczeniach i</w:t>
      </w:r>
      <w:r w:rsidR="00CC701C" w:rsidRPr="00F771E1">
        <w:rPr>
          <w:rFonts w:ascii="Times New Roman" w:hAnsi="Times New Roman"/>
          <w:i w:val="0"/>
          <w:sz w:val="24"/>
          <w:szCs w:val="24"/>
        </w:rPr>
        <w:t> </w:t>
      </w:r>
      <w:r w:rsidRPr="00F771E1">
        <w:rPr>
          <w:rFonts w:ascii="Times New Roman" w:hAnsi="Times New Roman"/>
          <w:i w:val="0"/>
          <w:sz w:val="24"/>
          <w:szCs w:val="24"/>
        </w:rPr>
        <w:t>gwarancjach</w:t>
      </w:r>
      <w:bookmarkEnd w:id="4"/>
    </w:p>
    <w:p w14:paraId="7A2FF4DD" w14:textId="77777777" w:rsidR="006E727D" w:rsidRPr="00F771E1" w:rsidRDefault="00164542" w:rsidP="002874A0">
      <w:pPr>
        <w:pStyle w:val="Akapitzlist"/>
        <w:numPr>
          <w:ilvl w:val="0"/>
          <w:numId w:val="22"/>
        </w:numPr>
        <w:tabs>
          <w:tab w:val="left" w:pos="567"/>
        </w:tabs>
        <w:ind w:left="851" w:right="-1" w:hanging="284"/>
        <w:jc w:val="both"/>
        <w:rPr>
          <w:bCs/>
        </w:rPr>
      </w:pPr>
      <w:r w:rsidRPr="00F771E1">
        <w:rPr>
          <w:bCs/>
        </w:rPr>
        <w:t>W 2019 r. na podstawie ustawy z dnia</w:t>
      </w:r>
      <w:r w:rsidR="00450604">
        <w:rPr>
          <w:bCs/>
        </w:rPr>
        <w:t xml:space="preserve"> 8 maja 1997 r. o poręczeniach </w:t>
      </w:r>
      <w:r w:rsidRPr="00F771E1">
        <w:rPr>
          <w:bCs/>
        </w:rPr>
        <w:t>i</w:t>
      </w:r>
      <w:r w:rsidR="00450604">
        <w:rPr>
          <w:bCs/>
        </w:rPr>
        <w:t> </w:t>
      </w:r>
      <w:r w:rsidRPr="00F771E1">
        <w:rPr>
          <w:bCs/>
        </w:rPr>
        <w:t>gwarancjach udzielanych przez Skarb Państwa oraz niektóre osoby prawne (Dz. U. z 2020 r. poz. 122</w:t>
      </w:r>
      <w:r w:rsidR="00916992">
        <w:rPr>
          <w:bCs/>
        </w:rPr>
        <w:t xml:space="preserve">, z </w:t>
      </w:r>
      <w:proofErr w:type="spellStart"/>
      <w:r w:rsidR="00916992">
        <w:rPr>
          <w:bCs/>
        </w:rPr>
        <w:t>późn</w:t>
      </w:r>
      <w:proofErr w:type="spellEnd"/>
      <w:r w:rsidR="00916992">
        <w:rPr>
          <w:bCs/>
        </w:rPr>
        <w:t>. zm.</w:t>
      </w:r>
      <w:r w:rsidRPr="00F771E1">
        <w:rPr>
          <w:bCs/>
        </w:rPr>
        <w:t>), zwane</w:t>
      </w:r>
      <w:r w:rsidR="00450604">
        <w:rPr>
          <w:bCs/>
        </w:rPr>
        <w:t xml:space="preserve">j dalej „ustawą o poręczeniach </w:t>
      </w:r>
      <w:r w:rsidRPr="00F771E1">
        <w:rPr>
          <w:bCs/>
        </w:rPr>
        <w:t>i</w:t>
      </w:r>
      <w:r w:rsidR="00450604">
        <w:rPr>
          <w:bCs/>
        </w:rPr>
        <w:t> </w:t>
      </w:r>
      <w:r w:rsidRPr="00F771E1">
        <w:rPr>
          <w:bCs/>
        </w:rPr>
        <w:t xml:space="preserve">gwarancjach”, udzielono 3 gwarancji </w:t>
      </w:r>
      <w:r w:rsidR="00450604">
        <w:rPr>
          <w:bCs/>
        </w:rPr>
        <w:t xml:space="preserve">Skarbu Państwa na łączną kwotę </w:t>
      </w:r>
      <w:r w:rsidRPr="00F771E1">
        <w:rPr>
          <w:bCs/>
        </w:rPr>
        <w:t>6 929 552 800 zł, w tym:</w:t>
      </w:r>
      <w:r w:rsidR="006E727D" w:rsidRPr="00F771E1">
        <w:rPr>
          <w:bCs/>
        </w:rPr>
        <w:t xml:space="preserve"> </w:t>
      </w:r>
    </w:p>
    <w:p w14:paraId="1CD1C3FD" w14:textId="77777777" w:rsidR="00164542" w:rsidRPr="00297FF6" w:rsidRDefault="00164542" w:rsidP="007F4CFD">
      <w:pPr>
        <w:pStyle w:val="Akapitzlist"/>
        <w:numPr>
          <w:ilvl w:val="0"/>
          <w:numId w:val="5"/>
        </w:numPr>
        <w:jc w:val="both"/>
        <w:rPr>
          <w:bCs/>
        </w:rPr>
      </w:pPr>
      <w:r w:rsidRPr="00297FF6">
        <w:rPr>
          <w:bCs/>
        </w:rPr>
        <w:t>gwarancję spłaty kredytu zagranicznego na wsparcie przedsięwzięcia „Droga ek</w:t>
      </w:r>
      <w:r w:rsidR="00F6426C">
        <w:rPr>
          <w:bCs/>
        </w:rPr>
        <w:t>spresowa S19 Lublin - Rzeszów” –</w:t>
      </w:r>
      <w:r w:rsidRPr="00297FF6">
        <w:rPr>
          <w:bCs/>
        </w:rPr>
        <w:t xml:space="preserve"> gwaran</w:t>
      </w:r>
      <w:r w:rsidR="004970F4">
        <w:rPr>
          <w:bCs/>
        </w:rPr>
        <w:t>cja Skarbu Państwa do kwoty 812 000 </w:t>
      </w:r>
      <w:r w:rsidRPr="00297FF6">
        <w:rPr>
          <w:bCs/>
        </w:rPr>
        <w:t>000 EUR, wynikająca z kredytu zaciągniętego przez Bank Gospodarstwa Krajowego na rzecz Krajowego Funduszu Drogowego w</w:t>
      </w:r>
      <w:r w:rsidR="00450604">
        <w:rPr>
          <w:bCs/>
        </w:rPr>
        <w:t> </w:t>
      </w:r>
      <w:r w:rsidRPr="00297FF6">
        <w:rPr>
          <w:bCs/>
        </w:rPr>
        <w:t>Europejskim Banku Inwestycyjnym w wysokości</w:t>
      </w:r>
      <w:r w:rsidR="00297FF6" w:rsidRPr="00297FF6">
        <w:rPr>
          <w:bCs/>
        </w:rPr>
        <w:t xml:space="preserve"> </w:t>
      </w:r>
      <w:r w:rsidR="004970F4">
        <w:rPr>
          <w:bCs/>
        </w:rPr>
        <w:t>580 000 </w:t>
      </w:r>
      <w:r w:rsidRPr="00297FF6">
        <w:rPr>
          <w:bCs/>
        </w:rPr>
        <w:t>000 EUR,</w:t>
      </w:r>
      <w:r w:rsidR="00297FF6" w:rsidRPr="00297FF6">
        <w:rPr>
          <w:bCs/>
        </w:rPr>
        <w:t xml:space="preserve"> </w:t>
      </w:r>
    </w:p>
    <w:p w14:paraId="36588492" w14:textId="77777777" w:rsidR="00164542" w:rsidRPr="00F771E1" w:rsidRDefault="00164542" w:rsidP="00164542">
      <w:pPr>
        <w:pStyle w:val="Akapitzlist"/>
        <w:numPr>
          <w:ilvl w:val="0"/>
          <w:numId w:val="5"/>
        </w:numPr>
        <w:jc w:val="both"/>
        <w:rPr>
          <w:bCs/>
        </w:rPr>
      </w:pPr>
      <w:r w:rsidRPr="00F771E1">
        <w:rPr>
          <w:bCs/>
        </w:rPr>
        <w:t>gwarancję spłaty kredytu zagranicznego na wsparcie przeds</w:t>
      </w:r>
      <w:r w:rsidR="00A16FC9">
        <w:rPr>
          <w:bCs/>
        </w:rPr>
        <w:t xml:space="preserve">ięwzięcia „PLK Warszawa </w:t>
      </w:r>
      <w:r w:rsidR="000654ED">
        <w:rPr>
          <w:bCs/>
        </w:rPr>
        <w:t>–</w:t>
      </w:r>
      <w:r w:rsidR="00A16FC9">
        <w:rPr>
          <w:bCs/>
        </w:rPr>
        <w:t xml:space="preserve"> Radom</w:t>
      </w:r>
      <w:r w:rsidR="000654ED">
        <w:rPr>
          <w:bCs/>
        </w:rPr>
        <w:t>”</w:t>
      </w:r>
      <w:r w:rsidRPr="00F771E1">
        <w:rPr>
          <w:bCs/>
        </w:rPr>
        <w:t>, polegającego na modernizacji linii kolejowej nr 8 na odcinku Wa</w:t>
      </w:r>
      <w:r w:rsidR="00B87DAF">
        <w:rPr>
          <w:bCs/>
        </w:rPr>
        <w:t>rszawa Okęcie –</w:t>
      </w:r>
      <w:r w:rsidR="000654ED">
        <w:rPr>
          <w:bCs/>
        </w:rPr>
        <w:t xml:space="preserve"> Radom (Lot A–F)</w:t>
      </w:r>
      <w:r w:rsidR="005A4571">
        <w:rPr>
          <w:bCs/>
        </w:rPr>
        <w:t xml:space="preserve"> –</w:t>
      </w:r>
      <w:r w:rsidRPr="00F771E1">
        <w:rPr>
          <w:bCs/>
        </w:rPr>
        <w:t xml:space="preserve"> gwaran</w:t>
      </w:r>
      <w:r w:rsidR="004970F4">
        <w:rPr>
          <w:bCs/>
        </w:rPr>
        <w:t xml:space="preserve">cja Skarbu Państwa do kwoty </w:t>
      </w:r>
      <w:r w:rsidR="004970F4" w:rsidRPr="004970F4">
        <w:t>102</w:t>
      </w:r>
      <w:r w:rsidR="004970F4">
        <w:t> </w:t>
      </w:r>
      <w:r w:rsidRPr="004970F4">
        <w:t>000</w:t>
      </w:r>
      <w:r w:rsidR="004970F4">
        <w:rPr>
          <w:bCs/>
        </w:rPr>
        <w:t> </w:t>
      </w:r>
      <w:r w:rsidRPr="00F771E1">
        <w:rPr>
          <w:bCs/>
        </w:rPr>
        <w:t>000 EUR, wynikająca z drugiej części kredytu zaciągniętego przez PKP Polskie Linie Kolejowe S.A. w Europejskim Ban</w:t>
      </w:r>
      <w:r w:rsidR="004970F4">
        <w:rPr>
          <w:bCs/>
        </w:rPr>
        <w:t>ku Inwestycyjnym w wysokości 85 000 </w:t>
      </w:r>
      <w:r w:rsidRPr="00F771E1">
        <w:rPr>
          <w:bCs/>
        </w:rPr>
        <w:t>000 EUR,</w:t>
      </w:r>
    </w:p>
    <w:p w14:paraId="7CE2AFB3" w14:textId="77777777" w:rsidR="00B3549B" w:rsidRPr="00F771E1" w:rsidRDefault="00164542" w:rsidP="00164542">
      <w:pPr>
        <w:pStyle w:val="Akapitzlist"/>
        <w:numPr>
          <w:ilvl w:val="0"/>
          <w:numId w:val="5"/>
        </w:numPr>
        <w:jc w:val="both"/>
        <w:rPr>
          <w:bCs/>
        </w:rPr>
      </w:pPr>
      <w:r w:rsidRPr="00F771E1">
        <w:rPr>
          <w:bCs/>
        </w:rPr>
        <w:t xml:space="preserve">gwarancję spłaty kredytu zagranicznego na wsparcie przedsięwzięcia „Droga ekspresowa S61 Via </w:t>
      </w:r>
      <w:proofErr w:type="spellStart"/>
      <w:r w:rsidR="002C37E4">
        <w:rPr>
          <w:bCs/>
        </w:rPr>
        <w:t>Baltica</w:t>
      </w:r>
      <w:proofErr w:type="spellEnd"/>
      <w:r w:rsidR="002C37E4">
        <w:rPr>
          <w:bCs/>
        </w:rPr>
        <w:t>”</w:t>
      </w:r>
      <w:r w:rsidRPr="00F771E1">
        <w:rPr>
          <w:bCs/>
        </w:rPr>
        <w:t xml:space="preserve"> </w:t>
      </w:r>
      <w:r w:rsidR="002C37E4">
        <w:rPr>
          <w:bCs/>
        </w:rPr>
        <w:t xml:space="preserve">– </w:t>
      </w:r>
      <w:r w:rsidRPr="00F771E1">
        <w:rPr>
          <w:bCs/>
        </w:rPr>
        <w:t>gwaran</w:t>
      </w:r>
      <w:r w:rsidR="004970F4">
        <w:rPr>
          <w:bCs/>
        </w:rPr>
        <w:t>cja Skarbu Państwa do kwoty 700 000 </w:t>
      </w:r>
      <w:r w:rsidRPr="00F771E1">
        <w:rPr>
          <w:bCs/>
        </w:rPr>
        <w:t>000 EUR, wynikająca z kredytu zaciągniętego przez Bank Gospodarstwa Krajowego na rzecz Krajowego Funduszu Drogowego w</w:t>
      </w:r>
      <w:r w:rsidR="00450604">
        <w:rPr>
          <w:bCs/>
        </w:rPr>
        <w:t> </w:t>
      </w:r>
      <w:r w:rsidRPr="00F771E1">
        <w:rPr>
          <w:bCs/>
        </w:rPr>
        <w:t>Europejskim Bank</w:t>
      </w:r>
      <w:r w:rsidR="004970F4">
        <w:rPr>
          <w:bCs/>
        </w:rPr>
        <w:t>u Inwestycyjnym w wysokości 500 000 </w:t>
      </w:r>
      <w:r w:rsidRPr="00F771E1">
        <w:rPr>
          <w:bCs/>
        </w:rPr>
        <w:t>000 EUR.</w:t>
      </w:r>
    </w:p>
    <w:p w14:paraId="1F7B5DFD" w14:textId="77777777" w:rsidR="00E81FFD" w:rsidRPr="00F771E1" w:rsidRDefault="00E81FFD" w:rsidP="002874A0">
      <w:pPr>
        <w:pStyle w:val="Akapitzlist"/>
        <w:numPr>
          <w:ilvl w:val="0"/>
          <w:numId w:val="13"/>
        </w:numPr>
        <w:ind w:left="851" w:hanging="284"/>
        <w:jc w:val="both"/>
        <w:rPr>
          <w:bCs/>
        </w:rPr>
      </w:pPr>
      <w:r w:rsidRPr="00F771E1">
        <w:t>Potencjalne, niewymagalne zobowiązania Skarbu Państwa z tytułu udzielonych poręczeń i gwarancji wyn</w:t>
      </w:r>
      <w:r w:rsidR="00614095" w:rsidRPr="00F771E1">
        <w:t>osiły na dzień 31.12.2019</w:t>
      </w:r>
      <w:r w:rsidRPr="00F771E1">
        <w:t xml:space="preserve"> r.: </w:t>
      </w:r>
    </w:p>
    <w:p w14:paraId="5AD18568" w14:textId="77777777" w:rsidR="00E81FFD" w:rsidRPr="00F771E1" w:rsidRDefault="00E81FFD" w:rsidP="00F77970">
      <w:pPr>
        <w:pStyle w:val="pktmyslnw0"/>
        <w:numPr>
          <w:ilvl w:val="0"/>
          <w:numId w:val="26"/>
        </w:numPr>
        <w:tabs>
          <w:tab w:val="clear" w:pos="284"/>
          <w:tab w:val="left" w:pos="540"/>
          <w:tab w:val="right" w:pos="8505"/>
        </w:tabs>
        <w:spacing w:after="0" w:line="240" w:lineRule="auto"/>
        <w:ind w:left="1276" w:hanging="425"/>
        <w:rPr>
          <w:rFonts w:ascii="Times New Roman" w:hAnsi="Times New Roman"/>
          <w:sz w:val="24"/>
        </w:rPr>
      </w:pPr>
      <w:r w:rsidRPr="00F771E1">
        <w:rPr>
          <w:rFonts w:ascii="Times New Roman" w:hAnsi="Times New Roman"/>
          <w:sz w:val="24"/>
        </w:rPr>
        <w:t>z tytułu poręczeń i gwarancji krajowych</w:t>
      </w:r>
      <w:r w:rsidRPr="00F771E1">
        <w:rPr>
          <w:rFonts w:ascii="Times New Roman" w:hAnsi="Times New Roman"/>
          <w:sz w:val="24"/>
        </w:rPr>
        <w:tab/>
      </w:r>
      <w:r w:rsidR="00614095" w:rsidRPr="00F771E1">
        <w:rPr>
          <w:rFonts w:ascii="Times New Roman" w:hAnsi="Times New Roman"/>
          <w:sz w:val="24"/>
        </w:rPr>
        <w:t xml:space="preserve">11 355 697 505 </w:t>
      </w:r>
      <w:r w:rsidRPr="00F771E1">
        <w:rPr>
          <w:rFonts w:ascii="Times New Roman" w:hAnsi="Times New Roman"/>
          <w:sz w:val="24"/>
        </w:rPr>
        <w:t>zł,</w:t>
      </w:r>
    </w:p>
    <w:p w14:paraId="32F7C019" w14:textId="77777777" w:rsidR="00E81FFD" w:rsidRPr="00F771E1" w:rsidRDefault="00E81FFD" w:rsidP="00F77970">
      <w:pPr>
        <w:pStyle w:val="pktmyslnw0"/>
        <w:numPr>
          <w:ilvl w:val="0"/>
          <w:numId w:val="26"/>
        </w:numPr>
        <w:tabs>
          <w:tab w:val="clear" w:pos="284"/>
          <w:tab w:val="left" w:pos="540"/>
          <w:tab w:val="right" w:pos="8505"/>
        </w:tabs>
        <w:spacing w:after="0" w:line="240" w:lineRule="auto"/>
        <w:ind w:left="1276" w:hanging="425"/>
        <w:rPr>
          <w:rFonts w:ascii="Times New Roman" w:hAnsi="Times New Roman"/>
          <w:sz w:val="24"/>
        </w:rPr>
      </w:pPr>
      <w:r w:rsidRPr="00F771E1">
        <w:rPr>
          <w:rFonts w:ascii="Times New Roman" w:hAnsi="Times New Roman"/>
          <w:sz w:val="24"/>
        </w:rPr>
        <w:t>z tytułu gwarancji zagranicznych</w:t>
      </w:r>
      <w:r w:rsidRPr="00F771E1">
        <w:rPr>
          <w:rFonts w:ascii="Times New Roman" w:hAnsi="Times New Roman"/>
          <w:sz w:val="24"/>
        </w:rPr>
        <w:tab/>
        <w:t>         </w:t>
      </w:r>
      <w:r w:rsidR="00614095" w:rsidRPr="00F771E1">
        <w:rPr>
          <w:rFonts w:ascii="Times New Roman" w:hAnsi="Times New Roman"/>
          <w:sz w:val="24"/>
        </w:rPr>
        <w:t>100 015 622 962</w:t>
      </w:r>
      <w:r w:rsidRPr="00F771E1">
        <w:rPr>
          <w:rFonts w:ascii="Times New Roman" w:hAnsi="Times New Roman"/>
          <w:sz w:val="24"/>
        </w:rPr>
        <w:t> zł,</w:t>
      </w:r>
    </w:p>
    <w:p w14:paraId="65914656" w14:textId="77777777" w:rsidR="00E81FFD" w:rsidRPr="00F771E1" w:rsidRDefault="00E81FFD" w:rsidP="00E81FFD">
      <w:pPr>
        <w:pStyle w:val="pktmyslnw0"/>
        <w:tabs>
          <w:tab w:val="clear" w:pos="284"/>
          <w:tab w:val="num" w:pos="960"/>
          <w:tab w:val="right" w:pos="8505"/>
          <w:tab w:val="left" w:pos="8647"/>
        </w:tabs>
        <w:spacing w:after="0" w:line="240" w:lineRule="auto"/>
        <w:ind w:left="0" w:firstLine="851"/>
        <w:rPr>
          <w:rFonts w:ascii="Times New Roman" w:hAnsi="Times New Roman"/>
          <w:sz w:val="24"/>
        </w:rPr>
      </w:pPr>
      <w:r w:rsidRPr="00F771E1">
        <w:rPr>
          <w:rFonts w:ascii="Times New Roman" w:hAnsi="Times New Roman"/>
          <w:sz w:val="24"/>
        </w:rPr>
        <w:t>łącznie z tytułu poręczeń i gwarancji Skarbu Państwa:</w:t>
      </w:r>
      <w:r w:rsidRPr="00F771E1">
        <w:rPr>
          <w:rFonts w:ascii="Times New Roman" w:hAnsi="Times New Roman"/>
          <w:sz w:val="24"/>
        </w:rPr>
        <w:tab/>
      </w:r>
      <w:r w:rsidR="00614095" w:rsidRPr="00F771E1">
        <w:rPr>
          <w:rFonts w:ascii="Times New Roman" w:hAnsi="Times New Roman"/>
          <w:sz w:val="24"/>
        </w:rPr>
        <w:t>111 371 320 467 </w:t>
      </w:r>
      <w:r w:rsidRPr="00F771E1">
        <w:rPr>
          <w:rFonts w:ascii="Times New Roman" w:hAnsi="Times New Roman"/>
          <w:sz w:val="24"/>
        </w:rPr>
        <w:t>zł,</w:t>
      </w:r>
    </w:p>
    <w:p w14:paraId="1144477B" w14:textId="77777777" w:rsidR="00E81FFD" w:rsidRPr="00F771E1" w:rsidRDefault="00614095" w:rsidP="00F76BFB">
      <w:pPr>
        <w:pStyle w:val="Akapitzlist"/>
        <w:ind w:left="851"/>
        <w:jc w:val="both"/>
      </w:pPr>
      <w:r w:rsidRPr="00F771E1">
        <w:t>co oznacza wzrost w stosunku do 2018 r. o 2,4%, ponieważ kwota potencjalnych, niewymagalnych zobowiązań Skarbu Państwa z tytułu udzielonych poręczeń i gwarancji wg stanu na dzień 31.12.2018 r. wynosiła 108 798 664 528 zł</w:t>
      </w:r>
      <w:r w:rsidR="004970F4">
        <w:t>.</w:t>
      </w:r>
    </w:p>
    <w:p w14:paraId="0377054A" w14:textId="77777777" w:rsidR="00F76BFB" w:rsidRPr="00F771E1" w:rsidRDefault="00614095" w:rsidP="002874A0">
      <w:pPr>
        <w:pStyle w:val="akapit"/>
        <w:numPr>
          <w:ilvl w:val="0"/>
          <w:numId w:val="13"/>
        </w:numPr>
        <w:tabs>
          <w:tab w:val="left" w:pos="851"/>
        </w:tabs>
        <w:spacing w:after="0" w:line="240" w:lineRule="auto"/>
        <w:ind w:left="851" w:right="-1" w:hanging="284"/>
        <w:rPr>
          <w:rFonts w:ascii="Times New Roman" w:hAnsi="Times New Roman"/>
          <w:sz w:val="24"/>
        </w:rPr>
      </w:pPr>
      <w:r w:rsidRPr="00F771E1">
        <w:rPr>
          <w:rFonts w:ascii="Times New Roman" w:hAnsi="Times New Roman"/>
          <w:sz w:val="24"/>
        </w:rPr>
        <w:t>W 2019 r. Skarb Państwa nie wydatkował środków na spłatę gwarantowanych i poręczonych zobowiązań, dokonał je</w:t>
      </w:r>
      <w:r w:rsidR="004970F4">
        <w:rPr>
          <w:rFonts w:ascii="Times New Roman" w:hAnsi="Times New Roman"/>
          <w:sz w:val="24"/>
        </w:rPr>
        <w:t>dynie płatności w wysokości 106 </w:t>
      </w:r>
      <w:r w:rsidRPr="00F771E1">
        <w:rPr>
          <w:rFonts w:ascii="Times New Roman" w:hAnsi="Times New Roman"/>
          <w:sz w:val="24"/>
        </w:rPr>
        <w:t>266 zł z tytułu rozliczenia kosztów związanych z zakończonym postępowaniem sądowym d</w:t>
      </w:r>
      <w:r w:rsidRPr="00F771E1">
        <w:rPr>
          <w:rFonts w:ascii="Times New Roman" w:hAnsi="Times New Roman"/>
          <w:bCs/>
          <w:sz w:val="24"/>
        </w:rPr>
        <w:t>otyczącym udzielonego poręczenia Skarbu Państwa</w:t>
      </w:r>
      <w:r w:rsidRPr="00F771E1">
        <w:rPr>
          <w:rFonts w:ascii="Times New Roman" w:hAnsi="Times New Roman"/>
          <w:sz w:val="24"/>
        </w:rPr>
        <w:t>. W 2018 roku Skarb Państwa poniósł wydatki z tytuł</w:t>
      </w:r>
      <w:r w:rsidR="00450604">
        <w:rPr>
          <w:rFonts w:ascii="Times New Roman" w:hAnsi="Times New Roman"/>
          <w:sz w:val="24"/>
        </w:rPr>
        <w:t xml:space="preserve">u kosztów sądowych dotyczących </w:t>
      </w:r>
      <w:r w:rsidRPr="00F771E1">
        <w:rPr>
          <w:rFonts w:ascii="Times New Roman" w:hAnsi="Times New Roman"/>
          <w:sz w:val="24"/>
        </w:rPr>
        <w:t>ww.</w:t>
      </w:r>
      <w:r w:rsidR="00450604">
        <w:rPr>
          <w:rFonts w:ascii="Times New Roman" w:hAnsi="Times New Roman"/>
          <w:sz w:val="24"/>
        </w:rPr>
        <w:t> </w:t>
      </w:r>
      <w:r w:rsidRPr="00F771E1">
        <w:rPr>
          <w:rFonts w:ascii="Times New Roman" w:hAnsi="Times New Roman"/>
          <w:sz w:val="24"/>
        </w:rPr>
        <w:t>postępowania w wysokości 75 000 zł</w:t>
      </w:r>
      <w:r w:rsidR="00F76BFB" w:rsidRPr="00F771E1">
        <w:rPr>
          <w:rFonts w:ascii="Times New Roman" w:hAnsi="Times New Roman"/>
          <w:sz w:val="24"/>
        </w:rPr>
        <w:t xml:space="preserve">. </w:t>
      </w:r>
    </w:p>
    <w:p w14:paraId="0812A5ED" w14:textId="77777777" w:rsidR="00EE0A75" w:rsidRPr="00F771E1" w:rsidRDefault="00A51294" w:rsidP="002874A0">
      <w:pPr>
        <w:pStyle w:val="Akapitzlist"/>
        <w:numPr>
          <w:ilvl w:val="0"/>
          <w:numId w:val="13"/>
        </w:numPr>
        <w:ind w:left="851" w:hanging="284"/>
        <w:jc w:val="both"/>
        <w:rPr>
          <w:bCs/>
        </w:rPr>
      </w:pPr>
      <w:r w:rsidRPr="00F771E1">
        <w:t>Na dzień 31.12.2019 r. relacja potencjalnych zobowiązań z tytułu udzielonych przez Skarb Państwa gwarancji i poręczeń do PKB za 2019 r.</w:t>
      </w:r>
      <w:r w:rsidRPr="00F771E1">
        <w:rPr>
          <w:rStyle w:val="Odwoanieprzypisudolnego"/>
        </w:rPr>
        <w:footnoteReference w:id="1"/>
      </w:r>
      <w:r w:rsidRPr="00F771E1">
        <w:t xml:space="preserve"> wyniosła 4,9%, tj. nastąpił spadek w stosunku do wysokości tej relacji wg stanu na dzień 31.12.2018 r., kiedy wynosiła 5,1%</w:t>
      </w:r>
      <w:r w:rsidR="00EE0A75" w:rsidRPr="00F771E1">
        <w:t xml:space="preserve">. </w:t>
      </w:r>
    </w:p>
    <w:p w14:paraId="4E7437DC" w14:textId="77777777" w:rsidR="00EE0A75" w:rsidRPr="00F771E1" w:rsidRDefault="00A51294" w:rsidP="002874A0">
      <w:pPr>
        <w:pStyle w:val="Akapitzlist"/>
        <w:numPr>
          <w:ilvl w:val="0"/>
          <w:numId w:val="13"/>
        </w:numPr>
        <w:ind w:left="851" w:hanging="284"/>
        <w:jc w:val="both"/>
        <w:rPr>
          <w:bCs/>
        </w:rPr>
      </w:pPr>
      <w:r w:rsidRPr="00F771E1">
        <w:lastRenderedPageBreak/>
        <w:t>W 2019 r. nastąpił wzrost średniego ryzyka</w:t>
      </w:r>
      <w:r w:rsidR="00C60A67">
        <w:t xml:space="preserve"> portfela udzielonych poręczeń </w:t>
      </w:r>
      <w:r w:rsidRPr="00F771E1">
        <w:t>i</w:t>
      </w:r>
      <w:r w:rsidR="00C60A67">
        <w:t> </w:t>
      </w:r>
      <w:r w:rsidRPr="00F771E1">
        <w:t>gwarancji Skarbu Państwa w stosunku do roku 2018: z 4,0% do 4,8%</w:t>
      </w:r>
      <w:r w:rsidR="00EE0A75" w:rsidRPr="00F771E1">
        <w:t>.</w:t>
      </w:r>
    </w:p>
    <w:p w14:paraId="5B8FC6B1" w14:textId="77777777" w:rsidR="00E74726" w:rsidRPr="00F771E1" w:rsidRDefault="00614095" w:rsidP="002874A0">
      <w:pPr>
        <w:pStyle w:val="Akapitzlist"/>
        <w:numPr>
          <w:ilvl w:val="0"/>
          <w:numId w:val="13"/>
        </w:numPr>
        <w:ind w:left="851" w:hanging="284"/>
        <w:jc w:val="both"/>
        <w:rPr>
          <w:bCs/>
        </w:rPr>
      </w:pPr>
      <w:r w:rsidRPr="00F771E1">
        <w:t>Należności z tytułu udzielonych przez Skarb Państwa gwarancji i poręczeń, wg stanu na dzień 31.12.2019 r., wyniosły 29 642 457 zł, co oznacza, że w stosunku do roku 2018 pozycja ta odnotowała spadek o 60,7%, gdyż wg stanu na dzień 31.12.2018 r. należności te wynosiły 75 415 460 zł</w:t>
      </w:r>
      <w:r w:rsidR="00B25726" w:rsidRPr="00F771E1">
        <w:t>.</w:t>
      </w:r>
    </w:p>
    <w:p w14:paraId="35C650FD" w14:textId="77777777" w:rsidR="00FE3E44" w:rsidRPr="00F771E1" w:rsidRDefault="000166F5" w:rsidP="000D4FE7">
      <w:pPr>
        <w:pStyle w:val="Akapitzlist"/>
        <w:numPr>
          <w:ilvl w:val="0"/>
          <w:numId w:val="13"/>
        </w:numPr>
        <w:spacing w:after="120"/>
        <w:ind w:left="851" w:hanging="284"/>
        <w:jc w:val="both"/>
        <w:rPr>
          <w:bCs/>
        </w:rPr>
      </w:pPr>
      <w:r w:rsidRPr="00F771E1">
        <w:t>W rezultacie działań windykacyjnych, podjętych w 2019 roku oraz w latach poprzednich, których skutkiem był zwrot do budżetu kwot wierzytelności Skarbu Państwa, w roku 2019 uzyskano dochody w wysokości 6 716 zł.</w:t>
      </w:r>
    </w:p>
    <w:p w14:paraId="141DC7D7" w14:textId="77777777" w:rsidR="000B7F39" w:rsidRPr="00F771E1" w:rsidRDefault="000B7F39" w:rsidP="009A27CE">
      <w:pPr>
        <w:pStyle w:val="Nagwek1"/>
        <w:numPr>
          <w:ilvl w:val="0"/>
          <w:numId w:val="7"/>
        </w:numPr>
        <w:spacing w:before="120" w:after="120"/>
        <w:ind w:left="567" w:hanging="567"/>
        <w:jc w:val="both"/>
        <w:rPr>
          <w:rFonts w:ascii="Times New Roman" w:hAnsi="Times New Roman" w:cs="Times New Roman"/>
          <w:sz w:val="26"/>
          <w:szCs w:val="26"/>
        </w:rPr>
      </w:pPr>
      <w:bookmarkStart w:id="5" w:name="_Toc37242615"/>
      <w:r w:rsidRPr="00F771E1">
        <w:rPr>
          <w:rFonts w:ascii="Times New Roman" w:hAnsi="Times New Roman" w:cs="Times New Roman"/>
          <w:sz w:val="26"/>
          <w:szCs w:val="26"/>
        </w:rPr>
        <w:t>Informacja</w:t>
      </w:r>
      <w:r w:rsidR="00F13C8E" w:rsidRPr="00F771E1">
        <w:rPr>
          <w:rFonts w:ascii="Times New Roman" w:hAnsi="Times New Roman" w:cs="Times New Roman"/>
          <w:sz w:val="26"/>
          <w:szCs w:val="26"/>
        </w:rPr>
        <w:t xml:space="preserve"> sporządzona w oparciu o ustawę o poręczeniach i</w:t>
      </w:r>
      <w:r w:rsidR="006A47FA" w:rsidRPr="00F771E1">
        <w:rPr>
          <w:rFonts w:ascii="Times New Roman" w:hAnsi="Times New Roman" w:cs="Times New Roman"/>
          <w:sz w:val="26"/>
          <w:szCs w:val="26"/>
        </w:rPr>
        <w:t> </w:t>
      </w:r>
      <w:r w:rsidR="00F13C8E" w:rsidRPr="00F771E1">
        <w:rPr>
          <w:rFonts w:ascii="Times New Roman" w:hAnsi="Times New Roman" w:cs="Times New Roman"/>
          <w:sz w:val="26"/>
          <w:szCs w:val="26"/>
        </w:rPr>
        <w:t>gwarancjach</w:t>
      </w:r>
      <w:r w:rsidRPr="00F771E1">
        <w:rPr>
          <w:rFonts w:ascii="Times New Roman" w:hAnsi="Times New Roman" w:cs="Times New Roman"/>
          <w:sz w:val="26"/>
          <w:szCs w:val="26"/>
        </w:rPr>
        <w:t xml:space="preserve"> </w:t>
      </w:r>
      <w:r w:rsidR="00F13C8E" w:rsidRPr="00F771E1">
        <w:rPr>
          <w:rFonts w:ascii="Times New Roman" w:hAnsi="Times New Roman" w:cs="Times New Roman"/>
          <w:sz w:val="26"/>
          <w:szCs w:val="26"/>
        </w:rPr>
        <w:t xml:space="preserve">na temat </w:t>
      </w:r>
      <w:r w:rsidRPr="00F771E1">
        <w:rPr>
          <w:rFonts w:ascii="Times New Roman" w:hAnsi="Times New Roman" w:cs="Times New Roman"/>
          <w:sz w:val="26"/>
          <w:szCs w:val="26"/>
        </w:rPr>
        <w:t>poręcze</w:t>
      </w:r>
      <w:r w:rsidR="00F13C8E" w:rsidRPr="00F771E1">
        <w:rPr>
          <w:rFonts w:ascii="Times New Roman" w:hAnsi="Times New Roman" w:cs="Times New Roman"/>
          <w:sz w:val="26"/>
          <w:szCs w:val="26"/>
        </w:rPr>
        <w:t>ń</w:t>
      </w:r>
      <w:r w:rsidRPr="00F771E1">
        <w:rPr>
          <w:rFonts w:ascii="Times New Roman" w:hAnsi="Times New Roman" w:cs="Times New Roman"/>
          <w:sz w:val="26"/>
          <w:szCs w:val="26"/>
        </w:rPr>
        <w:t xml:space="preserve"> i gwaranc</w:t>
      </w:r>
      <w:r w:rsidR="00F13C8E" w:rsidRPr="00F771E1">
        <w:rPr>
          <w:rFonts w:ascii="Times New Roman" w:hAnsi="Times New Roman" w:cs="Times New Roman"/>
          <w:sz w:val="26"/>
          <w:szCs w:val="26"/>
        </w:rPr>
        <w:t>ji</w:t>
      </w:r>
      <w:r w:rsidR="00334B88" w:rsidRPr="00F771E1">
        <w:rPr>
          <w:rFonts w:ascii="Times New Roman" w:hAnsi="Times New Roman" w:cs="Times New Roman"/>
          <w:sz w:val="26"/>
          <w:szCs w:val="26"/>
        </w:rPr>
        <w:t xml:space="preserve"> udzielonych w 201</w:t>
      </w:r>
      <w:r w:rsidR="00EA622F" w:rsidRPr="00F771E1">
        <w:rPr>
          <w:rFonts w:ascii="Times New Roman" w:hAnsi="Times New Roman" w:cs="Times New Roman"/>
          <w:sz w:val="26"/>
          <w:szCs w:val="26"/>
        </w:rPr>
        <w:t>9</w:t>
      </w:r>
      <w:r w:rsidRPr="00F771E1">
        <w:rPr>
          <w:rFonts w:ascii="Times New Roman" w:hAnsi="Times New Roman" w:cs="Times New Roman"/>
          <w:sz w:val="26"/>
          <w:szCs w:val="26"/>
        </w:rPr>
        <w:t xml:space="preserve"> r</w:t>
      </w:r>
      <w:r w:rsidR="00D51C0B" w:rsidRPr="00F771E1">
        <w:rPr>
          <w:rFonts w:ascii="Times New Roman" w:hAnsi="Times New Roman" w:cs="Times New Roman"/>
          <w:sz w:val="26"/>
          <w:szCs w:val="26"/>
        </w:rPr>
        <w:t>.</w:t>
      </w:r>
      <w:r w:rsidRPr="00F771E1">
        <w:rPr>
          <w:rFonts w:ascii="Times New Roman" w:hAnsi="Times New Roman" w:cs="Times New Roman"/>
          <w:sz w:val="26"/>
          <w:szCs w:val="26"/>
        </w:rPr>
        <w:t xml:space="preserve"> przez </w:t>
      </w:r>
      <w:r w:rsidR="00C20FF3" w:rsidRPr="00F771E1">
        <w:rPr>
          <w:rFonts w:ascii="Times New Roman" w:hAnsi="Times New Roman" w:cs="Times New Roman"/>
          <w:sz w:val="26"/>
          <w:szCs w:val="26"/>
        </w:rPr>
        <w:t>S</w:t>
      </w:r>
      <w:r w:rsidRPr="00F771E1">
        <w:rPr>
          <w:rFonts w:ascii="Times New Roman" w:hAnsi="Times New Roman" w:cs="Times New Roman"/>
          <w:sz w:val="26"/>
          <w:szCs w:val="26"/>
        </w:rPr>
        <w:t xml:space="preserve">karb </w:t>
      </w:r>
      <w:r w:rsidR="00C20FF3" w:rsidRPr="00F771E1">
        <w:rPr>
          <w:rFonts w:ascii="Times New Roman" w:hAnsi="Times New Roman" w:cs="Times New Roman"/>
          <w:sz w:val="26"/>
          <w:szCs w:val="26"/>
        </w:rPr>
        <w:t>P</w:t>
      </w:r>
      <w:r w:rsidRPr="00F771E1">
        <w:rPr>
          <w:rFonts w:ascii="Times New Roman" w:hAnsi="Times New Roman" w:cs="Times New Roman"/>
          <w:sz w:val="26"/>
          <w:szCs w:val="26"/>
        </w:rPr>
        <w:t xml:space="preserve">aństwa, niektóre osoby prawne oraz </w:t>
      </w:r>
      <w:r w:rsidR="00C20FF3" w:rsidRPr="00F771E1">
        <w:rPr>
          <w:rFonts w:ascii="Times New Roman" w:hAnsi="Times New Roman" w:cs="Times New Roman"/>
          <w:sz w:val="26"/>
          <w:szCs w:val="26"/>
        </w:rPr>
        <w:t>Bank Gospodarstwa K</w:t>
      </w:r>
      <w:r w:rsidRPr="00F771E1">
        <w:rPr>
          <w:rFonts w:ascii="Times New Roman" w:hAnsi="Times New Roman" w:cs="Times New Roman"/>
          <w:sz w:val="26"/>
          <w:szCs w:val="26"/>
        </w:rPr>
        <w:t>rajowego</w:t>
      </w:r>
      <w:bookmarkEnd w:id="5"/>
    </w:p>
    <w:p w14:paraId="558832FC" w14:textId="77777777" w:rsidR="00E74726" w:rsidRPr="00F771E1" w:rsidRDefault="00A53157" w:rsidP="00A53157">
      <w:pPr>
        <w:pStyle w:val="Nagwek2"/>
        <w:tabs>
          <w:tab w:val="left" w:pos="567"/>
        </w:tabs>
        <w:spacing w:before="120" w:after="120"/>
        <w:rPr>
          <w:rFonts w:ascii="Times New Roman" w:hAnsi="Times New Roman"/>
          <w:i w:val="0"/>
          <w:sz w:val="24"/>
          <w:szCs w:val="24"/>
        </w:rPr>
      </w:pPr>
      <w:bookmarkStart w:id="6" w:name="_Toc37242616"/>
      <w:r w:rsidRPr="00F771E1">
        <w:rPr>
          <w:rFonts w:ascii="Times New Roman" w:hAnsi="Times New Roman"/>
          <w:i w:val="0"/>
          <w:sz w:val="24"/>
          <w:szCs w:val="24"/>
        </w:rPr>
        <w:t>2.1</w:t>
      </w:r>
      <w:r w:rsidRPr="00F771E1">
        <w:rPr>
          <w:rFonts w:ascii="Times New Roman" w:hAnsi="Times New Roman"/>
          <w:i w:val="0"/>
          <w:sz w:val="24"/>
          <w:szCs w:val="24"/>
        </w:rPr>
        <w:tab/>
      </w:r>
      <w:r w:rsidR="00E74726" w:rsidRPr="00F771E1">
        <w:rPr>
          <w:rFonts w:ascii="Times New Roman" w:hAnsi="Times New Roman"/>
          <w:i w:val="0"/>
          <w:sz w:val="24"/>
          <w:szCs w:val="24"/>
        </w:rPr>
        <w:t>Regulacje prawne dotyczące obowiązku sprawozdawczego</w:t>
      </w:r>
      <w:bookmarkEnd w:id="6"/>
      <w:r w:rsidR="00E74726" w:rsidRPr="00F771E1">
        <w:rPr>
          <w:rFonts w:ascii="Times New Roman" w:hAnsi="Times New Roman"/>
          <w:i w:val="0"/>
          <w:sz w:val="24"/>
          <w:szCs w:val="24"/>
        </w:rPr>
        <w:t xml:space="preserve"> </w:t>
      </w:r>
    </w:p>
    <w:p w14:paraId="6518CA02" w14:textId="77777777" w:rsidR="00E74726" w:rsidRPr="00F771E1" w:rsidRDefault="00E74726" w:rsidP="00A749B0">
      <w:pPr>
        <w:pStyle w:val="akapit"/>
        <w:tabs>
          <w:tab w:val="num" w:pos="960"/>
        </w:tabs>
        <w:spacing w:after="0" w:line="240" w:lineRule="auto"/>
        <w:ind w:right="-1" w:firstLine="567"/>
        <w:rPr>
          <w:rFonts w:ascii="Times New Roman" w:hAnsi="Times New Roman"/>
          <w:sz w:val="24"/>
        </w:rPr>
      </w:pPr>
      <w:r w:rsidRPr="00F771E1">
        <w:rPr>
          <w:rFonts w:ascii="Times New Roman" w:hAnsi="Times New Roman"/>
          <w:sz w:val="24"/>
        </w:rPr>
        <w:t xml:space="preserve">Udzielanie poręczeń i gwarancji to podejmowanie ryzyka finansowego, z reguły na rachunek przyszłych okresów. Art. 216 ust. 5 Konstytucji Rzeczypospolitej Polskiej stanowi, że nie wolno zaciągać pożyczek lub udzielać gwarancji i poręczeń finansowych, w następstwie których państwowy dług publiczny przekroczy 3/5 wartości rocznego produktu krajowego brutto. </w:t>
      </w:r>
    </w:p>
    <w:p w14:paraId="030A8E1D" w14:textId="77777777" w:rsidR="005F6C9D" w:rsidRPr="00F771E1" w:rsidRDefault="00E74726" w:rsidP="00061E85">
      <w:pPr>
        <w:pStyle w:val="akapit"/>
        <w:tabs>
          <w:tab w:val="num" w:pos="960"/>
        </w:tabs>
        <w:spacing w:after="0" w:line="240" w:lineRule="auto"/>
        <w:ind w:right="-1" w:firstLine="567"/>
        <w:rPr>
          <w:rFonts w:ascii="Times New Roman" w:hAnsi="Times New Roman"/>
          <w:sz w:val="24"/>
        </w:rPr>
      </w:pPr>
      <w:r w:rsidRPr="00F771E1">
        <w:rPr>
          <w:rFonts w:ascii="Times New Roman" w:hAnsi="Times New Roman"/>
          <w:sz w:val="24"/>
        </w:rPr>
        <w:t xml:space="preserve">W związku z powyższym kontrola narastania zobowiązań z tytułu udzielanych poręczeń i gwarancji ma szczególne znaczenie z punktu widzenia bezpieczeństwa finansów publicznych. </w:t>
      </w:r>
    </w:p>
    <w:p w14:paraId="46FAAAC7" w14:textId="77777777" w:rsidR="00061E85" w:rsidRPr="00F771E1" w:rsidRDefault="00061E85" w:rsidP="00034080">
      <w:pPr>
        <w:pStyle w:val="pktmyslnw0"/>
        <w:tabs>
          <w:tab w:val="clear" w:pos="284"/>
          <w:tab w:val="left" w:pos="540"/>
          <w:tab w:val="num" w:pos="960"/>
        </w:tabs>
        <w:spacing w:after="0" w:line="240" w:lineRule="auto"/>
        <w:ind w:left="0" w:right="-1" w:firstLine="540"/>
        <w:rPr>
          <w:rFonts w:ascii="Times New Roman" w:hAnsi="Times New Roman"/>
          <w:sz w:val="24"/>
        </w:rPr>
      </w:pPr>
      <w:r w:rsidRPr="00F771E1">
        <w:rPr>
          <w:rFonts w:ascii="Times New Roman" w:hAnsi="Times New Roman"/>
          <w:sz w:val="24"/>
        </w:rPr>
        <w:t>Ustawa o poręczeniach i gwarancjach, w art. 46, nałożyła na Radę Ministrów obowiązek przedstawiania corocznie Sejmowi, w terminie właściwym do przedstawienia sprawozdania z wykonania budżetu państwa, informacji o:</w:t>
      </w:r>
    </w:p>
    <w:p w14:paraId="19766FA3" w14:textId="77777777" w:rsidR="00E74726" w:rsidRPr="00F771E1" w:rsidRDefault="00E74726" w:rsidP="002874A0">
      <w:pPr>
        <w:pStyle w:val="pktmyslnw0"/>
        <w:numPr>
          <w:ilvl w:val="0"/>
          <w:numId w:val="18"/>
        </w:numPr>
        <w:tabs>
          <w:tab w:val="clear" w:pos="284"/>
          <w:tab w:val="left" w:pos="540"/>
        </w:tabs>
        <w:spacing w:after="0" w:line="240" w:lineRule="auto"/>
        <w:ind w:left="993" w:right="-1" w:hanging="425"/>
        <w:rPr>
          <w:rFonts w:ascii="Times New Roman" w:hAnsi="Times New Roman"/>
          <w:sz w:val="24"/>
        </w:rPr>
      </w:pPr>
      <w:r w:rsidRPr="00F771E1">
        <w:rPr>
          <w:rFonts w:ascii="Times New Roman" w:hAnsi="Times New Roman"/>
          <w:sz w:val="24"/>
        </w:rPr>
        <w:t xml:space="preserve">poręczeniach i gwarancjach udzielonych przez Skarb Państwa, </w:t>
      </w:r>
    </w:p>
    <w:p w14:paraId="6FA57470" w14:textId="77777777" w:rsidR="00E74726" w:rsidRPr="00F771E1" w:rsidRDefault="00E74726" w:rsidP="002874A0">
      <w:pPr>
        <w:pStyle w:val="pktmyslnw0"/>
        <w:numPr>
          <w:ilvl w:val="0"/>
          <w:numId w:val="18"/>
        </w:numPr>
        <w:tabs>
          <w:tab w:val="clear" w:pos="284"/>
          <w:tab w:val="left" w:pos="540"/>
        </w:tabs>
        <w:spacing w:after="0" w:line="240" w:lineRule="auto"/>
        <w:ind w:left="993" w:right="-1" w:hanging="425"/>
        <w:rPr>
          <w:rFonts w:ascii="Times New Roman" w:hAnsi="Times New Roman"/>
          <w:sz w:val="24"/>
        </w:rPr>
      </w:pPr>
      <w:r w:rsidRPr="00F771E1">
        <w:rPr>
          <w:rFonts w:ascii="Times New Roman" w:hAnsi="Times New Roman"/>
          <w:sz w:val="24"/>
        </w:rPr>
        <w:t xml:space="preserve">poręczeniach i gwarancjach udzielonych przez niektóre osoby prawne, </w:t>
      </w:r>
    </w:p>
    <w:p w14:paraId="3970DDAE" w14:textId="77777777" w:rsidR="00E74726" w:rsidRPr="00F771E1" w:rsidRDefault="00E74726" w:rsidP="002874A0">
      <w:pPr>
        <w:pStyle w:val="pktmyslnw0"/>
        <w:numPr>
          <w:ilvl w:val="0"/>
          <w:numId w:val="18"/>
        </w:numPr>
        <w:tabs>
          <w:tab w:val="clear" w:pos="284"/>
          <w:tab w:val="left" w:pos="540"/>
        </w:tabs>
        <w:spacing w:after="0" w:line="240" w:lineRule="auto"/>
        <w:ind w:left="993" w:right="-1" w:hanging="425"/>
        <w:rPr>
          <w:rFonts w:ascii="Times New Roman" w:hAnsi="Times New Roman"/>
          <w:sz w:val="24"/>
        </w:rPr>
      </w:pPr>
      <w:r w:rsidRPr="00F771E1">
        <w:rPr>
          <w:rFonts w:ascii="Times New Roman" w:hAnsi="Times New Roman"/>
          <w:sz w:val="24"/>
        </w:rPr>
        <w:t xml:space="preserve">poręczeniach i gwarancjach udzielonych przez Bank Gospodarstwa Krajowego w ramach programów rządowych, </w:t>
      </w:r>
    </w:p>
    <w:p w14:paraId="39F532C1" w14:textId="77777777" w:rsidR="00E74726" w:rsidRPr="00F771E1" w:rsidRDefault="00E74726" w:rsidP="002874A0">
      <w:pPr>
        <w:pStyle w:val="pktmyslnw0"/>
        <w:numPr>
          <w:ilvl w:val="0"/>
          <w:numId w:val="18"/>
        </w:numPr>
        <w:tabs>
          <w:tab w:val="clear" w:pos="284"/>
          <w:tab w:val="left" w:pos="540"/>
        </w:tabs>
        <w:spacing w:after="0" w:line="240" w:lineRule="auto"/>
        <w:ind w:left="993" w:right="-1" w:hanging="425"/>
        <w:rPr>
          <w:rFonts w:ascii="Times New Roman" w:hAnsi="Times New Roman"/>
          <w:sz w:val="24"/>
        </w:rPr>
      </w:pPr>
      <w:r w:rsidRPr="00F771E1">
        <w:rPr>
          <w:rFonts w:ascii="Times New Roman" w:hAnsi="Times New Roman"/>
          <w:sz w:val="24"/>
        </w:rPr>
        <w:t>liczbie i wartości akcji (udziałów) składających się na zasób majątkowy przeznaczony na zaspokojenie roszcze</w:t>
      </w:r>
      <w:r w:rsidR="003A1286" w:rsidRPr="00F771E1">
        <w:rPr>
          <w:rFonts w:ascii="Times New Roman" w:hAnsi="Times New Roman"/>
          <w:sz w:val="24"/>
        </w:rPr>
        <w:t xml:space="preserve">ń z tytułu poręczeń i gwarancji </w:t>
      </w:r>
      <w:r w:rsidRPr="00F771E1">
        <w:rPr>
          <w:rFonts w:ascii="Times New Roman" w:hAnsi="Times New Roman"/>
          <w:sz w:val="24"/>
        </w:rPr>
        <w:t xml:space="preserve">udzielonych przez Skarb Państwa, </w:t>
      </w:r>
    </w:p>
    <w:p w14:paraId="0EA8E817" w14:textId="77777777" w:rsidR="00E74726" w:rsidRPr="00F771E1" w:rsidRDefault="00E74726" w:rsidP="002874A0">
      <w:pPr>
        <w:pStyle w:val="pktmyslnw0"/>
        <w:numPr>
          <w:ilvl w:val="0"/>
          <w:numId w:val="18"/>
        </w:numPr>
        <w:tabs>
          <w:tab w:val="clear" w:pos="284"/>
          <w:tab w:val="left" w:pos="540"/>
        </w:tabs>
        <w:spacing w:after="0" w:line="240" w:lineRule="auto"/>
        <w:ind w:left="993" w:right="-1" w:hanging="425"/>
        <w:rPr>
          <w:rFonts w:ascii="Times New Roman" w:hAnsi="Times New Roman"/>
          <w:sz w:val="24"/>
        </w:rPr>
      </w:pPr>
      <w:r w:rsidRPr="00F771E1">
        <w:rPr>
          <w:rFonts w:ascii="Times New Roman" w:hAnsi="Times New Roman"/>
          <w:sz w:val="24"/>
        </w:rPr>
        <w:t>wykorzystaniu środków gromadzonych na rachunku rezerw poręczeniowych i gwarancyjnych Skarbu Państwa w Banku Gospodarstwa Krajowego.</w:t>
      </w:r>
    </w:p>
    <w:p w14:paraId="00DC62E5" w14:textId="77777777" w:rsidR="00E74726" w:rsidRPr="00F771E1" w:rsidRDefault="00164542" w:rsidP="00A749B0">
      <w:pPr>
        <w:pStyle w:val="akapit"/>
        <w:tabs>
          <w:tab w:val="num" w:pos="960"/>
          <w:tab w:val="left" w:pos="8760"/>
        </w:tabs>
        <w:spacing w:after="0" w:line="240" w:lineRule="auto"/>
        <w:ind w:right="-1" w:firstLine="567"/>
        <w:rPr>
          <w:rFonts w:ascii="Times New Roman" w:hAnsi="Times New Roman"/>
          <w:sz w:val="24"/>
        </w:rPr>
      </w:pPr>
      <w:r w:rsidRPr="00F771E1">
        <w:rPr>
          <w:rFonts w:ascii="Times New Roman" w:hAnsi="Times New Roman"/>
          <w:sz w:val="24"/>
        </w:rPr>
        <w:t>Obok obowiązków sprawozdawczych wynika</w:t>
      </w:r>
      <w:r w:rsidR="00C60A67">
        <w:rPr>
          <w:rFonts w:ascii="Times New Roman" w:hAnsi="Times New Roman"/>
          <w:sz w:val="24"/>
        </w:rPr>
        <w:t xml:space="preserve">jących z ustawy o poręczeniach </w:t>
      </w:r>
      <w:r w:rsidRPr="00F771E1">
        <w:rPr>
          <w:rFonts w:ascii="Times New Roman" w:hAnsi="Times New Roman"/>
          <w:sz w:val="24"/>
        </w:rPr>
        <w:t>i</w:t>
      </w:r>
      <w:r w:rsidR="00C60A67">
        <w:rPr>
          <w:rFonts w:ascii="Times New Roman" w:hAnsi="Times New Roman"/>
          <w:sz w:val="24"/>
        </w:rPr>
        <w:t> </w:t>
      </w:r>
      <w:r w:rsidRPr="00F771E1">
        <w:rPr>
          <w:rFonts w:ascii="Times New Roman" w:hAnsi="Times New Roman"/>
          <w:sz w:val="24"/>
        </w:rPr>
        <w:t>gwarancjach, których wykonanie następuje w formie przedłożenia Sejmowi niniejszej Informacji, istnieją również obowiązki wprowad</w:t>
      </w:r>
      <w:r w:rsidR="00C60A67">
        <w:rPr>
          <w:rFonts w:ascii="Times New Roman" w:hAnsi="Times New Roman"/>
          <w:sz w:val="24"/>
        </w:rPr>
        <w:t xml:space="preserve">zone przez art. 36 ust. 2 oraz </w:t>
      </w:r>
      <w:r w:rsidRPr="00F771E1">
        <w:rPr>
          <w:rFonts w:ascii="Times New Roman" w:hAnsi="Times New Roman"/>
          <w:sz w:val="24"/>
        </w:rPr>
        <w:t>art. 38</w:t>
      </w:r>
      <w:r w:rsidR="00C60A67">
        <w:rPr>
          <w:rFonts w:ascii="Times New Roman" w:hAnsi="Times New Roman"/>
          <w:sz w:val="24"/>
        </w:rPr>
        <w:t> </w:t>
      </w:r>
      <w:r w:rsidRPr="00F771E1">
        <w:rPr>
          <w:rFonts w:ascii="Times New Roman" w:hAnsi="Times New Roman"/>
          <w:sz w:val="24"/>
        </w:rPr>
        <w:t>ustawy z dnia 27 sierpnia 2009 r. o finansach publicznych (Dz. U. z 2019 r. poz.</w:t>
      </w:r>
      <w:r w:rsidR="00C60A67">
        <w:rPr>
          <w:rFonts w:ascii="Times New Roman" w:hAnsi="Times New Roman"/>
          <w:sz w:val="24"/>
        </w:rPr>
        <w:t> </w:t>
      </w:r>
      <w:r w:rsidRPr="00F771E1">
        <w:rPr>
          <w:rFonts w:ascii="Times New Roman" w:hAnsi="Times New Roman"/>
          <w:sz w:val="24"/>
        </w:rPr>
        <w:t xml:space="preserve">869, z </w:t>
      </w:r>
      <w:proofErr w:type="spellStart"/>
      <w:r w:rsidRPr="00F771E1">
        <w:rPr>
          <w:rFonts w:ascii="Times New Roman" w:hAnsi="Times New Roman"/>
          <w:sz w:val="24"/>
        </w:rPr>
        <w:t>późn</w:t>
      </w:r>
      <w:proofErr w:type="spellEnd"/>
      <w:r w:rsidRPr="00F771E1">
        <w:rPr>
          <w:rFonts w:ascii="Times New Roman" w:hAnsi="Times New Roman"/>
          <w:sz w:val="24"/>
        </w:rPr>
        <w:t>. zm.). Obowiązki te polegają m.in. na</w:t>
      </w:r>
      <w:r w:rsidR="00E74726" w:rsidRPr="00F771E1">
        <w:rPr>
          <w:rFonts w:ascii="Times New Roman" w:hAnsi="Times New Roman"/>
          <w:sz w:val="24"/>
        </w:rPr>
        <w:t xml:space="preserve">: </w:t>
      </w:r>
    </w:p>
    <w:p w14:paraId="21CAA8EF" w14:textId="77777777" w:rsidR="00E74726" w:rsidRPr="00F771E1" w:rsidRDefault="00E74726" w:rsidP="002874A0">
      <w:pPr>
        <w:pStyle w:val="pktmyslnw0"/>
        <w:numPr>
          <w:ilvl w:val="0"/>
          <w:numId w:val="3"/>
        </w:numPr>
        <w:tabs>
          <w:tab w:val="clear" w:pos="284"/>
          <w:tab w:val="clear" w:pos="1716"/>
          <w:tab w:val="num" w:pos="993"/>
          <w:tab w:val="left" w:pos="8760"/>
        </w:tabs>
        <w:spacing w:after="0" w:line="240" w:lineRule="auto"/>
        <w:ind w:left="993" w:right="-1" w:hanging="426"/>
        <w:rPr>
          <w:rFonts w:ascii="Times New Roman" w:hAnsi="Times New Roman"/>
          <w:sz w:val="24"/>
        </w:rPr>
      </w:pPr>
      <w:r w:rsidRPr="00F771E1">
        <w:rPr>
          <w:rFonts w:ascii="Times New Roman" w:hAnsi="Times New Roman"/>
          <w:sz w:val="24"/>
        </w:rPr>
        <w:t>podawaniu do publicznej wiadomości wykazu udzielonych przez Skarb Państwa gwarancji i poręczeń, wskazując osoby prawne i fizyczne oraz jednostki organizacyjne</w:t>
      </w:r>
      <w:r w:rsidR="0053772B" w:rsidRPr="00F771E1">
        <w:rPr>
          <w:rFonts w:ascii="Times New Roman" w:hAnsi="Times New Roman"/>
          <w:sz w:val="24"/>
        </w:rPr>
        <w:t>,</w:t>
      </w:r>
      <w:r w:rsidRPr="00F771E1">
        <w:rPr>
          <w:rFonts w:ascii="Times New Roman" w:hAnsi="Times New Roman"/>
          <w:sz w:val="24"/>
        </w:rPr>
        <w:t xml:space="preserve"> nieposiadające osobowości prawnej, których te poręczenia i gwarancje dotyczą, </w:t>
      </w:r>
    </w:p>
    <w:p w14:paraId="76BFA613" w14:textId="77777777" w:rsidR="00E74726" w:rsidRPr="00F771E1" w:rsidRDefault="00E74726" w:rsidP="002874A0">
      <w:pPr>
        <w:pStyle w:val="pktmyslnw0"/>
        <w:numPr>
          <w:ilvl w:val="0"/>
          <w:numId w:val="3"/>
        </w:numPr>
        <w:tabs>
          <w:tab w:val="clear" w:pos="284"/>
          <w:tab w:val="clear" w:pos="1716"/>
          <w:tab w:val="num" w:pos="993"/>
          <w:tab w:val="left" w:pos="8760"/>
        </w:tabs>
        <w:spacing w:after="0" w:line="240" w:lineRule="auto"/>
        <w:ind w:left="993" w:right="-1" w:hanging="426"/>
        <w:rPr>
          <w:rFonts w:ascii="Times New Roman" w:hAnsi="Times New Roman"/>
          <w:sz w:val="24"/>
        </w:rPr>
      </w:pPr>
      <w:r w:rsidRPr="00F771E1">
        <w:rPr>
          <w:rFonts w:ascii="Times New Roman" w:hAnsi="Times New Roman"/>
          <w:sz w:val="24"/>
        </w:rPr>
        <w:t>ogłaszaniu kwoty i relacji do produktu krajowego brutto niewymagalnych zobowiązań z tytułu poręczeń i gwarancji udzielonych przez Skarb Państwa,</w:t>
      </w:r>
    </w:p>
    <w:p w14:paraId="315316A9" w14:textId="77777777" w:rsidR="00E74726" w:rsidRPr="00F771E1" w:rsidRDefault="00E74726" w:rsidP="002874A0">
      <w:pPr>
        <w:pStyle w:val="pktmyslnw0"/>
        <w:numPr>
          <w:ilvl w:val="0"/>
          <w:numId w:val="3"/>
        </w:numPr>
        <w:tabs>
          <w:tab w:val="clear" w:pos="284"/>
          <w:tab w:val="clear" w:pos="1716"/>
          <w:tab w:val="num" w:pos="993"/>
          <w:tab w:val="left" w:pos="8760"/>
        </w:tabs>
        <w:spacing w:after="0" w:line="240" w:lineRule="auto"/>
        <w:ind w:left="993" w:right="-1" w:hanging="426"/>
        <w:rPr>
          <w:rFonts w:ascii="Times New Roman" w:hAnsi="Times New Roman"/>
          <w:sz w:val="24"/>
        </w:rPr>
      </w:pPr>
      <w:r w:rsidRPr="00F771E1">
        <w:rPr>
          <w:rFonts w:ascii="Times New Roman" w:hAnsi="Times New Roman"/>
          <w:sz w:val="24"/>
        </w:rPr>
        <w:t xml:space="preserve">ogłaszaniu kwoty niewymagalnych zobowiązań z tytułu poręczeń i gwarancji udzielonych przez jednostki sektora finansów publicznych. </w:t>
      </w:r>
    </w:p>
    <w:p w14:paraId="5B9914E7" w14:textId="77777777" w:rsidR="00E74726" w:rsidRPr="00F771E1" w:rsidRDefault="00E74726" w:rsidP="00A749B0">
      <w:pPr>
        <w:pStyle w:val="akapit"/>
        <w:tabs>
          <w:tab w:val="num" w:pos="960"/>
          <w:tab w:val="left" w:pos="8760"/>
        </w:tabs>
        <w:spacing w:after="0" w:line="240" w:lineRule="auto"/>
        <w:ind w:right="-1" w:firstLine="567"/>
        <w:rPr>
          <w:rFonts w:ascii="Times New Roman" w:hAnsi="Times New Roman"/>
          <w:sz w:val="24"/>
        </w:rPr>
      </w:pPr>
      <w:r w:rsidRPr="00F771E1">
        <w:rPr>
          <w:rFonts w:ascii="Times New Roman" w:hAnsi="Times New Roman"/>
          <w:sz w:val="24"/>
        </w:rPr>
        <w:lastRenderedPageBreak/>
        <w:t xml:space="preserve">Należy mieć na uwadze fakt, że zakres wyżej wspomnianej sprawozdawczości jest różny od tego, jaki wynika z niniejszej Informacji. Do sektora finansów publicznych nie </w:t>
      </w:r>
      <w:r w:rsidR="00161FDD" w:rsidRPr="00F771E1">
        <w:rPr>
          <w:rFonts w:ascii="Times New Roman" w:hAnsi="Times New Roman"/>
          <w:sz w:val="24"/>
        </w:rPr>
        <w:t xml:space="preserve">jest </w:t>
      </w:r>
      <w:r w:rsidRPr="00F771E1">
        <w:rPr>
          <w:rFonts w:ascii="Times New Roman" w:hAnsi="Times New Roman"/>
          <w:sz w:val="24"/>
        </w:rPr>
        <w:t>bowiem zaliczan</w:t>
      </w:r>
      <w:r w:rsidR="00161FDD" w:rsidRPr="00F771E1">
        <w:rPr>
          <w:rFonts w:ascii="Times New Roman" w:hAnsi="Times New Roman"/>
          <w:sz w:val="24"/>
        </w:rPr>
        <w:t>y</w:t>
      </w:r>
      <w:r w:rsidRPr="00F771E1">
        <w:rPr>
          <w:rFonts w:ascii="Times New Roman" w:hAnsi="Times New Roman"/>
          <w:sz w:val="24"/>
        </w:rPr>
        <w:t xml:space="preserve"> Bank Gospodarstwa Krajowego</w:t>
      </w:r>
      <w:r w:rsidR="0008278A" w:rsidRPr="00F771E1">
        <w:rPr>
          <w:rFonts w:ascii="Times New Roman" w:hAnsi="Times New Roman"/>
          <w:sz w:val="24"/>
        </w:rPr>
        <w:t xml:space="preserve">, </w:t>
      </w:r>
      <w:r w:rsidR="00B73558" w:rsidRPr="00F771E1">
        <w:rPr>
          <w:rFonts w:ascii="Times New Roman" w:hAnsi="Times New Roman"/>
          <w:sz w:val="24"/>
        </w:rPr>
        <w:t xml:space="preserve">zwany </w:t>
      </w:r>
      <w:r w:rsidR="0053772B" w:rsidRPr="00F771E1">
        <w:rPr>
          <w:rFonts w:ascii="Times New Roman" w:hAnsi="Times New Roman"/>
          <w:sz w:val="24"/>
        </w:rPr>
        <w:t>dalej</w:t>
      </w:r>
      <w:r w:rsidR="0008278A" w:rsidRPr="00F771E1">
        <w:rPr>
          <w:rFonts w:ascii="Times New Roman" w:hAnsi="Times New Roman"/>
          <w:sz w:val="24"/>
        </w:rPr>
        <w:t xml:space="preserve"> BGK</w:t>
      </w:r>
      <w:r w:rsidRPr="00F771E1">
        <w:rPr>
          <w:rFonts w:ascii="Times New Roman" w:hAnsi="Times New Roman"/>
          <w:sz w:val="24"/>
        </w:rPr>
        <w:t xml:space="preserve">. Obowiązki wynikające z ustawy o finansach publicznych są wykonywane w formie stosownych </w:t>
      </w:r>
      <w:proofErr w:type="spellStart"/>
      <w:r w:rsidRPr="00F771E1">
        <w:rPr>
          <w:rFonts w:ascii="Times New Roman" w:hAnsi="Times New Roman"/>
          <w:sz w:val="24"/>
        </w:rPr>
        <w:t>obwieszczeń</w:t>
      </w:r>
      <w:proofErr w:type="spellEnd"/>
      <w:r w:rsidRPr="00F771E1">
        <w:rPr>
          <w:rFonts w:ascii="Times New Roman" w:hAnsi="Times New Roman"/>
          <w:sz w:val="24"/>
        </w:rPr>
        <w:t xml:space="preserve">. </w:t>
      </w:r>
    </w:p>
    <w:p w14:paraId="1AC3D503" w14:textId="77777777" w:rsidR="00857D9C" w:rsidRPr="00F771E1" w:rsidRDefault="00E74726" w:rsidP="000B7F39">
      <w:pPr>
        <w:pStyle w:val="akapit"/>
        <w:tabs>
          <w:tab w:val="num" w:pos="960"/>
          <w:tab w:val="left" w:pos="8760"/>
        </w:tabs>
        <w:spacing w:after="0" w:line="240" w:lineRule="auto"/>
        <w:ind w:right="-1" w:firstLine="567"/>
        <w:rPr>
          <w:rFonts w:ascii="Times New Roman" w:hAnsi="Times New Roman"/>
          <w:sz w:val="24"/>
        </w:rPr>
      </w:pPr>
      <w:r w:rsidRPr="00F771E1">
        <w:rPr>
          <w:rFonts w:ascii="Times New Roman" w:hAnsi="Times New Roman"/>
          <w:sz w:val="24"/>
        </w:rPr>
        <w:t>Zaprezentowane w poniższym opracowaniu dane liczbowe wskazują, że omawiana problematyka powinna podlegać stałej kontroli z uwagi na wysoki poziom potencjalnych, niewymagalnych zobowiązań Skarbu Państwa z tytułu ud</w:t>
      </w:r>
      <w:bookmarkStart w:id="7" w:name="_Toc351982305"/>
      <w:bookmarkStart w:id="8" w:name="_Toc351982475"/>
      <w:bookmarkStart w:id="9" w:name="_Toc351982625"/>
      <w:bookmarkStart w:id="10" w:name="_Toc351982930"/>
      <w:bookmarkStart w:id="11" w:name="_Toc351990862"/>
      <w:bookmarkStart w:id="12" w:name="_Toc352076140"/>
      <w:r w:rsidR="00857D9C" w:rsidRPr="00F771E1">
        <w:rPr>
          <w:rFonts w:ascii="Times New Roman" w:hAnsi="Times New Roman"/>
          <w:sz w:val="24"/>
        </w:rPr>
        <w:t>zielonych poręczeń i gwarancji.</w:t>
      </w:r>
    </w:p>
    <w:p w14:paraId="65CF8790" w14:textId="77777777" w:rsidR="00E74726" w:rsidRPr="00F771E1" w:rsidRDefault="000B7F39" w:rsidP="00283508">
      <w:pPr>
        <w:pStyle w:val="Nagwek2"/>
        <w:tabs>
          <w:tab w:val="left" w:pos="567"/>
        </w:tabs>
        <w:spacing w:before="120" w:after="120"/>
        <w:rPr>
          <w:rFonts w:ascii="Times New Roman" w:hAnsi="Times New Roman"/>
          <w:i w:val="0"/>
          <w:sz w:val="24"/>
          <w:szCs w:val="24"/>
        </w:rPr>
      </w:pPr>
      <w:bookmarkStart w:id="13" w:name="_Toc352237512"/>
      <w:bookmarkStart w:id="14" w:name="_Toc37242617"/>
      <w:r w:rsidRPr="00F771E1">
        <w:rPr>
          <w:rFonts w:ascii="Times New Roman" w:hAnsi="Times New Roman"/>
          <w:i w:val="0"/>
          <w:sz w:val="24"/>
          <w:szCs w:val="24"/>
        </w:rPr>
        <w:t xml:space="preserve">2.2 </w:t>
      </w:r>
      <w:r w:rsidR="00A53157" w:rsidRPr="00F771E1">
        <w:rPr>
          <w:rFonts w:ascii="Times New Roman" w:hAnsi="Times New Roman"/>
          <w:i w:val="0"/>
          <w:sz w:val="24"/>
          <w:szCs w:val="24"/>
        </w:rPr>
        <w:tab/>
      </w:r>
      <w:r w:rsidR="00E74726" w:rsidRPr="00F771E1">
        <w:rPr>
          <w:rFonts w:ascii="Times New Roman" w:hAnsi="Times New Roman"/>
          <w:i w:val="0"/>
          <w:sz w:val="24"/>
          <w:szCs w:val="24"/>
        </w:rPr>
        <w:t>Gwarancje i poręczenia udzielone przez Skarb Państwa</w:t>
      </w:r>
      <w:bookmarkEnd w:id="7"/>
      <w:bookmarkEnd w:id="8"/>
      <w:bookmarkEnd w:id="9"/>
      <w:bookmarkEnd w:id="10"/>
      <w:bookmarkEnd w:id="11"/>
      <w:bookmarkEnd w:id="12"/>
      <w:bookmarkEnd w:id="13"/>
      <w:bookmarkEnd w:id="14"/>
      <w:r w:rsidR="00E74726" w:rsidRPr="00F771E1">
        <w:rPr>
          <w:rFonts w:ascii="Times New Roman" w:hAnsi="Times New Roman"/>
          <w:i w:val="0"/>
          <w:sz w:val="24"/>
          <w:szCs w:val="24"/>
        </w:rPr>
        <w:t xml:space="preserve"> </w:t>
      </w:r>
    </w:p>
    <w:p w14:paraId="65909758" w14:textId="77777777" w:rsidR="00E74726" w:rsidRPr="00F771E1" w:rsidRDefault="000B7F39" w:rsidP="00A53157">
      <w:pPr>
        <w:pStyle w:val="Nagwek3"/>
        <w:tabs>
          <w:tab w:val="left" w:pos="567"/>
        </w:tabs>
        <w:spacing w:before="120" w:after="120"/>
        <w:rPr>
          <w:rFonts w:ascii="Times New Roman" w:hAnsi="Times New Roman"/>
          <w:sz w:val="24"/>
          <w:szCs w:val="24"/>
        </w:rPr>
      </w:pPr>
      <w:bookmarkStart w:id="15" w:name="_Toc351990863"/>
      <w:bookmarkStart w:id="16" w:name="_Toc352076141"/>
      <w:bookmarkStart w:id="17" w:name="_Toc352237513"/>
      <w:bookmarkStart w:id="18" w:name="_Toc37242618"/>
      <w:r w:rsidRPr="00F771E1">
        <w:rPr>
          <w:rFonts w:ascii="Times New Roman" w:hAnsi="Times New Roman"/>
          <w:sz w:val="24"/>
          <w:szCs w:val="24"/>
        </w:rPr>
        <w:t xml:space="preserve">2.2.1 </w:t>
      </w:r>
      <w:r w:rsidR="00A53157" w:rsidRPr="00F771E1">
        <w:rPr>
          <w:rFonts w:ascii="Times New Roman" w:hAnsi="Times New Roman"/>
          <w:sz w:val="24"/>
          <w:szCs w:val="24"/>
        </w:rPr>
        <w:tab/>
      </w:r>
      <w:r w:rsidR="00E74726" w:rsidRPr="00F771E1">
        <w:rPr>
          <w:rFonts w:ascii="Times New Roman" w:hAnsi="Times New Roman"/>
          <w:sz w:val="24"/>
          <w:szCs w:val="24"/>
        </w:rPr>
        <w:t>Udzielone gwarancje i poręczenia Skarbu Państwa</w:t>
      </w:r>
      <w:bookmarkEnd w:id="15"/>
      <w:bookmarkEnd w:id="16"/>
      <w:bookmarkEnd w:id="17"/>
      <w:bookmarkEnd w:id="18"/>
    </w:p>
    <w:p w14:paraId="770B0AB8" w14:textId="77777777" w:rsidR="00164542" w:rsidRPr="00F771E1" w:rsidRDefault="00164542" w:rsidP="00164542">
      <w:pPr>
        <w:pStyle w:val="Tekstpodstawowywcity"/>
        <w:tabs>
          <w:tab w:val="num" w:pos="960"/>
        </w:tabs>
        <w:spacing w:after="60"/>
        <w:ind w:left="0" w:firstLine="567"/>
        <w:jc w:val="both"/>
      </w:pPr>
      <w:r w:rsidRPr="00F771E1">
        <w:t>W 2019 r. na podstawie usta</w:t>
      </w:r>
      <w:r w:rsidR="006D6F93" w:rsidRPr="00F771E1">
        <w:t xml:space="preserve">wy o poręczeniach i gwarancjach </w:t>
      </w:r>
      <w:r w:rsidRPr="00F771E1">
        <w:t>udzielono 3 gwarancji Skarbu Pa</w:t>
      </w:r>
      <w:r w:rsidR="007F4CFD">
        <w:t>ństwa na łączną kwotę 6 929 552 </w:t>
      </w:r>
      <w:r w:rsidRPr="00F771E1">
        <w:t xml:space="preserve">800 </w:t>
      </w:r>
      <w:r w:rsidRPr="00F771E1">
        <w:rPr>
          <w:bCs/>
        </w:rPr>
        <w:t>zł.</w:t>
      </w:r>
      <w:r w:rsidRPr="00F771E1">
        <w:t xml:space="preserve"> </w:t>
      </w:r>
    </w:p>
    <w:p w14:paraId="7DA7296E" w14:textId="77777777" w:rsidR="0018435E" w:rsidRPr="00F771E1" w:rsidRDefault="00164542" w:rsidP="00164542">
      <w:pPr>
        <w:pStyle w:val="Tekstpodstawowywcity"/>
        <w:tabs>
          <w:tab w:val="num" w:pos="960"/>
        </w:tabs>
        <w:spacing w:after="60"/>
        <w:ind w:left="0"/>
        <w:jc w:val="both"/>
      </w:pPr>
      <w:r w:rsidRPr="00F771E1">
        <w:t>Wykaz przedmiotowych gwarancji przedstawia poniższa tabela</w:t>
      </w:r>
      <w:r w:rsidR="009F1347" w:rsidRPr="00F771E1">
        <w:t>:</w:t>
      </w:r>
    </w:p>
    <w:tbl>
      <w:tblPr>
        <w:tblW w:w="8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33"/>
        <w:gridCol w:w="1509"/>
        <w:gridCol w:w="1270"/>
        <w:gridCol w:w="1840"/>
        <w:gridCol w:w="1274"/>
        <w:gridCol w:w="1142"/>
      </w:tblGrid>
      <w:tr w:rsidR="00164542" w:rsidRPr="00F771E1" w14:paraId="7B98F251" w14:textId="77777777" w:rsidTr="00CF4A9D">
        <w:trPr>
          <w:trHeight w:val="327"/>
        </w:trPr>
        <w:tc>
          <w:tcPr>
            <w:tcW w:w="8503" w:type="dxa"/>
            <w:gridSpan w:val="7"/>
            <w:tcBorders>
              <w:top w:val="single" w:sz="4" w:space="0" w:color="auto"/>
              <w:left w:val="single" w:sz="4" w:space="0" w:color="auto"/>
              <w:bottom w:val="single" w:sz="4" w:space="0" w:color="auto"/>
              <w:right w:val="single" w:sz="4" w:space="0" w:color="auto"/>
            </w:tcBorders>
            <w:noWrap/>
            <w:vAlign w:val="center"/>
            <w:hideMark/>
          </w:tcPr>
          <w:p w14:paraId="10ED5314" w14:textId="77777777" w:rsidR="00164542" w:rsidRPr="00F771E1" w:rsidRDefault="00164542" w:rsidP="00CF4A9D">
            <w:pPr>
              <w:ind w:right="283"/>
              <w:jc w:val="center"/>
              <w:rPr>
                <w:b/>
                <w:sz w:val="20"/>
                <w:szCs w:val="20"/>
              </w:rPr>
            </w:pPr>
            <w:r w:rsidRPr="00F771E1">
              <w:rPr>
                <w:b/>
                <w:sz w:val="20"/>
                <w:szCs w:val="20"/>
              </w:rPr>
              <w:t>Gwarancje Skarbu Państwa</w:t>
            </w:r>
          </w:p>
        </w:tc>
      </w:tr>
      <w:tr w:rsidR="00164542" w:rsidRPr="00F771E1" w14:paraId="2A57C961" w14:textId="77777777" w:rsidTr="00CF4A9D">
        <w:trPr>
          <w:trHeight w:val="239"/>
        </w:trPr>
        <w:tc>
          <w:tcPr>
            <w:tcW w:w="1468" w:type="dxa"/>
            <w:gridSpan w:val="2"/>
            <w:tcBorders>
              <w:top w:val="single" w:sz="4" w:space="0" w:color="auto"/>
              <w:left w:val="single" w:sz="4" w:space="0" w:color="auto"/>
              <w:bottom w:val="single" w:sz="4" w:space="0" w:color="auto"/>
              <w:right w:val="single" w:sz="4" w:space="0" w:color="auto"/>
            </w:tcBorders>
            <w:hideMark/>
          </w:tcPr>
          <w:p w14:paraId="3594F547" w14:textId="77777777" w:rsidR="00164542" w:rsidRPr="00F771E1" w:rsidRDefault="00164542" w:rsidP="00CF4A9D">
            <w:pPr>
              <w:jc w:val="center"/>
              <w:rPr>
                <w:b/>
                <w:snapToGrid w:val="0"/>
                <w:sz w:val="18"/>
                <w:szCs w:val="18"/>
              </w:rPr>
            </w:pPr>
            <w:r w:rsidRPr="00F771E1">
              <w:rPr>
                <w:b/>
                <w:snapToGrid w:val="0"/>
                <w:sz w:val="18"/>
                <w:szCs w:val="18"/>
              </w:rPr>
              <w:t>Kredytobiorca/</w:t>
            </w:r>
          </w:p>
          <w:p w14:paraId="2E927558" w14:textId="77777777" w:rsidR="00164542" w:rsidRPr="00F771E1" w:rsidRDefault="00164542" w:rsidP="00CF4A9D">
            <w:pPr>
              <w:jc w:val="center"/>
              <w:rPr>
                <w:b/>
                <w:snapToGrid w:val="0"/>
                <w:sz w:val="18"/>
                <w:szCs w:val="18"/>
              </w:rPr>
            </w:pPr>
            <w:r w:rsidRPr="00F771E1">
              <w:rPr>
                <w:b/>
                <w:snapToGrid w:val="0"/>
                <w:sz w:val="18"/>
                <w:szCs w:val="18"/>
              </w:rPr>
              <w:t>Wnioskodawca</w:t>
            </w:r>
          </w:p>
        </w:tc>
        <w:tc>
          <w:tcPr>
            <w:tcW w:w="1509" w:type="dxa"/>
            <w:tcBorders>
              <w:top w:val="single" w:sz="4" w:space="0" w:color="auto"/>
              <w:left w:val="single" w:sz="4" w:space="0" w:color="auto"/>
              <w:bottom w:val="single" w:sz="4" w:space="0" w:color="auto"/>
              <w:right w:val="single" w:sz="4" w:space="0" w:color="auto"/>
            </w:tcBorders>
          </w:tcPr>
          <w:p w14:paraId="43AC6E8F" w14:textId="77777777" w:rsidR="00164542" w:rsidRPr="00F771E1" w:rsidRDefault="00164542" w:rsidP="00CF4A9D">
            <w:pPr>
              <w:jc w:val="center"/>
              <w:rPr>
                <w:b/>
                <w:snapToGrid w:val="0"/>
                <w:sz w:val="18"/>
                <w:szCs w:val="18"/>
              </w:rPr>
            </w:pPr>
            <w:r w:rsidRPr="00F771E1">
              <w:rPr>
                <w:b/>
                <w:snapToGrid w:val="0"/>
                <w:sz w:val="18"/>
                <w:szCs w:val="18"/>
              </w:rPr>
              <w:t>Kredytodawca</w:t>
            </w:r>
          </w:p>
          <w:p w14:paraId="491A49A0" w14:textId="77777777" w:rsidR="00164542" w:rsidRPr="00F771E1" w:rsidRDefault="00164542" w:rsidP="00CF4A9D">
            <w:pPr>
              <w:jc w:val="center"/>
              <w:rPr>
                <w:b/>
                <w:snapToGrid w:val="0"/>
                <w:sz w:val="18"/>
                <w:szCs w:val="18"/>
              </w:rPr>
            </w:pPr>
          </w:p>
        </w:tc>
        <w:tc>
          <w:tcPr>
            <w:tcW w:w="1270" w:type="dxa"/>
            <w:tcBorders>
              <w:top w:val="single" w:sz="4" w:space="0" w:color="auto"/>
              <w:left w:val="single" w:sz="4" w:space="0" w:color="auto"/>
              <w:bottom w:val="single" w:sz="4" w:space="0" w:color="auto"/>
              <w:right w:val="single" w:sz="4" w:space="0" w:color="auto"/>
            </w:tcBorders>
            <w:hideMark/>
          </w:tcPr>
          <w:p w14:paraId="10876BA0" w14:textId="77777777" w:rsidR="00164542" w:rsidRPr="00F771E1" w:rsidRDefault="00164542" w:rsidP="00CF4A9D">
            <w:pPr>
              <w:jc w:val="center"/>
              <w:rPr>
                <w:b/>
                <w:snapToGrid w:val="0"/>
                <w:sz w:val="18"/>
                <w:szCs w:val="18"/>
              </w:rPr>
            </w:pPr>
            <w:r w:rsidRPr="00F771E1">
              <w:rPr>
                <w:b/>
                <w:snapToGrid w:val="0"/>
                <w:sz w:val="18"/>
                <w:szCs w:val="18"/>
              </w:rPr>
              <w:t>Kwota objęta gwarancją</w:t>
            </w:r>
          </w:p>
          <w:p w14:paraId="36388D33" w14:textId="77777777" w:rsidR="00164542" w:rsidRPr="00F771E1" w:rsidRDefault="00164542" w:rsidP="00CF4A9D">
            <w:pPr>
              <w:jc w:val="center"/>
              <w:rPr>
                <w:b/>
                <w:snapToGrid w:val="0"/>
                <w:sz w:val="18"/>
                <w:szCs w:val="18"/>
              </w:rPr>
            </w:pPr>
            <w:r w:rsidRPr="00F771E1">
              <w:rPr>
                <w:b/>
                <w:snapToGrid w:val="0"/>
                <w:sz w:val="18"/>
                <w:szCs w:val="18"/>
              </w:rPr>
              <w:t>w zł*</w:t>
            </w:r>
          </w:p>
        </w:tc>
        <w:tc>
          <w:tcPr>
            <w:tcW w:w="1840" w:type="dxa"/>
            <w:tcBorders>
              <w:top w:val="single" w:sz="4" w:space="0" w:color="auto"/>
              <w:left w:val="single" w:sz="4" w:space="0" w:color="auto"/>
              <w:bottom w:val="single" w:sz="4" w:space="0" w:color="auto"/>
              <w:right w:val="single" w:sz="4" w:space="0" w:color="auto"/>
            </w:tcBorders>
            <w:hideMark/>
          </w:tcPr>
          <w:p w14:paraId="328DC095" w14:textId="77777777" w:rsidR="00164542" w:rsidRPr="00F771E1" w:rsidRDefault="00164542" w:rsidP="00CF4A9D">
            <w:pPr>
              <w:jc w:val="center"/>
              <w:rPr>
                <w:b/>
                <w:snapToGrid w:val="0"/>
                <w:sz w:val="18"/>
                <w:szCs w:val="18"/>
              </w:rPr>
            </w:pPr>
            <w:r w:rsidRPr="00F771E1">
              <w:rPr>
                <w:b/>
                <w:snapToGrid w:val="0"/>
                <w:sz w:val="18"/>
                <w:szCs w:val="18"/>
              </w:rPr>
              <w:t>Uchwała Rady Ministrów</w:t>
            </w:r>
          </w:p>
        </w:tc>
        <w:tc>
          <w:tcPr>
            <w:tcW w:w="1274" w:type="dxa"/>
            <w:tcBorders>
              <w:top w:val="single" w:sz="4" w:space="0" w:color="auto"/>
              <w:left w:val="single" w:sz="4" w:space="0" w:color="auto"/>
              <w:bottom w:val="single" w:sz="4" w:space="0" w:color="auto"/>
              <w:right w:val="single" w:sz="4" w:space="0" w:color="auto"/>
            </w:tcBorders>
            <w:hideMark/>
          </w:tcPr>
          <w:p w14:paraId="0321F2EB" w14:textId="77777777" w:rsidR="00164542" w:rsidRPr="00F771E1" w:rsidRDefault="00164542" w:rsidP="00CF4A9D">
            <w:pPr>
              <w:jc w:val="center"/>
              <w:rPr>
                <w:b/>
                <w:snapToGrid w:val="0"/>
                <w:sz w:val="18"/>
                <w:szCs w:val="18"/>
              </w:rPr>
            </w:pPr>
            <w:r w:rsidRPr="00F771E1">
              <w:rPr>
                <w:b/>
                <w:snapToGrid w:val="0"/>
                <w:sz w:val="18"/>
                <w:szCs w:val="18"/>
              </w:rPr>
              <w:t>Data podpisania umowy gwarancji</w:t>
            </w:r>
          </w:p>
        </w:tc>
        <w:tc>
          <w:tcPr>
            <w:tcW w:w="1142" w:type="dxa"/>
            <w:tcBorders>
              <w:top w:val="single" w:sz="4" w:space="0" w:color="auto"/>
              <w:left w:val="single" w:sz="4" w:space="0" w:color="auto"/>
              <w:bottom w:val="single" w:sz="4" w:space="0" w:color="auto"/>
              <w:right w:val="single" w:sz="4" w:space="0" w:color="auto"/>
            </w:tcBorders>
            <w:hideMark/>
          </w:tcPr>
          <w:p w14:paraId="4870CC3B" w14:textId="77777777" w:rsidR="00164542" w:rsidRPr="00F771E1" w:rsidRDefault="00164542" w:rsidP="00CF4A9D">
            <w:pPr>
              <w:jc w:val="center"/>
              <w:rPr>
                <w:b/>
                <w:snapToGrid w:val="0"/>
                <w:sz w:val="18"/>
                <w:szCs w:val="18"/>
              </w:rPr>
            </w:pPr>
            <w:r w:rsidRPr="00F771E1">
              <w:rPr>
                <w:b/>
                <w:snapToGrid w:val="0"/>
                <w:sz w:val="18"/>
                <w:szCs w:val="18"/>
              </w:rPr>
              <w:t>Organ udzielający gwarancji</w:t>
            </w:r>
          </w:p>
        </w:tc>
      </w:tr>
      <w:tr w:rsidR="00164542" w:rsidRPr="00F771E1" w14:paraId="09B05CD2" w14:textId="77777777" w:rsidTr="00CF4A9D">
        <w:trPr>
          <w:trHeight w:val="218"/>
        </w:trPr>
        <w:tc>
          <w:tcPr>
            <w:tcW w:w="8503" w:type="dxa"/>
            <w:gridSpan w:val="7"/>
            <w:tcBorders>
              <w:top w:val="single" w:sz="4" w:space="0" w:color="auto"/>
              <w:left w:val="single" w:sz="4" w:space="0" w:color="auto"/>
              <w:bottom w:val="single" w:sz="4" w:space="0" w:color="auto"/>
              <w:right w:val="single" w:sz="4" w:space="0" w:color="auto"/>
            </w:tcBorders>
            <w:vAlign w:val="center"/>
            <w:hideMark/>
          </w:tcPr>
          <w:p w14:paraId="04D565D5" w14:textId="77777777" w:rsidR="00164542" w:rsidRPr="00F771E1" w:rsidRDefault="00164542" w:rsidP="00CF4A9D">
            <w:pPr>
              <w:jc w:val="center"/>
              <w:rPr>
                <w:b/>
                <w:snapToGrid w:val="0"/>
                <w:sz w:val="20"/>
                <w:szCs w:val="20"/>
              </w:rPr>
            </w:pPr>
            <w:r w:rsidRPr="00F771E1">
              <w:rPr>
                <w:b/>
                <w:snapToGrid w:val="0"/>
                <w:sz w:val="20"/>
                <w:szCs w:val="20"/>
              </w:rPr>
              <w:t>Gwarancje spłaty kredytów</w:t>
            </w:r>
            <w:r w:rsidRPr="00F771E1">
              <w:rPr>
                <w:sz w:val="20"/>
                <w:szCs w:val="20"/>
              </w:rPr>
              <w:t xml:space="preserve"> </w:t>
            </w:r>
            <w:r w:rsidRPr="00F771E1">
              <w:rPr>
                <w:b/>
                <w:snapToGrid w:val="0"/>
                <w:sz w:val="20"/>
                <w:szCs w:val="20"/>
              </w:rPr>
              <w:t>zagranicznych</w:t>
            </w:r>
          </w:p>
        </w:tc>
      </w:tr>
      <w:tr w:rsidR="00164542" w:rsidRPr="00F771E1" w14:paraId="4B6F7B45" w14:textId="77777777" w:rsidTr="00CF4A9D">
        <w:trPr>
          <w:trHeight w:val="396"/>
        </w:trPr>
        <w:tc>
          <w:tcPr>
            <w:tcW w:w="1435" w:type="dxa"/>
            <w:tcBorders>
              <w:top w:val="single" w:sz="4" w:space="0" w:color="auto"/>
              <w:left w:val="single" w:sz="4" w:space="0" w:color="auto"/>
              <w:bottom w:val="single" w:sz="4" w:space="0" w:color="auto"/>
              <w:right w:val="single" w:sz="4" w:space="0" w:color="auto"/>
            </w:tcBorders>
            <w:vAlign w:val="center"/>
          </w:tcPr>
          <w:p w14:paraId="4DE59FDB" w14:textId="77777777" w:rsidR="00164542" w:rsidRPr="00F771E1" w:rsidRDefault="00164542" w:rsidP="00CF4A9D">
            <w:pPr>
              <w:jc w:val="center"/>
              <w:rPr>
                <w:snapToGrid w:val="0"/>
                <w:sz w:val="16"/>
                <w:szCs w:val="16"/>
              </w:rPr>
            </w:pPr>
            <w:r w:rsidRPr="00F771E1">
              <w:rPr>
                <w:snapToGrid w:val="0"/>
                <w:sz w:val="16"/>
                <w:szCs w:val="16"/>
              </w:rPr>
              <w:t xml:space="preserve">Bank Gospodarstwa Krajowego </w:t>
            </w:r>
          </w:p>
        </w:tc>
        <w:tc>
          <w:tcPr>
            <w:tcW w:w="1542" w:type="dxa"/>
            <w:gridSpan w:val="2"/>
            <w:tcBorders>
              <w:top w:val="single" w:sz="4" w:space="0" w:color="auto"/>
              <w:left w:val="single" w:sz="4" w:space="0" w:color="auto"/>
              <w:bottom w:val="single" w:sz="4" w:space="0" w:color="auto"/>
              <w:right w:val="single" w:sz="4" w:space="0" w:color="auto"/>
            </w:tcBorders>
            <w:vAlign w:val="center"/>
          </w:tcPr>
          <w:p w14:paraId="7D327DE8" w14:textId="77777777" w:rsidR="00164542" w:rsidRPr="00F771E1" w:rsidRDefault="00164542" w:rsidP="00CF4A9D">
            <w:pPr>
              <w:jc w:val="center"/>
              <w:rPr>
                <w:snapToGrid w:val="0"/>
                <w:sz w:val="16"/>
                <w:szCs w:val="16"/>
              </w:rPr>
            </w:pPr>
            <w:r w:rsidRPr="00F771E1">
              <w:rPr>
                <w:snapToGrid w:val="0"/>
                <w:sz w:val="16"/>
                <w:szCs w:val="16"/>
              </w:rPr>
              <w:t>Europejski Bank Inwestycyjny</w:t>
            </w:r>
          </w:p>
        </w:tc>
        <w:tc>
          <w:tcPr>
            <w:tcW w:w="1270" w:type="dxa"/>
            <w:tcBorders>
              <w:top w:val="single" w:sz="4" w:space="0" w:color="auto"/>
              <w:left w:val="single" w:sz="4" w:space="0" w:color="auto"/>
              <w:bottom w:val="single" w:sz="4" w:space="0" w:color="auto"/>
              <w:right w:val="single" w:sz="4" w:space="0" w:color="auto"/>
            </w:tcBorders>
            <w:vAlign w:val="center"/>
          </w:tcPr>
          <w:p w14:paraId="151515F6" w14:textId="77777777" w:rsidR="00164542" w:rsidRPr="00F771E1" w:rsidRDefault="007F4CFD" w:rsidP="00CF4A9D">
            <w:pPr>
              <w:jc w:val="right"/>
              <w:rPr>
                <w:snapToGrid w:val="0"/>
                <w:sz w:val="16"/>
                <w:szCs w:val="16"/>
              </w:rPr>
            </w:pPr>
            <w:r>
              <w:rPr>
                <w:snapToGrid w:val="0"/>
                <w:sz w:val="16"/>
                <w:szCs w:val="16"/>
              </w:rPr>
              <w:t>3 489 488 </w:t>
            </w:r>
            <w:r w:rsidR="00164542" w:rsidRPr="00F771E1">
              <w:rPr>
                <w:snapToGrid w:val="0"/>
                <w:sz w:val="16"/>
                <w:szCs w:val="16"/>
              </w:rPr>
              <w:t>800</w:t>
            </w:r>
          </w:p>
        </w:tc>
        <w:tc>
          <w:tcPr>
            <w:tcW w:w="1840" w:type="dxa"/>
            <w:tcBorders>
              <w:top w:val="single" w:sz="4" w:space="0" w:color="auto"/>
              <w:left w:val="single" w:sz="4" w:space="0" w:color="auto"/>
              <w:bottom w:val="single" w:sz="4" w:space="0" w:color="auto"/>
              <w:right w:val="single" w:sz="4" w:space="0" w:color="auto"/>
            </w:tcBorders>
            <w:vAlign w:val="center"/>
          </w:tcPr>
          <w:p w14:paraId="64F82866" w14:textId="77777777" w:rsidR="00164542" w:rsidRPr="00F771E1" w:rsidRDefault="00164542" w:rsidP="00CF4A9D">
            <w:pPr>
              <w:jc w:val="center"/>
              <w:rPr>
                <w:snapToGrid w:val="0"/>
                <w:sz w:val="16"/>
                <w:szCs w:val="16"/>
              </w:rPr>
            </w:pPr>
            <w:r w:rsidRPr="00F771E1">
              <w:rPr>
                <w:snapToGrid w:val="0"/>
                <w:sz w:val="16"/>
                <w:szCs w:val="16"/>
              </w:rPr>
              <w:t>114/2018 z 24.08.2018 r.</w:t>
            </w:r>
          </w:p>
        </w:tc>
        <w:tc>
          <w:tcPr>
            <w:tcW w:w="1274" w:type="dxa"/>
            <w:tcBorders>
              <w:top w:val="single" w:sz="4" w:space="0" w:color="auto"/>
              <w:left w:val="single" w:sz="4" w:space="0" w:color="auto"/>
              <w:bottom w:val="single" w:sz="4" w:space="0" w:color="auto"/>
              <w:right w:val="single" w:sz="4" w:space="0" w:color="auto"/>
            </w:tcBorders>
            <w:vAlign w:val="center"/>
          </w:tcPr>
          <w:p w14:paraId="1F32CD70" w14:textId="77777777" w:rsidR="00164542" w:rsidRPr="00F771E1" w:rsidRDefault="00164542" w:rsidP="00CF4A9D">
            <w:pPr>
              <w:jc w:val="center"/>
              <w:rPr>
                <w:snapToGrid w:val="0"/>
                <w:sz w:val="16"/>
                <w:szCs w:val="16"/>
              </w:rPr>
            </w:pPr>
            <w:r w:rsidRPr="00F771E1">
              <w:rPr>
                <w:snapToGrid w:val="0"/>
                <w:sz w:val="16"/>
                <w:szCs w:val="16"/>
              </w:rPr>
              <w:t>30.01.2019 r.</w:t>
            </w:r>
          </w:p>
        </w:tc>
        <w:tc>
          <w:tcPr>
            <w:tcW w:w="1142" w:type="dxa"/>
            <w:tcBorders>
              <w:top w:val="single" w:sz="4" w:space="0" w:color="auto"/>
              <w:left w:val="single" w:sz="4" w:space="0" w:color="auto"/>
              <w:bottom w:val="single" w:sz="4" w:space="0" w:color="auto"/>
              <w:right w:val="single" w:sz="4" w:space="0" w:color="auto"/>
            </w:tcBorders>
            <w:vAlign w:val="center"/>
          </w:tcPr>
          <w:p w14:paraId="7B00093E" w14:textId="77777777" w:rsidR="00164542" w:rsidRPr="00F771E1" w:rsidRDefault="00164542" w:rsidP="00CF4A9D">
            <w:pPr>
              <w:jc w:val="center"/>
              <w:rPr>
                <w:snapToGrid w:val="0"/>
                <w:sz w:val="16"/>
                <w:szCs w:val="16"/>
              </w:rPr>
            </w:pPr>
            <w:r w:rsidRPr="00F771E1">
              <w:rPr>
                <w:snapToGrid w:val="0"/>
                <w:sz w:val="16"/>
                <w:szCs w:val="16"/>
              </w:rPr>
              <w:t>Rada Ministrów</w:t>
            </w:r>
          </w:p>
        </w:tc>
      </w:tr>
      <w:tr w:rsidR="00164542" w:rsidRPr="00F771E1" w14:paraId="08E375F8" w14:textId="77777777" w:rsidTr="00CF4A9D">
        <w:trPr>
          <w:trHeight w:val="396"/>
        </w:trPr>
        <w:tc>
          <w:tcPr>
            <w:tcW w:w="1435" w:type="dxa"/>
            <w:tcBorders>
              <w:top w:val="single" w:sz="4" w:space="0" w:color="auto"/>
              <w:left w:val="single" w:sz="4" w:space="0" w:color="auto"/>
              <w:bottom w:val="single" w:sz="4" w:space="0" w:color="auto"/>
              <w:right w:val="single" w:sz="4" w:space="0" w:color="auto"/>
            </w:tcBorders>
            <w:vAlign w:val="center"/>
          </w:tcPr>
          <w:p w14:paraId="0ED8E7B4" w14:textId="77777777" w:rsidR="00164542" w:rsidRPr="00F771E1" w:rsidRDefault="00164542" w:rsidP="00CF4A9D">
            <w:pPr>
              <w:jc w:val="center"/>
              <w:rPr>
                <w:snapToGrid w:val="0"/>
                <w:sz w:val="16"/>
                <w:szCs w:val="16"/>
              </w:rPr>
            </w:pPr>
            <w:r w:rsidRPr="00F771E1">
              <w:rPr>
                <w:snapToGrid w:val="0"/>
                <w:sz w:val="16"/>
                <w:szCs w:val="16"/>
              </w:rPr>
              <w:t>PKP PLK S.A.</w:t>
            </w:r>
          </w:p>
        </w:tc>
        <w:tc>
          <w:tcPr>
            <w:tcW w:w="1542" w:type="dxa"/>
            <w:gridSpan w:val="2"/>
            <w:tcBorders>
              <w:top w:val="single" w:sz="4" w:space="0" w:color="auto"/>
              <w:left w:val="single" w:sz="4" w:space="0" w:color="auto"/>
              <w:bottom w:val="single" w:sz="4" w:space="0" w:color="auto"/>
              <w:right w:val="single" w:sz="4" w:space="0" w:color="auto"/>
            </w:tcBorders>
            <w:vAlign w:val="center"/>
          </w:tcPr>
          <w:p w14:paraId="323D8B81" w14:textId="77777777" w:rsidR="00164542" w:rsidRPr="00F771E1" w:rsidRDefault="00164542" w:rsidP="00CF4A9D">
            <w:pPr>
              <w:jc w:val="center"/>
              <w:rPr>
                <w:snapToGrid w:val="0"/>
                <w:sz w:val="16"/>
                <w:szCs w:val="16"/>
              </w:rPr>
            </w:pPr>
            <w:r w:rsidRPr="00F771E1">
              <w:rPr>
                <w:snapToGrid w:val="0"/>
                <w:sz w:val="16"/>
                <w:szCs w:val="16"/>
              </w:rPr>
              <w:t>Europejski Bank Inwestycyjny</w:t>
            </w:r>
          </w:p>
        </w:tc>
        <w:tc>
          <w:tcPr>
            <w:tcW w:w="1270" w:type="dxa"/>
            <w:tcBorders>
              <w:top w:val="single" w:sz="4" w:space="0" w:color="auto"/>
              <w:left w:val="single" w:sz="4" w:space="0" w:color="auto"/>
              <w:bottom w:val="single" w:sz="4" w:space="0" w:color="auto"/>
              <w:right w:val="single" w:sz="4" w:space="0" w:color="auto"/>
            </w:tcBorders>
            <w:vAlign w:val="center"/>
          </w:tcPr>
          <w:p w14:paraId="7E1DA6A8" w14:textId="77777777" w:rsidR="00164542" w:rsidRPr="00F771E1" w:rsidRDefault="00164542" w:rsidP="007F4CFD">
            <w:pPr>
              <w:jc w:val="right"/>
              <w:rPr>
                <w:snapToGrid w:val="0"/>
                <w:sz w:val="16"/>
                <w:szCs w:val="16"/>
              </w:rPr>
            </w:pPr>
            <w:r w:rsidRPr="00F771E1">
              <w:rPr>
                <w:snapToGrid w:val="0"/>
                <w:sz w:val="16"/>
                <w:szCs w:val="16"/>
              </w:rPr>
              <w:t>440</w:t>
            </w:r>
            <w:r w:rsidR="007F4CFD">
              <w:rPr>
                <w:snapToGrid w:val="0"/>
                <w:sz w:val="16"/>
                <w:szCs w:val="16"/>
              </w:rPr>
              <w:t> </w:t>
            </w:r>
            <w:r w:rsidRPr="00F771E1">
              <w:rPr>
                <w:snapToGrid w:val="0"/>
                <w:sz w:val="16"/>
                <w:szCs w:val="16"/>
              </w:rPr>
              <w:t>844</w:t>
            </w:r>
            <w:r w:rsidR="007F4CFD">
              <w:rPr>
                <w:snapToGrid w:val="0"/>
                <w:sz w:val="16"/>
                <w:szCs w:val="16"/>
              </w:rPr>
              <w:t> </w:t>
            </w:r>
            <w:r w:rsidRPr="00F771E1">
              <w:rPr>
                <w:snapToGrid w:val="0"/>
                <w:sz w:val="16"/>
                <w:szCs w:val="16"/>
              </w:rPr>
              <w:t>000</w:t>
            </w:r>
          </w:p>
        </w:tc>
        <w:tc>
          <w:tcPr>
            <w:tcW w:w="1840" w:type="dxa"/>
            <w:tcBorders>
              <w:top w:val="single" w:sz="4" w:space="0" w:color="auto"/>
              <w:left w:val="single" w:sz="4" w:space="0" w:color="auto"/>
              <w:bottom w:val="single" w:sz="4" w:space="0" w:color="auto"/>
              <w:right w:val="single" w:sz="4" w:space="0" w:color="auto"/>
            </w:tcBorders>
            <w:vAlign w:val="center"/>
          </w:tcPr>
          <w:p w14:paraId="528F7038" w14:textId="77777777" w:rsidR="00164542" w:rsidRPr="00F771E1" w:rsidRDefault="00164542" w:rsidP="00CF4A9D">
            <w:pPr>
              <w:jc w:val="center"/>
              <w:rPr>
                <w:snapToGrid w:val="0"/>
                <w:sz w:val="16"/>
                <w:szCs w:val="16"/>
              </w:rPr>
            </w:pPr>
            <w:r w:rsidRPr="00F771E1">
              <w:rPr>
                <w:snapToGrid w:val="0"/>
                <w:sz w:val="16"/>
                <w:szCs w:val="16"/>
              </w:rPr>
              <w:t>185/2018 z 12.12.2018 r.</w:t>
            </w:r>
          </w:p>
        </w:tc>
        <w:tc>
          <w:tcPr>
            <w:tcW w:w="1274" w:type="dxa"/>
            <w:tcBorders>
              <w:top w:val="single" w:sz="4" w:space="0" w:color="auto"/>
              <w:left w:val="single" w:sz="4" w:space="0" w:color="auto"/>
              <w:bottom w:val="single" w:sz="4" w:space="0" w:color="auto"/>
              <w:right w:val="single" w:sz="4" w:space="0" w:color="auto"/>
            </w:tcBorders>
            <w:vAlign w:val="center"/>
          </w:tcPr>
          <w:p w14:paraId="63D0F17A" w14:textId="77777777" w:rsidR="00164542" w:rsidRPr="00F771E1" w:rsidRDefault="00164542" w:rsidP="00CF4A9D">
            <w:pPr>
              <w:jc w:val="center"/>
              <w:rPr>
                <w:snapToGrid w:val="0"/>
                <w:sz w:val="16"/>
                <w:szCs w:val="16"/>
              </w:rPr>
            </w:pPr>
            <w:r w:rsidRPr="00F771E1">
              <w:rPr>
                <w:snapToGrid w:val="0"/>
                <w:sz w:val="16"/>
                <w:szCs w:val="16"/>
              </w:rPr>
              <w:t>09.08.2019 r.</w:t>
            </w:r>
          </w:p>
        </w:tc>
        <w:tc>
          <w:tcPr>
            <w:tcW w:w="1142" w:type="dxa"/>
            <w:tcBorders>
              <w:top w:val="single" w:sz="4" w:space="0" w:color="auto"/>
              <w:left w:val="single" w:sz="4" w:space="0" w:color="auto"/>
              <w:bottom w:val="single" w:sz="4" w:space="0" w:color="auto"/>
              <w:right w:val="single" w:sz="4" w:space="0" w:color="auto"/>
            </w:tcBorders>
            <w:vAlign w:val="center"/>
          </w:tcPr>
          <w:p w14:paraId="61CCCD0E" w14:textId="77777777" w:rsidR="00164542" w:rsidRPr="00F771E1" w:rsidRDefault="00164542" w:rsidP="00CF4A9D">
            <w:pPr>
              <w:jc w:val="center"/>
              <w:rPr>
                <w:snapToGrid w:val="0"/>
                <w:sz w:val="16"/>
                <w:szCs w:val="16"/>
              </w:rPr>
            </w:pPr>
            <w:r w:rsidRPr="00F771E1">
              <w:rPr>
                <w:snapToGrid w:val="0"/>
                <w:sz w:val="16"/>
                <w:szCs w:val="16"/>
              </w:rPr>
              <w:t>Rada Ministrów</w:t>
            </w:r>
          </w:p>
        </w:tc>
      </w:tr>
      <w:tr w:rsidR="00164542" w:rsidRPr="00F771E1" w14:paraId="66E1186F" w14:textId="77777777" w:rsidTr="00CF4A9D">
        <w:trPr>
          <w:trHeight w:val="396"/>
        </w:trPr>
        <w:tc>
          <w:tcPr>
            <w:tcW w:w="1435" w:type="dxa"/>
            <w:tcBorders>
              <w:top w:val="single" w:sz="4" w:space="0" w:color="auto"/>
              <w:left w:val="single" w:sz="4" w:space="0" w:color="auto"/>
              <w:bottom w:val="single" w:sz="4" w:space="0" w:color="auto"/>
              <w:right w:val="single" w:sz="4" w:space="0" w:color="auto"/>
            </w:tcBorders>
            <w:vAlign w:val="center"/>
          </w:tcPr>
          <w:p w14:paraId="19316371" w14:textId="77777777" w:rsidR="00164542" w:rsidRPr="00F771E1" w:rsidRDefault="00164542" w:rsidP="00CF4A9D">
            <w:pPr>
              <w:jc w:val="center"/>
              <w:rPr>
                <w:snapToGrid w:val="0"/>
                <w:sz w:val="16"/>
                <w:szCs w:val="16"/>
              </w:rPr>
            </w:pPr>
            <w:r w:rsidRPr="00F771E1">
              <w:rPr>
                <w:snapToGrid w:val="0"/>
                <w:sz w:val="16"/>
                <w:szCs w:val="16"/>
              </w:rPr>
              <w:t>Bank Gospodarstwa Krajowego</w:t>
            </w:r>
          </w:p>
        </w:tc>
        <w:tc>
          <w:tcPr>
            <w:tcW w:w="1542" w:type="dxa"/>
            <w:gridSpan w:val="2"/>
            <w:tcBorders>
              <w:top w:val="single" w:sz="4" w:space="0" w:color="auto"/>
              <w:left w:val="single" w:sz="4" w:space="0" w:color="auto"/>
              <w:bottom w:val="single" w:sz="4" w:space="0" w:color="auto"/>
              <w:right w:val="single" w:sz="4" w:space="0" w:color="auto"/>
            </w:tcBorders>
            <w:vAlign w:val="center"/>
          </w:tcPr>
          <w:p w14:paraId="16C0B04F" w14:textId="77777777" w:rsidR="00164542" w:rsidRPr="00F771E1" w:rsidRDefault="00164542" w:rsidP="00CF4A9D">
            <w:pPr>
              <w:jc w:val="center"/>
              <w:rPr>
                <w:snapToGrid w:val="0"/>
                <w:sz w:val="16"/>
                <w:szCs w:val="16"/>
              </w:rPr>
            </w:pPr>
            <w:r w:rsidRPr="00F771E1">
              <w:rPr>
                <w:snapToGrid w:val="0"/>
                <w:sz w:val="16"/>
                <w:szCs w:val="16"/>
              </w:rPr>
              <w:t>Europejski Bank Inwestycyjny</w:t>
            </w:r>
          </w:p>
        </w:tc>
        <w:tc>
          <w:tcPr>
            <w:tcW w:w="1270" w:type="dxa"/>
            <w:tcBorders>
              <w:top w:val="single" w:sz="4" w:space="0" w:color="auto"/>
              <w:left w:val="single" w:sz="4" w:space="0" w:color="auto"/>
              <w:bottom w:val="single" w:sz="4" w:space="0" w:color="auto"/>
              <w:right w:val="single" w:sz="4" w:space="0" w:color="auto"/>
            </w:tcBorders>
            <w:vAlign w:val="center"/>
          </w:tcPr>
          <w:p w14:paraId="79387A66" w14:textId="77777777" w:rsidR="00164542" w:rsidRPr="00F771E1" w:rsidRDefault="00164542" w:rsidP="007F4CFD">
            <w:pPr>
              <w:jc w:val="right"/>
              <w:rPr>
                <w:snapToGrid w:val="0"/>
                <w:sz w:val="16"/>
                <w:szCs w:val="16"/>
              </w:rPr>
            </w:pPr>
            <w:r w:rsidRPr="00F771E1">
              <w:rPr>
                <w:snapToGrid w:val="0"/>
                <w:sz w:val="16"/>
                <w:szCs w:val="16"/>
              </w:rPr>
              <w:t>2 999</w:t>
            </w:r>
            <w:r w:rsidR="007F4CFD">
              <w:rPr>
                <w:snapToGrid w:val="0"/>
                <w:sz w:val="16"/>
                <w:szCs w:val="16"/>
              </w:rPr>
              <w:t> </w:t>
            </w:r>
            <w:r w:rsidRPr="00F771E1">
              <w:rPr>
                <w:snapToGrid w:val="0"/>
                <w:sz w:val="16"/>
                <w:szCs w:val="16"/>
              </w:rPr>
              <w:t>220</w:t>
            </w:r>
            <w:r w:rsidR="007F4CFD">
              <w:rPr>
                <w:snapToGrid w:val="0"/>
                <w:sz w:val="16"/>
                <w:szCs w:val="16"/>
              </w:rPr>
              <w:t> </w:t>
            </w:r>
            <w:r w:rsidRPr="00F771E1">
              <w:rPr>
                <w:snapToGrid w:val="0"/>
                <w:sz w:val="16"/>
                <w:szCs w:val="16"/>
              </w:rPr>
              <w:t>000</w:t>
            </w:r>
          </w:p>
        </w:tc>
        <w:tc>
          <w:tcPr>
            <w:tcW w:w="1840" w:type="dxa"/>
            <w:tcBorders>
              <w:top w:val="single" w:sz="4" w:space="0" w:color="auto"/>
              <w:left w:val="single" w:sz="4" w:space="0" w:color="auto"/>
              <w:bottom w:val="single" w:sz="4" w:space="0" w:color="auto"/>
              <w:right w:val="single" w:sz="4" w:space="0" w:color="auto"/>
            </w:tcBorders>
            <w:vAlign w:val="center"/>
          </w:tcPr>
          <w:p w14:paraId="06BC81A3" w14:textId="77777777" w:rsidR="00164542" w:rsidRPr="00F771E1" w:rsidRDefault="00164542" w:rsidP="00CF4A9D">
            <w:pPr>
              <w:jc w:val="center"/>
              <w:rPr>
                <w:snapToGrid w:val="0"/>
                <w:sz w:val="16"/>
                <w:szCs w:val="16"/>
              </w:rPr>
            </w:pPr>
            <w:r w:rsidRPr="00F771E1">
              <w:rPr>
                <w:snapToGrid w:val="0"/>
                <w:sz w:val="16"/>
                <w:szCs w:val="16"/>
              </w:rPr>
              <w:t>7/2019 z 16.01.2019 r.</w:t>
            </w:r>
          </w:p>
        </w:tc>
        <w:tc>
          <w:tcPr>
            <w:tcW w:w="1274" w:type="dxa"/>
            <w:tcBorders>
              <w:top w:val="single" w:sz="4" w:space="0" w:color="auto"/>
              <w:left w:val="single" w:sz="4" w:space="0" w:color="auto"/>
              <w:bottom w:val="single" w:sz="4" w:space="0" w:color="auto"/>
              <w:right w:val="single" w:sz="4" w:space="0" w:color="auto"/>
            </w:tcBorders>
            <w:vAlign w:val="center"/>
          </w:tcPr>
          <w:p w14:paraId="08C5F0F5" w14:textId="77777777" w:rsidR="00164542" w:rsidRPr="00F771E1" w:rsidRDefault="00164542" w:rsidP="00CF4A9D">
            <w:pPr>
              <w:jc w:val="center"/>
              <w:rPr>
                <w:snapToGrid w:val="0"/>
                <w:sz w:val="16"/>
                <w:szCs w:val="16"/>
              </w:rPr>
            </w:pPr>
            <w:r w:rsidRPr="00F771E1">
              <w:rPr>
                <w:snapToGrid w:val="0"/>
                <w:sz w:val="16"/>
                <w:szCs w:val="16"/>
              </w:rPr>
              <w:t>13.12.2019 r.</w:t>
            </w:r>
          </w:p>
        </w:tc>
        <w:tc>
          <w:tcPr>
            <w:tcW w:w="1142" w:type="dxa"/>
            <w:tcBorders>
              <w:top w:val="single" w:sz="4" w:space="0" w:color="auto"/>
              <w:left w:val="single" w:sz="4" w:space="0" w:color="auto"/>
              <w:bottom w:val="single" w:sz="4" w:space="0" w:color="auto"/>
              <w:right w:val="single" w:sz="4" w:space="0" w:color="auto"/>
            </w:tcBorders>
            <w:vAlign w:val="center"/>
          </w:tcPr>
          <w:p w14:paraId="2CB996F6" w14:textId="77777777" w:rsidR="00164542" w:rsidRPr="00F771E1" w:rsidRDefault="00164542" w:rsidP="00CF4A9D">
            <w:pPr>
              <w:jc w:val="center"/>
              <w:rPr>
                <w:snapToGrid w:val="0"/>
                <w:sz w:val="16"/>
                <w:szCs w:val="16"/>
              </w:rPr>
            </w:pPr>
            <w:r w:rsidRPr="00F771E1">
              <w:rPr>
                <w:snapToGrid w:val="0"/>
                <w:sz w:val="16"/>
                <w:szCs w:val="16"/>
              </w:rPr>
              <w:t>Rada Ministrów</w:t>
            </w:r>
          </w:p>
        </w:tc>
      </w:tr>
      <w:tr w:rsidR="00164542" w:rsidRPr="00F771E1" w14:paraId="2E5B5FC6" w14:textId="77777777" w:rsidTr="00CF4A9D">
        <w:trPr>
          <w:trHeight w:val="131"/>
        </w:trPr>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64733596" w14:textId="77777777" w:rsidR="00164542" w:rsidRPr="00F771E1" w:rsidRDefault="00164542" w:rsidP="00CF4A9D">
            <w:pPr>
              <w:tabs>
                <w:tab w:val="left" w:pos="511"/>
              </w:tabs>
              <w:rPr>
                <w:b/>
                <w:bCs/>
                <w:sz w:val="18"/>
                <w:szCs w:val="18"/>
              </w:rPr>
            </w:pPr>
            <w:r w:rsidRPr="00F771E1">
              <w:rPr>
                <w:b/>
                <w:bCs/>
                <w:sz w:val="18"/>
                <w:szCs w:val="18"/>
              </w:rPr>
              <w:t xml:space="preserve">Ogółem udzielone gwarancje </w:t>
            </w:r>
          </w:p>
        </w:tc>
        <w:tc>
          <w:tcPr>
            <w:tcW w:w="5526" w:type="dxa"/>
            <w:gridSpan w:val="4"/>
            <w:tcBorders>
              <w:top w:val="single" w:sz="4" w:space="0" w:color="auto"/>
              <w:left w:val="single" w:sz="4" w:space="0" w:color="auto"/>
              <w:bottom w:val="single" w:sz="4" w:space="0" w:color="auto"/>
              <w:right w:val="single" w:sz="4" w:space="0" w:color="auto"/>
            </w:tcBorders>
            <w:vAlign w:val="center"/>
            <w:hideMark/>
          </w:tcPr>
          <w:p w14:paraId="32DB9E79" w14:textId="77777777" w:rsidR="00164542" w:rsidRPr="00F771E1" w:rsidRDefault="00164542" w:rsidP="00CF4A9D">
            <w:pPr>
              <w:rPr>
                <w:b/>
                <w:snapToGrid w:val="0"/>
                <w:sz w:val="18"/>
                <w:szCs w:val="18"/>
              </w:rPr>
            </w:pPr>
            <w:r w:rsidRPr="00F771E1">
              <w:t xml:space="preserve"> </w:t>
            </w:r>
            <w:r w:rsidR="007F4CFD">
              <w:rPr>
                <w:b/>
                <w:snapToGrid w:val="0"/>
                <w:sz w:val="18"/>
                <w:szCs w:val="18"/>
              </w:rPr>
              <w:t>6 929 552 </w:t>
            </w:r>
            <w:r w:rsidRPr="00F771E1">
              <w:rPr>
                <w:b/>
                <w:snapToGrid w:val="0"/>
                <w:sz w:val="18"/>
                <w:szCs w:val="18"/>
              </w:rPr>
              <w:t>800</w:t>
            </w:r>
          </w:p>
        </w:tc>
      </w:tr>
    </w:tbl>
    <w:p w14:paraId="02760447" w14:textId="77777777" w:rsidR="00E9748E" w:rsidRPr="00F771E1" w:rsidRDefault="00D62DFE" w:rsidP="00283508">
      <w:pPr>
        <w:spacing w:after="120"/>
        <w:jc w:val="both"/>
        <w:rPr>
          <w:sz w:val="18"/>
          <w:szCs w:val="18"/>
        </w:rPr>
      </w:pPr>
      <w:r w:rsidRPr="00F771E1">
        <w:rPr>
          <w:sz w:val="18"/>
          <w:szCs w:val="18"/>
        </w:rPr>
        <w:t>*</w:t>
      </w:r>
      <w:r w:rsidR="00EE0A53" w:rsidRPr="00F771E1">
        <w:rPr>
          <w:sz w:val="18"/>
          <w:szCs w:val="18"/>
        </w:rPr>
        <w:t xml:space="preserve"> Kwoty gwarancji udzielonych w walutach obcych zostały przeliczone wg średnich kursów walut obcych ogłoszonych przez NBP obowiązujących w dniu podpisania umowy gwarancji.</w:t>
      </w:r>
    </w:p>
    <w:p w14:paraId="048EC700" w14:textId="77777777" w:rsidR="00B3549B" w:rsidRDefault="00164542" w:rsidP="00297FF6">
      <w:pPr>
        <w:pStyle w:val="Akapitzlist"/>
        <w:numPr>
          <w:ilvl w:val="0"/>
          <w:numId w:val="31"/>
        </w:numPr>
        <w:ind w:right="-1"/>
        <w:jc w:val="both"/>
        <w:rPr>
          <w:bCs/>
          <w:iCs/>
        </w:rPr>
      </w:pPr>
      <w:bookmarkStart w:id="19" w:name="_Toc351990864"/>
      <w:bookmarkStart w:id="20" w:name="_Toc352076142"/>
      <w:bookmarkStart w:id="21" w:name="_Toc352237514"/>
      <w:r w:rsidRPr="00297FF6">
        <w:rPr>
          <w:bCs/>
          <w:iCs/>
        </w:rPr>
        <w:t>Gwarancja udzielona na podstawie uchwały Rady Ministrów nr 114/2018 z</w:t>
      </w:r>
      <w:r w:rsidR="00297FF6">
        <w:rPr>
          <w:bCs/>
          <w:iCs/>
        </w:rPr>
        <w:t xml:space="preserve"> dnia </w:t>
      </w:r>
      <w:r w:rsidRPr="00297FF6">
        <w:rPr>
          <w:bCs/>
          <w:iCs/>
        </w:rPr>
        <w:t xml:space="preserve">24.08.2018 r. dotyczy udzielenia Europejskiemu Bankowi Inwestycyjnemu gwarancji spłaty kredytu zaciągniętego przez </w:t>
      </w:r>
      <w:r w:rsidR="00297FF6">
        <w:rPr>
          <w:bCs/>
          <w:iCs/>
        </w:rPr>
        <w:t>Bank Gospodarstwa Krajowego na </w:t>
      </w:r>
      <w:r w:rsidRPr="00297FF6">
        <w:rPr>
          <w:bCs/>
          <w:iCs/>
        </w:rPr>
        <w:t>rzecz Krajowego Funduszu Drogowego, przeznaczonego na współfinansowanie projektu inwestycyjnego pod nazwą „Droga ekspresowa</w:t>
      </w:r>
      <w:r w:rsidR="0075186F">
        <w:rPr>
          <w:bCs/>
          <w:iCs/>
        </w:rPr>
        <w:t xml:space="preserve"> S19 Lublin </w:t>
      </w:r>
      <w:r w:rsidR="0075186F">
        <w:rPr>
          <w:bCs/>
        </w:rPr>
        <w:t>–</w:t>
      </w:r>
      <w:r w:rsidR="00297FF6">
        <w:rPr>
          <w:bCs/>
          <w:iCs/>
        </w:rPr>
        <w:t> Rzeszów” i </w:t>
      </w:r>
      <w:r w:rsidRPr="00297FF6">
        <w:rPr>
          <w:bCs/>
          <w:iCs/>
        </w:rPr>
        <w:t>stanowi zobowiązanie Skarbu Państwa wobec Europejskiego Banku Inwestycyjnego do spłaty 100% kwoty kredytu w wysokości 580</w:t>
      </w:r>
      <w:r w:rsidR="007F4CFD">
        <w:rPr>
          <w:bCs/>
          <w:iCs/>
        </w:rPr>
        <w:t> </w:t>
      </w:r>
      <w:r w:rsidRPr="00297FF6">
        <w:rPr>
          <w:bCs/>
          <w:iCs/>
        </w:rPr>
        <w:t>000</w:t>
      </w:r>
      <w:r w:rsidR="007F4CFD">
        <w:rPr>
          <w:bCs/>
          <w:iCs/>
        </w:rPr>
        <w:t> </w:t>
      </w:r>
      <w:r w:rsidRPr="00297FF6">
        <w:rPr>
          <w:bCs/>
          <w:iCs/>
        </w:rPr>
        <w:t>000 EUR oraz 100% odsetek od tego kredytu i 100% kosztów bezpośrednio związanych z tym kredytem, łącznie do kwoty 812 000 000 EUR.</w:t>
      </w:r>
    </w:p>
    <w:p w14:paraId="74750F1C" w14:textId="77777777" w:rsidR="00B3549B" w:rsidRDefault="00437E75" w:rsidP="00297FF6">
      <w:pPr>
        <w:pStyle w:val="Akapitzlist"/>
        <w:numPr>
          <w:ilvl w:val="0"/>
          <w:numId w:val="31"/>
        </w:numPr>
        <w:ind w:right="-1"/>
        <w:jc w:val="both"/>
        <w:rPr>
          <w:bCs/>
          <w:iCs/>
        </w:rPr>
      </w:pPr>
      <w:r w:rsidRPr="00297FF6">
        <w:rPr>
          <w:bCs/>
          <w:iCs/>
        </w:rPr>
        <w:t xml:space="preserve">Gwarancja udzielona na podstawie uchwały Rady Ministrów nr 185/2018 z </w:t>
      </w:r>
      <w:r w:rsidR="00297FF6">
        <w:rPr>
          <w:bCs/>
          <w:iCs/>
        </w:rPr>
        <w:t xml:space="preserve">dnia </w:t>
      </w:r>
      <w:r w:rsidRPr="00297FF6">
        <w:rPr>
          <w:bCs/>
          <w:iCs/>
        </w:rPr>
        <w:t>12.12.2018 r. dotyczy udzielenia Europejskiemu Bankowi Inwestycyjnemu gwarancji spłaty drugiej części kredytu zaciągniętego przez PKP Polskie Linie Kolejowe S.A., przeznaczonego na częściowe finansowanie projektu inwestycyjnego</w:t>
      </w:r>
      <w:r w:rsidR="00975117">
        <w:rPr>
          <w:bCs/>
          <w:iCs/>
        </w:rPr>
        <w:t xml:space="preserve"> pod nazwą „PLK Warszawa</w:t>
      </w:r>
      <w:r w:rsidR="00C41018">
        <w:rPr>
          <w:bCs/>
          <w:iCs/>
        </w:rPr>
        <w:t xml:space="preserve"> </w:t>
      </w:r>
      <w:r w:rsidR="00975117">
        <w:rPr>
          <w:bCs/>
        </w:rPr>
        <w:t>–</w:t>
      </w:r>
      <w:r w:rsidR="00975117">
        <w:rPr>
          <w:bCs/>
          <w:iCs/>
        </w:rPr>
        <w:t xml:space="preserve"> </w:t>
      </w:r>
      <w:r w:rsidR="001854B7">
        <w:rPr>
          <w:bCs/>
          <w:iCs/>
        </w:rPr>
        <w:t>Radom”</w:t>
      </w:r>
      <w:r w:rsidRPr="00297FF6">
        <w:rPr>
          <w:bCs/>
          <w:iCs/>
        </w:rPr>
        <w:t xml:space="preserve"> polegającego na modernizacji linii kolejowej nr 8 na odcinku Wa</w:t>
      </w:r>
      <w:r w:rsidR="00C37951">
        <w:rPr>
          <w:bCs/>
          <w:iCs/>
        </w:rPr>
        <w:t xml:space="preserve">rszawa Okęcie </w:t>
      </w:r>
      <w:r w:rsidR="00C37951">
        <w:rPr>
          <w:bCs/>
        </w:rPr>
        <w:t>–</w:t>
      </w:r>
      <w:r w:rsidR="000654ED">
        <w:rPr>
          <w:bCs/>
          <w:iCs/>
        </w:rPr>
        <w:t xml:space="preserve"> Radom (Lot A-F)</w:t>
      </w:r>
      <w:r w:rsidRPr="00297FF6">
        <w:rPr>
          <w:bCs/>
          <w:iCs/>
        </w:rPr>
        <w:t xml:space="preserve"> i stanowi zobowiązanie Skarbu Państwa wobec Europejskiego Banku Inwestycyjnego do spłaty 100% kwoty kredytu w wysokości 85</w:t>
      </w:r>
      <w:r w:rsidR="007F4CFD">
        <w:rPr>
          <w:bCs/>
          <w:iCs/>
        </w:rPr>
        <w:t> </w:t>
      </w:r>
      <w:r w:rsidRPr="00297FF6">
        <w:rPr>
          <w:bCs/>
          <w:iCs/>
        </w:rPr>
        <w:t>000</w:t>
      </w:r>
      <w:r w:rsidR="007F4CFD">
        <w:rPr>
          <w:bCs/>
          <w:iCs/>
        </w:rPr>
        <w:t> </w:t>
      </w:r>
      <w:r w:rsidRPr="00297FF6">
        <w:rPr>
          <w:bCs/>
          <w:iCs/>
        </w:rPr>
        <w:t>000 EUR oraz 100% odsetek od tego kredytu i 100% kosztów</w:t>
      </w:r>
      <w:r w:rsidR="0055315E" w:rsidRPr="00297FF6">
        <w:rPr>
          <w:bCs/>
          <w:iCs/>
        </w:rPr>
        <w:t xml:space="preserve"> </w:t>
      </w:r>
      <w:r w:rsidRPr="00297FF6">
        <w:rPr>
          <w:bCs/>
          <w:iCs/>
        </w:rPr>
        <w:t>bezpośrednio związanych z tym kredyte</w:t>
      </w:r>
      <w:r w:rsidR="007F4CFD">
        <w:rPr>
          <w:bCs/>
          <w:iCs/>
        </w:rPr>
        <w:t>m, łącznie do kwoty 102 </w:t>
      </w:r>
      <w:r w:rsidR="0055315E" w:rsidRPr="00297FF6">
        <w:rPr>
          <w:bCs/>
          <w:iCs/>
        </w:rPr>
        <w:t xml:space="preserve">000 000 </w:t>
      </w:r>
      <w:r w:rsidRPr="00297FF6">
        <w:rPr>
          <w:bCs/>
          <w:iCs/>
        </w:rPr>
        <w:t>EUR</w:t>
      </w:r>
      <w:r w:rsidR="00B3549B" w:rsidRPr="00297FF6">
        <w:rPr>
          <w:bCs/>
          <w:iCs/>
        </w:rPr>
        <w:t>.</w:t>
      </w:r>
    </w:p>
    <w:p w14:paraId="49D19A46" w14:textId="77777777" w:rsidR="00B3549B" w:rsidRPr="00297FF6" w:rsidRDefault="00437E75" w:rsidP="00297FF6">
      <w:pPr>
        <w:pStyle w:val="Akapitzlist"/>
        <w:numPr>
          <w:ilvl w:val="0"/>
          <w:numId w:val="31"/>
        </w:numPr>
        <w:ind w:right="-1"/>
        <w:jc w:val="both"/>
        <w:rPr>
          <w:bCs/>
          <w:iCs/>
        </w:rPr>
      </w:pPr>
      <w:r w:rsidRPr="00297FF6">
        <w:rPr>
          <w:bCs/>
          <w:iCs/>
        </w:rPr>
        <w:t>Gwarancja udzielona na podstawie uchwały Rady Minis</w:t>
      </w:r>
      <w:r w:rsidR="00C60A67">
        <w:rPr>
          <w:bCs/>
          <w:iCs/>
        </w:rPr>
        <w:t xml:space="preserve">trów nr 7/2019 </w:t>
      </w:r>
      <w:r w:rsidRPr="00297FF6">
        <w:rPr>
          <w:bCs/>
          <w:iCs/>
        </w:rPr>
        <w:t xml:space="preserve">z </w:t>
      </w:r>
      <w:r w:rsidR="00297FF6">
        <w:rPr>
          <w:bCs/>
          <w:iCs/>
        </w:rPr>
        <w:t xml:space="preserve">dnia </w:t>
      </w:r>
      <w:r w:rsidRPr="00297FF6">
        <w:rPr>
          <w:bCs/>
          <w:iCs/>
        </w:rPr>
        <w:t xml:space="preserve">16.01.2019 r. dotyczy udzielenia Europejskiemu Bankowi Inwestycyjnemu gwarancji spłaty kredytu zaciągniętego przez Bank Gospodarstwa Krajowego </w:t>
      </w:r>
      <w:r w:rsidR="007B5A9C">
        <w:rPr>
          <w:bCs/>
          <w:iCs/>
        </w:rPr>
        <w:t>na </w:t>
      </w:r>
      <w:r w:rsidRPr="00297FF6">
        <w:rPr>
          <w:bCs/>
          <w:iCs/>
        </w:rPr>
        <w:t xml:space="preserve">rzecz </w:t>
      </w:r>
      <w:r w:rsidRPr="00297FF6">
        <w:rPr>
          <w:bCs/>
          <w:iCs/>
        </w:rPr>
        <w:lastRenderedPageBreak/>
        <w:t xml:space="preserve">Krajowego Funduszu Drogowego, przeznaczonego na współfinansowanie projektu inwestycyjnego pod nazwą „Droga ekspresowa S61 Via </w:t>
      </w:r>
      <w:proofErr w:type="spellStart"/>
      <w:r w:rsidRPr="00297FF6">
        <w:rPr>
          <w:bCs/>
          <w:iCs/>
        </w:rPr>
        <w:t>Baltica</w:t>
      </w:r>
      <w:proofErr w:type="spellEnd"/>
      <w:r w:rsidRPr="00297FF6">
        <w:rPr>
          <w:bCs/>
          <w:iCs/>
        </w:rPr>
        <w:t>” i stanowi zobowiązanie Skarbu Państwa wobec Europejskiego Banku Inwestycyjnego do spłaty 100</w:t>
      </w:r>
      <w:r w:rsidR="007F4CFD">
        <w:rPr>
          <w:bCs/>
          <w:iCs/>
        </w:rPr>
        <w:t>% kwoty kredytu w wysokości 500 000 </w:t>
      </w:r>
      <w:r w:rsidRPr="00297FF6">
        <w:rPr>
          <w:bCs/>
          <w:iCs/>
        </w:rPr>
        <w:t>000 EUR oraz 100% odsetek od tego kredytu i 100% kosztów bezpośrednio związanych z tym</w:t>
      </w:r>
      <w:r w:rsidR="007F4CFD">
        <w:rPr>
          <w:bCs/>
          <w:iCs/>
        </w:rPr>
        <w:t xml:space="preserve"> kredytem, łącznie do kwoty 700 000 </w:t>
      </w:r>
      <w:r w:rsidRPr="00297FF6">
        <w:rPr>
          <w:bCs/>
          <w:iCs/>
        </w:rPr>
        <w:t>000 EUR.</w:t>
      </w:r>
    </w:p>
    <w:p w14:paraId="09185CC1" w14:textId="77777777" w:rsidR="00E74726" w:rsidRPr="00F771E1" w:rsidRDefault="000B7F39" w:rsidP="00A53157">
      <w:pPr>
        <w:pStyle w:val="Nagwek3"/>
        <w:tabs>
          <w:tab w:val="left" w:pos="567"/>
        </w:tabs>
        <w:spacing w:before="120" w:after="120"/>
        <w:ind w:left="567" w:hanging="567"/>
        <w:jc w:val="both"/>
        <w:rPr>
          <w:rFonts w:ascii="Times New Roman" w:hAnsi="Times New Roman"/>
          <w:sz w:val="24"/>
          <w:szCs w:val="24"/>
        </w:rPr>
      </w:pPr>
      <w:bookmarkStart w:id="22" w:name="_Toc37242619"/>
      <w:r w:rsidRPr="00F771E1">
        <w:rPr>
          <w:rFonts w:ascii="Times New Roman" w:hAnsi="Times New Roman"/>
          <w:sz w:val="24"/>
          <w:szCs w:val="24"/>
        </w:rPr>
        <w:t xml:space="preserve">2.2.2 </w:t>
      </w:r>
      <w:r w:rsidR="00E74726" w:rsidRPr="00F771E1">
        <w:rPr>
          <w:rFonts w:ascii="Times New Roman" w:hAnsi="Times New Roman"/>
          <w:sz w:val="24"/>
          <w:szCs w:val="24"/>
        </w:rPr>
        <w:t>Wykorzystanie ustawowego limitu porę</w:t>
      </w:r>
      <w:r w:rsidR="00FC7108" w:rsidRPr="00F771E1">
        <w:rPr>
          <w:rFonts w:ascii="Times New Roman" w:hAnsi="Times New Roman"/>
          <w:sz w:val="24"/>
          <w:szCs w:val="24"/>
        </w:rPr>
        <w:t>czeń i gwarancji Skarbu Państwa</w:t>
      </w:r>
      <w:r w:rsidRPr="00F771E1">
        <w:rPr>
          <w:rFonts w:ascii="Times New Roman" w:hAnsi="Times New Roman"/>
          <w:sz w:val="24"/>
          <w:szCs w:val="24"/>
        </w:rPr>
        <w:t xml:space="preserve"> </w:t>
      </w:r>
      <w:r w:rsidR="00E74726" w:rsidRPr="00F771E1">
        <w:rPr>
          <w:rFonts w:ascii="Times New Roman" w:hAnsi="Times New Roman"/>
          <w:sz w:val="24"/>
          <w:szCs w:val="24"/>
        </w:rPr>
        <w:t>na rok 201</w:t>
      </w:r>
      <w:bookmarkEnd w:id="19"/>
      <w:bookmarkEnd w:id="20"/>
      <w:bookmarkEnd w:id="21"/>
      <w:r w:rsidR="00437E75" w:rsidRPr="00F771E1">
        <w:rPr>
          <w:rFonts w:ascii="Times New Roman" w:hAnsi="Times New Roman"/>
          <w:sz w:val="24"/>
          <w:szCs w:val="24"/>
        </w:rPr>
        <w:t>9</w:t>
      </w:r>
      <w:bookmarkEnd w:id="22"/>
      <w:r w:rsidR="00E74726" w:rsidRPr="00F771E1">
        <w:rPr>
          <w:rFonts w:ascii="Times New Roman" w:hAnsi="Times New Roman"/>
          <w:sz w:val="24"/>
          <w:szCs w:val="24"/>
        </w:rPr>
        <w:t xml:space="preserve"> </w:t>
      </w:r>
    </w:p>
    <w:p w14:paraId="06AB0C1E" w14:textId="77777777" w:rsidR="00437E75" w:rsidRPr="00F771E1" w:rsidRDefault="00437E75" w:rsidP="00437E75">
      <w:pPr>
        <w:tabs>
          <w:tab w:val="left" w:pos="539"/>
          <w:tab w:val="left" w:pos="567"/>
        </w:tabs>
        <w:ind w:right="-1" w:firstLine="567"/>
        <w:jc w:val="both"/>
      </w:pPr>
      <w:bookmarkStart w:id="23" w:name="_Toc351990865"/>
      <w:bookmarkStart w:id="24" w:name="_Toc352076143"/>
      <w:bookmarkStart w:id="25" w:name="_Toc352237515"/>
      <w:r w:rsidRPr="00F771E1">
        <w:t>Na podstawie art. 31 usta</w:t>
      </w:r>
      <w:r w:rsidR="00BA3835">
        <w:t>wy o poręczeniach i gwarancjach</w:t>
      </w:r>
      <w:r w:rsidRPr="00F771E1">
        <w:t xml:space="preserve"> łączna kwota, do wysokości której mogą być udzielane przez Skarb Państwa poręczenia i gwarancje, określana jest corocznie w ustawie budżetowej. </w:t>
      </w:r>
    </w:p>
    <w:p w14:paraId="6AFC909F" w14:textId="77777777" w:rsidR="00437E75" w:rsidRPr="00F771E1" w:rsidRDefault="00437E75" w:rsidP="00437E75">
      <w:pPr>
        <w:tabs>
          <w:tab w:val="left" w:pos="539"/>
          <w:tab w:val="left" w:pos="567"/>
        </w:tabs>
        <w:ind w:right="-1" w:firstLine="567"/>
        <w:jc w:val="both"/>
      </w:pPr>
      <w:r w:rsidRPr="00F771E1">
        <w:t>W ustawie budżetowej na rok 2019 limit gwarancji i poręczeń Skarbu Państ</w:t>
      </w:r>
      <w:r w:rsidR="007F4CFD">
        <w:t>wa został ustalony na kwotę 200 000 000 </w:t>
      </w:r>
      <w:r w:rsidRPr="00F771E1">
        <w:t>000 zł.</w:t>
      </w:r>
    </w:p>
    <w:p w14:paraId="764506AA" w14:textId="77777777" w:rsidR="00437E75" w:rsidRPr="00F771E1" w:rsidRDefault="00437E75" w:rsidP="00437E75">
      <w:pPr>
        <w:tabs>
          <w:tab w:val="left" w:pos="539"/>
          <w:tab w:val="left" w:pos="567"/>
        </w:tabs>
        <w:ind w:right="-1" w:firstLine="567"/>
        <w:jc w:val="both"/>
      </w:pPr>
      <w:r w:rsidRPr="00F771E1">
        <w:t>Na podstawie ustawy o poręczeniach i gwarancjach w 2019 r. udzielono gwarancji Skarbu Pa</w:t>
      </w:r>
      <w:r w:rsidR="007F4CFD">
        <w:t>ństwa na łączną kwotę 6 929 552 </w:t>
      </w:r>
      <w:r w:rsidRPr="00F771E1">
        <w:t xml:space="preserve">800 zł, co stanowi ok. 3,46% kwoty limitu zaplanowanej na 2019 r. </w:t>
      </w:r>
    </w:p>
    <w:p w14:paraId="511D9EF8" w14:textId="77777777" w:rsidR="00D637FB" w:rsidRPr="00F771E1" w:rsidRDefault="00437E75" w:rsidP="00437E75">
      <w:pPr>
        <w:tabs>
          <w:tab w:val="left" w:pos="539"/>
          <w:tab w:val="left" w:pos="567"/>
        </w:tabs>
        <w:ind w:right="-1" w:firstLine="567"/>
        <w:jc w:val="both"/>
      </w:pPr>
      <w:r w:rsidRPr="00995C07">
        <w:t xml:space="preserve">W porównaniu z rokiem 2018 wykorzystanie limitu gwarancji </w:t>
      </w:r>
      <w:r w:rsidR="003919B8" w:rsidRPr="00995C07">
        <w:t xml:space="preserve">i poręczeń Skarbu Państwa w </w:t>
      </w:r>
      <w:r w:rsidR="003E2E85" w:rsidRPr="00995C07">
        <w:t>2019</w:t>
      </w:r>
      <w:r w:rsidR="007F4CFD" w:rsidRPr="00995C07">
        <w:t xml:space="preserve"> </w:t>
      </w:r>
      <w:r w:rsidRPr="00995C07">
        <w:t>r. jest niższe. Wykorzystani</w:t>
      </w:r>
      <w:r w:rsidR="00C60A67">
        <w:t xml:space="preserve">e limitu w 2018 r. wyniosło </w:t>
      </w:r>
      <w:r w:rsidR="007F4CFD" w:rsidRPr="00995C07">
        <w:t>11 632 581</w:t>
      </w:r>
      <w:r w:rsidR="00C60A67">
        <w:t> </w:t>
      </w:r>
      <w:r w:rsidR="007B5A9C">
        <w:t>100</w:t>
      </w:r>
      <w:r w:rsidR="00C60A67">
        <w:t> </w:t>
      </w:r>
      <w:r w:rsidR="007B5A9C">
        <w:t xml:space="preserve">zł, co </w:t>
      </w:r>
      <w:r w:rsidRPr="00995C07">
        <w:t xml:space="preserve">stanowiło 5,82 % kwoty limitu zaplanowanej na 2018 r., </w:t>
      </w:r>
      <w:r w:rsidR="00297FF6" w:rsidRPr="00995C07">
        <w:t>tj. </w:t>
      </w:r>
      <w:r w:rsidR="00722F19" w:rsidRPr="00995C07">
        <w:t>kwoty 200 000 000 </w:t>
      </w:r>
      <w:r w:rsidRPr="00995C07">
        <w:t>000 zł.</w:t>
      </w:r>
    </w:p>
    <w:p w14:paraId="786869A1" w14:textId="77777777" w:rsidR="00C769B1" w:rsidRPr="00F771E1" w:rsidRDefault="00A34AA2" w:rsidP="00A34AA2">
      <w:pPr>
        <w:tabs>
          <w:tab w:val="left" w:pos="539"/>
          <w:tab w:val="left" w:pos="567"/>
        </w:tabs>
        <w:ind w:right="-1" w:firstLine="567"/>
        <w:jc w:val="both"/>
      </w:pPr>
      <w:r w:rsidRPr="00F771E1">
        <w:t>Głównym czynnikiem, który wpłynął na ukształtowanie w ustawie budżetowej limitu poręczeń i gwara</w:t>
      </w:r>
      <w:r w:rsidR="00722F19">
        <w:t>ncji na 2019 r. w wysokości 200 000 000 </w:t>
      </w:r>
      <w:r w:rsidRPr="00F771E1">
        <w:t>000 zł</w:t>
      </w:r>
      <w:r w:rsidR="00A469D9">
        <w:t>,</w:t>
      </w:r>
      <w:r w:rsidRPr="00F771E1">
        <w:t xml:space="preserve"> była możliwość wykorzystania ww. limitu dla działań, które</w:t>
      </w:r>
      <w:r w:rsidR="00C60A67">
        <w:t xml:space="preserve"> mogą być potencjalnie podjęte </w:t>
      </w:r>
      <w:r w:rsidRPr="00F771E1">
        <w:t>w przypadku ewentualnego pogorszenia warunków działania polskiego systemu finansowego w</w:t>
      </w:r>
      <w:r w:rsidR="00C60A67">
        <w:t> </w:t>
      </w:r>
      <w:r w:rsidRPr="00F771E1">
        <w:t>obliczu ewentualnego kryzysu finansowego i gospodarczego, poprzez możliwość wspierania podmiotów należących do tego sektora w oparciu o przepisy ustawy z dnia 12</w:t>
      </w:r>
      <w:r w:rsidR="00C60A67">
        <w:t> </w:t>
      </w:r>
      <w:r w:rsidRPr="00F771E1">
        <w:t>lutego 2009 r. o udzielaniu przez Skarb Państwa wsparcia instytucjom finansowym (Dz. U.</w:t>
      </w:r>
      <w:r w:rsidR="000654ED">
        <w:t xml:space="preserve"> z 2016 r. poz. 1436</w:t>
      </w:r>
      <w:r w:rsidRPr="00F771E1">
        <w:t>)</w:t>
      </w:r>
      <w:r w:rsidR="000654ED">
        <w:t xml:space="preserve"> oraz ustawy z dnia 12 lutego </w:t>
      </w:r>
      <w:r w:rsidRPr="00F771E1">
        <w:t>2010 r. o rekapitalizacji niektórych instytucji oraz o rządowych instrumentach stabilizacji finansowej (Dz. U. z</w:t>
      </w:r>
      <w:r w:rsidR="00C60A67">
        <w:t> </w:t>
      </w:r>
      <w:r w:rsidRPr="00F771E1">
        <w:t>2018 r. poz. 124</w:t>
      </w:r>
      <w:r w:rsidR="000654ED">
        <w:rPr>
          <w:bCs/>
        </w:rPr>
        <w:t xml:space="preserve">, z </w:t>
      </w:r>
      <w:proofErr w:type="spellStart"/>
      <w:r w:rsidR="000654ED">
        <w:rPr>
          <w:bCs/>
        </w:rPr>
        <w:t>późn</w:t>
      </w:r>
      <w:proofErr w:type="spellEnd"/>
      <w:r w:rsidR="000654ED">
        <w:rPr>
          <w:bCs/>
        </w:rPr>
        <w:t>. zm.</w:t>
      </w:r>
      <w:r w:rsidRPr="00F771E1">
        <w:t>). Z uwagi na prewencyjny charakter powyższych działań brak wykorzystania prognozowanego limitu na powyższy cel należy ocenić pozytywnie.</w:t>
      </w:r>
    </w:p>
    <w:p w14:paraId="58A94803" w14:textId="77777777" w:rsidR="00E74726" w:rsidRPr="00F771E1" w:rsidRDefault="00FC7108" w:rsidP="00FC7108">
      <w:pPr>
        <w:pStyle w:val="Nagwek3"/>
        <w:spacing w:before="120" w:after="120"/>
        <w:ind w:left="567" w:hanging="567"/>
        <w:jc w:val="both"/>
        <w:rPr>
          <w:rFonts w:ascii="Times New Roman" w:hAnsi="Times New Roman"/>
          <w:sz w:val="24"/>
          <w:szCs w:val="24"/>
        </w:rPr>
      </w:pPr>
      <w:bookmarkStart w:id="26" w:name="_Toc37242620"/>
      <w:r w:rsidRPr="00F771E1">
        <w:rPr>
          <w:rFonts w:ascii="Times New Roman" w:hAnsi="Times New Roman"/>
          <w:sz w:val="24"/>
          <w:szCs w:val="24"/>
        </w:rPr>
        <w:t>2.2.3</w:t>
      </w:r>
      <w:r w:rsidRPr="00F771E1">
        <w:rPr>
          <w:rFonts w:ascii="Times New Roman" w:hAnsi="Times New Roman"/>
          <w:sz w:val="24"/>
          <w:szCs w:val="24"/>
        </w:rPr>
        <w:tab/>
      </w:r>
      <w:r w:rsidR="00E74726" w:rsidRPr="00F771E1">
        <w:rPr>
          <w:rFonts w:ascii="Times New Roman" w:hAnsi="Times New Roman"/>
          <w:sz w:val="24"/>
          <w:szCs w:val="24"/>
        </w:rPr>
        <w:t>Opłaty prowizyjne od udzielonych gwarancji i poręczeń wpłacane na rachunek rezerw poręczeniowych i gwarancyjnych Skarbu Państwa</w:t>
      </w:r>
      <w:bookmarkEnd w:id="23"/>
      <w:bookmarkEnd w:id="24"/>
      <w:bookmarkEnd w:id="25"/>
      <w:bookmarkEnd w:id="26"/>
      <w:r w:rsidR="00E74726" w:rsidRPr="00F771E1">
        <w:rPr>
          <w:rFonts w:ascii="Times New Roman" w:hAnsi="Times New Roman"/>
          <w:sz w:val="24"/>
          <w:szCs w:val="24"/>
        </w:rPr>
        <w:t xml:space="preserve"> </w:t>
      </w:r>
    </w:p>
    <w:p w14:paraId="713C851C" w14:textId="77777777" w:rsidR="00C129F9" w:rsidRPr="00F771E1" w:rsidRDefault="00437E75" w:rsidP="00437E75">
      <w:pPr>
        <w:ind w:right="-1" w:firstLine="567"/>
        <w:jc w:val="both"/>
      </w:pPr>
      <w:r w:rsidRPr="00F771E1">
        <w:t>W 2019 roku, z tytułu udzielonych gwarancji i poręczeń Skarbu Państwa</w:t>
      </w:r>
      <w:r w:rsidR="00A469D9">
        <w:t>,</w:t>
      </w:r>
      <w:r w:rsidRPr="00F771E1">
        <w:t xml:space="preserve"> wniesione zostały opłaty</w:t>
      </w:r>
      <w:r w:rsidR="00386041">
        <w:t xml:space="preserve"> prowizyjne w łącznej kwocie 20 225 </w:t>
      </w:r>
      <w:r w:rsidR="00C60A67">
        <w:t xml:space="preserve">273,93 zł, w tym </w:t>
      </w:r>
      <w:r w:rsidRPr="00F771E1">
        <w:t>w związku z:</w:t>
      </w:r>
    </w:p>
    <w:p w14:paraId="39CB8433" w14:textId="77777777" w:rsidR="00C129F9" w:rsidRPr="00F771E1" w:rsidRDefault="0002650D" w:rsidP="002874A0">
      <w:pPr>
        <w:pStyle w:val="Akapitzlist"/>
        <w:numPr>
          <w:ilvl w:val="0"/>
          <w:numId w:val="24"/>
        </w:numPr>
        <w:ind w:left="851" w:right="-1" w:hanging="284"/>
        <w:jc w:val="both"/>
      </w:pPr>
      <w:r w:rsidRPr="00F771E1">
        <w:t>gwarancją Skarbu Państwa za zobowiązania</w:t>
      </w:r>
      <w:r w:rsidR="00C60A67">
        <w:t xml:space="preserve"> PKP Intercity S.A. wynikające </w:t>
      </w:r>
      <w:r w:rsidRPr="00F771E1">
        <w:t>z</w:t>
      </w:r>
      <w:r w:rsidR="00C60A67">
        <w:t> </w:t>
      </w:r>
      <w:r w:rsidRPr="00F771E1">
        <w:t>kredytu A zaciągniętego w Europejskim Banku Inwestycyjnym na sfinans</w:t>
      </w:r>
      <w:r w:rsidR="00874702">
        <w:t xml:space="preserve">owanie projektu „PKP Intercity </w:t>
      </w:r>
      <w:r w:rsidR="00874702">
        <w:rPr>
          <w:bCs/>
        </w:rPr>
        <w:t xml:space="preserve">– </w:t>
      </w:r>
      <w:r w:rsidRPr="00F771E1">
        <w:t>tabor kolejowy dużych prędkości”</w:t>
      </w:r>
      <w:r w:rsidR="00874702" w:rsidRPr="00874702">
        <w:rPr>
          <w:bCs/>
        </w:rPr>
        <w:t xml:space="preserve"> </w:t>
      </w:r>
      <w:r w:rsidR="00874702">
        <w:rPr>
          <w:bCs/>
        </w:rPr>
        <w:t>–</w:t>
      </w:r>
      <w:r w:rsidR="00874702">
        <w:t xml:space="preserve"> </w:t>
      </w:r>
      <w:r w:rsidR="00386041">
        <w:t>opłata prowizyjna w kwocie 9</w:t>
      </w:r>
      <w:r w:rsidR="003919B8">
        <w:t> 513 </w:t>
      </w:r>
      <w:r w:rsidRPr="00F771E1">
        <w:t>332,09 zł, stanowiąca 1,2% kwoty zobowiązania gwaranta według stanu na 31 grudnia r</w:t>
      </w:r>
      <w:r w:rsidR="003919B8">
        <w:t>oku poprzedniego, tj. kwoty 792 777 </w:t>
      </w:r>
      <w:r w:rsidRPr="00F771E1">
        <w:t xml:space="preserve">674,45 zł, wniesiona została </w:t>
      </w:r>
      <w:r w:rsidR="00385955">
        <w:t>29</w:t>
      </w:r>
      <w:r w:rsidRPr="00F771E1">
        <w:t> marca 2019 r.;</w:t>
      </w:r>
    </w:p>
    <w:p w14:paraId="4F9B6A46" w14:textId="77777777" w:rsidR="00C129F9" w:rsidRPr="00F771E1" w:rsidRDefault="0002650D" w:rsidP="002874A0">
      <w:pPr>
        <w:pStyle w:val="Akapitzlist"/>
        <w:numPr>
          <w:ilvl w:val="0"/>
          <w:numId w:val="24"/>
        </w:numPr>
        <w:ind w:left="851" w:right="-1" w:hanging="284"/>
        <w:jc w:val="both"/>
      </w:pPr>
      <w:r w:rsidRPr="00F771E1">
        <w:t>gwarancją Skarbu Państwa za zobowiązania</w:t>
      </w:r>
      <w:r w:rsidR="00C60A67">
        <w:t xml:space="preserve"> PKP Intercity S.A. wynikające </w:t>
      </w:r>
      <w:r w:rsidRPr="00F771E1">
        <w:t>z</w:t>
      </w:r>
      <w:r w:rsidR="00C60A67">
        <w:t> </w:t>
      </w:r>
      <w:r w:rsidRPr="00F771E1">
        <w:t>kredytu B zaciągniętego w Europejskim Banku Inwestycyjnym na sfinans</w:t>
      </w:r>
      <w:r w:rsidR="00874702">
        <w:t xml:space="preserve">owanie projektu „PKP Intercity </w:t>
      </w:r>
      <w:r w:rsidR="00874702">
        <w:rPr>
          <w:bCs/>
        </w:rPr>
        <w:t xml:space="preserve">– </w:t>
      </w:r>
      <w:r w:rsidRPr="00F771E1">
        <w:t>tabor kolejowy dużych prędkości”</w:t>
      </w:r>
      <w:r w:rsidR="00874702" w:rsidRPr="00874702">
        <w:rPr>
          <w:bCs/>
        </w:rPr>
        <w:t xml:space="preserve"> </w:t>
      </w:r>
      <w:r w:rsidR="00874702">
        <w:rPr>
          <w:bCs/>
        </w:rPr>
        <w:t>–</w:t>
      </w:r>
      <w:r w:rsidR="00874702">
        <w:t xml:space="preserve"> </w:t>
      </w:r>
      <w:r w:rsidR="003919B8">
        <w:t>opłata prowizyjna w kwocie 4 804 </w:t>
      </w:r>
      <w:r w:rsidR="007B5A9C">
        <w:t xml:space="preserve">911,55 zł, stanowiąca 1,2% </w:t>
      </w:r>
      <w:r w:rsidRPr="00F771E1">
        <w:t xml:space="preserve">kwoty zobowiązania gwaranta według stanu na 31 grudnia roku poprzedniego, tj. kwoty 400 409 296,11 zł, wniesiona została </w:t>
      </w:r>
      <w:r w:rsidR="00385955">
        <w:t>29</w:t>
      </w:r>
      <w:r w:rsidRPr="00F771E1">
        <w:t> marca 2019 r.;</w:t>
      </w:r>
    </w:p>
    <w:p w14:paraId="1848DFCA" w14:textId="77777777" w:rsidR="00C129F9" w:rsidRPr="00F771E1" w:rsidRDefault="00F40802" w:rsidP="002874A0">
      <w:pPr>
        <w:pStyle w:val="Akapitzlist"/>
        <w:numPr>
          <w:ilvl w:val="0"/>
          <w:numId w:val="24"/>
        </w:numPr>
        <w:ind w:left="851" w:right="-1" w:hanging="284"/>
        <w:jc w:val="both"/>
      </w:pPr>
      <w:r w:rsidRPr="00F771E1">
        <w:lastRenderedPageBreak/>
        <w:t>gwarancją Skarbu Państwa za zobowiązania</w:t>
      </w:r>
      <w:r w:rsidR="00C60A67">
        <w:t xml:space="preserve"> PKP Intercity S.A. wynikające </w:t>
      </w:r>
      <w:r w:rsidRPr="00F771E1">
        <w:t>z</w:t>
      </w:r>
      <w:r w:rsidR="00C60A67">
        <w:t> </w:t>
      </w:r>
      <w:r w:rsidRPr="00F771E1">
        <w:t xml:space="preserve">kredytu zaciągniętego w Europejskim Banku Inwestycyjnym na sfinansowanie projektu „Tabor kolejowy PKP Intercity” </w:t>
      </w:r>
      <w:r w:rsidR="00874702">
        <w:rPr>
          <w:bCs/>
        </w:rPr>
        <w:t>–</w:t>
      </w:r>
      <w:r w:rsidR="00C60A67">
        <w:t xml:space="preserve"> opłata prowizyjna </w:t>
      </w:r>
      <w:r w:rsidR="003919B8">
        <w:t>w kwocie 3 215 </w:t>
      </w:r>
      <w:r w:rsidRPr="00F771E1">
        <w:t>729,08 zł, stanowiąca 1,2% kwoty zobowiązania gwaranta według stanu na dzień 31 grudnia ro</w:t>
      </w:r>
      <w:r w:rsidR="00C60A67">
        <w:t xml:space="preserve">ku poprzedniego, tj. kwoty </w:t>
      </w:r>
      <w:r w:rsidR="003919B8">
        <w:t>267 977 </w:t>
      </w:r>
      <w:r w:rsidRPr="00F771E1">
        <w:t xml:space="preserve">423,08 zł, wniesiona została w dniu </w:t>
      </w:r>
      <w:r w:rsidR="00385955">
        <w:t>29</w:t>
      </w:r>
      <w:r w:rsidRPr="00F771E1">
        <w:t xml:space="preserve"> marca 2019 r.;</w:t>
      </w:r>
    </w:p>
    <w:p w14:paraId="3EBE127D" w14:textId="77777777" w:rsidR="00C129F9" w:rsidRPr="00F771E1" w:rsidRDefault="00F40802" w:rsidP="002874A0">
      <w:pPr>
        <w:pStyle w:val="Akapitzlist"/>
        <w:numPr>
          <w:ilvl w:val="0"/>
          <w:numId w:val="24"/>
        </w:numPr>
        <w:ind w:left="851" w:right="-1" w:hanging="284"/>
        <w:jc w:val="both"/>
      </w:pPr>
      <w:r w:rsidRPr="00F771E1">
        <w:t>gwarancją Skarbu Państwa za zobowiązania</w:t>
      </w:r>
      <w:r w:rsidR="00C60A67">
        <w:t xml:space="preserve"> PKP Intercity S.A. wynikające </w:t>
      </w:r>
      <w:r w:rsidRPr="00F771E1">
        <w:t>z</w:t>
      </w:r>
      <w:r w:rsidR="00C60A67">
        <w:t> </w:t>
      </w:r>
      <w:r w:rsidRPr="00F771E1">
        <w:t xml:space="preserve">kredytu zaciągniętego w Europejskim Banku Inwestycyjnym na sfinansowanie projektu „Tabor kolejowy PKP Intercity” </w:t>
      </w:r>
      <w:r w:rsidR="00874702">
        <w:rPr>
          <w:bCs/>
        </w:rPr>
        <w:t>–</w:t>
      </w:r>
      <w:r w:rsidR="00C60A67">
        <w:t xml:space="preserve"> opłata prowizyjna </w:t>
      </w:r>
      <w:r w:rsidR="003919B8">
        <w:t>w kwocie 2</w:t>
      </w:r>
      <w:r w:rsidR="005F0A3B">
        <w:t> 691 </w:t>
      </w:r>
      <w:r w:rsidRPr="00F771E1">
        <w:t xml:space="preserve">301,21 zł, stanowiąca 1,2% kwoty zobowiązania gwaranta według stanu na 31 grudnia roku </w:t>
      </w:r>
      <w:r w:rsidR="005F0A3B">
        <w:t>poprzedniego, tj. kwoty 224 275 </w:t>
      </w:r>
      <w:r w:rsidRPr="00F771E1">
        <w:t xml:space="preserve">100,46 zł, wniesiona została </w:t>
      </w:r>
      <w:r w:rsidR="00385955">
        <w:t>29</w:t>
      </w:r>
      <w:r w:rsidRPr="00F771E1">
        <w:t xml:space="preserve"> marca 2019 r.</w:t>
      </w:r>
    </w:p>
    <w:p w14:paraId="1CD8118A" w14:textId="77777777" w:rsidR="00E85BE7" w:rsidRPr="00F771E1" w:rsidRDefault="00F40802" w:rsidP="00F77970">
      <w:pPr>
        <w:tabs>
          <w:tab w:val="left" w:pos="567"/>
        </w:tabs>
        <w:ind w:right="-1" w:firstLine="567"/>
        <w:jc w:val="both"/>
      </w:pPr>
      <w:r w:rsidRPr="00995C07">
        <w:t>Powyższe opłaty prowizyjne zostały wyliczone i pobrane zgodnie z przepisami rozporządzenia Rady Ministrów z dnia 8 czerwca 2012 r. w sprawie opłaty prowizyjnej od poręczenia i gwarancji udzielanych przez Skarb Państwa (Dz. U.</w:t>
      </w:r>
      <w:r w:rsidR="000654ED">
        <w:t xml:space="preserve"> </w:t>
      </w:r>
      <w:r w:rsidRPr="00995C07">
        <w:t>poz. 674).</w:t>
      </w:r>
    </w:p>
    <w:p w14:paraId="2825A397" w14:textId="77777777" w:rsidR="00C129F9" w:rsidRPr="00F771E1" w:rsidRDefault="00F40802" w:rsidP="00F77970">
      <w:pPr>
        <w:tabs>
          <w:tab w:val="left" w:pos="567"/>
        </w:tabs>
        <w:ind w:right="-1" w:firstLine="567"/>
        <w:jc w:val="both"/>
      </w:pPr>
      <w:r w:rsidRPr="00F771E1">
        <w:t>W 2019 r. z wniesieni</w:t>
      </w:r>
      <w:r w:rsidR="008E4DE6">
        <w:t>a opłaty prowizyjnej zwolnione były</w:t>
      </w:r>
      <w:r w:rsidR="00C60A67">
        <w:t xml:space="preserve"> 3 gwarancje, </w:t>
      </w:r>
      <w:r w:rsidRPr="00F771E1">
        <w:t>w tym na podstawie:</w:t>
      </w:r>
    </w:p>
    <w:p w14:paraId="4701A422" w14:textId="77777777" w:rsidR="00C129F9" w:rsidRPr="00F771E1" w:rsidRDefault="00F40802" w:rsidP="002874A0">
      <w:pPr>
        <w:pStyle w:val="Akapitzlist"/>
        <w:numPr>
          <w:ilvl w:val="0"/>
          <w:numId w:val="25"/>
        </w:numPr>
        <w:ind w:left="851" w:right="-1" w:hanging="284"/>
        <w:jc w:val="both"/>
      </w:pPr>
      <w:r w:rsidRPr="00F771E1">
        <w:t xml:space="preserve">art. 2c ust. 4 ustawy o poręczeniach i gwarancjach, zwolnienie z obowiązku wniesienia opłaty prowizyjnej dotyczyło dwóch gwarancji spłaty kredytów zaciągniętych przez Bank Gospodarstwa Krajowego w Europejskim Banku Inwestycyjnym. Zwolnienie z opłaty prowizyjnej z tytułu takich gwarancji następuje również na podstawie art. 39d ust. 3 ustawy z dnia 27 października 1994 r. o autostradach płatnych oraz o Krajowym Funduszu Drogowym (Dz. U. z 2020 r. poz. 72, z </w:t>
      </w:r>
      <w:proofErr w:type="spellStart"/>
      <w:r w:rsidRPr="00F771E1">
        <w:t>późn</w:t>
      </w:r>
      <w:proofErr w:type="spellEnd"/>
      <w:r w:rsidRPr="00F771E1">
        <w:t>. zm.);</w:t>
      </w:r>
    </w:p>
    <w:p w14:paraId="250282BF" w14:textId="77777777" w:rsidR="003163B9" w:rsidRPr="00F771E1" w:rsidRDefault="00F40802" w:rsidP="002874A0">
      <w:pPr>
        <w:pStyle w:val="Akapitzlist"/>
        <w:numPr>
          <w:ilvl w:val="0"/>
          <w:numId w:val="25"/>
        </w:numPr>
        <w:ind w:left="851" w:right="-1" w:hanging="284"/>
        <w:jc w:val="both"/>
      </w:pPr>
      <w:r w:rsidRPr="00F771E1">
        <w:t>art. 38 ust. 11 ustawy z dnia 28 marca 2</w:t>
      </w:r>
      <w:r w:rsidR="00C60A67">
        <w:t xml:space="preserve">003 r. o transporcie kolejowym </w:t>
      </w:r>
      <w:r w:rsidRPr="00F771E1">
        <w:t xml:space="preserve">(Dz. U. z 2019 r. poz. 710, z </w:t>
      </w:r>
      <w:proofErr w:type="spellStart"/>
      <w:r w:rsidRPr="00F771E1">
        <w:t>późn</w:t>
      </w:r>
      <w:proofErr w:type="spellEnd"/>
      <w:r w:rsidRPr="00F771E1">
        <w:t>. zm.) z obowiązku wniesienia opłaty prowizyjnej zwolniona również gwarancja spłaty kredytu zaciągniętego przez PKP Polskie Linie Kolejowe S.A. w Europejskim Banku Inwestycyjnym</w:t>
      </w:r>
      <w:r w:rsidRPr="00F771E1">
        <w:rPr>
          <w:iCs/>
        </w:rPr>
        <w:t>.</w:t>
      </w:r>
    </w:p>
    <w:p w14:paraId="6C5E9D6B" w14:textId="77777777" w:rsidR="00E74726" w:rsidRPr="00F771E1" w:rsidRDefault="004C1AF3" w:rsidP="00A53157">
      <w:pPr>
        <w:pStyle w:val="Nagwek3"/>
        <w:tabs>
          <w:tab w:val="left" w:pos="567"/>
        </w:tabs>
        <w:spacing w:before="120" w:after="120"/>
        <w:rPr>
          <w:rFonts w:ascii="Times New Roman" w:hAnsi="Times New Roman"/>
          <w:sz w:val="24"/>
          <w:szCs w:val="24"/>
        </w:rPr>
      </w:pPr>
      <w:bookmarkStart w:id="27" w:name="_Toc351990866"/>
      <w:bookmarkStart w:id="28" w:name="_Toc352076144"/>
      <w:bookmarkStart w:id="29" w:name="_Toc352237516"/>
      <w:bookmarkStart w:id="30" w:name="_Toc37242621"/>
      <w:r w:rsidRPr="00F771E1">
        <w:rPr>
          <w:rFonts w:ascii="Times New Roman" w:hAnsi="Times New Roman"/>
          <w:sz w:val="24"/>
          <w:szCs w:val="24"/>
        </w:rPr>
        <w:t xml:space="preserve">2.2.4 </w:t>
      </w:r>
      <w:r w:rsidR="00A53157" w:rsidRPr="00F771E1">
        <w:rPr>
          <w:rFonts w:ascii="Times New Roman" w:hAnsi="Times New Roman"/>
          <w:sz w:val="24"/>
          <w:szCs w:val="24"/>
        </w:rPr>
        <w:tab/>
      </w:r>
      <w:r w:rsidR="00E74726" w:rsidRPr="00F771E1">
        <w:rPr>
          <w:rFonts w:ascii="Times New Roman" w:hAnsi="Times New Roman"/>
          <w:sz w:val="24"/>
          <w:szCs w:val="24"/>
        </w:rPr>
        <w:t>Niewymagalne zobowiązania Skarbu Państwa</w:t>
      </w:r>
      <w:bookmarkEnd w:id="27"/>
      <w:bookmarkEnd w:id="28"/>
      <w:bookmarkEnd w:id="29"/>
      <w:bookmarkEnd w:id="30"/>
    </w:p>
    <w:p w14:paraId="04CA0F61" w14:textId="77777777" w:rsidR="00FF152E" w:rsidRPr="00F771E1" w:rsidRDefault="00FF152E" w:rsidP="00FF152E">
      <w:pPr>
        <w:pStyle w:val="akapit"/>
        <w:tabs>
          <w:tab w:val="left" w:pos="840"/>
          <w:tab w:val="num" w:pos="960"/>
        </w:tabs>
        <w:spacing w:after="0" w:line="240" w:lineRule="auto"/>
        <w:ind w:right="-1" w:firstLine="567"/>
        <w:rPr>
          <w:rFonts w:ascii="Times New Roman" w:hAnsi="Times New Roman"/>
          <w:sz w:val="24"/>
        </w:rPr>
      </w:pPr>
      <w:r w:rsidRPr="00F771E1">
        <w:rPr>
          <w:rFonts w:ascii="Times New Roman" w:hAnsi="Times New Roman"/>
          <w:sz w:val="24"/>
        </w:rPr>
        <w:t>Potencjalne, niewymagalne zobowiązania Skar</w:t>
      </w:r>
      <w:r w:rsidR="005B6DD5" w:rsidRPr="00F771E1">
        <w:rPr>
          <w:rFonts w:ascii="Times New Roman" w:hAnsi="Times New Roman"/>
          <w:sz w:val="24"/>
        </w:rPr>
        <w:t>bu Państwa z tytułu udzielonych</w:t>
      </w:r>
      <w:r w:rsidRPr="00F771E1">
        <w:rPr>
          <w:rFonts w:ascii="Times New Roman" w:hAnsi="Times New Roman"/>
          <w:sz w:val="24"/>
        </w:rPr>
        <w:t xml:space="preserve"> poręczeń i gwaran</w:t>
      </w:r>
      <w:r w:rsidR="000166F5" w:rsidRPr="00F771E1">
        <w:rPr>
          <w:rFonts w:ascii="Times New Roman" w:hAnsi="Times New Roman"/>
          <w:sz w:val="24"/>
        </w:rPr>
        <w:t>cji wynosiły na dzień 31.12.2019</w:t>
      </w:r>
      <w:r w:rsidRPr="00F771E1">
        <w:rPr>
          <w:rFonts w:ascii="Times New Roman" w:hAnsi="Times New Roman"/>
          <w:sz w:val="24"/>
        </w:rPr>
        <w:t xml:space="preserve"> r.: </w:t>
      </w:r>
    </w:p>
    <w:p w14:paraId="56BCB94E" w14:textId="77777777" w:rsidR="00FF152E" w:rsidRPr="00F771E1" w:rsidRDefault="00FF152E" w:rsidP="00BE68C2">
      <w:pPr>
        <w:pStyle w:val="pktmyslnw0"/>
        <w:numPr>
          <w:ilvl w:val="0"/>
          <w:numId w:val="9"/>
        </w:numPr>
        <w:tabs>
          <w:tab w:val="clear" w:pos="284"/>
          <w:tab w:val="left" w:pos="851"/>
          <w:tab w:val="right" w:pos="8505"/>
        </w:tabs>
        <w:spacing w:after="0" w:line="240" w:lineRule="auto"/>
        <w:ind w:left="851" w:hanging="284"/>
        <w:rPr>
          <w:rFonts w:ascii="Times New Roman" w:hAnsi="Times New Roman"/>
          <w:sz w:val="24"/>
        </w:rPr>
      </w:pPr>
      <w:r w:rsidRPr="00F771E1">
        <w:rPr>
          <w:rFonts w:ascii="Times New Roman" w:hAnsi="Times New Roman"/>
          <w:sz w:val="24"/>
        </w:rPr>
        <w:t>z tytułu poręczeń i gwarancji krajowych            </w:t>
      </w:r>
      <w:r w:rsidRPr="00F771E1">
        <w:rPr>
          <w:rFonts w:ascii="Times New Roman" w:hAnsi="Times New Roman"/>
          <w:sz w:val="24"/>
        </w:rPr>
        <w:tab/>
      </w:r>
      <w:r w:rsidR="00885CDF" w:rsidRPr="00F771E1">
        <w:rPr>
          <w:rFonts w:ascii="Times New Roman" w:hAnsi="Times New Roman"/>
          <w:sz w:val="24"/>
        </w:rPr>
        <w:t>11 355 697 505 zł</w:t>
      </w:r>
      <w:r w:rsidRPr="00F771E1">
        <w:rPr>
          <w:rFonts w:ascii="Times New Roman" w:hAnsi="Times New Roman"/>
          <w:sz w:val="24"/>
        </w:rPr>
        <w:t>,</w:t>
      </w:r>
    </w:p>
    <w:p w14:paraId="211DC09A" w14:textId="77777777" w:rsidR="00FF152E" w:rsidRPr="00F771E1" w:rsidRDefault="00FF152E" w:rsidP="00BE68C2">
      <w:pPr>
        <w:pStyle w:val="pktmyslnw0"/>
        <w:numPr>
          <w:ilvl w:val="0"/>
          <w:numId w:val="8"/>
        </w:numPr>
        <w:tabs>
          <w:tab w:val="clear" w:pos="284"/>
          <w:tab w:val="left" w:pos="540"/>
          <w:tab w:val="left" w:pos="851"/>
          <w:tab w:val="left" w:pos="6237"/>
          <w:tab w:val="right" w:pos="8505"/>
        </w:tabs>
        <w:spacing w:after="0" w:line="240" w:lineRule="auto"/>
        <w:ind w:left="851" w:hanging="284"/>
        <w:rPr>
          <w:rFonts w:ascii="Times New Roman" w:hAnsi="Times New Roman"/>
          <w:sz w:val="24"/>
        </w:rPr>
      </w:pPr>
      <w:r w:rsidRPr="00F771E1">
        <w:rPr>
          <w:rFonts w:ascii="Times New Roman" w:hAnsi="Times New Roman"/>
          <w:sz w:val="24"/>
        </w:rPr>
        <w:t>z tytułu gwarancji zagranicznych                    </w:t>
      </w:r>
      <w:r w:rsidRPr="00F771E1">
        <w:rPr>
          <w:rFonts w:ascii="Times New Roman" w:hAnsi="Times New Roman"/>
          <w:sz w:val="24"/>
        </w:rPr>
        <w:tab/>
      </w:r>
      <w:r w:rsidRPr="00F771E1">
        <w:rPr>
          <w:rFonts w:ascii="Times New Roman" w:hAnsi="Times New Roman"/>
          <w:sz w:val="24"/>
        </w:rPr>
        <w:tab/>
      </w:r>
      <w:r w:rsidR="00885CDF" w:rsidRPr="00F771E1">
        <w:rPr>
          <w:rFonts w:ascii="Times New Roman" w:hAnsi="Times New Roman"/>
          <w:sz w:val="24"/>
        </w:rPr>
        <w:t>100 015 622 962 zł</w:t>
      </w:r>
      <w:r w:rsidRPr="00F771E1">
        <w:rPr>
          <w:rFonts w:ascii="Times New Roman" w:hAnsi="Times New Roman"/>
          <w:sz w:val="24"/>
        </w:rPr>
        <w:t>,</w:t>
      </w:r>
    </w:p>
    <w:p w14:paraId="0D729091" w14:textId="77777777" w:rsidR="00FF152E" w:rsidRPr="00F771E1" w:rsidRDefault="00FF152E" w:rsidP="00FF152E">
      <w:pPr>
        <w:pStyle w:val="pktmyslnw0"/>
        <w:tabs>
          <w:tab w:val="clear" w:pos="284"/>
          <w:tab w:val="left" w:pos="540"/>
          <w:tab w:val="left" w:pos="840"/>
          <w:tab w:val="left" w:pos="6096"/>
          <w:tab w:val="right" w:pos="8505"/>
        </w:tabs>
        <w:spacing w:after="0" w:line="240" w:lineRule="auto"/>
        <w:rPr>
          <w:rFonts w:ascii="Times New Roman" w:hAnsi="Times New Roman"/>
          <w:sz w:val="24"/>
        </w:rPr>
      </w:pPr>
      <w:r w:rsidRPr="00F771E1">
        <w:rPr>
          <w:rFonts w:ascii="Times New Roman" w:hAnsi="Times New Roman"/>
          <w:sz w:val="24"/>
        </w:rPr>
        <w:tab/>
      </w:r>
      <w:r w:rsidRPr="00F771E1">
        <w:rPr>
          <w:rFonts w:ascii="Times New Roman" w:hAnsi="Times New Roman"/>
          <w:sz w:val="24"/>
        </w:rPr>
        <w:tab/>
        <w:t>łącznie z tytułu poręczeń i gwarancji Skarbu Państwa:   </w:t>
      </w:r>
      <w:r w:rsidRPr="00F771E1">
        <w:rPr>
          <w:rFonts w:ascii="Times New Roman" w:hAnsi="Times New Roman"/>
          <w:sz w:val="24"/>
        </w:rPr>
        <w:tab/>
      </w:r>
      <w:r w:rsidRPr="00F771E1">
        <w:rPr>
          <w:rFonts w:ascii="Times New Roman" w:hAnsi="Times New Roman"/>
          <w:sz w:val="24"/>
        </w:rPr>
        <w:tab/>
      </w:r>
      <w:r w:rsidR="00885CDF" w:rsidRPr="00F771E1">
        <w:rPr>
          <w:rFonts w:ascii="Times New Roman" w:hAnsi="Times New Roman"/>
          <w:sz w:val="24"/>
        </w:rPr>
        <w:t>111 371 320 467 zł</w:t>
      </w:r>
      <w:r w:rsidRPr="00F771E1">
        <w:rPr>
          <w:rFonts w:ascii="Times New Roman" w:hAnsi="Times New Roman"/>
          <w:sz w:val="24"/>
        </w:rPr>
        <w:t>,</w:t>
      </w:r>
    </w:p>
    <w:p w14:paraId="7F20BC20" w14:textId="77777777" w:rsidR="00FF152E" w:rsidRPr="00F771E1" w:rsidRDefault="00286496" w:rsidP="00FF152E">
      <w:pPr>
        <w:pStyle w:val="pktmyslnw0"/>
        <w:tabs>
          <w:tab w:val="clear" w:pos="284"/>
          <w:tab w:val="left" w:pos="540"/>
          <w:tab w:val="left" w:pos="840"/>
          <w:tab w:val="num" w:pos="960"/>
        </w:tabs>
        <w:spacing w:after="0" w:line="240" w:lineRule="auto"/>
        <w:ind w:right="-1"/>
        <w:rPr>
          <w:rFonts w:ascii="Times New Roman" w:hAnsi="Times New Roman"/>
          <w:sz w:val="24"/>
        </w:rPr>
      </w:pPr>
      <w:r>
        <w:rPr>
          <w:rFonts w:ascii="Times New Roman" w:hAnsi="Times New Roman"/>
          <w:sz w:val="24"/>
        </w:rPr>
        <w:tab/>
      </w:r>
      <w:r>
        <w:rPr>
          <w:rFonts w:ascii="Times New Roman" w:hAnsi="Times New Roman"/>
          <w:sz w:val="24"/>
        </w:rPr>
        <w:tab/>
        <w:t>co oznacza wzrost</w:t>
      </w:r>
      <w:r w:rsidR="00FF152E" w:rsidRPr="00F771E1">
        <w:rPr>
          <w:rFonts w:ascii="Times New Roman" w:hAnsi="Times New Roman"/>
          <w:sz w:val="24"/>
        </w:rPr>
        <w:t xml:space="preserve"> w stosunku </w:t>
      </w:r>
      <w:r w:rsidR="00885CDF" w:rsidRPr="00F771E1">
        <w:rPr>
          <w:rFonts w:ascii="Times New Roman" w:hAnsi="Times New Roman"/>
          <w:sz w:val="24"/>
        </w:rPr>
        <w:t>do 2018 r. o 2,4 %.</w:t>
      </w:r>
    </w:p>
    <w:p w14:paraId="25DE1355" w14:textId="77777777" w:rsidR="00297F40" w:rsidRDefault="00297F40" w:rsidP="008500B7">
      <w:pPr>
        <w:pStyle w:val="akapit"/>
        <w:tabs>
          <w:tab w:val="left" w:pos="567"/>
        </w:tabs>
        <w:spacing w:before="120" w:line="240" w:lineRule="auto"/>
        <w:ind w:right="-1" w:firstLine="567"/>
        <w:rPr>
          <w:rFonts w:ascii="Times New Roman" w:hAnsi="Times New Roman"/>
          <w:sz w:val="24"/>
        </w:rPr>
      </w:pPr>
    </w:p>
    <w:p w14:paraId="53987985" w14:textId="77777777" w:rsidR="00297F40" w:rsidRDefault="00297F40" w:rsidP="008500B7">
      <w:pPr>
        <w:pStyle w:val="akapit"/>
        <w:tabs>
          <w:tab w:val="left" w:pos="567"/>
        </w:tabs>
        <w:spacing w:before="120" w:line="240" w:lineRule="auto"/>
        <w:ind w:right="-1" w:firstLine="567"/>
        <w:rPr>
          <w:rFonts w:ascii="Times New Roman" w:hAnsi="Times New Roman"/>
          <w:sz w:val="24"/>
        </w:rPr>
      </w:pPr>
    </w:p>
    <w:p w14:paraId="1B7AD4C3" w14:textId="77777777" w:rsidR="00297F40" w:rsidRDefault="00297F40" w:rsidP="008500B7">
      <w:pPr>
        <w:pStyle w:val="akapit"/>
        <w:tabs>
          <w:tab w:val="left" w:pos="567"/>
        </w:tabs>
        <w:spacing w:before="120" w:line="240" w:lineRule="auto"/>
        <w:ind w:right="-1" w:firstLine="567"/>
        <w:rPr>
          <w:rFonts w:ascii="Times New Roman" w:hAnsi="Times New Roman"/>
          <w:sz w:val="24"/>
        </w:rPr>
      </w:pPr>
    </w:p>
    <w:p w14:paraId="5240F077" w14:textId="77777777" w:rsidR="00297F40" w:rsidRDefault="00297F40" w:rsidP="008500B7">
      <w:pPr>
        <w:pStyle w:val="akapit"/>
        <w:tabs>
          <w:tab w:val="left" w:pos="567"/>
        </w:tabs>
        <w:spacing w:before="120" w:line="240" w:lineRule="auto"/>
        <w:ind w:right="-1" w:firstLine="567"/>
        <w:rPr>
          <w:rFonts w:ascii="Times New Roman" w:hAnsi="Times New Roman"/>
          <w:sz w:val="24"/>
        </w:rPr>
      </w:pPr>
    </w:p>
    <w:p w14:paraId="2055E4D7" w14:textId="77777777" w:rsidR="00297F40" w:rsidRDefault="00297F40" w:rsidP="008500B7">
      <w:pPr>
        <w:pStyle w:val="akapit"/>
        <w:tabs>
          <w:tab w:val="left" w:pos="567"/>
        </w:tabs>
        <w:spacing w:before="120" w:line="240" w:lineRule="auto"/>
        <w:ind w:right="-1" w:firstLine="567"/>
        <w:rPr>
          <w:rFonts w:ascii="Times New Roman" w:hAnsi="Times New Roman"/>
          <w:sz w:val="24"/>
        </w:rPr>
      </w:pPr>
    </w:p>
    <w:p w14:paraId="1A38DD41" w14:textId="77777777" w:rsidR="00885CDF" w:rsidRPr="00297F40" w:rsidRDefault="00885CDF" w:rsidP="00297F40">
      <w:pPr>
        <w:pStyle w:val="akapit"/>
        <w:tabs>
          <w:tab w:val="left" w:pos="567"/>
        </w:tabs>
        <w:spacing w:before="120" w:line="240" w:lineRule="auto"/>
        <w:ind w:right="-1" w:firstLine="567"/>
        <w:rPr>
          <w:rFonts w:ascii="Times New Roman" w:hAnsi="Times New Roman"/>
          <w:sz w:val="24"/>
        </w:rPr>
      </w:pPr>
      <w:r w:rsidRPr="00F771E1">
        <w:rPr>
          <w:rFonts w:ascii="Times New Roman" w:hAnsi="Times New Roman"/>
          <w:sz w:val="24"/>
        </w:rPr>
        <w:t>Potencjalne, niewymagalne zobowiązania Skarbu Państwa z tytułu udzielonych poręczeń i gwarancji wg stanu na dzień 31.12.2019 r., z wyszczególnieniem największych kwotowo pozycji, prezentuje następujące zestawienie:</w:t>
      </w:r>
    </w:p>
    <w:tbl>
      <w:tblPr>
        <w:tblpPr w:leftFromText="141" w:rightFromText="141" w:vertAnchor="text" w:tblpXSpec="center" w:tblpY="1"/>
        <w:tblOverlap w:val="never"/>
        <w:tblW w:w="49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376"/>
        <w:gridCol w:w="4030"/>
      </w:tblGrid>
      <w:tr w:rsidR="00885CDF" w:rsidRPr="00F771E1" w14:paraId="2CD071CF" w14:textId="77777777" w:rsidTr="004369A2">
        <w:trPr>
          <w:trHeight w:val="501"/>
        </w:trPr>
        <w:tc>
          <w:tcPr>
            <w:tcW w:w="2603" w:type="pct"/>
            <w:tcBorders>
              <w:top w:val="single" w:sz="12" w:space="0" w:color="auto"/>
              <w:left w:val="single" w:sz="12" w:space="0" w:color="auto"/>
              <w:bottom w:val="single" w:sz="6" w:space="0" w:color="auto"/>
              <w:right w:val="single" w:sz="6" w:space="0" w:color="auto"/>
            </w:tcBorders>
            <w:vAlign w:val="center"/>
            <w:hideMark/>
          </w:tcPr>
          <w:p w14:paraId="128CD597" w14:textId="77777777" w:rsidR="00885CDF" w:rsidRPr="00F771E1" w:rsidRDefault="00885CDF" w:rsidP="004369A2">
            <w:pPr>
              <w:tabs>
                <w:tab w:val="left" w:pos="840"/>
              </w:tabs>
              <w:ind w:left="120" w:right="-1"/>
              <w:jc w:val="center"/>
              <w:rPr>
                <w:b/>
                <w:sz w:val="21"/>
                <w:szCs w:val="21"/>
              </w:rPr>
            </w:pPr>
            <w:r w:rsidRPr="00F771E1">
              <w:rPr>
                <w:b/>
                <w:sz w:val="21"/>
                <w:szCs w:val="21"/>
              </w:rPr>
              <w:t>Kredytobiorca</w:t>
            </w:r>
          </w:p>
        </w:tc>
        <w:tc>
          <w:tcPr>
            <w:tcW w:w="2397" w:type="pct"/>
            <w:tcBorders>
              <w:top w:val="single" w:sz="12" w:space="0" w:color="auto"/>
              <w:left w:val="single" w:sz="6" w:space="0" w:color="auto"/>
              <w:bottom w:val="single" w:sz="6" w:space="0" w:color="auto"/>
              <w:right w:val="single" w:sz="12" w:space="0" w:color="auto"/>
            </w:tcBorders>
            <w:vAlign w:val="center"/>
            <w:hideMark/>
          </w:tcPr>
          <w:p w14:paraId="3FEAC691" w14:textId="77777777" w:rsidR="00885CDF" w:rsidRPr="00F771E1" w:rsidRDefault="00885CDF" w:rsidP="004369A2">
            <w:pPr>
              <w:tabs>
                <w:tab w:val="left" w:pos="840"/>
              </w:tabs>
              <w:ind w:right="-1"/>
              <w:jc w:val="center"/>
              <w:rPr>
                <w:b/>
                <w:sz w:val="21"/>
                <w:szCs w:val="21"/>
              </w:rPr>
            </w:pPr>
            <w:r w:rsidRPr="00F771E1">
              <w:rPr>
                <w:b/>
                <w:sz w:val="21"/>
                <w:szCs w:val="21"/>
              </w:rPr>
              <w:t>Kwota potencjalnych zobowiązań Skarbu    Państwa w zł*</w:t>
            </w:r>
          </w:p>
        </w:tc>
      </w:tr>
      <w:tr w:rsidR="00885CDF" w:rsidRPr="00F771E1" w14:paraId="7F890AF5"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53AAD077" w14:textId="77777777" w:rsidR="00885CDF" w:rsidRPr="00F771E1" w:rsidRDefault="00885CDF" w:rsidP="004369A2">
            <w:pPr>
              <w:pStyle w:val="tabelaw"/>
              <w:tabs>
                <w:tab w:val="left" w:pos="840"/>
              </w:tabs>
              <w:spacing w:after="0" w:line="240" w:lineRule="auto"/>
              <w:ind w:left="120" w:right="-1"/>
              <w:jc w:val="left"/>
              <w:rPr>
                <w:rFonts w:ascii="Times New Roman" w:hAnsi="Times New Roman"/>
                <w:b/>
                <w:sz w:val="20"/>
              </w:rPr>
            </w:pPr>
            <w:r w:rsidRPr="00F771E1">
              <w:rPr>
                <w:rFonts w:ascii="Times New Roman" w:hAnsi="Times New Roman"/>
                <w:b/>
                <w:sz w:val="20"/>
              </w:rPr>
              <w:lastRenderedPageBreak/>
              <w:t>Poręczenia i gwarancje krajowe</w:t>
            </w:r>
          </w:p>
        </w:tc>
        <w:tc>
          <w:tcPr>
            <w:tcW w:w="2397" w:type="pct"/>
            <w:tcBorders>
              <w:top w:val="single" w:sz="6" w:space="0" w:color="auto"/>
              <w:left w:val="single" w:sz="6" w:space="0" w:color="auto"/>
              <w:bottom w:val="single" w:sz="6" w:space="0" w:color="auto"/>
              <w:right w:val="single" w:sz="12" w:space="0" w:color="auto"/>
            </w:tcBorders>
            <w:vAlign w:val="center"/>
          </w:tcPr>
          <w:p w14:paraId="5B0C3CE5" w14:textId="77777777" w:rsidR="00885CDF" w:rsidRPr="00F771E1" w:rsidRDefault="00885CDF" w:rsidP="004369A2">
            <w:pPr>
              <w:pStyle w:val="tabelaw"/>
              <w:tabs>
                <w:tab w:val="left" w:pos="840"/>
              </w:tabs>
              <w:spacing w:after="0" w:line="240" w:lineRule="auto"/>
              <w:ind w:right="-1" w:firstLine="539"/>
              <w:jc w:val="right"/>
              <w:rPr>
                <w:rFonts w:ascii="Times New Roman" w:hAnsi="Times New Roman"/>
                <w:b/>
                <w:sz w:val="20"/>
              </w:rPr>
            </w:pPr>
          </w:p>
        </w:tc>
      </w:tr>
      <w:tr w:rsidR="00885CDF" w:rsidRPr="00F771E1" w14:paraId="3DBBA4B1"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47765D2D" w14:textId="77777777" w:rsidR="00885CDF" w:rsidRPr="00F771E1" w:rsidRDefault="00885CDF" w:rsidP="004369A2">
            <w:pPr>
              <w:tabs>
                <w:tab w:val="left" w:pos="840"/>
              </w:tabs>
              <w:ind w:left="120" w:right="-1"/>
              <w:rPr>
                <w:sz w:val="18"/>
                <w:szCs w:val="18"/>
              </w:rPr>
            </w:pPr>
            <w:r w:rsidRPr="00F771E1">
              <w:rPr>
                <w:sz w:val="18"/>
                <w:szCs w:val="18"/>
              </w:rPr>
              <w:t>Bank Gospodarstwa Krajowego – wsparcie KFD</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22E17113" w14:textId="77777777" w:rsidR="00885CDF" w:rsidRPr="00F771E1" w:rsidRDefault="00885CDF" w:rsidP="005F0A3B">
            <w:pPr>
              <w:pStyle w:val="tabelaw"/>
              <w:tabs>
                <w:tab w:val="left" w:pos="840"/>
              </w:tabs>
              <w:spacing w:after="0" w:line="240" w:lineRule="auto"/>
              <w:ind w:right="-1" w:firstLine="539"/>
              <w:jc w:val="right"/>
              <w:rPr>
                <w:rFonts w:ascii="Times New Roman" w:hAnsi="Times New Roman"/>
                <w:sz w:val="18"/>
                <w:szCs w:val="18"/>
              </w:rPr>
            </w:pPr>
            <w:r w:rsidRPr="00F771E1">
              <w:rPr>
                <w:rFonts w:ascii="Times New Roman" w:hAnsi="Times New Roman"/>
                <w:sz w:val="18"/>
                <w:szCs w:val="18"/>
              </w:rPr>
              <w:t>10 239</w:t>
            </w:r>
            <w:r w:rsidR="005F0A3B">
              <w:rPr>
                <w:rFonts w:ascii="Times New Roman" w:hAnsi="Times New Roman"/>
                <w:sz w:val="18"/>
                <w:szCs w:val="18"/>
              </w:rPr>
              <w:t> </w:t>
            </w:r>
            <w:r w:rsidRPr="00F771E1">
              <w:rPr>
                <w:rFonts w:ascii="Times New Roman" w:hAnsi="Times New Roman"/>
                <w:sz w:val="18"/>
                <w:szCs w:val="18"/>
              </w:rPr>
              <w:t>625</w:t>
            </w:r>
            <w:r w:rsidR="005F0A3B">
              <w:rPr>
                <w:rFonts w:ascii="Times New Roman" w:hAnsi="Times New Roman"/>
                <w:sz w:val="18"/>
                <w:szCs w:val="18"/>
              </w:rPr>
              <w:t> </w:t>
            </w:r>
            <w:r w:rsidRPr="00F771E1">
              <w:rPr>
                <w:rFonts w:ascii="Times New Roman" w:hAnsi="Times New Roman"/>
                <w:sz w:val="18"/>
                <w:szCs w:val="18"/>
              </w:rPr>
              <w:t>000</w:t>
            </w:r>
          </w:p>
        </w:tc>
      </w:tr>
      <w:tr w:rsidR="00885CDF" w:rsidRPr="00F771E1" w14:paraId="03A1511E"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62A9FC61" w14:textId="77777777" w:rsidR="00885CDF" w:rsidRPr="00F771E1" w:rsidRDefault="00885CDF" w:rsidP="004369A2">
            <w:pPr>
              <w:tabs>
                <w:tab w:val="left" w:pos="840"/>
              </w:tabs>
              <w:ind w:left="120" w:right="-1"/>
              <w:rPr>
                <w:sz w:val="18"/>
                <w:szCs w:val="18"/>
              </w:rPr>
            </w:pPr>
            <w:r w:rsidRPr="00F771E1">
              <w:rPr>
                <w:sz w:val="18"/>
                <w:szCs w:val="18"/>
              </w:rPr>
              <w:t>PKP Polskie Linie Kolejowe S.A.</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2E440C87"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sz w:val="18"/>
                <w:szCs w:val="18"/>
              </w:rPr>
              <w:t>1 067 833 </w:t>
            </w:r>
            <w:r w:rsidR="00885CDF" w:rsidRPr="00F771E1">
              <w:rPr>
                <w:rFonts w:ascii="Times New Roman" w:hAnsi="Times New Roman"/>
                <w:sz w:val="18"/>
                <w:szCs w:val="18"/>
              </w:rPr>
              <w:t>238</w:t>
            </w:r>
          </w:p>
        </w:tc>
      </w:tr>
      <w:tr w:rsidR="00885CDF" w:rsidRPr="00F771E1" w14:paraId="34662A0B"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5EB1969B" w14:textId="77777777" w:rsidR="00885CDF" w:rsidRPr="00F771E1" w:rsidRDefault="00885CDF" w:rsidP="004369A2">
            <w:pPr>
              <w:tabs>
                <w:tab w:val="left" w:pos="840"/>
              </w:tabs>
              <w:ind w:left="120" w:right="-1"/>
              <w:rPr>
                <w:sz w:val="18"/>
                <w:szCs w:val="18"/>
              </w:rPr>
            </w:pPr>
            <w:r w:rsidRPr="00F771E1">
              <w:rPr>
                <w:sz w:val="18"/>
                <w:szCs w:val="18"/>
              </w:rPr>
              <w:t>Agencja Rozwoju Przemysłu S.A.</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5DEBA6AD" w14:textId="77777777" w:rsidR="00885CDF" w:rsidRPr="00F771E1" w:rsidRDefault="00885CDF" w:rsidP="004369A2">
            <w:pPr>
              <w:pStyle w:val="tabelaw"/>
              <w:tabs>
                <w:tab w:val="left" w:pos="840"/>
              </w:tabs>
              <w:spacing w:after="0" w:line="240" w:lineRule="auto"/>
              <w:ind w:right="-1" w:firstLine="539"/>
              <w:jc w:val="right"/>
              <w:rPr>
                <w:rFonts w:ascii="Times New Roman" w:hAnsi="Times New Roman"/>
                <w:sz w:val="18"/>
                <w:szCs w:val="18"/>
              </w:rPr>
            </w:pPr>
            <w:r w:rsidRPr="00F771E1">
              <w:rPr>
                <w:rFonts w:ascii="Times New Roman" w:hAnsi="Times New Roman"/>
                <w:sz w:val="18"/>
                <w:szCs w:val="18"/>
              </w:rPr>
              <w:t>48</w:t>
            </w:r>
            <w:r w:rsidR="005F0A3B">
              <w:rPr>
                <w:rFonts w:ascii="Times New Roman" w:hAnsi="Times New Roman"/>
                <w:sz w:val="18"/>
                <w:szCs w:val="18"/>
              </w:rPr>
              <w:t> 239 </w:t>
            </w:r>
            <w:r w:rsidRPr="00F771E1">
              <w:rPr>
                <w:rFonts w:ascii="Times New Roman" w:hAnsi="Times New Roman"/>
                <w:sz w:val="18"/>
                <w:szCs w:val="18"/>
              </w:rPr>
              <w:t>267</w:t>
            </w:r>
          </w:p>
        </w:tc>
      </w:tr>
      <w:tr w:rsidR="00885CDF" w:rsidRPr="00F771E1" w14:paraId="155A6CD4"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4E67B0C0" w14:textId="77777777" w:rsidR="00885CDF" w:rsidRPr="00F771E1" w:rsidRDefault="00885CDF" w:rsidP="004369A2">
            <w:pPr>
              <w:pStyle w:val="Nagwek9"/>
              <w:tabs>
                <w:tab w:val="left" w:pos="840"/>
              </w:tabs>
              <w:spacing w:before="0"/>
              <w:ind w:left="120" w:right="-1"/>
              <w:jc w:val="left"/>
              <w:rPr>
                <w:sz w:val="20"/>
              </w:rPr>
            </w:pPr>
            <w:r w:rsidRPr="00F771E1">
              <w:rPr>
                <w:sz w:val="20"/>
              </w:rPr>
              <w:t>Ogółem poręczenia i gwarancje krajowe</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7AF49DE6"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b/>
                <w:bCs/>
                <w:sz w:val="20"/>
              </w:rPr>
            </w:pPr>
            <w:r>
              <w:rPr>
                <w:rFonts w:ascii="Times New Roman" w:hAnsi="Times New Roman"/>
                <w:b/>
                <w:bCs/>
                <w:sz w:val="20"/>
              </w:rPr>
              <w:t>11 355 697 </w:t>
            </w:r>
            <w:r w:rsidR="00885CDF" w:rsidRPr="00F771E1">
              <w:rPr>
                <w:rFonts w:ascii="Times New Roman" w:hAnsi="Times New Roman"/>
                <w:b/>
                <w:bCs/>
                <w:sz w:val="20"/>
              </w:rPr>
              <w:t>505</w:t>
            </w:r>
          </w:p>
        </w:tc>
      </w:tr>
      <w:tr w:rsidR="00885CDF" w:rsidRPr="00F771E1" w14:paraId="2E6A6358"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490DC6A0" w14:textId="77777777" w:rsidR="00885CDF" w:rsidRPr="00F771E1" w:rsidRDefault="00885CDF" w:rsidP="004369A2">
            <w:pPr>
              <w:ind w:left="142"/>
              <w:rPr>
                <w:b/>
                <w:sz w:val="20"/>
                <w:szCs w:val="20"/>
              </w:rPr>
            </w:pPr>
            <w:r w:rsidRPr="00F771E1">
              <w:rPr>
                <w:b/>
                <w:sz w:val="20"/>
                <w:szCs w:val="20"/>
              </w:rPr>
              <w:t>Gwarancje zagraniczne</w:t>
            </w:r>
          </w:p>
        </w:tc>
        <w:tc>
          <w:tcPr>
            <w:tcW w:w="2397" w:type="pct"/>
            <w:tcBorders>
              <w:top w:val="single" w:sz="6" w:space="0" w:color="auto"/>
              <w:left w:val="single" w:sz="6" w:space="0" w:color="auto"/>
              <w:bottom w:val="single" w:sz="6" w:space="0" w:color="auto"/>
              <w:right w:val="single" w:sz="12" w:space="0" w:color="auto"/>
            </w:tcBorders>
            <w:vAlign w:val="center"/>
          </w:tcPr>
          <w:p w14:paraId="3089B826" w14:textId="77777777" w:rsidR="00885CDF" w:rsidRPr="00F771E1" w:rsidRDefault="00885CDF" w:rsidP="004369A2">
            <w:pPr>
              <w:pStyle w:val="tabelaw"/>
              <w:tabs>
                <w:tab w:val="left" w:pos="840"/>
              </w:tabs>
              <w:spacing w:after="0" w:line="240" w:lineRule="auto"/>
              <w:ind w:right="-1" w:firstLine="539"/>
              <w:jc w:val="right"/>
              <w:rPr>
                <w:rFonts w:ascii="Times New Roman" w:hAnsi="Times New Roman"/>
                <w:sz w:val="20"/>
              </w:rPr>
            </w:pPr>
          </w:p>
        </w:tc>
      </w:tr>
      <w:tr w:rsidR="00885CDF" w:rsidRPr="00F771E1" w14:paraId="74945521"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42720321" w14:textId="77777777" w:rsidR="00885CDF" w:rsidRPr="00F771E1" w:rsidRDefault="00885CDF" w:rsidP="004369A2">
            <w:pPr>
              <w:ind w:left="142"/>
              <w:rPr>
                <w:sz w:val="18"/>
                <w:szCs w:val="18"/>
              </w:rPr>
            </w:pPr>
            <w:r w:rsidRPr="00F771E1">
              <w:rPr>
                <w:sz w:val="18"/>
                <w:szCs w:val="18"/>
              </w:rPr>
              <w:t xml:space="preserve">Bank Gospodarstwa Krajowego – </w:t>
            </w:r>
          </w:p>
          <w:p w14:paraId="2AEEF2DD" w14:textId="77777777" w:rsidR="00885CDF" w:rsidRPr="00F771E1" w:rsidRDefault="00885CDF" w:rsidP="004369A2">
            <w:pPr>
              <w:ind w:left="142"/>
              <w:rPr>
                <w:i/>
                <w:sz w:val="18"/>
                <w:szCs w:val="18"/>
              </w:rPr>
            </w:pPr>
            <w:r w:rsidRPr="00F771E1">
              <w:rPr>
                <w:i/>
                <w:sz w:val="18"/>
                <w:szCs w:val="18"/>
              </w:rPr>
              <w:t>w tym wsparcie KFD</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2BE7D503"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sz w:val="18"/>
                <w:szCs w:val="18"/>
              </w:rPr>
              <w:t>74 775 767 </w:t>
            </w:r>
            <w:r w:rsidR="00885CDF" w:rsidRPr="00F771E1">
              <w:rPr>
                <w:rFonts w:ascii="Times New Roman" w:hAnsi="Times New Roman"/>
                <w:sz w:val="18"/>
                <w:szCs w:val="18"/>
              </w:rPr>
              <w:t>557</w:t>
            </w:r>
          </w:p>
          <w:p w14:paraId="77E3ADED"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i/>
                <w:sz w:val="18"/>
                <w:szCs w:val="18"/>
              </w:rPr>
            </w:pPr>
            <w:r>
              <w:rPr>
                <w:rFonts w:ascii="Times New Roman" w:hAnsi="Times New Roman"/>
                <w:i/>
                <w:sz w:val="18"/>
                <w:szCs w:val="18"/>
              </w:rPr>
              <w:t>73 876 886 </w:t>
            </w:r>
            <w:r w:rsidR="00885CDF" w:rsidRPr="00F771E1">
              <w:rPr>
                <w:rFonts w:ascii="Times New Roman" w:hAnsi="Times New Roman"/>
                <w:i/>
                <w:sz w:val="18"/>
                <w:szCs w:val="18"/>
              </w:rPr>
              <w:t>254</w:t>
            </w:r>
          </w:p>
        </w:tc>
      </w:tr>
      <w:tr w:rsidR="00885CDF" w:rsidRPr="00F771E1" w14:paraId="7D7FC3BA"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7992D2E3" w14:textId="77777777" w:rsidR="00885CDF" w:rsidRPr="00F771E1" w:rsidRDefault="00885CDF" w:rsidP="004369A2">
            <w:pPr>
              <w:ind w:left="142"/>
              <w:rPr>
                <w:sz w:val="18"/>
                <w:szCs w:val="18"/>
              </w:rPr>
            </w:pPr>
            <w:r w:rsidRPr="00F771E1">
              <w:rPr>
                <w:sz w:val="18"/>
                <w:szCs w:val="18"/>
              </w:rPr>
              <w:t>PKP Polskie Linie Kolejowe S.A.</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10B15111"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sz w:val="18"/>
                <w:szCs w:val="18"/>
              </w:rPr>
              <w:t>10 682 836 </w:t>
            </w:r>
            <w:r w:rsidR="00885CDF" w:rsidRPr="00F771E1">
              <w:rPr>
                <w:rFonts w:ascii="Times New Roman" w:hAnsi="Times New Roman"/>
                <w:sz w:val="18"/>
                <w:szCs w:val="18"/>
              </w:rPr>
              <w:t>503</w:t>
            </w:r>
          </w:p>
        </w:tc>
      </w:tr>
      <w:tr w:rsidR="00885CDF" w:rsidRPr="00F771E1" w14:paraId="2209510F"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2984AC82" w14:textId="77777777" w:rsidR="00885CDF" w:rsidRPr="00F771E1" w:rsidRDefault="00885CDF" w:rsidP="004369A2">
            <w:pPr>
              <w:ind w:left="142"/>
              <w:rPr>
                <w:sz w:val="18"/>
                <w:szCs w:val="18"/>
              </w:rPr>
            </w:pPr>
            <w:r w:rsidRPr="00F771E1">
              <w:rPr>
                <w:sz w:val="18"/>
                <w:szCs w:val="18"/>
              </w:rPr>
              <w:t>Gdańsk Transport Company − gwarancja wypłat z KFD</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61DACD78"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sz w:val="18"/>
                <w:szCs w:val="18"/>
              </w:rPr>
              <w:t>7 082 177 </w:t>
            </w:r>
            <w:r w:rsidR="00885CDF" w:rsidRPr="00F771E1">
              <w:rPr>
                <w:rFonts w:ascii="Times New Roman" w:hAnsi="Times New Roman"/>
                <w:sz w:val="18"/>
                <w:szCs w:val="18"/>
              </w:rPr>
              <w:t>261</w:t>
            </w:r>
          </w:p>
        </w:tc>
      </w:tr>
      <w:tr w:rsidR="00885CDF" w:rsidRPr="00F771E1" w14:paraId="128E72DE"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5A776578" w14:textId="77777777" w:rsidR="00885CDF" w:rsidRPr="00F771E1" w:rsidRDefault="00885CDF" w:rsidP="004369A2">
            <w:pPr>
              <w:ind w:left="142"/>
              <w:rPr>
                <w:sz w:val="18"/>
                <w:szCs w:val="18"/>
              </w:rPr>
            </w:pPr>
            <w:r w:rsidRPr="00F771E1">
              <w:rPr>
                <w:sz w:val="18"/>
                <w:szCs w:val="18"/>
              </w:rPr>
              <w:t>Autostrada Wielkopolska S.A. II</w:t>
            </w:r>
            <w:r w:rsidR="00E31485">
              <w:rPr>
                <w:sz w:val="18"/>
                <w:szCs w:val="18"/>
              </w:rPr>
              <w:t xml:space="preserve">  </w:t>
            </w:r>
            <w:r w:rsidR="00E31485">
              <w:rPr>
                <w:bCs/>
              </w:rPr>
              <w:t>–</w:t>
            </w:r>
            <w:r w:rsidRPr="00F771E1">
              <w:rPr>
                <w:sz w:val="18"/>
                <w:szCs w:val="18"/>
              </w:rPr>
              <w:t>gwarancja wypłat z KFD</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317C8F33"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sz w:val="18"/>
                <w:szCs w:val="18"/>
              </w:rPr>
              <w:t>5 743 367 </w:t>
            </w:r>
            <w:r w:rsidR="00885CDF" w:rsidRPr="00F771E1">
              <w:rPr>
                <w:rFonts w:ascii="Times New Roman" w:hAnsi="Times New Roman"/>
                <w:sz w:val="18"/>
                <w:szCs w:val="18"/>
              </w:rPr>
              <w:t>288</w:t>
            </w:r>
          </w:p>
        </w:tc>
      </w:tr>
      <w:tr w:rsidR="00885CDF" w:rsidRPr="00F771E1" w14:paraId="15F72692"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7DD9723B" w14:textId="77777777" w:rsidR="00885CDF" w:rsidRPr="00F771E1" w:rsidRDefault="00885CDF" w:rsidP="004369A2">
            <w:pPr>
              <w:ind w:left="142"/>
              <w:rPr>
                <w:sz w:val="18"/>
                <w:szCs w:val="18"/>
              </w:rPr>
            </w:pPr>
            <w:r w:rsidRPr="00F771E1">
              <w:rPr>
                <w:sz w:val="18"/>
                <w:szCs w:val="18"/>
              </w:rPr>
              <w:t>PKP Intercity S.A.</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1A003B7F"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sz w:val="18"/>
                <w:szCs w:val="18"/>
                <w:lang w:val="de-DE"/>
              </w:rPr>
              <w:t>1 661 581 </w:t>
            </w:r>
            <w:r w:rsidR="00885CDF" w:rsidRPr="00F771E1">
              <w:rPr>
                <w:rFonts w:ascii="Times New Roman" w:hAnsi="Times New Roman"/>
                <w:sz w:val="18"/>
                <w:szCs w:val="18"/>
                <w:lang w:val="de-DE"/>
              </w:rPr>
              <w:t>164</w:t>
            </w:r>
          </w:p>
        </w:tc>
      </w:tr>
      <w:tr w:rsidR="00885CDF" w:rsidRPr="00F771E1" w14:paraId="2699CDB8"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458F61B1" w14:textId="77777777" w:rsidR="00885CDF" w:rsidRPr="00F771E1" w:rsidRDefault="00885CDF" w:rsidP="004369A2">
            <w:pPr>
              <w:ind w:left="142"/>
              <w:rPr>
                <w:b/>
                <w:sz w:val="18"/>
                <w:szCs w:val="18"/>
              </w:rPr>
            </w:pPr>
            <w:r w:rsidRPr="00F771E1">
              <w:rPr>
                <w:sz w:val="18"/>
                <w:szCs w:val="18"/>
              </w:rPr>
              <w:t>Polskie Koleje Państwowe S.A.</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28A3950D"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sz w:val="18"/>
                <w:szCs w:val="18"/>
              </w:rPr>
              <w:t>54 515 </w:t>
            </w:r>
            <w:r w:rsidR="00885CDF" w:rsidRPr="00F771E1">
              <w:rPr>
                <w:rFonts w:ascii="Times New Roman" w:hAnsi="Times New Roman"/>
                <w:sz w:val="18"/>
                <w:szCs w:val="18"/>
              </w:rPr>
              <w:t>076</w:t>
            </w:r>
          </w:p>
        </w:tc>
      </w:tr>
      <w:tr w:rsidR="00885CDF" w:rsidRPr="00F771E1" w14:paraId="6CC6393C"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tcPr>
          <w:p w14:paraId="7575D5F2" w14:textId="77777777" w:rsidR="00885CDF" w:rsidRPr="00F771E1" w:rsidRDefault="00885CDF" w:rsidP="004369A2">
            <w:pPr>
              <w:ind w:left="142"/>
              <w:rPr>
                <w:sz w:val="18"/>
                <w:szCs w:val="18"/>
              </w:rPr>
            </w:pPr>
            <w:r w:rsidRPr="00F771E1">
              <w:rPr>
                <w:sz w:val="18"/>
                <w:szCs w:val="18"/>
              </w:rPr>
              <w:t>Orange Polska S.A. (b. Telekomunikacja)</w:t>
            </w:r>
          </w:p>
        </w:tc>
        <w:tc>
          <w:tcPr>
            <w:tcW w:w="2397" w:type="pct"/>
            <w:tcBorders>
              <w:top w:val="single" w:sz="6" w:space="0" w:color="auto"/>
              <w:left w:val="single" w:sz="6" w:space="0" w:color="auto"/>
              <w:bottom w:val="single" w:sz="6" w:space="0" w:color="auto"/>
              <w:right w:val="single" w:sz="12" w:space="0" w:color="auto"/>
            </w:tcBorders>
            <w:vAlign w:val="center"/>
          </w:tcPr>
          <w:p w14:paraId="449D9768"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lang w:val="de-DE"/>
              </w:rPr>
            </w:pPr>
            <w:r>
              <w:rPr>
                <w:rFonts w:ascii="Times New Roman" w:hAnsi="Times New Roman"/>
                <w:sz w:val="18"/>
                <w:szCs w:val="18"/>
                <w:lang w:val="de-DE"/>
              </w:rPr>
              <w:t>8 634 </w:t>
            </w:r>
            <w:r w:rsidR="00885CDF" w:rsidRPr="00F771E1">
              <w:rPr>
                <w:rFonts w:ascii="Times New Roman" w:hAnsi="Times New Roman"/>
                <w:sz w:val="18"/>
                <w:szCs w:val="18"/>
                <w:lang w:val="de-DE"/>
              </w:rPr>
              <w:t>881</w:t>
            </w:r>
          </w:p>
        </w:tc>
      </w:tr>
      <w:tr w:rsidR="00885CDF" w:rsidRPr="00F771E1" w14:paraId="5842F967"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0B8EA571" w14:textId="77777777" w:rsidR="00885CDF" w:rsidRPr="00F771E1" w:rsidRDefault="00885CDF" w:rsidP="004369A2">
            <w:pPr>
              <w:ind w:left="142"/>
              <w:rPr>
                <w:sz w:val="18"/>
                <w:szCs w:val="18"/>
              </w:rPr>
            </w:pPr>
            <w:r w:rsidRPr="00F771E1">
              <w:rPr>
                <w:sz w:val="18"/>
                <w:szCs w:val="18"/>
              </w:rPr>
              <w:t>Pozostałe gwarancje </w:t>
            </w:r>
            <w:r w:rsidRPr="00F771E1">
              <w:rPr>
                <w:bCs/>
                <w:sz w:val="18"/>
                <w:szCs w:val="18"/>
              </w:rPr>
              <w:t>zagraniczne</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7A6D903A" w14:textId="77777777" w:rsidR="00885CDF" w:rsidRPr="00F771E1" w:rsidRDefault="00885CDF" w:rsidP="004369A2">
            <w:pPr>
              <w:pStyle w:val="tabelaw"/>
              <w:tabs>
                <w:tab w:val="left" w:pos="840"/>
              </w:tabs>
              <w:spacing w:after="0" w:line="240" w:lineRule="auto"/>
              <w:ind w:right="-1" w:firstLine="539"/>
              <w:jc w:val="right"/>
              <w:rPr>
                <w:rFonts w:ascii="Times New Roman" w:hAnsi="Times New Roman"/>
                <w:sz w:val="18"/>
                <w:szCs w:val="18"/>
                <w:lang w:val="de-DE"/>
              </w:rPr>
            </w:pPr>
            <w:r w:rsidRPr="00F771E1">
              <w:rPr>
                <w:rFonts w:ascii="Times New Roman" w:hAnsi="Times New Roman"/>
                <w:sz w:val="18"/>
                <w:szCs w:val="18"/>
              </w:rPr>
              <w:t>6</w:t>
            </w:r>
            <w:r w:rsidR="005F0A3B">
              <w:rPr>
                <w:rFonts w:ascii="Times New Roman" w:hAnsi="Times New Roman"/>
                <w:sz w:val="18"/>
                <w:szCs w:val="18"/>
              </w:rPr>
              <w:t> 743 </w:t>
            </w:r>
            <w:r w:rsidRPr="00F771E1">
              <w:rPr>
                <w:rFonts w:ascii="Times New Roman" w:hAnsi="Times New Roman"/>
                <w:sz w:val="18"/>
                <w:szCs w:val="18"/>
              </w:rPr>
              <w:t>232</w:t>
            </w:r>
          </w:p>
        </w:tc>
      </w:tr>
      <w:tr w:rsidR="00885CDF" w:rsidRPr="00F771E1" w14:paraId="3F6CE075" w14:textId="77777777" w:rsidTr="004369A2">
        <w:trPr>
          <w:trHeight w:val="292"/>
        </w:trPr>
        <w:tc>
          <w:tcPr>
            <w:tcW w:w="2603" w:type="pct"/>
            <w:tcBorders>
              <w:top w:val="single" w:sz="6" w:space="0" w:color="auto"/>
              <w:left w:val="single" w:sz="12" w:space="0" w:color="auto"/>
              <w:bottom w:val="single" w:sz="6" w:space="0" w:color="auto"/>
              <w:right w:val="single" w:sz="6" w:space="0" w:color="auto"/>
            </w:tcBorders>
            <w:vAlign w:val="center"/>
            <w:hideMark/>
          </w:tcPr>
          <w:p w14:paraId="1C66D9D5" w14:textId="77777777" w:rsidR="00885CDF" w:rsidRPr="00F771E1" w:rsidRDefault="00885CDF" w:rsidP="004369A2">
            <w:pPr>
              <w:ind w:left="142"/>
              <w:rPr>
                <w:b/>
                <w:sz w:val="20"/>
                <w:szCs w:val="20"/>
              </w:rPr>
            </w:pPr>
            <w:r w:rsidRPr="00F771E1">
              <w:rPr>
                <w:b/>
                <w:sz w:val="20"/>
                <w:szCs w:val="20"/>
              </w:rPr>
              <w:t>Ogółem gwarancje zagraniczne</w:t>
            </w:r>
          </w:p>
        </w:tc>
        <w:tc>
          <w:tcPr>
            <w:tcW w:w="2397" w:type="pct"/>
            <w:tcBorders>
              <w:top w:val="single" w:sz="6" w:space="0" w:color="auto"/>
              <w:left w:val="single" w:sz="6" w:space="0" w:color="auto"/>
              <w:bottom w:val="single" w:sz="6" w:space="0" w:color="auto"/>
              <w:right w:val="single" w:sz="12" w:space="0" w:color="auto"/>
            </w:tcBorders>
            <w:vAlign w:val="center"/>
            <w:hideMark/>
          </w:tcPr>
          <w:p w14:paraId="30BF8C0F"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b/>
                <w:bCs/>
                <w:sz w:val="20"/>
              </w:rPr>
              <w:t>100 015 622 </w:t>
            </w:r>
            <w:r w:rsidR="00885CDF" w:rsidRPr="00F771E1">
              <w:rPr>
                <w:rFonts w:ascii="Times New Roman" w:hAnsi="Times New Roman"/>
                <w:b/>
                <w:bCs/>
                <w:sz w:val="20"/>
              </w:rPr>
              <w:t>962</w:t>
            </w:r>
          </w:p>
        </w:tc>
      </w:tr>
      <w:tr w:rsidR="00885CDF" w:rsidRPr="00F771E1" w14:paraId="420EBDAD" w14:textId="77777777" w:rsidTr="004369A2">
        <w:trPr>
          <w:trHeight w:val="292"/>
        </w:trPr>
        <w:tc>
          <w:tcPr>
            <w:tcW w:w="2603" w:type="pct"/>
            <w:tcBorders>
              <w:top w:val="single" w:sz="6" w:space="0" w:color="auto"/>
              <w:left w:val="single" w:sz="12" w:space="0" w:color="auto"/>
              <w:bottom w:val="single" w:sz="12" w:space="0" w:color="auto"/>
              <w:right w:val="single" w:sz="6" w:space="0" w:color="auto"/>
            </w:tcBorders>
            <w:vAlign w:val="center"/>
            <w:hideMark/>
          </w:tcPr>
          <w:p w14:paraId="4EEBCD82" w14:textId="77777777" w:rsidR="00885CDF" w:rsidRPr="00F771E1" w:rsidRDefault="00885CDF" w:rsidP="004369A2">
            <w:pPr>
              <w:ind w:left="142"/>
              <w:rPr>
                <w:b/>
                <w:sz w:val="20"/>
                <w:szCs w:val="20"/>
              </w:rPr>
            </w:pPr>
            <w:r w:rsidRPr="00F771E1">
              <w:rPr>
                <w:b/>
                <w:sz w:val="20"/>
                <w:szCs w:val="20"/>
              </w:rPr>
              <w:t>Ogółem potencjalne zobowiązania</w:t>
            </w:r>
          </w:p>
        </w:tc>
        <w:tc>
          <w:tcPr>
            <w:tcW w:w="2397" w:type="pct"/>
            <w:tcBorders>
              <w:top w:val="single" w:sz="6" w:space="0" w:color="auto"/>
              <w:left w:val="single" w:sz="6" w:space="0" w:color="auto"/>
              <w:bottom w:val="single" w:sz="12" w:space="0" w:color="auto"/>
              <w:right w:val="single" w:sz="12" w:space="0" w:color="auto"/>
            </w:tcBorders>
            <w:vAlign w:val="center"/>
            <w:hideMark/>
          </w:tcPr>
          <w:p w14:paraId="4737C85F" w14:textId="77777777" w:rsidR="00885CDF" w:rsidRPr="00F771E1" w:rsidRDefault="005F0A3B" w:rsidP="004369A2">
            <w:pPr>
              <w:pStyle w:val="tabelaw"/>
              <w:tabs>
                <w:tab w:val="left" w:pos="840"/>
              </w:tabs>
              <w:spacing w:after="0" w:line="240" w:lineRule="auto"/>
              <w:ind w:right="-1" w:firstLine="539"/>
              <w:jc w:val="right"/>
              <w:rPr>
                <w:rFonts w:ascii="Times New Roman" w:hAnsi="Times New Roman"/>
                <w:sz w:val="18"/>
                <w:szCs w:val="18"/>
              </w:rPr>
            </w:pPr>
            <w:r>
              <w:rPr>
                <w:rFonts w:ascii="Times New Roman" w:hAnsi="Times New Roman"/>
                <w:b/>
                <w:bCs/>
                <w:sz w:val="20"/>
              </w:rPr>
              <w:t>111 371 320 </w:t>
            </w:r>
            <w:r w:rsidR="00885CDF" w:rsidRPr="00F771E1">
              <w:rPr>
                <w:rFonts w:ascii="Times New Roman" w:hAnsi="Times New Roman"/>
                <w:b/>
                <w:bCs/>
                <w:sz w:val="20"/>
              </w:rPr>
              <w:t>467</w:t>
            </w:r>
          </w:p>
        </w:tc>
      </w:tr>
    </w:tbl>
    <w:p w14:paraId="4A8F7588" w14:textId="77777777" w:rsidR="00885CDF" w:rsidRPr="00F771E1" w:rsidRDefault="00885CDF" w:rsidP="00885CDF">
      <w:pPr>
        <w:pStyle w:val="akapit"/>
        <w:tabs>
          <w:tab w:val="left" w:pos="960"/>
        </w:tabs>
        <w:spacing w:line="240" w:lineRule="auto"/>
        <w:ind w:firstLine="0"/>
        <w:rPr>
          <w:rFonts w:ascii="Times New Roman" w:hAnsi="Times New Roman"/>
          <w:bCs/>
          <w:sz w:val="20"/>
          <w:szCs w:val="20"/>
        </w:rPr>
      </w:pPr>
      <w:r w:rsidRPr="00F771E1">
        <w:rPr>
          <w:rFonts w:ascii="Times New Roman" w:hAnsi="Times New Roman"/>
          <w:b/>
          <w:bCs/>
          <w:sz w:val="20"/>
          <w:szCs w:val="20"/>
        </w:rPr>
        <w:t>*</w:t>
      </w:r>
      <w:r w:rsidRPr="00F771E1">
        <w:rPr>
          <w:rFonts w:ascii="Times New Roman" w:hAnsi="Times New Roman"/>
          <w:bCs/>
          <w:sz w:val="20"/>
          <w:szCs w:val="20"/>
        </w:rPr>
        <w:t>Kwoty zobowiązań wyrażonych w walutach obcych zostały przeliczone wg Tabeli Kursów Średnich NBP Nr 251/A/NBP/2019 z dnia 31.12.2019 r.</w:t>
      </w:r>
    </w:p>
    <w:p w14:paraId="7C9CBA85" w14:textId="77777777" w:rsidR="00A34AA2" w:rsidRPr="00F771E1" w:rsidRDefault="00A34AA2" w:rsidP="00297FF6">
      <w:pPr>
        <w:pStyle w:val="akapit"/>
        <w:tabs>
          <w:tab w:val="left" w:pos="960"/>
        </w:tabs>
        <w:spacing w:before="120" w:after="0" w:line="240" w:lineRule="auto"/>
        <w:ind w:firstLine="567"/>
        <w:rPr>
          <w:rFonts w:ascii="Times New Roman" w:hAnsi="Times New Roman"/>
          <w:sz w:val="24"/>
        </w:rPr>
      </w:pPr>
      <w:r w:rsidRPr="00F771E1">
        <w:rPr>
          <w:rFonts w:ascii="Times New Roman" w:hAnsi="Times New Roman"/>
          <w:sz w:val="24"/>
        </w:rPr>
        <w:t>W procesie oceny ryzyka dokonuje się kwalifikacji potencjalnych zobowiązań Skarbu Państwa do pięciu kategorii:</w:t>
      </w:r>
    </w:p>
    <w:p w14:paraId="23AC7189" w14:textId="77777777" w:rsidR="00A34AA2" w:rsidRPr="00F771E1" w:rsidRDefault="00A34AA2" w:rsidP="00A34AA2">
      <w:pPr>
        <w:pStyle w:val="pktlitcyfw0"/>
        <w:numPr>
          <w:ilvl w:val="0"/>
          <w:numId w:val="30"/>
        </w:numPr>
        <w:tabs>
          <w:tab w:val="left" w:pos="851"/>
        </w:tabs>
        <w:spacing w:after="0" w:line="240" w:lineRule="auto"/>
        <w:ind w:left="851" w:right="-1" w:hanging="284"/>
        <w:rPr>
          <w:rFonts w:ascii="Times New Roman" w:hAnsi="Times New Roman"/>
          <w:sz w:val="24"/>
          <w:szCs w:val="24"/>
        </w:rPr>
      </w:pPr>
      <w:r w:rsidRPr="00F771E1">
        <w:rPr>
          <w:rFonts w:ascii="Times New Roman" w:hAnsi="Times New Roman"/>
          <w:sz w:val="24"/>
          <w:szCs w:val="24"/>
        </w:rPr>
        <w:t>zobowiązania o niskim ryzyku ich</w:t>
      </w:r>
      <w:r w:rsidR="00C60A67">
        <w:rPr>
          <w:rFonts w:ascii="Times New Roman" w:hAnsi="Times New Roman"/>
          <w:sz w:val="24"/>
          <w:szCs w:val="24"/>
        </w:rPr>
        <w:t xml:space="preserve"> spłaty ze środków budżetowych </w:t>
      </w:r>
      <w:r w:rsidRPr="00F771E1">
        <w:rPr>
          <w:rFonts w:ascii="Times New Roman" w:hAnsi="Times New Roman"/>
          <w:sz w:val="24"/>
          <w:szCs w:val="24"/>
        </w:rPr>
        <w:t>(</w:t>
      </w:r>
      <w:proofErr w:type="spellStart"/>
      <w:r w:rsidRPr="00F771E1">
        <w:rPr>
          <w:rFonts w:ascii="Times New Roman" w:hAnsi="Times New Roman"/>
          <w:sz w:val="24"/>
          <w:szCs w:val="24"/>
        </w:rPr>
        <w:t>wsp</w:t>
      </w:r>
      <w:proofErr w:type="spellEnd"/>
      <w:r w:rsidRPr="00F771E1">
        <w:rPr>
          <w:rFonts w:ascii="Times New Roman" w:hAnsi="Times New Roman"/>
          <w:sz w:val="24"/>
          <w:szCs w:val="24"/>
        </w:rPr>
        <w:t>.</w:t>
      </w:r>
      <w:r w:rsidR="00C60A67">
        <w:rPr>
          <w:rFonts w:ascii="Times New Roman" w:hAnsi="Times New Roman"/>
          <w:sz w:val="24"/>
          <w:szCs w:val="24"/>
        </w:rPr>
        <w:t> </w:t>
      </w:r>
      <w:r w:rsidR="00F70A7C">
        <w:rPr>
          <w:rFonts w:ascii="Times New Roman" w:hAnsi="Times New Roman"/>
          <w:sz w:val="24"/>
          <w:szCs w:val="24"/>
        </w:rPr>
        <w:t>r</w:t>
      </w:r>
      <w:r w:rsidRPr="00F771E1">
        <w:rPr>
          <w:rFonts w:ascii="Times New Roman" w:hAnsi="Times New Roman"/>
          <w:sz w:val="24"/>
          <w:szCs w:val="24"/>
        </w:rPr>
        <w:t>yzyka</w:t>
      </w:r>
      <w:r w:rsidR="00C60A67">
        <w:rPr>
          <w:rFonts w:ascii="Times New Roman" w:hAnsi="Times New Roman"/>
          <w:sz w:val="24"/>
          <w:szCs w:val="24"/>
        </w:rPr>
        <w:t> </w:t>
      </w:r>
      <w:r w:rsidRPr="00F771E1">
        <w:rPr>
          <w:rFonts w:ascii="Times New Roman" w:hAnsi="Times New Roman"/>
          <w:sz w:val="24"/>
          <w:szCs w:val="24"/>
        </w:rPr>
        <w:t>od 0% do 30%),</w:t>
      </w:r>
    </w:p>
    <w:p w14:paraId="298C59EE" w14:textId="77777777" w:rsidR="00A34AA2" w:rsidRPr="00F771E1" w:rsidRDefault="00A34AA2" w:rsidP="00A34AA2">
      <w:pPr>
        <w:pStyle w:val="pktlitcyfw0"/>
        <w:numPr>
          <w:ilvl w:val="0"/>
          <w:numId w:val="30"/>
        </w:numPr>
        <w:tabs>
          <w:tab w:val="left" w:pos="851"/>
        </w:tabs>
        <w:spacing w:after="0" w:line="240" w:lineRule="auto"/>
        <w:ind w:left="851" w:right="-1" w:hanging="284"/>
        <w:rPr>
          <w:rFonts w:ascii="Times New Roman" w:hAnsi="Times New Roman"/>
          <w:sz w:val="24"/>
          <w:szCs w:val="24"/>
        </w:rPr>
      </w:pPr>
      <w:r w:rsidRPr="00F771E1">
        <w:rPr>
          <w:rFonts w:ascii="Times New Roman" w:hAnsi="Times New Roman"/>
          <w:sz w:val="24"/>
          <w:szCs w:val="24"/>
        </w:rPr>
        <w:t>zobowiązania o średnim ryzyku ich</w:t>
      </w:r>
      <w:r w:rsidR="00C60A67">
        <w:rPr>
          <w:rFonts w:ascii="Times New Roman" w:hAnsi="Times New Roman"/>
          <w:sz w:val="24"/>
          <w:szCs w:val="24"/>
        </w:rPr>
        <w:t xml:space="preserve"> spłaty ze środków budżetowych </w:t>
      </w:r>
      <w:r w:rsidRPr="00F771E1">
        <w:rPr>
          <w:rFonts w:ascii="Times New Roman" w:hAnsi="Times New Roman"/>
          <w:sz w:val="24"/>
          <w:szCs w:val="24"/>
        </w:rPr>
        <w:t>(</w:t>
      </w:r>
      <w:proofErr w:type="spellStart"/>
      <w:r w:rsidRPr="00F771E1">
        <w:rPr>
          <w:rFonts w:ascii="Times New Roman" w:hAnsi="Times New Roman"/>
          <w:sz w:val="24"/>
          <w:szCs w:val="24"/>
        </w:rPr>
        <w:t>wsp</w:t>
      </w:r>
      <w:proofErr w:type="spellEnd"/>
      <w:r w:rsidRPr="00F771E1">
        <w:rPr>
          <w:rFonts w:ascii="Times New Roman" w:hAnsi="Times New Roman"/>
          <w:sz w:val="24"/>
          <w:szCs w:val="24"/>
        </w:rPr>
        <w:t>.</w:t>
      </w:r>
      <w:r w:rsidR="00C60A67">
        <w:rPr>
          <w:rFonts w:ascii="Times New Roman" w:hAnsi="Times New Roman"/>
          <w:sz w:val="24"/>
          <w:szCs w:val="24"/>
        </w:rPr>
        <w:t> </w:t>
      </w:r>
      <w:r w:rsidRPr="00F771E1">
        <w:rPr>
          <w:rFonts w:ascii="Times New Roman" w:hAnsi="Times New Roman"/>
          <w:sz w:val="24"/>
          <w:szCs w:val="24"/>
        </w:rPr>
        <w:t>ryzyka powyżej 30%, do 50%),</w:t>
      </w:r>
    </w:p>
    <w:p w14:paraId="0862CC0B" w14:textId="77777777" w:rsidR="00A34AA2" w:rsidRPr="00F771E1" w:rsidRDefault="00A34AA2" w:rsidP="00A34AA2">
      <w:pPr>
        <w:pStyle w:val="pktlitcyfw0"/>
        <w:numPr>
          <w:ilvl w:val="0"/>
          <w:numId w:val="30"/>
        </w:numPr>
        <w:tabs>
          <w:tab w:val="left" w:pos="851"/>
        </w:tabs>
        <w:spacing w:after="0" w:line="240" w:lineRule="auto"/>
        <w:ind w:left="851" w:right="-1" w:hanging="284"/>
        <w:rPr>
          <w:rFonts w:ascii="Times New Roman" w:hAnsi="Times New Roman"/>
          <w:sz w:val="24"/>
          <w:szCs w:val="24"/>
        </w:rPr>
      </w:pPr>
      <w:r w:rsidRPr="00F771E1">
        <w:rPr>
          <w:rFonts w:ascii="Times New Roman" w:hAnsi="Times New Roman"/>
          <w:sz w:val="24"/>
          <w:szCs w:val="24"/>
        </w:rPr>
        <w:t>zobowiązania o podwyższonym ryzyku ich spłaty ze środków budżetowych (</w:t>
      </w:r>
      <w:proofErr w:type="spellStart"/>
      <w:r w:rsidRPr="00F771E1">
        <w:rPr>
          <w:rFonts w:ascii="Times New Roman" w:hAnsi="Times New Roman"/>
          <w:sz w:val="24"/>
          <w:szCs w:val="24"/>
        </w:rPr>
        <w:t>wsp</w:t>
      </w:r>
      <w:proofErr w:type="spellEnd"/>
      <w:r w:rsidRPr="00F771E1">
        <w:rPr>
          <w:rFonts w:ascii="Times New Roman" w:hAnsi="Times New Roman"/>
          <w:sz w:val="24"/>
          <w:szCs w:val="24"/>
        </w:rPr>
        <w:t>. ryzyka powyżej 50%, do 80%),</w:t>
      </w:r>
    </w:p>
    <w:p w14:paraId="513A6789" w14:textId="77777777" w:rsidR="00A34AA2" w:rsidRPr="00F771E1" w:rsidRDefault="00A34AA2" w:rsidP="00A34AA2">
      <w:pPr>
        <w:pStyle w:val="pktlitcyfw0"/>
        <w:numPr>
          <w:ilvl w:val="0"/>
          <w:numId w:val="30"/>
        </w:numPr>
        <w:tabs>
          <w:tab w:val="left" w:pos="851"/>
        </w:tabs>
        <w:spacing w:after="0" w:line="240" w:lineRule="auto"/>
        <w:ind w:left="851" w:right="-1" w:hanging="284"/>
        <w:rPr>
          <w:rFonts w:ascii="Times New Roman" w:hAnsi="Times New Roman"/>
          <w:sz w:val="24"/>
          <w:szCs w:val="24"/>
        </w:rPr>
      </w:pPr>
      <w:r w:rsidRPr="00F771E1">
        <w:rPr>
          <w:rFonts w:ascii="Times New Roman" w:hAnsi="Times New Roman"/>
          <w:sz w:val="24"/>
          <w:szCs w:val="24"/>
        </w:rPr>
        <w:t>zobowiązania o wysokim ryzyku ich</w:t>
      </w:r>
      <w:r w:rsidR="00C60A67">
        <w:rPr>
          <w:rFonts w:ascii="Times New Roman" w:hAnsi="Times New Roman"/>
          <w:sz w:val="24"/>
          <w:szCs w:val="24"/>
        </w:rPr>
        <w:t xml:space="preserve"> spłaty ze środków budżetowych </w:t>
      </w:r>
      <w:r w:rsidRPr="00F771E1">
        <w:rPr>
          <w:rFonts w:ascii="Times New Roman" w:hAnsi="Times New Roman"/>
          <w:sz w:val="24"/>
          <w:szCs w:val="24"/>
        </w:rPr>
        <w:t>(</w:t>
      </w:r>
      <w:proofErr w:type="spellStart"/>
      <w:r w:rsidRPr="00F771E1">
        <w:rPr>
          <w:rFonts w:ascii="Times New Roman" w:hAnsi="Times New Roman"/>
          <w:sz w:val="24"/>
          <w:szCs w:val="24"/>
        </w:rPr>
        <w:t>wsp</w:t>
      </w:r>
      <w:proofErr w:type="spellEnd"/>
      <w:r w:rsidRPr="00F771E1">
        <w:rPr>
          <w:rFonts w:ascii="Times New Roman" w:hAnsi="Times New Roman"/>
          <w:sz w:val="24"/>
          <w:szCs w:val="24"/>
        </w:rPr>
        <w:t>.</w:t>
      </w:r>
      <w:r w:rsidR="00C60A67">
        <w:rPr>
          <w:rFonts w:ascii="Times New Roman" w:hAnsi="Times New Roman"/>
          <w:sz w:val="24"/>
          <w:szCs w:val="24"/>
        </w:rPr>
        <w:t> </w:t>
      </w:r>
      <w:r w:rsidRPr="00F771E1">
        <w:rPr>
          <w:rFonts w:ascii="Times New Roman" w:hAnsi="Times New Roman"/>
          <w:sz w:val="24"/>
          <w:szCs w:val="24"/>
        </w:rPr>
        <w:t>ryzyka powyżej 80%, mniej niż 100%),</w:t>
      </w:r>
    </w:p>
    <w:p w14:paraId="48A2CCAF" w14:textId="77777777" w:rsidR="00A34AA2" w:rsidRPr="00F771E1" w:rsidRDefault="00A34AA2" w:rsidP="00A34AA2">
      <w:pPr>
        <w:pStyle w:val="pktlitcyfw0"/>
        <w:numPr>
          <w:ilvl w:val="0"/>
          <w:numId w:val="30"/>
        </w:numPr>
        <w:tabs>
          <w:tab w:val="left" w:pos="851"/>
        </w:tabs>
        <w:spacing w:after="0" w:line="240" w:lineRule="auto"/>
        <w:ind w:left="851" w:right="-1" w:hanging="284"/>
        <w:rPr>
          <w:rFonts w:ascii="Times New Roman" w:hAnsi="Times New Roman"/>
          <w:sz w:val="24"/>
          <w:szCs w:val="24"/>
        </w:rPr>
      </w:pPr>
      <w:r w:rsidRPr="00F771E1">
        <w:rPr>
          <w:rFonts w:ascii="Times New Roman" w:hAnsi="Times New Roman"/>
          <w:sz w:val="24"/>
          <w:szCs w:val="24"/>
        </w:rPr>
        <w:t>zobowiązania spłacane przez Skarb Państwa (</w:t>
      </w:r>
      <w:proofErr w:type="spellStart"/>
      <w:r w:rsidRPr="00F771E1">
        <w:rPr>
          <w:rFonts w:ascii="Times New Roman" w:hAnsi="Times New Roman"/>
          <w:sz w:val="24"/>
          <w:szCs w:val="24"/>
        </w:rPr>
        <w:t>wsp</w:t>
      </w:r>
      <w:proofErr w:type="spellEnd"/>
      <w:r w:rsidRPr="00F771E1">
        <w:rPr>
          <w:rFonts w:ascii="Times New Roman" w:hAnsi="Times New Roman"/>
          <w:sz w:val="24"/>
          <w:szCs w:val="24"/>
        </w:rPr>
        <w:t>. ryzyka =100%).</w:t>
      </w:r>
    </w:p>
    <w:p w14:paraId="28932E37" w14:textId="77777777" w:rsidR="00E74726" w:rsidRPr="00F771E1" w:rsidRDefault="00EC2FBC" w:rsidP="0072007F">
      <w:pPr>
        <w:pStyle w:val="tabela"/>
        <w:tabs>
          <w:tab w:val="left" w:pos="960"/>
        </w:tabs>
        <w:spacing w:before="120" w:after="120" w:line="240" w:lineRule="auto"/>
        <w:ind w:right="-1" w:firstLine="567"/>
        <w:jc w:val="both"/>
        <w:rPr>
          <w:rFonts w:ascii="Times New Roman" w:hAnsi="Times New Roman"/>
          <w:sz w:val="24"/>
          <w:szCs w:val="24"/>
        </w:rPr>
      </w:pPr>
      <w:r w:rsidRPr="00F771E1">
        <w:rPr>
          <w:rFonts w:ascii="Times New Roman" w:hAnsi="Times New Roman"/>
          <w:sz w:val="24"/>
          <w:szCs w:val="24"/>
        </w:rPr>
        <w:t xml:space="preserve">Struktura potencjalnych zobowiązań Skarbu Państwa według podziału ryzyka prezentuje się następująco: </w:t>
      </w:r>
    </w:p>
    <w:tbl>
      <w:tblPr>
        <w:tblW w:w="85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72"/>
        <w:gridCol w:w="1702"/>
        <w:gridCol w:w="1702"/>
        <w:gridCol w:w="1702"/>
        <w:gridCol w:w="1702"/>
      </w:tblGrid>
      <w:tr w:rsidR="00334B88" w:rsidRPr="00F771E1" w14:paraId="221883B6" w14:textId="77777777" w:rsidTr="001F18ED">
        <w:trPr>
          <w:cantSplit/>
          <w:trHeight w:val="416"/>
        </w:trPr>
        <w:tc>
          <w:tcPr>
            <w:tcW w:w="1772" w:type="dxa"/>
            <w:tcBorders>
              <w:top w:val="single" w:sz="12" w:space="0" w:color="auto"/>
              <w:left w:val="single" w:sz="12" w:space="0" w:color="auto"/>
              <w:bottom w:val="single" w:sz="6" w:space="0" w:color="auto"/>
              <w:right w:val="single" w:sz="6" w:space="0" w:color="auto"/>
            </w:tcBorders>
            <w:hideMark/>
          </w:tcPr>
          <w:p w14:paraId="3160C940" w14:textId="77777777" w:rsidR="00334B88" w:rsidRPr="00F771E1" w:rsidRDefault="00334B88">
            <w:pPr>
              <w:ind w:right="-1"/>
              <w:jc w:val="center"/>
              <w:rPr>
                <w:b/>
                <w:sz w:val="20"/>
                <w:szCs w:val="20"/>
              </w:rPr>
            </w:pPr>
            <w:r w:rsidRPr="00F771E1">
              <w:rPr>
                <w:b/>
                <w:sz w:val="20"/>
                <w:szCs w:val="20"/>
              </w:rPr>
              <w:t xml:space="preserve">Kategoria </w:t>
            </w:r>
            <w:r w:rsidRPr="00F771E1">
              <w:rPr>
                <w:b/>
                <w:sz w:val="20"/>
                <w:szCs w:val="20"/>
              </w:rPr>
              <w:br/>
              <w:t>ryzyka</w:t>
            </w:r>
          </w:p>
        </w:tc>
        <w:tc>
          <w:tcPr>
            <w:tcW w:w="3404" w:type="dxa"/>
            <w:gridSpan w:val="2"/>
            <w:tcBorders>
              <w:top w:val="single" w:sz="12" w:space="0" w:color="auto"/>
              <w:left w:val="single" w:sz="6" w:space="0" w:color="auto"/>
              <w:bottom w:val="single" w:sz="6" w:space="0" w:color="auto"/>
              <w:right w:val="single" w:sz="6" w:space="0" w:color="auto"/>
            </w:tcBorders>
            <w:hideMark/>
          </w:tcPr>
          <w:p w14:paraId="69156AD9" w14:textId="77777777" w:rsidR="00334B88" w:rsidRPr="00F771E1" w:rsidRDefault="00334B88">
            <w:pPr>
              <w:ind w:right="-1"/>
              <w:jc w:val="center"/>
              <w:rPr>
                <w:b/>
                <w:sz w:val="20"/>
                <w:szCs w:val="20"/>
              </w:rPr>
            </w:pPr>
            <w:r w:rsidRPr="00F771E1">
              <w:rPr>
                <w:b/>
                <w:sz w:val="20"/>
                <w:szCs w:val="20"/>
              </w:rPr>
              <w:t xml:space="preserve">Kwota potencjalnych zobowiązań </w:t>
            </w:r>
          </w:p>
          <w:p w14:paraId="75B0F56C" w14:textId="77777777" w:rsidR="00334B88" w:rsidRPr="00F771E1" w:rsidRDefault="00334B88">
            <w:pPr>
              <w:ind w:right="-1"/>
              <w:jc w:val="center"/>
              <w:rPr>
                <w:b/>
                <w:sz w:val="20"/>
                <w:szCs w:val="20"/>
              </w:rPr>
            </w:pPr>
            <w:r w:rsidRPr="00F771E1">
              <w:rPr>
                <w:b/>
                <w:sz w:val="20"/>
                <w:szCs w:val="20"/>
              </w:rPr>
              <w:t>w zł</w:t>
            </w:r>
          </w:p>
        </w:tc>
        <w:tc>
          <w:tcPr>
            <w:tcW w:w="3404" w:type="dxa"/>
            <w:gridSpan w:val="2"/>
            <w:tcBorders>
              <w:top w:val="single" w:sz="12" w:space="0" w:color="auto"/>
              <w:left w:val="single" w:sz="6" w:space="0" w:color="auto"/>
              <w:bottom w:val="single" w:sz="6" w:space="0" w:color="auto"/>
              <w:right w:val="single" w:sz="12" w:space="0" w:color="auto"/>
            </w:tcBorders>
            <w:hideMark/>
          </w:tcPr>
          <w:p w14:paraId="20C43456" w14:textId="77777777" w:rsidR="00334B88" w:rsidRPr="00F771E1" w:rsidRDefault="00334B88">
            <w:pPr>
              <w:ind w:right="-1"/>
              <w:jc w:val="center"/>
              <w:rPr>
                <w:b/>
                <w:sz w:val="20"/>
                <w:szCs w:val="20"/>
              </w:rPr>
            </w:pPr>
            <w:r w:rsidRPr="00F771E1">
              <w:rPr>
                <w:b/>
                <w:sz w:val="20"/>
                <w:szCs w:val="20"/>
              </w:rPr>
              <w:t>Udział w sumie potencjalnych zobowiązań</w:t>
            </w:r>
          </w:p>
        </w:tc>
      </w:tr>
      <w:tr w:rsidR="00A34AA2" w:rsidRPr="00F771E1" w14:paraId="7741769E" w14:textId="77777777" w:rsidTr="001F18ED">
        <w:trPr>
          <w:trHeight w:val="209"/>
        </w:trPr>
        <w:tc>
          <w:tcPr>
            <w:tcW w:w="1772" w:type="dxa"/>
            <w:tcBorders>
              <w:top w:val="single" w:sz="6" w:space="0" w:color="auto"/>
              <w:left w:val="single" w:sz="12" w:space="0" w:color="auto"/>
              <w:bottom w:val="single" w:sz="6" w:space="0" w:color="auto"/>
              <w:right w:val="single" w:sz="6" w:space="0" w:color="auto"/>
            </w:tcBorders>
          </w:tcPr>
          <w:p w14:paraId="2181A700" w14:textId="77777777" w:rsidR="00A34AA2" w:rsidRPr="00F771E1" w:rsidRDefault="00A34AA2" w:rsidP="00A34AA2">
            <w:pPr>
              <w:ind w:right="-1"/>
              <w:jc w:val="center"/>
              <w:rPr>
                <w:b/>
                <w:sz w:val="20"/>
                <w:szCs w:val="20"/>
              </w:rPr>
            </w:pPr>
          </w:p>
        </w:tc>
        <w:tc>
          <w:tcPr>
            <w:tcW w:w="1702" w:type="dxa"/>
            <w:tcBorders>
              <w:top w:val="single" w:sz="6" w:space="0" w:color="auto"/>
              <w:left w:val="single" w:sz="6" w:space="0" w:color="auto"/>
              <w:bottom w:val="single" w:sz="6" w:space="0" w:color="auto"/>
              <w:right w:val="single" w:sz="6" w:space="0" w:color="auto"/>
            </w:tcBorders>
            <w:hideMark/>
          </w:tcPr>
          <w:p w14:paraId="05F0623A" w14:textId="77777777" w:rsidR="00A34AA2" w:rsidRPr="00F771E1" w:rsidRDefault="00A34AA2" w:rsidP="00A34AA2">
            <w:pPr>
              <w:ind w:right="-1"/>
              <w:jc w:val="center"/>
              <w:rPr>
                <w:b/>
                <w:sz w:val="20"/>
                <w:szCs w:val="20"/>
              </w:rPr>
            </w:pPr>
            <w:r w:rsidRPr="00F771E1">
              <w:rPr>
                <w:b/>
                <w:sz w:val="20"/>
                <w:szCs w:val="20"/>
              </w:rPr>
              <w:t>31.12.2018</w:t>
            </w:r>
          </w:p>
        </w:tc>
        <w:tc>
          <w:tcPr>
            <w:tcW w:w="1702" w:type="dxa"/>
            <w:tcBorders>
              <w:top w:val="single" w:sz="6" w:space="0" w:color="auto"/>
              <w:left w:val="single" w:sz="6" w:space="0" w:color="auto"/>
              <w:bottom w:val="single" w:sz="6" w:space="0" w:color="auto"/>
              <w:right w:val="single" w:sz="6" w:space="0" w:color="auto"/>
            </w:tcBorders>
            <w:hideMark/>
          </w:tcPr>
          <w:p w14:paraId="71F4F986" w14:textId="77777777" w:rsidR="00A34AA2" w:rsidRPr="00F771E1" w:rsidRDefault="00A34AA2" w:rsidP="00A34AA2">
            <w:pPr>
              <w:ind w:right="-1"/>
              <w:jc w:val="center"/>
              <w:rPr>
                <w:b/>
                <w:sz w:val="20"/>
                <w:szCs w:val="20"/>
              </w:rPr>
            </w:pPr>
            <w:r w:rsidRPr="00F771E1">
              <w:rPr>
                <w:b/>
                <w:sz w:val="20"/>
                <w:szCs w:val="20"/>
              </w:rPr>
              <w:t>31.12.2019</w:t>
            </w:r>
          </w:p>
        </w:tc>
        <w:tc>
          <w:tcPr>
            <w:tcW w:w="1702" w:type="dxa"/>
            <w:tcBorders>
              <w:top w:val="single" w:sz="6" w:space="0" w:color="auto"/>
              <w:left w:val="single" w:sz="6" w:space="0" w:color="auto"/>
              <w:bottom w:val="single" w:sz="6" w:space="0" w:color="auto"/>
              <w:right w:val="single" w:sz="6" w:space="0" w:color="auto"/>
            </w:tcBorders>
            <w:vAlign w:val="center"/>
            <w:hideMark/>
          </w:tcPr>
          <w:p w14:paraId="5E157B32" w14:textId="77777777" w:rsidR="00A34AA2" w:rsidRPr="00F771E1" w:rsidRDefault="00A34AA2" w:rsidP="00A34AA2">
            <w:pPr>
              <w:ind w:right="-1"/>
              <w:jc w:val="center"/>
              <w:rPr>
                <w:b/>
                <w:sz w:val="20"/>
                <w:szCs w:val="20"/>
              </w:rPr>
            </w:pPr>
            <w:r w:rsidRPr="00F771E1">
              <w:rPr>
                <w:b/>
                <w:sz w:val="20"/>
                <w:szCs w:val="20"/>
              </w:rPr>
              <w:t>31.12.2018</w:t>
            </w:r>
          </w:p>
        </w:tc>
        <w:tc>
          <w:tcPr>
            <w:tcW w:w="1702" w:type="dxa"/>
            <w:tcBorders>
              <w:top w:val="single" w:sz="6" w:space="0" w:color="auto"/>
              <w:left w:val="single" w:sz="6" w:space="0" w:color="auto"/>
              <w:bottom w:val="single" w:sz="6" w:space="0" w:color="auto"/>
              <w:right w:val="single" w:sz="12" w:space="0" w:color="auto"/>
            </w:tcBorders>
            <w:vAlign w:val="center"/>
            <w:hideMark/>
          </w:tcPr>
          <w:p w14:paraId="79240E31" w14:textId="77777777" w:rsidR="00A34AA2" w:rsidRPr="00F771E1" w:rsidRDefault="00A34AA2" w:rsidP="00A34AA2">
            <w:pPr>
              <w:ind w:right="-1"/>
              <w:jc w:val="center"/>
              <w:rPr>
                <w:b/>
                <w:sz w:val="20"/>
                <w:szCs w:val="20"/>
              </w:rPr>
            </w:pPr>
            <w:r w:rsidRPr="00F771E1">
              <w:rPr>
                <w:b/>
                <w:sz w:val="20"/>
                <w:szCs w:val="20"/>
              </w:rPr>
              <w:t>31.12.2019</w:t>
            </w:r>
          </w:p>
        </w:tc>
      </w:tr>
      <w:tr w:rsidR="00A34AA2" w:rsidRPr="00F771E1" w14:paraId="4EDC4549" w14:textId="77777777" w:rsidTr="001F18ED">
        <w:trPr>
          <w:trHeight w:val="209"/>
        </w:trPr>
        <w:tc>
          <w:tcPr>
            <w:tcW w:w="1772" w:type="dxa"/>
            <w:tcBorders>
              <w:top w:val="single" w:sz="6" w:space="0" w:color="auto"/>
              <w:left w:val="single" w:sz="12" w:space="0" w:color="auto"/>
              <w:bottom w:val="single" w:sz="6" w:space="0" w:color="auto"/>
              <w:right w:val="single" w:sz="6" w:space="0" w:color="auto"/>
            </w:tcBorders>
            <w:hideMark/>
          </w:tcPr>
          <w:p w14:paraId="25707F51" w14:textId="77777777" w:rsidR="00A34AA2" w:rsidRPr="00F771E1" w:rsidRDefault="00A34AA2" w:rsidP="00A34AA2">
            <w:pPr>
              <w:ind w:right="-1"/>
              <w:rPr>
                <w:b/>
                <w:sz w:val="20"/>
                <w:szCs w:val="20"/>
              </w:rPr>
            </w:pPr>
            <w:r w:rsidRPr="00F771E1">
              <w:rPr>
                <w:b/>
                <w:sz w:val="20"/>
                <w:szCs w:val="20"/>
              </w:rPr>
              <w:t>I-niskie</w:t>
            </w:r>
          </w:p>
        </w:tc>
        <w:tc>
          <w:tcPr>
            <w:tcW w:w="1702" w:type="dxa"/>
            <w:tcBorders>
              <w:top w:val="single" w:sz="6" w:space="0" w:color="auto"/>
              <w:left w:val="single" w:sz="6" w:space="0" w:color="auto"/>
              <w:bottom w:val="single" w:sz="6" w:space="0" w:color="auto"/>
              <w:right w:val="single" w:sz="6" w:space="0" w:color="auto"/>
            </w:tcBorders>
            <w:vAlign w:val="center"/>
            <w:hideMark/>
          </w:tcPr>
          <w:p w14:paraId="67D0F9E6" w14:textId="77777777" w:rsidR="00A34AA2" w:rsidRPr="00F771E1" w:rsidRDefault="005F0A3B" w:rsidP="00A34AA2">
            <w:pPr>
              <w:ind w:right="-1"/>
              <w:jc w:val="right"/>
              <w:rPr>
                <w:sz w:val="20"/>
                <w:szCs w:val="20"/>
              </w:rPr>
            </w:pPr>
            <w:r>
              <w:rPr>
                <w:sz w:val="20"/>
                <w:szCs w:val="20"/>
              </w:rPr>
              <w:t>106 932 530 </w:t>
            </w:r>
            <w:r w:rsidR="00A34AA2" w:rsidRPr="00F771E1">
              <w:rPr>
                <w:sz w:val="20"/>
                <w:szCs w:val="20"/>
              </w:rPr>
              <w:t>008</w:t>
            </w:r>
          </w:p>
        </w:tc>
        <w:tc>
          <w:tcPr>
            <w:tcW w:w="1702" w:type="dxa"/>
            <w:tcBorders>
              <w:top w:val="single" w:sz="6" w:space="0" w:color="auto"/>
              <w:left w:val="single" w:sz="6" w:space="0" w:color="auto"/>
              <w:bottom w:val="single" w:sz="6" w:space="0" w:color="auto"/>
              <w:right w:val="single" w:sz="6" w:space="0" w:color="auto"/>
            </w:tcBorders>
            <w:vAlign w:val="center"/>
            <w:hideMark/>
          </w:tcPr>
          <w:p w14:paraId="570FE497" w14:textId="77777777" w:rsidR="00A34AA2" w:rsidRPr="00F771E1" w:rsidRDefault="005F0A3B" w:rsidP="00A34AA2">
            <w:pPr>
              <w:ind w:right="-1"/>
              <w:jc w:val="right"/>
              <w:rPr>
                <w:sz w:val="20"/>
                <w:szCs w:val="20"/>
              </w:rPr>
            </w:pPr>
            <w:r>
              <w:rPr>
                <w:sz w:val="20"/>
                <w:szCs w:val="20"/>
              </w:rPr>
              <w:t>97 904 554 </w:t>
            </w:r>
            <w:r w:rsidR="00A34AA2" w:rsidRPr="00F771E1">
              <w:rPr>
                <w:sz w:val="20"/>
                <w:szCs w:val="20"/>
              </w:rPr>
              <w:t>486</w:t>
            </w:r>
          </w:p>
        </w:tc>
        <w:tc>
          <w:tcPr>
            <w:tcW w:w="1702" w:type="dxa"/>
            <w:tcBorders>
              <w:top w:val="single" w:sz="6" w:space="0" w:color="auto"/>
              <w:left w:val="single" w:sz="6" w:space="0" w:color="auto"/>
              <w:bottom w:val="single" w:sz="6" w:space="0" w:color="auto"/>
              <w:right w:val="single" w:sz="6" w:space="0" w:color="auto"/>
            </w:tcBorders>
            <w:vAlign w:val="center"/>
            <w:hideMark/>
          </w:tcPr>
          <w:p w14:paraId="17C14E3F" w14:textId="77777777" w:rsidR="00A34AA2" w:rsidRPr="00F771E1" w:rsidRDefault="00A34AA2" w:rsidP="00A34AA2">
            <w:pPr>
              <w:ind w:right="-1"/>
              <w:jc w:val="right"/>
              <w:rPr>
                <w:sz w:val="20"/>
                <w:szCs w:val="20"/>
              </w:rPr>
            </w:pPr>
            <w:r w:rsidRPr="00F771E1">
              <w:rPr>
                <w:sz w:val="20"/>
                <w:szCs w:val="20"/>
              </w:rPr>
              <w:t>98,28%</w:t>
            </w:r>
          </w:p>
        </w:tc>
        <w:tc>
          <w:tcPr>
            <w:tcW w:w="1702" w:type="dxa"/>
            <w:tcBorders>
              <w:top w:val="single" w:sz="6" w:space="0" w:color="auto"/>
              <w:left w:val="single" w:sz="6" w:space="0" w:color="auto"/>
              <w:bottom w:val="single" w:sz="6" w:space="0" w:color="auto"/>
              <w:right w:val="single" w:sz="12" w:space="0" w:color="auto"/>
            </w:tcBorders>
            <w:vAlign w:val="center"/>
            <w:hideMark/>
          </w:tcPr>
          <w:p w14:paraId="6DE3951C" w14:textId="77777777" w:rsidR="00A34AA2" w:rsidRPr="00F771E1" w:rsidRDefault="00A34AA2" w:rsidP="00A34AA2">
            <w:pPr>
              <w:ind w:right="-1"/>
              <w:jc w:val="right"/>
              <w:rPr>
                <w:sz w:val="20"/>
                <w:szCs w:val="20"/>
              </w:rPr>
            </w:pPr>
            <w:r w:rsidRPr="00F771E1">
              <w:rPr>
                <w:sz w:val="20"/>
                <w:szCs w:val="20"/>
              </w:rPr>
              <w:t>87,91%</w:t>
            </w:r>
          </w:p>
        </w:tc>
      </w:tr>
      <w:tr w:rsidR="00A34AA2" w:rsidRPr="00F771E1" w14:paraId="23296B32" w14:textId="77777777" w:rsidTr="001F18ED">
        <w:trPr>
          <w:trHeight w:val="220"/>
        </w:trPr>
        <w:tc>
          <w:tcPr>
            <w:tcW w:w="1772" w:type="dxa"/>
            <w:tcBorders>
              <w:top w:val="single" w:sz="6" w:space="0" w:color="auto"/>
              <w:left w:val="single" w:sz="12" w:space="0" w:color="auto"/>
              <w:bottom w:val="single" w:sz="6" w:space="0" w:color="auto"/>
              <w:right w:val="single" w:sz="6" w:space="0" w:color="auto"/>
            </w:tcBorders>
            <w:hideMark/>
          </w:tcPr>
          <w:p w14:paraId="735AF3EF" w14:textId="77777777" w:rsidR="00A34AA2" w:rsidRPr="00F771E1" w:rsidRDefault="00A34AA2" w:rsidP="00A34AA2">
            <w:pPr>
              <w:ind w:right="-1"/>
              <w:rPr>
                <w:b/>
                <w:sz w:val="20"/>
                <w:szCs w:val="20"/>
              </w:rPr>
            </w:pPr>
            <w:r w:rsidRPr="00F771E1">
              <w:rPr>
                <w:b/>
                <w:sz w:val="20"/>
                <w:szCs w:val="20"/>
              </w:rPr>
              <w:t>II-średnie</w:t>
            </w:r>
          </w:p>
        </w:tc>
        <w:tc>
          <w:tcPr>
            <w:tcW w:w="1702" w:type="dxa"/>
            <w:tcBorders>
              <w:top w:val="single" w:sz="6" w:space="0" w:color="auto"/>
              <w:left w:val="single" w:sz="6" w:space="0" w:color="auto"/>
              <w:bottom w:val="single" w:sz="6" w:space="0" w:color="auto"/>
              <w:right w:val="single" w:sz="6" w:space="0" w:color="auto"/>
            </w:tcBorders>
            <w:vAlign w:val="center"/>
            <w:hideMark/>
          </w:tcPr>
          <w:p w14:paraId="034CFFAE" w14:textId="77777777" w:rsidR="00A34AA2" w:rsidRPr="00F771E1" w:rsidRDefault="005F0A3B" w:rsidP="00A34AA2">
            <w:pPr>
              <w:ind w:right="-1"/>
              <w:jc w:val="right"/>
              <w:rPr>
                <w:sz w:val="20"/>
                <w:szCs w:val="20"/>
              </w:rPr>
            </w:pPr>
            <w:r>
              <w:rPr>
                <w:sz w:val="20"/>
                <w:szCs w:val="20"/>
              </w:rPr>
              <w:t>1 866 134 </w:t>
            </w:r>
            <w:r w:rsidR="00A34AA2" w:rsidRPr="00F771E1">
              <w:rPr>
                <w:sz w:val="20"/>
                <w:szCs w:val="20"/>
              </w:rPr>
              <w:t>520</w:t>
            </w:r>
          </w:p>
        </w:tc>
        <w:tc>
          <w:tcPr>
            <w:tcW w:w="1702" w:type="dxa"/>
            <w:tcBorders>
              <w:top w:val="single" w:sz="6" w:space="0" w:color="auto"/>
              <w:left w:val="single" w:sz="6" w:space="0" w:color="auto"/>
              <w:bottom w:val="single" w:sz="6" w:space="0" w:color="auto"/>
              <w:right w:val="single" w:sz="6" w:space="0" w:color="auto"/>
            </w:tcBorders>
            <w:vAlign w:val="center"/>
            <w:hideMark/>
          </w:tcPr>
          <w:p w14:paraId="3BF96065" w14:textId="77777777" w:rsidR="00A34AA2" w:rsidRPr="00F771E1" w:rsidRDefault="005F0A3B" w:rsidP="00A34AA2">
            <w:pPr>
              <w:ind w:right="-1"/>
              <w:jc w:val="right"/>
              <w:rPr>
                <w:sz w:val="20"/>
                <w:szCs w:val="20"/>
              </w:rPr>
            </w:pPr>
            <w:r>
              <w:rPr>
                <w:sz w:val="20"/>
                <w:szCs w:val="20"/>
              </w:rPr>
              <w:t>13 466 765 </w:t>
            </w:r>
            <w:r w:rsidR="00A34AA2" w:rsidRPr="00F771E1">
              <w:rPr>
                <w:sz w:val="20"/>
                <w:szCs w:val="20"/>
              </w:rPr>
              <w:t>981</w:t>
            </w:r>
          </w:p>
        </w:tc>
        <w:tc>
          <w:tcPr>
            <w:tcW w:w="1702" w:type="dxa"/>
            <w:tcBorders>
              <w:top w:val="single" w:sz="6" w:space="0" w:color="auto"/>
              <w:left w:val="single" w:sz="6" w:space="0" w:color="auto"/>
              <w:bottom w:val="single" w:sz="6" w:space="0" w:color="auto"/>
              <w:right w:val="single" w:sz="6" w:space="0" w:color="auto"/>
            </w:tcBorders>
            <w:vAlign w:val="center"/>
            <w:hideMark/>
          </w:tcPr>
          <w:p w14:paraId="68F3E6A5" w14:textId="77777777" w:rsidR="00A34AA2" w:rsidRPr="00F771E1" w:rsidRDefault="00A34AA2" w:rsidP="00A34AA2">
            <w:pPr>
              <w:ind w:right="-1"/>
              <w:jc w:val="right"/>
              <w:rPr>
                <w:sz w:val="20"/>
                <w:szCs w:val="20"/>
              </w:rPr>
            </w:pPr>
            <w:r w:rsidRPr="00F771E1">
              <w:rPr>
                <w:sz w:val="20"/>
                <w:szCs w:val="20"/>
              </w:rPr>
              <w:t>1,72%</w:t>
            </w:r>
          </w:p>
        </w:tc>
        <w:tc>
          <w:tcPr>
            <w:tcW w:w="1702" w:type="dxa"/>
            <w:tcBorders>
              <w:top w:val="single" w:sz="6" w:space="0" w:color="auto"/>
              <w:left w:val="single" w:sz="6" w:space="0" w:color="auto"/>
              <w:bottom w:val="single" w:sz="6" w:space="0" w:color="auto"/>
              <w:right w:val="single" w:sz="12" w:space="0" w:color="auto"/>
            </w:tcBorders>
            <w:vAlign w:val="center"/>
            <w:hideMark/>
          </w:tcPr>
          <w:p w14:paraId="6FE4449F" w14:textId="77777777" w:rsidR="00A34AA2" w:rsidRPr="00F771E1" w:rsidRDefault="00A34AA2" w:rsidP="00A34AA2">
            <w:pPr>
              <w:ind w:right="-1"/>
              <w:jc w:val="right"/>
              <w:rPr>
                <w:sz w:val="20"/>
                <w:szCs w:val="20"/>
              </w:rPr>
            </w:pPr>
            <w:r w:rsidRPr="00F771E1">
              <w:rPr>
                <w:sz w:val="20"/>
                <w:szCs w:val="20"/>
              </w:rPr>
              <w:t>12,09%</w:t>
            </w:r>
          </w:p>
        </w:tc>
      </w:tr>
      <w:tr w:rsidR="00A34AA2" w:rsidRPr="00F771E1" w14:paraId="683970DA" w14:textId="77777777" w:rsidTr="001F18ED">
        <w:trPr>
          <w:trHeight w:val="209"/>
        </w:trPr>
        <w:tc>
          <w:tcPr>
            <w:tcW w:w="1772" w:type="dxa"/>
            <w:tcBorders>
              <w:top w:val="single" w:sz="6" w:space="0" w:color="auto"/>
              <w:left w:val="single" w:sz="12" w:space="0" w:color="auto"/>
              <w:bottom w:val="single" w:sz="6" w:space="0" w:color="auto"/>
              <w:right w:val="single" w:sz="6" w:space="0" w:color="auto"/>
            </w:tcBorders>
            <w:hideMark/>
          </w:tcPr>
          <w:p w14:paraId="07021224" w14:textId="77777777" w:rsidR="00A34AA2" w:rsidRPr="00F771E1" w:rsidRDefault="00A34AA2" w:rsidP="00A34AA2">
            <w:pPr>
              <w:ind w:right="-1"/>
              <w:rPr>
                <w:b/>
                <w:sz w:val="20"/>
                <w:szCs w:val="20"/>
              </w:rPr>
            </w:pPr>
            <w:r w:rsidRPr="00F771E1">
              <w:rPr>
                <w:b/>
                <w:sz w:val="20"/>
                <w:szCs w:val="20"/>
              </w:rPr>
              <w:t>III-podwyższone</w:t>
            </w:r>
          </w:p>
        </w:tc>
        <w:tc>
          <w:tcPr>
            <w:tcW w:w="1702" w:type="dxa"/>
            <w:tcBorders>
              <w:top w:val="single" w:sz="6" w:space="0" w:color="auto"/>
              <w:left w:val="single" w:sz="6" w:space="0" w:color="auto"/>
              <w:bottom w:val="single" w:sz="6" w:space="0" w:color="auto"/>
              <w:right w:val="single" w:sz="6" w:space="0" w:color="auto"/>
            </w:tcBorders>
            <w:vAlign w:val="center"/>
            <w:hideMark/>
          </w:tcPr>
          <w:p w14:paraId="757EB2A9"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6" w:space="0" w:color="auto"/>
            </w:tcBorders>
            <w:vAlign w:val="center"/>
            <w:hideMark/>
          </w:tcPr>
          <w:p w14:paraId="1898F775"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6" w:space="0" w:color="auto"/>
            </w:tcBorders>
            <w:vAlign w:val="center"/>
            <w:hideMark/>
          </w:tcPr>
          <w:p w14:paraId="3F59F2EF"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12" w:space="0" w:color="auto"/>
            </w:tcBorders>
            <w:vAlign w:val="center"/>
            <w:hideMark/>
          </w:tcPr>
          <w:p w14:paraId="78C993D6" w14:textId="77777777" w:rsidR="00A34AA2" w:rsidRPr="00F771E1" w:rsidRDefault="00A34AA2" w:rsidP="00A34AA2">
            <w:pPr>
              <w:ind w:right="-1"/>
              <w:jc w:val="right"/>
              <w:rPr>
                <w:sz w:val="20"/>
                <w:szCs w:val="20"/>
              </w:rPr>
            </w:pPr>
            <w:r w:rsidRPr="00F771E1">
              <w:rPr>
                <w:sz w:val="20"/>
                <w:szCs w:val="20"/>
              </w:rPr>
              <w:t>-</w:t>
            </w:r>
          </w:p>
        </w:tc>
      </w:tr>
      <w:tr w:rsidR="00A34AA2" w:rsidRPr="00F771E1" w14:paraId="1BAC4A83" w14:textId="77777777" w:rsidTr="001F18ED">
        <w:trPr>
          <w:trHeight w:val="209"/>
        </w:trPr>
        <w:tc>
          <w:tcPr>
            <w:tcW w:w="1772" w:type="dxa"/>
            <w:tcBorders>
              <w:top w:val="single" w:sz="6" w:space="0" w:color="auto"/>
              <w:left w:val="single" w:sz="12" w:space="0" w:color="auto"/>
              <w:bottom w:val="single" w:sz="6" w:space="0" w:color="auto"/>
              <w:right w:val="single" w:sz="6" w:space="0" w:color="auto"/>
            </w:tcBorders>
            <w:hideMark/>
          </w:tcPr>
          <w:p w14:paraId="7EAB3BA0" w14:textId="77777777" w:rsidR="00A34AA2" w:rsidRPr="00F771E1" w:rsidRDefault="00A34AA2" w:rsidP="00A34AA2">
            <w:pPr>
              <w:ind w:right="-1"/>
              <w:rPr>
                <w:b/>
                <w:sz w:val="20"/>
                <w:szCs w:val="20"/>
              </w:rPr>
            </w:pPr>
            <w:r w:rsidRPr="00F771E1">
              <w:rPr>
                <w:b/>
                <w:sz w:val="20"/>
                <w:szCs w:val="20"/>
              </w:rPr>
              <w:t>IV-wysokie</w:t>
            </w:r>
          </w:p>
        </w:tc>
        <w:tc>
          <w:tcPr>
            <w:tcW w:w="1702" w:type="dxa"/>
            <w:tcBorders>
              <w:top w:val="single" w:sz="6" w:space="0" w:color="auto"/>
              <w:left w:val="single" w:sz="6" w:space="0" w:color="auto"/>
              <w:bottom w:val="single" w:sz="6" w:space="0" w:color="auto"/>
              <w:right w:val="single" w:sz="6" w:space="0" w:color="auto"/>
            </w:tcBorders>
            <w:vAlign w:val="center"/>
            <w:hideMark/>
          </w:tcPr>
          <w:p w14:paraId="0A1B6090"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6" w:space="0" w:color="auto"/>
            </w:tcBorders>
            <w:vAlign w:val="center"/>
            <w:hideMark/>
          </w:tcPr>
          <w:p w14:paraId="57543C78"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6" w:space="0" w:color="auto"/>
            </w:tcBorders>
            <w:vAlign w:val="center"/>
            <w:hideMark/>
          </w:tcPr>
          <w:p w14:paraId="55A09E5C"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12" w:space="0" w:color="auto"/>
            </w:tcBorders>
            <w:vAlign w:val="center"/>
            <w:hideMark/>
          </w:tcPr>
          <w:p w14:paraId="0DE8164D" w14:textId="77777777" w:rsidR="00A34AA2" w:rsidRPr="00F771E1" w:rsidRDefault="00A34AA2" w:rsidP="00A34AA2">
            <w:pPr>
              <w:ind w:right="-1"/>
              <w:jc w:val="right"/>
              <w:rPr>
                <w:sz w:val="20"/>
                <w:szCs w:val="20"/>
              </w:rPr>
            </w:pPr>
            <w:r w:rsidRPr="00F771E1">
              <w:rPr>
                <w:sz w:val="20"/>
                <w:szCs w:val="20"/>
              </w:rPr>
              <w:t>-</w:t>
            </w:r>
          </w:p>
        </w:tc>
      </w:tr>
      <w:tr w:rsidR="00A34AA2" w:rsidRPr="00F771E1" w14:paraId="79FC2585" w14:textId="77777777" w:rsidTr="001F18ED">
        <w:trPr>
          <w:trHeight w:val="209"/>
        </w:trPr>
        <w:tc>
          <w:tcPr>
            <w:tcW w:w="1772" w:type="dxa"/>
            <w:tcBorders>
              <w:top w:val="single" w:sz="6" w:space="0" w:color="auto"/>
              <w:left w:val="single" w:sz="12" w:space="0" w:color="auto"/>
              <w:bottom w:val="single" w:sz="6" w:space="0" w:color="auto"/>
              <w:right w:val="single" w:sz="6" w:space="0" w:color="auto"/>
            </w:tcBorders>
            <w:hideMark/>
          </w:tcPr>
          <w:p w14:paraId="3BB34275" w14:textId="77777777" w:rsidR="00A34AA2" w:rsidRPr="00F771E1" w:rsidRDefault="00A34AA2" w:rsidP="00A34AA2">
            <w:pPr>
              <w:ind w:right="-1"/>
              <w:rPr>
                <w:b/>
                <w:sz w:val="20"/>
                <w:szCs w:val="20"/>
              </w:rPr>
            </w:pPr>
            <w:r w:rsidRPr="00F771E1">
              <w:rPr>
                <w:b/>
                <w:sz w:val="20"/>
                <w:szCs w:val="20"/>
              </w:rPr>
              <w:t>V-wypłaty</w:t>
            </w:r>
          </w:p>
        </w:tc>
        <w:tc>
          <w:tcPr>
            <w:tcW w:w="1702" w:type="dxa"/>
            <w:tcBorders>
              <w:top w:val="single" w:sz="6" w:space="0" w:color="auto"/>
              <w:left w:val="single" w:sz="6" w:space="0" w:color="auto"/>
              <w:bottom w:val="single" w:sz="6" w:space="0" w:color="auto"/>
              <w:right w:val="single" w:sz="6" w:space="0" w:color="auto"/>
            </w:tcBorders>
            <w:vAlign w:val="center"/>
            <w:hideMark/>
          </w:tcPr>
          <w:p w14:paraId="67094530"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6" w:space="0" w:color="auto"/>
            </w:tcBorders>
            <w:vAlign w:val="center"/>
            <w:hideMark/>
          </w:tcPr>
          <w:p w14:paraId="69B0359A"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6" w:space="0" w:color="auto"/>
            </w:tcBorders>
            <w:vAlign w:val="center"/>
            <w:hideMark/>
          </w:tcPr>
          <w:p w14:paraId="280535C1" w14:textId="77777777" w:rsidR="00A34AA2" w:rsidRPr="00F771E1" w:rsidRDefault="00A34AA2" w:rsidP="00A34AA2">
            <w:pPr>
              <w:ind w:right="-1"/>
              <w:jc w:val="right"/>
              <w:rPr>
                <w:sz w:val="20"/>
                <w:szCs w:val="20"/>
              </w:rPr>
            </w:pPr>
            <w:r w:rsidRPr="00F771E1">
              <w:rPr>
                <w:sz w:val="20"/>
                <w:szCs w:val="20"/>
              </w:rPr>
              <w:t>-</w:t>
            </w:r>
          </w:p>
        </w:tc>
        <w:tc>
          <w:tcPr>
            <w:tcW w:w="1702" w:type="dxa"/>
            <w:tcBorders>
              <w:top w:val="single" w:sz="6" w:space="0" w:color="auto"/>
              <w:left w:val="single" w:sz="6" w:space="0" w:color="auto"/>
              <w:bottom w:val="single" w:sz="6" w:space="0" w:color="auto"/>
              <w:right w:val="single" w:sz="12" w:space="0" w:color="auto"/>
            </w:tcBorders>
            <w:vAlign w:val="center"/>
            <w:hideMark/>
          </w:tcPr>
          <w:p w14:paraId="6AEBFAA9" w14:textId="77777777" w:rsidR="00A34AA2" w:rsidRPr="00F771E1" w:rsidRDefault="00A34AA2" w:rsidP="00A34AA2">
            <w:pPr>
              <w:ind w:right="-1"/>
              <w:jc w:val="right"/>
              <w:rPr>
                <w:sz w:val="20"/>
                <w:szCs w:val="20"/>
              </w:rPr>
            </w:pPr>
            <w:r w:rsidRPr="00F771E1">
              <w:rPr>
                <w:sz w:val="20"/>
                <w:szCs w:val="20"/>
              </w:rPr>
              <w:t>-</w:t>
            </w:r>
          </w:p>
        </w:tc>
      </w:tr>
      <w:tr w:rsidR="00A34AA2" w:rsidRPr="00F771E1" w14:paraId="04D4A138" w14:textId="77777777" w:rsidTr="001F18ED">
        <w:trPr>
          <w:trHeight w:val="220"/>
        </w:trPr>
        <w:tc>
          <w:tcPr>
            <w:tcW w:w="1772" w:type="dxa"/>
            <w:tcBorders>
              <w:top w:val="single" w:sz="6" w:space="0" w:color="auto"/>
              <w:left w:val="single" w:sz="12" w:space="0" w:color="auto"/>
              <w:bottom w:val="single" w:sz="12" w:space="0" w:color="auto"/>
              <w:right w:val="single" w:sz="6" w:space="0" w:color="auto"/>
            </w:tcBorders>
            <w:hideMark/>
          </w:tcPr>
          <w:p w14:paraId="59385088" w14:textId="77777777" w:rsidR="00A34AA2" w:rsidRPr="00F771E1" w:rsidRDefault="00A34AA2" w:rsidP="00A34AA2">
            <w:pPr>
              <w:ind w:right="-1"/>
              <w:rPr>
                <w:b/>
                <w:sz w:val="20"/>
                <w:szCs w:val="20"/>
              </w:rPr>
            </w:pPr>
            <w:r w:rsidRPr="00F771E1">
              <w:rPr>
                <w:b/>
                <w:sz w:val="20"/>
                <w:szCs w:val="20"/>
              </w:rPr>
              <w:t>Razem</w:t>
            </w:r>
          </w:p>
        </w:tc>
        <w:tc>
          <w:tcPr>
            <w:tcW w:w="1702" w:type="dxa"/>
            <w:tcBorders>
              <w:top w:val="single" w:sz="6" w:space="0" w:color="auto"/>
              <w:left w:val="single" w:sz="6" w:space="0" w:color="auto"/>
              <w:bottom w:val="single" w:sz="12" w:space="0" w:color="auto"/>
              <w:right w:val="single" w:sz="6" w:space="0" w:color="auto"/>
            </w:tcBorders>
            <w:vAlign w:val="center"/>
            <w:hideMark/>
          </w:tcPr>
          <w:p w14:paraId="60765CED" w14:textId="77777777" w:rsidR="00A34AA2" w:rsidRPr="00F771E1" w:rsidRDefault="00A34AA2" w:rsidP="00A34AA2">
            <w:pPr>
              <w:ind w:right="-1"/>
              <w:jc w:val="right"/>
              <w:rPr>
                <w:b/>
                <w:sz w:val="20"/>
                <w:szCs w:val="20"/>
              </w:rPr>
            </w:pPr>
            <w:r w:rsidRPr="00F771E1">
              <w:rPr>
                <w:b/>
                <w:sz w:val="20"/>
                <w:szCs w:val="20"/>
              </w:rPr>
              <w:t>108 798 664 528</w:t>
            </w:r>
          </w:p>
        </w:tc>
        <w:tc>
          <w:tcPr>
            <w:tcW w:w="1702" w:type="dxa"/>
            <w:tcBorders>
              <w:top w:val="single" w:sz="6" w:space="0" w:color="auto"/>
              <w:left w:val="single" w:sz="6" w:space="0" w:color="auto"/>
              <w:bottom w:val="single" w:sz="12" w:space="0" w:color="auto"/>
              <w:right w:val="single" w:sz="6" w:space="0" w:color="auto"/>
            </w:tcBorders>
            <w:vAlign w:val="center"/>
            <w:hideMark/>
          </w:tcPr>
          <w:p w14:paraId="37D7E30A" w14:textId="77777777" w:rsidR="00A34AA2" w:rsidRPr="00F771E1" w:rsidRDefault="00A34AA2" w:rsidP="00A34AA2">
            <w:pPr>
              <w:ind w:right="-1"/>
              <w:jc w:val="right"/>
              <w:rPr>
                <w:b/>
                <w:sz w:val="20"/>
                <w:szCs w:val="20"/>
              </w:rPr>
            </w:pPr>
            <w:r w:rsidRPr="00F771E1">
              <w:rPr>
                <w:b/>
                <w:sz w:val="20"/>
                <w:szCs w:val="20"/>
              </w:rPr>
              <w:t>111 371 320 467</w:t>
            </w:r>
          </w:p>
        </w:tc>
        <w:tc>
          <w:tcPr>
            <w:tcW w:w="1702" w:type="dxa"/>
            <w:tcBorders>
              <w:top w:val="single" w:sz="6" w:space="0" w:color="auto"/>
              <w:left w:val="single" w:sz="6" w:space="0" w:color="auto"/>
              <w:bottom w:val="single" w:sz="12" w:space="0" w:color="auto"/>
              <w:right w:val="single" w:sz="6" w:space="0" w:color="auto"/>
            </w:tcBorders>
            <w:vAlign w:val="center"/>
            <w:hideMark/>
          </w:tcPr>
          <w:p w14:paraId="702DC288" w14:textId="77777777" w:rsidR="00A34AA2" w:rsidRPr="00F771E1" w:rsidRDefault="00A34AA2" w:rsidP="00A34AA2">
            <w:pPr>
              <w:ind w:right="-1"/>
              <w:jc w:val="center"/>
              <w:rPr>
                <w:b/>
                <w:bCs/>
                <w:sz w:val="20"/>
                <w:szCs w:val="20"/>
              </w:rPr>
            </w:pPr>
            <w:r w:rsidRPr="00F771E1">
              <w:rPr>
                <w:b/>
                <w:bCs/>
                <w:sz w:val="20"/>
                <w:szCs w:val="20"/>
              </w:rPr>
              <w:t>100%</w:t>
            </w:r>
          </w:p>
        </w:tc>
        <w:tc>
          <w:tcPr>
            <w:tcW w:w="1702" w:type="dxa"/>
            <w:tcBorders>
              <w:top w:val="single" w:sz="6" w:space="0" w:color="auto"/>
              <w:left w:val="single" w:sz="6" w:space="0" w:color="auto"/>
              <w:bottom w:val="single" w:sz="12" w:space="0" w:color="auto"/>
              <w:right w:val="single" w:sz="12" w:space="0" w:color="auto"/>
            </w:tcBorders>
            <w:vAlign w:val="center"/>
            <w:hideMark/>
          </w:tcPr>
          <w:p w14:paraId="268CDBAF" w14:textId="77777777" w:rsidR="00A34AA2" w:rsidRPr="00F771E1" w:rsidRDefault="00A34AA2" w:rsidP="00A34AA2">
            <w:pPr>
              <w:ind w:right="-1"/>
              <w:jc w:val="center"/>
              <w:rPr>
                <w:b/>
                <w:bCs/>
                <w:sz w:val="20"/>
                <w:szCs w:val="20"/>
              </w:rPr>
            </w:pPr>
            <w:r w:rsidRPr="00F771E1">
              <w:rPr>
                <w:b/>
                <w:bCs/>
                <w:sz w:val="20"/>
                <w:szCs w:val="20"/>
              </w:rPr>
              <w:t>100%</w:t>
            </w:r>
          </w:p>
        </w:tc>
      </w:tr>
    </w:tbl>
    <w:p w14:paraId="6C39903F" w14:textId="77777777" w:rsidR="00E74726" w:rsidRPr="00F771E1" w:rsidRDefault="00E74726" w:rsidP="00034080">
      <w:pPr>
        <w:pStyle w:val="akapit"/>
        <w:tabs>
          <w:tab w:val="left" w:pos="960"/>
        </w:tabs>
        <w:spacing w:after="0" w:line="240" w:lineRule="auto"/>
        <w:ind w:right="-1" w:firstLine="0"/>
        <w:rPr>
          <w:rFonts w:ascii="Times New Roman" w:hAnsi="Times New Roman"/>
          <w:sz w:val="24"/>
        </w:rPr>
      </w:pPr>
    </w:p>
    <w:p w14:paraId="775FB5D9" w14:textId="77777777" w:rsidR="00297FF6" w:rsidRPr="00F771E1" w:rsidRDefault="00297FF6" w:rsidP="00297F40">
      <w:pPr>
        <w:spacing w:after="120"/>
        <w:ind w:firstLine="567"/>
        <w:jc w:val="both"/>
      </w:pPr>
      <w:r w:rsidRPr="00F771E1">
        <w:t>W 2019 r., wraz ze wzrostem kwoty potencjalnych zobowiązań, wzrostowi uległ także łączny, długoterminowy współczynnik ryzyka dla całego portfela. Według stanu na koniec 2019 r. portfel gwarancji zagranicznych charakteryzuje się większym ryzykiem w</w:t>
      </w:r>
      <w:r w:rsidR="00C60A67">
        <w:t> </w:t>
      </w:r>
      <w:r w:rsidRPr="00F771E1">
        <w:t>stosunku do portfela poręczeń i gwarancji krajowych.</w:t>
      </w:r>
    </w:p>
    <w:tbl>
      <w:tblPr>
        <w:tblW w:w="85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56"/>
        <w:gridCol w:w="1611"/>
        <w:gridCol w:w="1611"/>
        <w:gridCol w:w="1611"/>
        <w:gridCol w:w="1495"/>
        <w:gridCol w:w="1496"/>
      </w:tblGrid>
      <w:tr w:rsidR="00A34AA2" w:rsidRPr="00F771E1" w14:paraId="01E5BC39" w14:textId="77777777" w:rsidTr="007F4CFD">
        <w:trPr>
          <w:cantSplit/>
          <w:trHeight w:val="466"/>
        </w:trPr>
        <w:tc>
          <w:tcPr>
            <w:tcW w:w="2367" w:type="dxa"/>
            <w:gridSpan w:val="2"/>
            <w:tcBorders>
              <w:top w:val="single" w:sz="12" w:space="0" w:color="auto"/>
              <w:left w:val="single" w:sz="12" w:space="0" w:color="auto"/>
              <w:bottom w:val="single" w:sz="6" w:space="0" w:color="auto"/>
              <w:right w:val="single" w:sz="6" w:space="0" w:color="auto"/>
            </w:tcBorders>
          </w:tcPr>
          <w:p w14:paraId="2DD03481" w14:textId="77777777" w:rsidR="00A34AA2" w:rsidRPr="00F771E1" w:rsidRDefault="00A34AA2" w:rsidP="007F4CFD">
            <w:pPr>
              <w:ind w:right="-1"/>
              <w:jc w:val="center"/>
              <w:rPr>
                <w:b/>
                <w:sz w:val="20"/>
                <w:szCs w:val="20"/>
              </w:rPr>
            </w:pPr>
          </w:p>
        </w:tc>
        <w:tc>
          <w:tcPr>
            <w:tcW w:w="3222" w:type="dxa"/>
            <w:gridSpan w:val="2"/>
            <w:tcBorders>
              <w:top w:val="single" w:sz="12" w:space="0" w:color="auto"/>
              <w:left w:val="single" w:sz="6" w:space="0" w:color="auto"/>
              <w:bottom w:val="single" w:sz="6" w:space="0" w:color="auto"/>
              <w:right w:val="single" w:sz="6" w:space="0" w:color="auto"/>
            </w:tcBorders>
            <w:hideMark/>
          </w:tcPr>
          <w:p w14:paraId="277AF748" w14:textId="77777777" w:rsidR="00A34AA2" w:rsidRPr="00F771E1" w:rsidRDefault="00F70A7C" w:rsidP="007F4CFD">
            <w:pPr>
              <w:ind w:right="-1"/>
              <w:jc w:val="center"/>
              <w:rPr>
                <w:b/>
                <w:sz w:val="20"/>
                <w:szCs w:val="20"/>
              </w:rPr>
            </w:pPr>
            <w:r>
              <w:rPr>
                <w:b/>
                <w:sz w:val="20"/>
                <w:szCs w:val="20"/>
              </w:rPr>
              <w:t xml:space="preserve">Kwota potencjalnych zobowiązań </w:t>
            </w:r>
            <w:r w:rsidR="00A34AA2" w:rsidRPr="00F771E1">
              <w:rPr>
                <w:b/>
                <w:sz w:val="20"/>
                <w:szCs w:val="20"/>
              </w:rPr>
              <w:t>w zł</w:t>
            </w:r>
          </w:p>
        </w:tc>
        <w:tc>
          <w:tcPr>
            <w:tcW w:w="2991" w:type="dxa"/>
            <w:gridSpan w:val="2"/>
            <w:tcBorders>
              <w:top w:val="single" w:sz="12" w:space="0" w:color="auto"/>
              <w:left w:val="single" w:sz="6" w:space="0" w:color="auto"/>
              <w:bottom w:val="single" w:sz="6" w:space="0" w:color="auto"/>
              <w:right w:val="single" w:sz="12" w:space="0" w:color="auto"/>
            </w:tcBorders>
            <w:hideMark/>
          </w:tcPr>
          <w:p w14:paraId="336D4466" w14:textId="77777777" w:rsidR="00A34AA2" w:rsidRPr="00F771E1" w:rsidRDefault="00A34AA2" w:rsidP="007F4CFD">
            <w:pPr>
              <w:ind w:left="-160" w:right="-1" w:firstLine="160"/>
              <w:jc w:val="center"/>
              <w:rPr>
                <w:b/>
                <w:sz w:val="20"/>
                <w:szCs w:val="20"/>
              </w:rPr>
            </w:pPr>
            <w:r w:rsidRPr="00F771E1">
              <w:rPr>
                <w:b/>
                <w:sz w:val="20"/>
                <w:szCs w:val="20"/>
              </w:rPr>
              <w:t>Współczynnik ryzyka dla całego portfela</w:t>
            </w:r>
          </w:p>
        </w:tc>
      </w:tr>
      <w:tr w:rsidR="00A34AA2" w:rsidRPr="00F771E1" w14:paraId="74C775C2" w14:textId="77777777" w:rsidTr="007F4CFD">
        <w:trPr>
          <w:cantSplit/>
          <w:trHeight w:val="360"/>
        </w:trPr>
        <w:tc>
          <w:tcPr>
            <w:tcW w:w="2367" w:type="dxa"/>
            <w:gridSpan w:val="2"/>
            <w:tcBorders>
              <w:top w:val="single" w:sz="6" w:space="0" w:color="auto"/>
              <w:left w:val="single" w:sz="12" w:space="0" w:color="auto"/>
              <w:bottom w:val="single" w:sz="6" w:space="0" w:color="auto"/>
              <w:right w:val="single" w:sz="6" w:space="0" w:color="auto"/>
            </w:tcBorders>
            <w:hideMark/>
          </w:tcPr>
          <w:p w14:paraId="65728EE7" w14:textId="77777777" w:rsidR="00A34AA2" w:rsidRPr="00F771E1" w:rsidRDefault="00A34AA2" w:rsidP="007F4CFD">
            <w:pPr>
              <w:pStyle w:val="Nagwek6"/>
              <w:spacing w:after="0" w:line="240" w:lineRule="auto"/>
              <w:ind w:right="-1"/>
              <w:rPr>
                <w:rFonts w:ascii="Times New Roman" w:hAnsi="Times New Roman"/>
                <w:sz w:val="20"/>
              </w:rPr>
            </w:pPr>
            <w:r w:rsidRPr="00F771E1">
              <w:rPr>
                <w:rFonts w:ascii="Times New Roman" w:hAnsi="Times New Roman"/>
                <w:sz w:val="20"/>
              </w:rPr>
              <w:t>Wg stanu na dzień</w:t>
            </w:r>
          </w:p>
        </w:tc>
        <w:tc>
          <w:tcPr>
            <w:tcW w:w="1611" w:type="dxa"/>
            <w:tcBorders>
              <w:top w:val="single" w:sz="6" w:space="0" w:color="auto"/>
              <w:left w:val="single" w:sz="6" w:space="0" w:color="auto"/>
              <w:bottom w:val="single" w:sz="6" w:space="0" w:color="auto"/>
              <w:right w:val="single" w:sz="6" w:space="0" w:color="auto"/>
            </w:tcBorders>
            <w:vAlign w:val="center"/>
          </w:tcPr>
          <w:p w14:paraId="76E11699" w14:textId="77777777" w:rsidR="00A34AA2" w:rsidRPr="00F771E1" w:rsidRDefault="00A34AA2" w:rsidP="007F4CFD">
            <w:pPr>
              <w:ind w:right="-1"/>
              <w:jc w:val="center"/>
              <w:rPr>
                <w:b/>
                <w:sz w:val="20"/>
                <w:szCs w:val="20"/>
              </w:rPr>
            </w:pPr>
            <w:r w:rsidRPr="00F771E1">
              <w:rPr>
                <w:b/>
                <w:sz w:val="20"/>
                <w:szCs w:val="20"/>
              </w:rPr>
              <w:t>31.12.2018</w:t>
            </w:r>
          </w:p>
        </w:tc>
        <w:tc>
          <w:tcPr>
            <w:tcW w:w="1611" w:type="dxa"/>
            <w:tcBorders>
              <w:top w:val="single" w:sz="6" w:space="0" w:color="auto"/>
              <w:left w:val="single" w:sz="6" w:space="0" w:color="auto"/>
              <w:bottom w:val="single" w:sz="6" w:space="0" w:color="auto"/>
              <w:right w:val="single" w:sz="6" w:space="0" w:color="auto"/>
            </w:tcBorders>
            <w:vAlign w:val="center"/>
          </w:tcPr>
          <w:p w14:paraId="342CE4E4" w14:textId="77777777" w:rsidR="00A34AA2" w:rsidRPr="00F771E1" w:rsidRDefault="00A34AA2" w:rsidP="007F4CFD">
            <w:pPr>
              <w:ind w:right="-1"/>
              <w:jc w:val="center"/>
              <w:rPr>
                <w:b/>
                <w:sz w:val="20"/>
                <w:szCs w:val="20"/>
              </w:rPr>
            </w:pPr>
            <w:r w:rsidRPr="00F771E1">
              <w:rPr>
                <w:b/>
                <w:sz w:val="20"/>
                <w:szCs w:val="20"/>
              </w:rPr>
              <w:t>31.12.2019</w:t>
            </w:r>
          </w:p>
        </w:tc>
        <w:tc>
          <w:tcPr>
            <w:tcW w:w="1495" w:type="dxa"/>
            <w:tcBorders>
              <w:top w:val="single" w:sz="6" w:space="0" w:color="auto"/>
              <w:left w:val="single" w:sz="6" w:space="0" w:color="auto"/>
              <w:bottom w:val="single" w:sz="6" w:space="0" w:color="auto"/>
              <w:right w:val="single" w:sz="6" w:space="0" w:color="auto"/>
            </w:tcBorders>
            <w:vAlign w:val="center"/>
          </w:tcPr>
          <w:p w14:paraId="3955DBAA" w14:textId="77777777" w:rsidR="00A34AA2" w:rsidRPr="00F771E1" w:rsidRDefault="00A34AA2" w:rsidP="007F4CFD">
            <w:pPr>
              <w:ind w:left="-18" w:right="-1" w:firstLine="18"/>
              <w:jc w:val="center"/>
              <w:rPr>
                <w:b/>
                <w:sz w:val="20"/>
                <w:szCs w:val="20"/>
              </w:rPr>
            </w:pPr>
            <w:r w:rsidRPr="00F771E1">
              <w:rPr>
                <w:b/>
                <w:sz w:val="20"/>
                <w:szCs w:val="20"/>
              </w:rPr>
              <w:t>31.12.2018</w:t>
            </w:r>
          </w:p>
        </w:tc>
        <w:tc>
          <w:tcPr>
            <w:tcW w:w="1496" w:type="dxa"/>
            <w:tcBorders>
              <w:top w:val="single" w:sz="6" w:space="0" w:color="auto"/>
              <w:left w:val="single" w:sz="6" w:space="0" w:color="auto"/>
              <w:bottom w:val="single" w:sz="6" w:space="0" w:color="auto"/>
              <w:right w:val="single" w:sz="12" w:space="0" w:color="auto"/>
            </w:tcBorders>
            <w:vAlign w:val="center"/>
          </w:tcPr>
          <w:p w14:paraId="2DD8E49F" w14:textId="77777777" w:rsidR="00A34AA2" w:rsidRPr="00F771E1" w:rsidRDefault="00A34AA2" w:rsidP="007F4CFD">
            <w:pPr>
              <w:ind w:left="-18" w:right="-1" w:firstLine="18"/>
              <w:jc w:val="center"/>
              <w:rPr>
                <w:b/>
                <w:sz w:val="20"/>
                <w:szCs w:val="20"/>
              </w:rPr>
            </w:pPr>
            <w:r w:rsidRPr="00F771E1">
              <w:rPr>
                <w:b/>
                <w:sz w:val="20"/>
                <w:szCs w:val="20"/>
              </w:rPr>
              <w:t>31.12.2019</w:t>
            </w:r>
          </w:p>
        </w:tc>
      </w:tr>
      <w:tr w:rsidR="00A34AA2" w:rsidRPr="00F771E1" w14:paraId="1F5EEB89" w14:textId="77777777" w:rsidTr="007F4CFD">
        <w:trPr>
          <w:cantSplit/>
          <w:trHeight w:val="244"/>
        </w:trPr>
        <w:tc>
          <w:tcPr>
            <w:tcW w:w="2367" w:type="dxa"/>
            <w:gridSpan w:val="2"/>
            <w:tcBorders>
              <w:top w:val="single" w:sz="6" w:space="0" w:color="auto"/>
              <w:left w:val="single" w:sz="12" w:space="0" w:color="auto"/>
              <w:bottom w:val="single" w:sz="6" w:space="0" w:color="auto"/>
              <w:right w:val="single" w:sz="6" w:space="0" w:color="auto"/>
            </w:tcBorders>
            <w:hideMark/>
          </w:tcPr>
          <w:p w14:paraId="22FD970E" w14:textId="77777777" w:rsidR="00A34AA2" w:rsidRPr="00F771E1" w:rsidRDefault="00A34AA2" w:rsidP="007F4CFD">
            <w:pPr>
              <w:pStyle w:val="Nagwek5"/>
              <w:ind w:right="-1"/>
              <w:jc w:val="center"/>
              <w:rPr>
                <w:color w:val="auto"/>
                <w:sz w:val="20"/>
                <w:szCs w:val="20"/>
              </w:rPr>
            </w:pPr>
            <w:r w:rsidRPr="00F771E1">
              <w:rPr>
                <w:color w:val="auto"/>
                <w:sz w:val="20"/>
                <w:szCs w:val="20"/>
              </w:rPr>
              <w:t>Razem</w:t>
            </w:r>
          </w:p>
        </w:tc>
        <w:tc>
          <w:tcPr>
            <w:tcW w:w="1611" w:type="dxa"/>
            <w:tcBorders>
              <w:top w:val="single" w:sz="6" w:space="0" w:color="auto"/>
              <w:left w:val="single" w:sz="6" w:space="0" w:color="auto"/>
              <w:bottom w:val="single" w:sz="6" w:space="0" w:color="auto"/>
              <w:right w:val="single" w:sz="6" w:space="0" w:color="auto"/>
            </w:tcBorders>
            <w:vAlign w:val="center"/>
          </w:tcPr>
          <w:p w14:paraId="7598A60F" w14:textId="77777777" w:rsidR="00A34AA2" w:rsidRPr="00F771E1" w:rsidRDefault="005F0A3B" w:rsidP="007F4CFD">
            <w:pPr>
              <w:ind w:right="-1"/>
              <w:jc w:val="right"/>
              <w:rPr>
                <w:b/>
                <w:sz w:val="20"/>
                <w:szCs w:val="20"/>
              </w:rPr>
            </w:pPr>
            <w:r>
              <w:rPr>
                <w:b/>
                <w:sz w:val="20"/>
                <w:szCs w:val="20"/>
              </w:rPr>
              <w:t>108 798 664 </w:t>
            </w:r>
            <w:r w:rsidR="00A34AA2" w:rsidRPr="00F771E1">
              <w:rPr>
                <w:b/>
                <w:sz w:val="20"/>
                <w:szCs w:val="20"/>
              </w:rPr>
              <w:t>528</w:t>
            </w:r>
          </w:p>
        </w:tc>
        <w:tc>
          <w:tcPr>
            <w:tcW w:w="1611" w:type="dxa"/>
            <w:tcBorders>
              <w:top w:val="single" w:sz="6" w:space="0" w:color="auto"/>
              <w:left w:val="single" w:sz="6" w:space="0" w:color="auto"/>
              <w:bottom w:val="single" w:sz="6" w:space="0" w:color="auto"/>
              <w:right w:val="single" w:sz="6" w:space="0" w:color="auto"/>
            </w:tcBorders>
            <w:vAlign w:val="center"/>
          </w:tcPr>
          <w:p w14:paraId="7C279391" w14:textId="77777777" w:rsidR="00A34AA2" w:rsidRPr="00F771E1" w:rsidRDefault="005F0A3B" w:rsidP="007F4CFD">
            <w:pPr>
              <w:ind w:right="-1"/>
              <w:jc w:val="right"/>
              <w:rPr>
                <w:b/>
                <w:sz w:val="20"/>
                <w:szCs w:val="20"/>
              </w:rPr>
            </w:pPr>
            <w:r>
              <w:rPr>
                <w:b/>
                <w:sz w:val="20"/>
                <w:szCs w:val="20"/>
              </w:rPr>
              <w:t>111 371 320 </w:t>
            </w:r>
            <w:r w:rsidR="00A34AA2" w:rsidRPr="00F771E1">
              <w:rPr>
                <w:b/>
                <w:sz w:val="20"/>
                <w:szCs w:val="20"/>
              </w:rPr>
              <w:t>467</w:t>
            </w:r>
          </w:p>
        </w:tc>
        <w:tc>
          <w:tcPr>
            <w:tcW w:w="1495" w:type="dxa"/>
            <w:tcBorders>
              <w:top w:val="single" w:sz="6" w:space="0" w:color="auto"/>
              <w:left w:val="single" w:sz="6" w:space="0" w:color="auto"/>
              <w:bottom w:val="single" w:sz="6" w:space="0" w:color="auto"/>
              <w:right w:val="single" w:sz="6" w:space="0" w:color="auto"/>
            </w:tcBorders>
            <w:vAlign w:val="center"/>
          </w:tcPr>
          <w:p w14:paraId="15552747" w14:textId="77777777" w:rsidR="00A34AA2" w:rsidRPr="00F771E1" w:rsidRDefault="00A34AA2" w:rsidP="007F4CFD">
            <w:pPr>
              <w:ind w:left="-39" w:right="-1"/>
              <w:jc w:val="right"/>
              <w:rPr>
                <w:b/>
                <w:sz w:val="20"/>
                <w:szCs w:val="20"/>
              </w:rPr>
            </w:pPr>
            <w:r w:rsidRPr="00F771E1">
              <w:rPr>
                <w:b/>
                <w:sz w:val="20"/>
                <w:szCs w:val="20"/>
              </w:rPr>
              <w:t>4,0%</w:t>
            </w:r>
          </w:p>
        </w:tc>
        <w:tc>
          <w:tcPr>
            <w:tcW w:w="1496" w:type="dxa"/>
            <w:tcBorders>
              <w:top w:val="single" w:sz="6" w:space="0" w:color="auto"/>
              <w:left w:val="single" w:sz="6" w:space="0" w:color="auto"/>
              <w:bottom w:val="single" w:sz="6" w:space="0" w:color="auto"/>
              <w:right w:val="single" w:sz="12" w:space="0" w:color="auto"/>
            </w:tcBorders>
            <w:vAlign w:val="center"/>
          </w:tcPr>
          <w:p w14:paraId="7ED07D2C" w14:textId="77777777" w:rsidR="00A34AA2" w:rsidRPr="00F771E1" w:rsidRDefault="00A34AA2" w:rsidP="007F4CFD">
            <w:pPr>
              <w:ind w:left="-39" w:right="-1"/>
              <w:jc w:val="right"/>
              <w:rPr>
                <w:b/>
                <w:sz w:val="20"/>
                <w:szCs w:val="20"/>
              </w:rPr>
            </w:pPr>
            <w:r w:rsidRPr="00F771E1">
              <w:rPr>
                <w:b/>
                <w:sz w:val="20"/>
                <w:szCs w:val="20"/>
              </w:rPr>
              <w:t>4,8%</w:t>
            </w:r>
          </w:p>
        </w:tc>
      </w:tr>
      <w:tr w:rsidR="00A34AA2" w:rsidRPr="00F771E1" w14:paraId="42DCB027" w14:textId="77777777" w:rsidTr="007F4CFD">
        <w:trPr>
          <w:trHeight w:val="478"/>
        </w:trPr>
        <w:tc>
          <w:tcPr>
            <w:tcW w:w="756" w:type="dxa"/>
            <w:tcBorders>
              <w:top w:val="single" w:sz="6" w:space="0" w:color="auto"/>
              <w:left w:val="single" w:sz="12" w:space="0" w:color="auto"/>
              <w:bottom w:val="single" w:sz="6" w:space="0" w:color="auto"/>
              <w:right w:val="single" w:sz="6" w:space="0" w:color="auto"/>
            </w:tcBorders>
            <w:hideMark/>
          </w:tcPr>
          <w:p w14:paraId="177EA5A3" w14:textId="77777777" w:rsidR="00A34AA2" w:rsidRPr="00F771E1" w:rsidRDefault="00A34AA2" w:rsidP="007F4CFD">
            <w:pPr>
              <w:ind w:right="-1"/>
              <w:rPr>
                <w:sz w:val="18"/>
                <w:szCs w:val="18"/>
              </w:rPr>
            </w:pPr>
            <w:r w:rsidRPr="00F771E1">
              <w:rPr>
                <w:sz w:val="18"/>
                <w:szCs w:val="18"/>
              </w:rPr>
              <w:t>W tym:</w:t>
            </w:r>
          </w:p>
        </w:tc>
        <w:tc>
          <w:tcPr>
            <w:tcW w:w="1611" w:type="dxa"/>
            <w:tcBorders>
              <w:top w:val="single" w:sz="6" w:space="0" w:color="auto"/>
              <w:left w:val="single" w:sz="6" w:space="0" w:color="auto"/>
              <w:bottom w:val="single" w:sz="6" w:space="0" w:color="auto"/>
              <w:right w:val="single" w:sz="6" w:space="0" w:color="auto"/>
            </w:tcBorders>
            <w:vAlign w:val="center"/>
            <w:hideMark/>
          </w:tcPr>
          <w:p w14:paraId="70A520E6" w14:textId="77777777" w:rsidR="00A34AA2" w:rsidRPr="00F771E1" w:rsidRDefault="00A34AA2" w:rsidP="00E560E3">
            <w:pPr>
              <w:ind w:right="-1"/>
              <w:jc w:val="center"/>
              <w:rPr>
                <w:sz w:val="18"/>
                <w:szCs w:val="18"/>
              </w:rPr>
            </w:pPr>
            <w:r w:rsidRPr="00F771E1">
              <w:rPr>
                <w:sz w:val="18"/>
                <w:szCs w:val="18"/>
              </w:rPr>
              <w:t>poręczenia i</w:t>
            </w:r>
            <w:r w:rsidR="00E560E3">
              <w:rPr>
                <w:sz w:val="18"/>
                <w:szCs w:val="18"/>
              </w:rPr>
              <w:t> </w:t>
            </w:r>
            <w:r w:rsidRPr="00F771E1">
              <w:rPr>
                <w:sz w:val="18"/>
                <w:szCs w:val="18"/>
              </w:rPr>
              <w:t>gwarancje krajowe</w:t>
            </w:r>
          </w:p>
        </w:tc>
        <w:tc>
          <w:tcPr>
            <w:tcW w:w="1611" w:type="dxa"/>
            <w:tcBorders>
              <w:top w:val="single" w:sz="6" w:space="0" w:color="auto"/>
              <w:left w:val="single" w:sz="6" w:space="0" w:color="auto"/>
              <w:bottom w:val="single" w:sz="6" w:space="0" w:color="auto"/>
              <w:right w:val="single" w:sz="6" w:space="0" w:color="auto"/>
            </w:tcBorders>
            <w:vAlign w:val="center"/>
          </w:tcPr>
          <w:p w14:paraId="09EC0AB9" w14:textId="77777777" w:rsidR="00A34AA2" w:rsidRPr="00F771E1" w:rsidRDefault="005F0A3B" w:rsidP="007F4CFD">
            <w:pPr>
              <w:ind w:right="-1"/>
              <w:jc w:val="right"/>
              <w:rPr>
                <w:sz w:val="18"/>
                <w:szCs w:val="18"/>
              </w:rPr>
            </w:pPr>
            <w:r>
              <w:rPr>
                <w:sz w:val="18"/>
                <w:szCs w:val="18"/>
              </w:rPr>
              <w:t>11 692 416 </w:t>
            </w:r>
            <w:r w:rsidR="00A34AA2" w:rsidRPr="00F771E1">
              <w:rPr>
                <w:sz w:val="18"/>
                <w:szCs w:val="18"/>
              </w:rPr>
              <w:t>725</w:t>
            </w:r>
          </w:p>
        </w:tc>
        <w:tc>
          <w:tcPr>
            <w:tcW w:w="1611" w:type="dxa"/>
            <w:tcBorders>
              <w:top w:val="single" w:sz="6" w:space="0" w:color="auto"/>
              <w:left w:val="single" w:sz="6" w:space="0" w:color="auto"/>
              <w:bottom w:val="single" w:sz="6" w:space="0" w:color="auto"/>
              <w:right w:val="single" w:sz="6" w:space="0" w:color="auto"/>
            </w:tcBorders>
            <w:vAlign w:val="center"/>
          </w:tcPr>
          <w:p w14:paraId="3F6415BA" w14:textId="77777777" w:rsidR="00A34AA2" w:rsidRPr="00F771E1" w:rsidRDefault="005F0A3B" w:rsidP="007F4CFD">
            <w:pPr>
              <w:ind w:left="-39" w:right="-1"/>
              <w:jc w:val="right"/>
              <w:rPr>
                <w:sz w:val="18"/>
                <w:szCs w:val="18"/>
              </w:rPr>
            </w:pPr>
            <w:r>
              <w:rPr>
                <w:sz w:val="18"/>
                <w:szCs w:val="18"/>
              </w:rPr>
              <w:t>11 355 697 </w:t>
            </w:r>
            <w:r w:rsidR="00A34AA2" w:rsidRPr="00F771E1">
              <w:rPr>
                <w:sz w:val="18"/>
                <w:szCs w:val="18"/>
              </w:rPr>
              <w:t>505</w:t>
            </w:r>
          </w:p>
        </w:tc>
        <w:tc>
          <w:tcPr>
            <w:tcW w:w="1495" w:type="dxa"/>
            <w:tcBorders>
              <w:top w:val="single" w:sz="6" w:space="0" w:color="auto"/>
              <w:left w:val="single" w:sz="6" w:space="0" w:color="auto"/>
              <w:bottom w:val="single" w:sz="6" w:space="0" w:color="auto"/>
              <w:right w:val="single" w:sz="6" w:space="0" w:color="auto"/>
            </w:tcBorders>
            <w:vAlign w:val="center"/>
          </w:tcPr>
          <w:p w14:paraId="7DA25516" w14:textId="77777777" w:rsidR="00A34AA2" w:rsidRPr="00F771E1" w:rsidRDefault="00A34AA2" w:rsidP="007F4CFD">
            <w:pPr>
              <w:ind w:left="-39" w:right="-1"/>
              <w:jc w:val="right"/>
              <w:rPr>
                <w:sz w:val="18"/>
                <w:szCs w:val="18"/>
              </w:rPr>
            </w:pPr>
            <w:r w:rsidRPr="00F771E1">
              <w:rPr>
                <w:sz w:val="18"/>
                <w:szCs w:val="18"/>
              </w:rPr>
              <w:t>2,7%</w:t>
            </w:r>
          </w:p>
        </w:tc>
        <w:tc>
          <w:tcPr>
            <w:tcW w:w="1496" w:type="dxa"/>
            <w:tcBorders>
              <w:top w:val="single" w:sz="6" w:space="0" w:color="auto"/>
              <w:left w:val="single" w:sz="6" w:space="0" w:color="auto"/>
              <w:bottom w:val="single" w:sz="6" w:space="0" w:color="auto"/>
              <w:right w:val="single" w:sz="12" w:space="0" w:color="auto"/>
            </w:tcBorders>
            <w:vAlign w:val="center"/>
          </w:tcPr>
          <w:p w14:paraId="57A728FF" w14:textId="77777777" w:rsidR="00A34AA2" w:rsidRPr="00F771E1" w:rsidRDefault="00A34AA2" w:rsidP="007F4CFD">
            <w:pPr>
              <w:ind w:left="-39" w:right="-1"/>
              <w:jc w:val="right"/>
              <w:rPr>
                <w:sz w:val="18"/>
                <w:szCs w:val="18"/>
              </w:rPr>
            </w:pPr>
            <w:r w:rsidRPr="00F771E1">
              <w:rPr>
                <w:sz w:val="18"/>
                <w:szCs w:val="18"/>
              </w:rPr>
              <w:t>3,9%</w:t>
            </w:r>
          </w:p>
        </w:tc>
      </w:tr>
      <w:tr w:rsidR="00A34AA2" w:rsidRPr="00F771E1" w14:paraId="45B63301" w14:textId="77777777" w:rsidTr="007F4CFD">
        <w:trPr>
          <w:trHeight w:val="490"/>
        </w:trPr>
        <w:tc>
          <w:tcPr>
            <w:tcW w:w="756" w:type="dxa"/>
            <w:tcBorders>
              <w:top w:val="single" w:sz="6" w:space="0" w:color="auto"/>
              <w:left w:val="single" w:sz="12" w:space="0" w:color="auto"/>
              <w:bottom w:val="single" w:sz="12" w:space="0" w:color="auto"/>
              <w:right w:val="single" w:sz="6" w:space="0" w:color="auto"/>
            </w:tcBorders>
          </w:tcPr>
          <w:p w14:paraId="275EA921" w14:textId="77777777" w:rsidR="00A34AA2" w:rsidRPr="00F771E1" w:rsidRDefault="00A34AA2" w:rsidP="007F4CFD">
            <w:pPr>
              <w:ind w:right="-1"/>
              <w:rPr>
                <w:sz w:val="18"/>
                <w:szCs w:val="18"/>
              </w:rPr>
            </w:pPr>
          </w:p>
        </w:tc>
        <w:tc>
          <w:tcPr>
            <w:tcW w:w="1611" w:type="dxa"/>
            <w:tcBorders>
              <w:top w:val="single" w:sz="6" w:space="0" w:color="auto"/>
              <w:left w:val="single" w:sz="6" w:space="0" w:color="auto"/>
              <w:bottom w:val="single" w:sz="12" w:space="0" w:color="auto"/>
              <w:right w:val="single" w:sz="6" w:space="0" w:color="auto"/>
            </w:tcBorders>
            <w:vAlign w:val="center"/>
            <w:hideMark/>
          </w:tcPr>
          <w:p w14:paraId="758B0C1C" w14:textId="77777777" w:rsidR="00A34AA2" w:rsidRPr="00F771E1" w:rsidRDefault="00A34AA2" w:rsidP="007F4CFD">
            <w:pPr>
              <w:ind w:right="-1"/>
              <w:jc w:val="center"/>
              <w:rPr>
                <w:sz w:val="18"/>
                <w:szCs w:val="18"/>
              </w:rPr>
            </w:pPr>
            <w:r w:rsidRPr="00F771E1">
              <w:rPr>
                <w:sz w:val="18"/>
                <w:szCs w:val="18"/>
              </w:rPr>
              <w:t>gwarancje zagraniczne</w:t>
            </w:r>
          </w:p>
        </w:tc>
        <w:tc>
          <w:tcPr>
            <w:tcW w:w="1611" w:type="dxa"/>
            <w:tcBorders>
              <w:top w:val="single" w:sz="6" w:space="0" w:color="auto"/>
              <w:left w:val="single" w:sz="6" w:space="0" w:color="auto"/>
              <w:bottom w:val="single" w:sz="12" w:space="0" w:color="auto"/>
              <w:right w:val="single" w:sz="6" w:space="0" w:color="auto"/>
            </w:tcBorders>
            <w:vAlign w:val="center"/>
          </w:tcPr>
          <w:p w14:paraId="725C860E" w14:textId="77777777" w:rsidR="00A34AA2" w:rsidRPr="00F771E1" w:rsidRDefault="005F0A3B" w:rsidP="007F4CFD">
            <w:pPr>
              <w:ind w:right="-1"/>
              <w:jc w:val="right"/>
              <w:rPr>
                <w:sz w:val="18"/>
                <w:szCs w:val="18"/>
              </w:rPr>
            </w:pPr>
            <w:r>
              <w:rPr>
                <w:sz w:val="18"/>
                <w:szCs w:val="18"/>
              </w:rPr>
              <w:t>97 106 247 </w:t>
            </w:r>
            <w:r w:rsidR="00A34AA2" w:rsidRPr="00F771E1">
              <w:rPr>
                <w:sz w:val="18"/>
                <w:szCs w:val="18"/>
              </w:rPr>
              <w:t>803</w:t>
            </w:r>
          </w:p>
        </w:tc>
        <w:tc>
          <w:tcPr>
            <w:tcW w:w="1611" w:type="dxa"/>
            <w:tcBorders>
              <w:top w:val="single" w:sz="6" w:space="0" w:color="auto"/>
              <w:left w:val="single" w:sz="6" w:space="0" w:color="auto"/>
              <w:bottom w:val="single" w:sz="12" w:space="0" w:color="auto"/>
              <w:right w:val="single" w:sz="6" w:space="0" w:color="auto"/>
            </w:tcBorders>
            <w:vAlign w:val="center"/>
          </w:tcPr>
          <w:p w14:paraId="628FB8E6" w14:textId="77777777" w:rsidR="00A34AA2" w:rsidRPr="00F771E1" w:rsidRDefault="005F0A3B" w:rsidP="007F4CFD">
            <w:pPr>
              <w:ind w:left="-39" w:right="-1"/>
              <w:jc w:val="right"/>
              <w:rPr>
                <w:sz w:val="18"/>
                <w:szCs w:val="18"/>
              </w:rPr>
            </w:pPr>
            <w:r>
              <w:rPr>
                <w:sz w:val="18"/>
                <w:szCs w:val="18"/>
              </w:rPr>
              <w:t>100 015 622 </w:t>
            </w:r>
            <w:r w:rsidR="00A34AA2" w:rsidRPr="00F771E1">
              <w:rPr>
                <w:sz w:val="18"/>
                <w:szCs w:val="18"/>
              </w:rPr>
              <w:t>962</w:t>
            </w:r>
          </w:p>
        </w:tc>
        <w:tc>
          <w:tcPr>
            <w:tcW w:w="1495" w:type="dxa"/>
            <w:tcBorders>
              <w:top w:val="single" w:sz="6" w:space="0" w:color="auto"/>
              <w:left w:val="single" w:sz="6" w:space="0" w:color="auto"/>
              <w:bottom w:val="single" w:sz="12" w:space="0" w:color="auto"/>
              <w:right w:val="single" w:sz="6" w:space="0" w:color="auto"/>
            </w:tcBorders>
            <w:vAlign w:val="center"/>
          </w:tcPr>
          <w:p w14:paraId="3EB54C76" w14:textId="77777777" w:rsidR="00A34AA2" w:rsidRPr="00F771E1" w:rsidRDefault="00A34AA2" w:rsidP="007F4CFD">
            <w:pPr>
              <w:ind w:left="-39" w:right="-1"/>
              <w:jc w:val="right"/>
              <w:rPr>
                <w:sz w:val="18"/>
                <w:szCs w:val="18"/>
              </w:rPr>
            </w:pPr>
            <w:r w:rsidRPr="00F771E1">
              <w:rPr>
                <w:sz w:val="18"/>
                <w:szCs w:val="18"/>
              </w:rPr>
              <w:t>4,2%</w:t>
            </w:r>
          </w:p>
        </w:tc>
        <w:tc>
          <w:tcPr>
            <w:tcW w:w="1496" w:type="dxa"/>
            <w:tcBorders>
              <w:top w:val="single" w:sz="6" w:space="0" w:color="auto"/>
              <w:left w:val="single" w:sz="6" w:space="0" w:color="auto"/>
              <w:bottom w:val="single" w:sz="12" w:space="0" w:color="auto"/>
              <w:right w:val="single" w:sz="12" w:space="0" w:color="auto"/>
            </w:tcBorders>
            <w:vAlign w:val="center"/>
          </w:tcPr>
          <w:p w14:paraId="4C431CD7" w14:textId="77777777" w:rsidR="00A34AA2" w:rsidRPr="00F771E1" w:rsidRDefault="00A34AA2" w:rsidP="007F4CFD">
            <w:pPr>
              <w:ind w:left="-39" w:right="-1"/>
              <w:jc w:val="right"/>
              <w:rPr>
                <w:sz w:val="18"/>
                <w:szCs w:val="18"/>
              </w:rPr>
            </w:pPr>
            <w:r w:rsidRPr="00F771E1">
              <w:rPr>
                <w:sz w:val="18"/>
                <w:szCs w:val="18"/>
              </w:rPr>
              <w:t>5,0%</w:t>
            </w:r>
          </w:p>
        </w:tc>
      </w:tr>
    </w:tbl>
    <w:p w14:paraId="79CF9177" w14:textId="77777777" w:rsidR="002C7C18" w:rsidRPr="00F771E1" w:rsidRDefault="00297FF6" w:rsidP="00297F40">
      <w:pPr>
        <w:pStyle w:val="akapit"/>
        <w:tabs>
          <w:tab w:val="left" w:pos="960"/>
        </w:tabs>
        <w:spacing w:before="120" w:after="0" w:line="240" w:lineRule="auto"/>
        <w:ind w:firstLine="567"/>
        <w:rPr>
          <w:rFonts w:ascii="Times New Roman" w:hAnsi="Times New Roman"/>
          <w:sz w:val="24"/>
        </w:rPr>
      </w:pPr>
      <w:bookmarkStart w:id="31" w:name="_Toc351990867"/>
      <w:bookmarkStart w:id="32" w:name="_Toc352076145"/>
      <w:bookmarkStart w:id="33" w:name="_Toc352237517"/>
      <w:r w:rsidRPr="00297FF6">
        <w:rPr>
          <w:rFonts w:ascii="Times New Roman" w:hAnsi="Times New Roman"/>
          <w:sz w:val="24"/>
        </w:rPr>
        <w:t>Według stanu na dzień 31.12.2019 r. relacja potencjalnych zobowiązań z tytułu gwarancji i poręczeń udzielonych przez Skarb Państwa do PKB za 2019 r.</w:t>
      </w:r>
      <w:r w:rsidRPr="00286496">
        <w:rPr>
          <w:rFonts w:ascii="Times New Roman" w:hAnsi="Times New Roman"/>
          <w:sz w:val="24"/>
          <w:vertAlign w:val="superscript"/>
        </w:rPr>
        <w:footnoteReference w:id="2"/>
      </w:r>
      <w:r w:rsidRPr="00297FF6">
        <w:rPr>
          <w:rFonts w:ascii="Times New Roman" w:hAnsi="Times New Roman"/>
          <w:sz w:val="24"/>
        </w:rPr>
        <w:t xml:space="preserve"> wyniosła 4,9%. Oznacza to jej spade</w:t>
      </w:r>
      <w:r w:rsidR="007B5A9C">
        <w:rPr>
          <w:rFonts w:ascii="Times New Roman" w:hAnsi="Times New Roman"/>
          <w:sz w:val="24"/>
        </w:rPr>
        <w:t xml:space="preserve">k w stosunku do stanu na dzień </w:t>
      </w:r>
      <w:r w:rsidRPr="00297FF6">
        <w:rPr>
          <w:rFonts w:ascii="Times New Roman" w:hAnsi="Times New Roman"/>
          <w:sz w:val="24"/>
        </w:rPr>
        <w:t>31.12.2018 r., kiedy to wyniosła 5,1%.</w:t>
      </w:r>
    </w:p>
    <w:p w14:paraId="2B0C75D9" w14:textId="77777777" w:rsidR="00E74726" w:rsidRPr="00F771E1" w:rsidRDefault="004C1AF3" w:rsidP="00A53157">
      <w:pPr>
        <w:pStyle w:val="Nagwek3"/>
        <w:tabs>
          <w:tab w:val="left" w:pos="567"/>
        </w:tabs>
        <w:spacing w:before="120" w:after="120"/>
        <w:rPr>
          <w:rFonts w:ascii="Times New Roman" w:hAnsi="Times New Roman"/>
          <w:sz w:val="24"/>
          <w:szCs w:val="24"/>
        </w:rPr>
      </w:pPr>
      <w:bookmarkStart w:id="34" w:name="_Toc37242622"/>
      <w:r w:rsidRPr="00F771E1">
        <w:rPr>
          <w:rFonts w:ascii="Times New Roman" w:hAnsi="Times New Roman"/>
          <w:sz w:val="24"/>
          <w:szCs w:val="24"/>
        </w:rPr>
        <w:t xml:space="preserve">2.2.5 </w:t>
      </w:r>
      <w:r w:rsidR="00E74726" w:rsidRPr="00F771E1">
        <w:rPr>
          <w:rFonts w:ascii="Times New Roman" w:hAnsi="Times New Roman"/>
          <w:sz w:val="24"/>
          <w:szCs w:val="24"/>
        </w:rPr>
        <w:t>Wydatki i należności Skarbu Państwa</w:t>
      </w:r>
      <w:bookmarkEnd w:id="31"/>
      <w:bookmarkEnd w:id="32"/>
      <w:bookmarkEnd w:id="33"/>
      <w:bookmarkEnd w:id="34"/>
    </w:p>
    <w:p w14:paraId="1811C3CD" w14:textId="77777777" w:rsidR="00885CDF" w:rsidRPr="00F771E1" w:rsidRDefault="001E04FE" w:rsidP="00885CDF">
      <w:pPr>
        <w:tabs>
          <w:tab w:val="left" w:pos="567"/>
          <w:tab w:val="left" w:pos="1134"/>
          <w:tab w:val="left" w:pos="8640"/>
        </w:tabs>
        <w:jc w:val="both"/>
      </w:pPr>
      <w:r w:rsidRPr="00F771E1">
        <w:rPr>
          <w:b/>
        </w:rPr>
        <w:tab/>
      </w:r>
      <w:r w:rsidR="00885CDF" w:rsidRPr="00F771E1">
        <w:t>W 2019 r. Skarb Państwa nie wydatkował śr</w:t>
      </w:r>
      <w:r w:rsidR="00C60A67">
        <w:t xml:space="preserve">odków na spłatę gwarantowanych </w:t>
      </w:r>
      <w:r w:rsidR="00885CDF" w:rsidRPr="00F771E1">
        <w:t>i</w:t>
      </w:r>
      <w:r w:rsidR="00C60A67">
        <w:t> </w:t>
      </w:r>
      <w:r w:rsidR="00885CDF" w:rsidRPr="00F771E1">
        <w:t>poręczonych zobowiązań. Jednocześnie Skarb Państwa dokonał płatności w wysokości 106 266 zł z tytułu rozliczenia kosztów związanych z zakończonym postępowaniem sądowym dotyczącym udzielonego poręczenia Skarbu Państwa.</w:t>
      </w:r>
    </w:p>
    <w:p w14:paraId="7C914B43" w14:textId="77777777" w:rsidR="00885CDF" w:rsidRPr="00F771E1" w:rsidRDefault="00885CDF" w:rsidP="00885CDF">
      <w:pPr>
        <w:tabs>
          <w:tab w:val="left" w:pos="567"/>
          <w:tab w:val="left" w:pos="1134"/>
          <w:tab w:val="left" w:pos="8640"/>
        </w:tabs>
        <w:jc w:val="both"/>
      </w:pPr>
      <w:r w:rsidRPr="00F771E1">
        <w:tab/>
        <w:t>Należności z tytułu udzielonych przez Skarb Państwa</w:t>
      </w:r>
      <w:r w:rsidR="00C60A67">
        <w:t xml:space="preserve"> gwarancji </w:t>
      </w:r>
      <w:r w:rsidRPr="00F771E1">
        <w:t>i poręczeń, wg</w:t>
      </w:r>
      <w:r w:rsidR="00C60A67">
        <w:t> </w:t>
      </w:r>
      <w:r w:rsidRPr="00F771E1">
        <w:t>stanu na dzień 31.12.2019 r., wyniosły 29 642 457 zł, w tym odsetki ustawowe za opóźnienie stanowiły kwotę 24 194 056 zł. Oznacza to, że w stosunku do roku 2018</w:t>
      </w:r>
      <w:r w:rsidR="00C60A67">
        <w:t> </w:t>
      </w:r>
      <w:r w:rsidRPr="00F771E1">
        <w:t>pozycja ta zmniejszyła się o 60,7%, gdyż wg stanu na 31.12.2018 r. należności te wyniosły 75 415 460 zł. Odnotowany spadek należności jest wynikiem:</w:t>
      </w:r>
    </w:p>
    <w:p w14:paraId="6D014797" w14:textId="77777777" w:rsidR="00885CDF" w:rsidRPr="00F771E1" w:rsidRDefault="00885CDF" w:rsidP="00885CDF">
      <w:pPr>
        <w:pStyle w:val="pktlitcyfw00"/>
        <w:numPr>
          <w:ilvl w:val="0"/>
          <w:numId w:val="16"/>
        </w:numPr>
        <w:spacing w:after="0" w:line="240" w:lineRule="auto"/>
        <w:ind w:left="993" w:right="-1" w:hanging="426"/>
        <w:rPr>
          <w:rFonts w:ascii="Times New Roman" w:hAnsi="Times New Roman" w:cs="Times New Roman"/>
          <w:sz w:val="24"/>
          <w:szCs w:val="24"/>
        </w:rPr>
      </w:pPr>
      <w:r w:rsidRPr="00F771E1">
        <w:rPr>
          <w:rFonts w:ascii="Times New Roman" w:hAnsi="Times New Roman" w:cs="Times New Roman"/>
          <w:sz w:val="24"/>
          <w:szCs w:val="20"/>
        </w:rPr>
        <w:t>zmniejszenia należności w wyniku zdjęcia z ewidencji należności w związku z</w:t>
      </w:r>
      <w:r w:rsidR="000D15F1">
        <w:rPr>
          <w:rFonts w:ascii="Times New Roman" w:hAnsi="Times New Roman" w:cs="Times New Roman"/>
          <w:sz w:val="24"/>
          <w:szCs w:val="20"/>
        </w:rPr>
        <w:t> </w:t>
      </w:r>
      <w:r w:rsidRPr="00F771E1">
        <w:rPr>
          <w:rFonts w:ascii="Times New Roman" w:hAnsi="Times New Roman" w:cs="Times New Roman"/>
          <w:sz w:val="24"/>
          <w:szCs w:val="20"/>
        </w:rPr>
        <w:t>wykreśleniem dłużnika z Krajowego Rejestru Sądowego,</w:t>
      </w:r>
      <w:r w:rsidRPr="00F771E1">
        <w:rPr>
          <w:rFonts w:ascii="Times New Roman" w:hAnsi="Times New Roman" w:cs="Times New Roman"/>
          <w:sz w:val="24"/>
          <w:szCs w:val="24"/>
        </w:rPr>
        <w:t xml:space="preserve"> </w:t>
      </w:r>
    </w:p>
    <w:p w14:paraId="65246E9A" w14:textId="77777777" w:rsidR="00885CDF" w:rsidRPr="00F771E1" w:rsidRDefault="00885CDF" w:rsidP="00885CDF">
      <w:pPr>
        <w:pStyle w:val="pktlitcyfw00"/>
        <w:numPr>
          <w:ilvl w:val="0"/>
          <w:numId w:val="16"/>
        </w:numPr>
        <w:spacing w:after="0" w:line="240" w:lineRule="auto"/>
        <w:ind w:left="993" w:right="-1" w:hanging="426"/>
        <w:rPr>
          <w:rFonts w:ascii="Times New Roman" w:hAnsi="Times New Roman" w:cs="Times New Roman"/>
          <w:sz w:val="24"/>
          <w:szCs w:val="24"/>
        </w:rPr>
      </w:pPr>
      <w:r w:rsidRPr="00F771E1">
        <w:rPr>
          <w:rFonts w:ascii="Times New Roman" w:hAnsi="Times New Roman" w:cs="Times New Roman"/>
          <w:sz w:val="24"/>
          <w:szCs w:val="24"/>
        </w:rPr>
        <w:t>zmniejszenia należności w wyniku prowadzonych działań windykacyjnych wobec dłużników Skarbu Państwa,</w:t>
      </w:r>
    </w:p>
    <w:p w14:paraId="41B408CD" w14:textId="77777777" w:rsidR="00885CDF" w:rsidRPr="00F771E1" w:rsidRDefault="00885CDF" w:rsidP="00885CDF">
      <w:pPr>
        <w:pStyle w:val="pktlitcyfw00"/>
        <w:numPr>
          <w:ilvl w:val="0"/>
          <w:numId w:val="16"/>
        </w:numPr>
        <w:spacing w:after="0" w:line="240" w:lineRule="auto"/>
        <w:ind w:left="993" w:right="-1" w:hanging="426"/>
        <w:rPr>
          <w:rFonts w:ascii="Times New Roman" w:hAnsi="Times New Roman" w:cs="Times New Roman"/>
          <w:sz w:val="24"/>
          <w:szCs w:val="24"/>
        </w:rPr>
      </w:pPr>
      <w:r w:rsidRPr="00F771E1">
        <w:rPr>
          <w:rFonts w:ascii="Times New Roman" w:hAnsi="Times New Roman" w:cs="Times New Roman"/>
          <w:sz w:val="24"/>
          <w:szCs w:val="24"/>
        </w:rPr>
        <w:t>zwiększenia należności w wyniku zaewidencjonowania odsetek ustawowych za opóźnienie od należności Skarbu Państwa,</w:t>
      </w:r>
    </w:p>
    <w:p w14:paraId="32C267CE" w14:textId="77777777" w:rsidR="00885CDF" w:rsidRPr="00F771E1" w:rsidRDefault="00885CDF" w:rsidP="00885CDF">
      <w:pPr>
        <w:pStyle w:val="pktlitcyfw00"/>
        <w:numPr>
          <w:ilvl w:val="0"/>
          <w:numId w:val="16"/>
        </w:numPr>
        <w:spacing w:after="0" w:line="240" w:lineRule="auto"/>
        <w:ind w:left="993" w:right="-1" w:hanging="426"/>
        <w:rPr>
          <w:rFonts w:ascii="Times New Roman" w:hAnsi="Times New Roman" w:cs="Times New Roman"/>
          <w:sz w:val="24"/>
          <w:szCs w:val="24"/>
        </w:rPr>
      </w:pPr>
      <w:r w:rsidRPr="00F771E1">
        <w:rPr>
          <w:rFonts w:ascii="Times New Roman" w:hAnsi="Times New Roman" w:cs="Times New Roman"/>
          <w:sz w:val="24"/>
          <w:szCs w:val="24"/>
        </w:rPr>
        <w:t>zwiększenia należności w wyniku zaewidencjonowania należności z tytułu rozliczenia kosztów związanych z zakończonym postępowaniem sądowym dotyczącym udzielonego poręczenia Skarbu Państwa.</w:t>
      </w:r>
    </w:p>
    <w:p w14:paraId="671520AD" w14:textId="77777777" w:rsidR="00885CDF" w:rsidRPr="00F771E1" w:rsidRDefault="00885CDF" w:rsidP="00885CDF">
      <w:pPr>
        <w:tabs>
          <w:tab w:val="left" w:pos="840"/>
          <w:tab w:val="left" w:pos="960"/>
        </w:tabs>
        <w:ind w:firstLine="567"/>
        <w:jc w:val="both"/>
      </w:pPr>
      <w:r w:rsidRPr="00F771E1">
        <w:t xml:space="preserve">Należności regresowe Skarbu Państwa powstałe w wyniku spłaty poręczonych lub gwarantowanych zobowiązań, wg stanu na dzień 31.12.2019 r., wyniosły: </w:t>
      </w:r>
    </w:p>
    <w:p w14:paraId="30937AB2" w14:textId="77777777" w:rsidR="00885CDF" w:rsidRPr="00F771E1" w:rsidRDefault="00885CDF" w:rsidP="00885CDF">
      <w:pPr>
        <w:pStyle w:val="Akapitzlist"/>
        <w:numPr>
          <w:ilvl w:val="0"/>
          <w:numId w:val="17"/>
        </w:numPr>
        <w:tabs>
          <w:tab w:val="left" w:pos="993"/>
          <w:tab w:val="left" w:pos="2268"/>
        </w:tabs>
        <w:ind w:left="993" w:hanging="425"/>
        <w:contextualSpacing w:val="0"/>
        <w:jc w:val="both"/>
      </w:pPr>
      <w:r w:rsidRPr="00F771E1">
        <w:t xml:space="preserve">17 913 666 zł z tytułu poręczeń i gwarancji krajowych, </w:t>
      </w:r>
    </w:p>
    <w:p w14:paraId="24D6BD15" w14:textId="77777777" w:rsidR="00885CDF" w:rsidRPr="00F771E1" w:rsidRDefault="00885CDF" w:rsidP="00885CDF">
      <w:pPr>
        <w:pStyle w:val="Akapitzlist"/>
        <w:numPr>
          <w:ilvl w:val="0"/>
          <w:numId w:val="17"/>
        </w:numPr>
        <w:tabs>
          <w:tab w:val="left" w:pos="993"/>
          <w:tab w:val="right" w:pos="2268"/>
        </w:tabs>
        <w:ind w:left="993" w:hanging="425"/>
        <w:contextualSpacing w:val="0"/>
        <w:jc w:val="both"/>
      </w:pPr>
      <w:r w:rsidRPr="00F771E1">
        <w:t>11 728 791 zł z tytułu gwarancji zagranicznych,</w:t>
      </w:r>
    </w:p>
    <w:p w14:paraId="5D208DDE" w14:textId="77777777" w:rsidR="00885CDF" w:rsidRPr="00F771E1" w:rsidRDefault="00885CDF" w:rsidP="00885CDF">
      <w:pPr>
        <w:pStyle w:val="BlockQuotation"/>
        <w:widowControl/>
        <w:tabs>
          <w:tab w:val="left" w:pos="567"/>
        </w:tabs>
        <w:ind w:left="0" w:right="0" w:firstLine="567"/>
        <w:jc w:val="both"/>
        <w:rPr>
          <w:rFonts w:ascii="Times New Roman" w:hAnsi="Times New Roman"/>
          <w:sz w:val="24"/>
          <w:szCs w:val="24"/>
        </w:rPr>
      </w:pPr>
      <w:r w:rsidRPr="00F771E1">
        <w:rPr>
          <w:rFonts w:ascii="Times New Roman" w:hAnsi="Times New Roman"/>
          <w:sz w:val="24"/>
          <w:szCs w:val="24"/>
        </w:rPr>
        <w:t>i dotyczą głównie dłużników znajdujących się w upadłości lub likwidacji.</w:t>
      </w:r>
    </w:p>
    <w:p w14:paraId="44EF632D" w14:textId="77777777" w:rsidR="00885CDF" w:rsidRPr="00F771E1" w:rsidRDefault="00885CDF" w:rsidP="00885CDF">
      <w:pPr>
        <w:tabs>
          <w:tab w:val="left" w:pos="567"/>
          <w:tab w:val="left" w:pos="1134"/>
          <w:tab w:val="left" w:pos="8640"/>
        </w:tabs>
        <w:ind w:right="-1"/>
        <w:jc w:val="both"/>
      </w:pPr>
      <w:r w:rsidRPr="00F771E1">
        <w:t xml:space="preserve">Kwota należności Skarbu Państwa, na dzień 31.12.2019 r., stanowiła 0,03% łącznych, potencjalnych, niewymagalnych zobowiązań Skarbu Państwa z tytułu udzielonych poręczeń i gwarancji. </w:t>
      </w:r>
    </w:p>
    <w:p w14:paraId="2EBC93E9" w14:textId="77777777" w:rsidR="00A76F6C" w:rsidRPr="00F771E1" w:rsidRDefault="00885CDF" w:rsidP="00885CDF">
      <w:pPr>
        <w:tabs>
          <w:tab w:val="left" w:pos="567"/>
          <w:tab w:val="left" w:pos="1134"/>
          <w:tab w:val="left" w:pos="8640"/>
        </w:tabs>
        <w:ind w:right="-1"/>
        <w:jc w:val="both"/>
      </w:pPr>
      <w:bookmarkStart w:id="35" w:name="_Toc351982307"/>
      <w:bookmarkStart w:id="36" w:name="_Toc351982477"/>
      <w:bookmarkStart w:id="37" w:name="_Toc351982627"/>
      <w:bookmarkStart w:id="38" w:name="_Toc351982932"/>
      <w:bookmarkStart w:id="39" w:name="_Toc351990869"/>
      <w:bookmarkStart w:id="40" w:name="_Toc352076148"/>
      <w:bookmarkStart w:id="41" w:name="_Toc352237520"/>
      <w:r w:rsidRPr="00F771E1">
        <w:tab/>
        <w:t>W rezultacie działań windykacyjnych, podjętych w 2019 roku oraz w latach poprzednich, których skutkiem był zwrot do budżetu kwot wierzytelności Skarbu Państwa, w roku 2019 uzyskano dochody w wysokości 6 716 zł</w:t>
      </w:r>
      <w:r w:rsidR="00133CD1" w:rsidRPr="00F771E1">
        <w:t>.</w:t>
      </w:r>
    </w:p>
    <w:p w14:paraId="13830DF7" w14:textId="77777777" w:rsidR="00A27953" w:rsidRPr="00F771E1" w:rsidRDefault="00A7514D" w:rsidP="00A53157">
      <w:pPr>
        <w:pStyle w:val="Nagwek2"/>
        <w:tabs>
          <w:tab w:val="left" w:pos="567"/>
        </w:tabs>
        <w:spacing w:before="120" w:after="120"/>
        <w:rPr>
          <w:rFonts w:ascii="Times New Roman" w:hAnsi="Times New Roman"/>
          <w:i w:val="0"/>
          <w:sz w:val="24"/>
          <w:szCs w:val="24"/>
          <w:u w:val="single"/>
        </w:rPr>
      </w:pPr>
      <w:bookmarkStart w:id="42" w:name="_Toc37242623"/>
      <w:bookmarkEnd w:id="35"/>
      <w:bookmarkEnd w:id="36"/>
      <w:bookmarkEnd w:id="37"/>
      <w:bookmarkEnd w:id="38"/>
      <w:bookmarkEnd w:id="39"/>
      <w:bookmarkEnd w:id="40"/>
      <w:bookmarkEnd w:id="41"/>
      <w:r w:rsidRPr="00F771E1">
        <w:rPr>
          <w:rFonts w:ascii="Times New Roman" w:hAnsi="Times New Roman"/>
          <w:i w:val="0"/>
          <w:sz w:val="24"/>
          <w:szCs w:val="24"/>
        </w:rPr>
        <w:lastRenderedPageBreak/>
        <w:t xml:space="preserve">2.3 </w:t>
      </w:r>
      <w:r w:rsidR="00A53157" w:rsidRPr="00F771E1">
        <w:rPr>
          <w:rFonts w:ascii="Times New Roman" w:hAnsi="Times New Roman"/>
          <w:i w:val="0"/>
          <w:sz w:val="24"/>
          <w:szCs w:val="24"/>
        </w:rPr>
        <w:tab/>
      </w:r>
      <w:r w:rsidRPr="00F771E1">
        <w:rPr>
          <w:rFonts w:ascii="Times New Roman" w:hAnsi="Times New Roman"/>
          <w:i w:val="0"/>
          <w:sz w:val="24"/>
          <w:szCs w:val="24"/>
        </w:rPr>
        <w:t>Poręczenia i gwarancje udzielone przez niektóre osoby prawne</w:t>
      </w:r>
      <w:bookmarkEnd w:id="42"/>
    </w:p>
    <w:p w14:paraId="25BB78AD" w14:textId="77777777" w:rsidR="00A27953" w:rsidRPr="00F771E1" w:rsidRDefault="00A27953" w:rsidP="000D4654">
      <w:pPr>
        <w:autoSpaceDE w:val="0"/>
        <w:autoSpaceDN w:val="0"/>
        <w:adjustRightInd w:val="0"/>
        <w:ind w:firstLine="567"/>
        <w:jc w:val="both"/>
      </w:pPr>
      <w:r w:rsidRPr="00F771E1">
        <w:t xml:space="preserve">Ustawa </w:t>
      </w:r>
      <w:r w:rsidRPr="00F771E1">
        <w:rPr>
          <w:iCs/>
        </w:rPr>
        <w:t xml:space="preserve">o poręczeniach i gwarancjach </w:t>
      </w:r>
      <w:r w:rsidRPr="00F771E1">
        <w:t>określa</w:t>
      </w:r>
      <w:r w:rsidR="00605222" w:rsidRPr="00F771E1">
        <w:rPr>
          <w:i/>
          <w:iCs/>
        </w:rPr>
        <w:t xml:space="preserve"> </w:t>
      </w:r>
      <w:r w:rsidRPr="00F771E1">
        <w:t xml:space="preserve">obowiązek sprawozdawczy niektórych osób prawnych wobec </w:t>
      </w:r>
      <w:r w:rsidR="000D4654" w:rsidRPr="00F771E1">
        <w:t>m</w:t>
      </w:r>
      <w:r w:rsidRPr="00F771E1">
        <w:t xml:space="preserve">inistra </w:t>
      </w:r>
      <w:r w:rsidR="000D4654" w:rsidRPr="00F771E1">
        <w:t>właściwego do spraw f</w:t>
      </w:r>
      <w:r w:rsidRPr="00F771E1">
        <w:t>inansów</w:t>
      </w:r>
      <w:r w:rsidR="000D4654" w:rsidRPr="00F771E1">
        <w:t xml:space="preserve"> publicznych</w:t>
      </w:r>
      <w:r w:rsidRPr="00F771E1">
        <w:t xml:space="preserve"> w zakresie</w:t>
      </w:r>
      <w:r w:rsidR="00605222" w:rsidRPr="00F771E1">
        <w:rPr>
          <w:i/>
          <w:iCs/>
        </w:rPr>
        <w:t xml:space="preserve"> </w:t>
      </w:r>
      <w:r w:rsidRPr="00F771E1">
        <w:t xml:space="preserve">prowadzonej przez te podmioty działalności </w:t>
      </w:r>
      <w:proofErr w:type="spellStart"/>
      <w:r w:rsidRPr="00F771E1">
        <w:t>poręczeniowo</w:t>
      </w:r>
      <w:proofErr w:type="spellEnd"/>
      <w:r w:rsidRPr="00F771E1">
        <w:t>-gwarancyjnej.</w:t>
      </w:r>
      <w:r w:rsidR="00605222" w:rsidRPr="00F771E1">
        <w:t xml:space="preserve"> </w:t>
      </w:r>
      <w:r w:rsidRPr="00F771E1">
        <w:t xml:space="preserve">Zgodnie z </w:t>
      </w:r>
      <w:r w:rsidR="000D4654" w:rsidRPr="00F771E1">
        <w:t xml:space="preserve">ww. ustawą niektóre osoby prawne (podmioty </w:t>
      </w:r>
      <w:r w:rsidR="00FC3D65" w:rsidRPr="00F771E1">
        <w:t>niebędące bankami oraz zakładami ubezpieczeń</w:t>
      </w:r>
      <w:r w:rsidR="000D4654" w:rsidRPr="00F771E1">
        <w:t>) uprawnione</w:t>
      </w:r>
      <w:r w:rsidR="00AB2112" w:rsidRPr="00F771E1">
        <w:t>,</w:t>
      </w:r>
      <w:r w:rsidR="000D4654" w:rsidRPr="00F771E1">
        <w:t xml:space="preserve"> na podstawie odrębnych przepisów</w:t>
      </w:r>
      <w:r w:rsidR="00AB2112" w:rsidRPr="00F771E1">
        <w:t>,</w:t>
      </w:r>
      <w:r w:rsidR="000D4654" w:rsidRPr="00F771E1">
        <w:t xml:space="preserve"> do udzielania poręczeń i gwarancji, w ramach powierzonych im zadań publicznych lub w zakresie prowadzonej przez nie dział</w:t>
      </w:r>
      <w:r w:rsidR="007B5A9C">
        <w:t xml:space="preserve">alności gospodarczej, </w:t>
      </w:r>
      <w:r w:rsidR="000D4654" w:rsidRPr="00F771E1">
        <w:t>to</w:t>
      </w:r>
      <w:r w:rsidRPr="00F771E1">
        <w:t>:</w:t>
      </w:r>
    </w:p>
    <w:p w14:paraId="24114450" w14:textId="77777777" w:rsidR="00A27953" w:rsidRPr="00F771E1" w:rsidRDefault="00A27953" w:rsidP="002874A0">
      <w:pPr>
        <w:pStyle w:val="Akapitzlist"/>
        <w:numPr>
          <w:ilvl w:val="0"/>
          <w:numId w:val="19"/>
        </w:numPr>
        <w:autoSpaceDE w:val="0"/>
        <w:autoSpaceDN w:val="0"/>
        <w:adjustRightInd w:val="0"/>
        <w:jc w:val="both"/>
      </w:pPr>
      <w:r w:rsidRPr="00F771E1">
        <w:t>państwowe osoby prawne utworzone w drodze ustawy,</w:t>
      </w:r>
    </w:p>
    <w:p w14:paraId="45768522" w14:textId="77777777" w:rsidR="00A27953" w:rsidRPr="00F771E1" w:rsidRDefault="00A27953" w:rsidP="002874A0">
      <w:pPr>
        <w:pStyle w:val="Akapitzlist"/>
        <w:numPr>
          <w:ilvl w:val="0"/>
          <w:numId w:val="19"/>
        </w:numPr>
        <w:autoSpaceDE w:val="0"/>
        <w:autoSpaceDN w:val="0"/>
        <w:adjustRightInd w:val="0"/>
        <w:jc w:val="both"/>
      </w:pPr>
      <w:r w:rsidRPr="00F771E1">
        <w:t>fundacje, w których fundatorami są oso</w:t>
      </w:r>
      <w:r w:rsidR="00510C6C" w:rsidRPr="00F771E1">
        <w:t>by prawne, o których mowa w lit</w:t>
      </w:r>
      <w:r w:rsidR="00884B83" w:rsidRPr="00F771E1">
        <w:t>.</w:t>
      </w:r>
      <w:r w:rsidRPr="00F771E1">
        <w:t xml:space="preserve"> a.</w:t>
      </w:r>
    </w:p>
    <w:p w14:paraId="6EDE3B8C" w14:textId="77777777" w:rsidR="00A27953" w:rsidRPr="00F771E1" w:rsidRDefault="00A27953" w:rsidP="00C611CD">
      <w:pPr>
        <w:autoSpaceDE w:val="0"/>
        <w:autoSpaceDN w:val="0"/>
        <w:adjustRightInd w:val="0"/>
        <w:ind w:firstLine="567"/>
        <w:jc w:val="both"/>
      </w:pPr>
      <w:r w:rsidRPr="00F771E1">
        <w:t>Zgodnie z ustawą o poręczeniach i gwarancjach, ww. osoby prawne mogą udzielać</w:t>
      </w:r>
      <w:r w:rsidR="00605222" w:rsidRPr="00F771E1">
        <w:t xml:space="preserve"> </w:t>
      </w:r>
      <w:r w:rsidRPr="00F771E1">
        <w:t>poręczeń i gwarancji do wysokości nie wyższej niż 60% wartości kapitałów (funduszy)</w:t>
      </w:r>
      <w:r w:rsidR="00605222" w:rsidRPr="00F771E1">
        <w:t xml:space="preserve"> </w:t>
      </w:r>
      <w:r w:rsidRPr="00F771E1">
        <w:t>własnych, określonych według stanu na koniec roku obrotowego poprzedzającego udzielenie</w:t>
      </w:r>
      <w:r w:rsidR="00605222" w:rsidRPr="00F771E1">
        <w:t xml:space="preserve"> </w:t>
      </w:r>
      <w:r w:rsidRPr="00F771E1">
        <w:t>poręczenia lub gwarancji, z zastrzeżeniem</w:t>
      </w:r>
      <w:r w:rsidR="007C5E0F" w:rsidRPr="00F771E1">
        <w:t>,</w:t>
      </w:r>
      <w:r w:rsidRPr="00F771E1">
        <w:t xml:space="preserve"> że kwota poręczenia lub gwarancji udzielanych za</w:t>
      </w:r>
      <w:r w:rsidR="00605222" w:rsidRPr="00F771E1">
        <w:t xml:space="preserve"> </w:t>
      </w:r>
      <w:r w:rsidRPr="00F771E1">
        <w:t>zobowiązania określonego podmiotu nie może przekroczyć 20% wartości tych kapitałów</w:t>
      </w:r>
      <w:r w:rsidR="00605222" w:rsidRPr="00F771E1">
        <w:t xml:space="preserve"> </w:t>
      </w:r>
      <w:r w:rsidRPr="00F771E1">
        <w:t>(funduszy). Przekroczenie tych limitów wymaga uprzedniej zgody ministra właściwego do</w:t>
      </w:r>
      <w:r w:rsidR="00605222" w:rsidRPr="00F771E1">
        <w:t xml:space="preserve"> </w:t>
      </w:r>
      <w:r w:rsidRPr="00F771E1">
        <w:t>spraw finansów publicznych.</w:t>
      </w:r>
    </w:p>
    <w:p w14:paraId="5E9F4DAA" w14:textId="77777777" w:rsidR="00A2006A" w:rsidRPr="00F771E1" w:rsidRDefault="004369A2" w:rsidP="00A2006A">
      <w:pPr>
        <w:pStyle w:val="Tekstpodstawowy21"/>
        <w:ind w:firstLine="709"/>
        <w:rPr>
          <w:rFonts w:ascii="Times New Roman" w:hAnsi="Times New Roman"/>
        </w:rPr>
      </w:pPr>
      <w:r w:rsidRPr="00F771E1">
        <w:rPr>
          <w:rFonts w:ascii="Times New Roman" w:hAnsi="Times New Roman"/>
        </w:rPr>
        <w:t>W 2019</w:t>
      </w:r>
      <w:r w:rsidR="00A2006A" w:rsidRPr="00F771E1">
        <w:rPr>
          <w:rFonts w:ascii="Times New Roman" w:hAnsi="Times New Roman"/>
        </w:rPr>
        <w:t xml:space="preserve"> roku do Ministerstwa Finansów sprawozdania prz</w:t>
      </w:r>
      <w:r w:rsidR="00286496">
        <w:rPr>
          <w:rFonts w:ascii="Times New Roman" w:hAnsi="Times New Roman"/>
        </w:rPr>
        <w:t>ekazały 3 podmioty podlegające</w:t>
      </w:r>
      <w:r w:rsidR="00A2006A" w:rsidRPr="00F771E1">
        <w:rPr>
          <w:rFonts w:ascii="Times New Roman" w:hAnsi="Times New Roman"/>
        </w:rPr>
        <w:t xml:space="preserve"> ww. obowiązkowi sprawozdawczemu, tj.:</w:t>
      </w:r>
    </w:p>
    <w:p w14:paraId="20734A80" w14:textId="77777777" w:rsidR="00A2006A" w:rsidRPr="00F771E1" w:rsidRDefault="00A2006A" w:rsidP="00A2006A">
      <w:pPr>
        <w:pStyle w:val="Tekstpodstawowy21"/>
        <w:numPr>
          <w:ilvl w:val="0"/>
          <w:numId w:val="29"/>
        </w:numPr>
        <w:rPr>
          <w:rFonts w:ascii="Times New Roman" w:hAnsi="Times New Roman"/>
        </w:rPr>
      </w:pPr>
      <w:r w:rsidRPr="00F771E1">
        <w:rPr>
          <w:rFonts w:ascii="Times New Roman" w:hAnsi="Times New Roman"/>
        </w:rPr>
        <w:t>Krajowy Ośrodek Wsparcia Rolnictwa (KOWR),</w:t>
      </w:r>
    </w:p>
    <w:p w14:paraId="01FDDEE1" w14:textId="77777777" w:rsidR="00A2006A" w:rsidRPr="00F771E1" w:rsidRDefault="00A2006A" w:rsidP="00A2006A">
      <w:pPr>
        <w:pStyle w:val="Tekstpodstawowy21"/>
        <w:numPr>
          <w:ilvl w:val="0"/>
          <w:numId w:val="29"/>
        </w:numPr>
        <w:rPr>
          <w:rFonts w:ascii="Times New Roman" w:hAnsi="Times New Roman"/>
        </w:rPr>
      </w:pPr>
      <w:r w:rsidRPr="00F771E1">
        <w:rPr>
          <w:rFonts w:ascii="Times New Roman" w:hAnsi="Times New Roman"/>
        </w:rPr>
        <w:t>Agencja Restrukturyzacji i Modernizacji Rolnictwa (ARiMR),</w:t>
      </w:r>
    </w:p>
    <w:p w14:paraId="035C1111" w14:textId="77777777" w:rsidR="00A2006A" w:rsidRPr="00F771E1" w:rsidRDefault="00A2006A" w:rsidP="00A2006A">
      <w:pPr>
        <w:pStyle w:val="Tekstpodstawowy21"/>
        <w:numPr>
          <w:ilvl w:val="0"/>
          <w:numId w:val="29"/>
        </w:numPr>
        <w:rPr>
          <w:rFonts w:ascii="Times New Roman" w:hAnsi="Times New Roman"/>
        </w:rPr>
      </w:pPr>
      <w:r w:rsidRPr="00F771E1">
        <w:rPr>
          <w:rFonts w:ascii="Times New Roman" w:hAnsi="Times New Roman"/>
        </w:rPr>
        <w:t>Narodowy Fundusz Ochrony Środowiska i Gospodarki Wodnej (NFOŚiGW).</w:t>
      </w:r>
    </w:p>
    <w:p w14:paraId="7E077CE9" w14:textId="77777777" w:rsidR="00A2006A" w:rsidRPr="00F771E1" w:rsidRDefault="003A2868" w:rsidP="00A2006A">
      <w:pPr>
        <w:pStyle w:val="Tekstpodstawowy21"/>
        <w:ind w:firstLine="709"/>
        <w:rPr>
          <w:rFonts w:ascii="Times New Roman" w:hAnsi="Times New Roman"/>
        </w:rPr>
      </w:pPr>
      <w:r>
        <w:rPr>
          <w:rFonts w:ascii="Times New Roman" w:hAnsi="Times New Roman"/>
        </w:rPr>
        <w:t>Tym samym</w:t>
      </w:r>
      <w:r w:rsidR="00A2006A" w:rsidRPr="00F771E1">
        <w:rPr>
          <w:rFonts w:ascii="Times New Roman" w:hAnsi="Times New Roman"/>
        </w:rPr>
        <w:t xml:space="preserve"> liczba </w:t>
      </w:r>
      <w:r w:rsidR="004369A2" w:rsidRPr="00F771E1">
        <w:rPr>
          <w:rFonts w:ascii="Times New Roman" w:hAnsi="Times New Roman"/>
        </w:rPr>
        <w:t>podmiotów przesyłających za 2019</w:t>
      </w:r>
      <w:r w:rsidR="00C60A67">
        <w:rPr>
          <w:rFonts w:ascii="Times New Roman" w:hAnsi="Times New Roman"/>
        </w:rPr>
        <w:t xml:space="preserve"> rok sprawozdania </w:t>
      </w:r>
      <w:r w:rsidR="00A2006A" w:rsidRPr="00F771E1">
        <w:rPr>
          <w:rFonts w:ascii="Times New Roman" w:hAnsi="Times New Roman"/>
        </w:rPr>
        <w:t>z</w:t>
      </w:r>
      <w:r w:rsidR="00C60A67">
        <w:rPr>
          <w:rFonts w:ascii="Times New Roman" w:hAnsi="Times New Roman"/>
        </w:rPr>
        <w:t> </w:t>
      </w:r>
      <w:r w:rsidR="00A2006A" w:rsidRPr="00F771E1">
        <w:rPr>
          <w:rFonts w:ascii="Times New Roman" w:hAnsi="Times New Roman"/>
        </w:rPr>
        <w:t xml:space="preserve">zakresu prowadzonej działalności poręczeniowej i gwarancyjnej </w:t>
      </w:r>
      <w:r w:rsidR="004369A2" w:rsidRPr="00F771E1">
        <w:rPr>
          <w:rFonts w:ascii="Times New Roman" w:hAnsi="Times New Roman"/>
        </w:rPr>
        <w:t>utrzymała się na analogicznym poziomie jak w roku 2018.</w:t>
      </w:r>
    </w:p>
    <w:p w14:paraId="004FEF46" w14:textId="77777777" w:rsidR="004F1207" w:rsidRPr="00F771E1" w:rsidRDefault="00D648C7" w:rsidP="00A2006A">
      <w:pPr>
        <w:autoSpaceDE w:val="0"/>
        <w:autoSpaceDN w:val="0"/>
        <w:adjustRightInd w:val="0"/>
        <w:jc w:val="both"/>
      </w:pPr>
      <w:r w:rsidRPr="00F771E1">
        <w:tab/>
      </w:r>
      <w:r w:rsidR="00C66CF3" w:rsidRPr="00F771E1">
        <w:t>W</w:t>
      </w:r>
      <w:r w:rsidRPr="00F771E1">
        <w:t>yżej wymienione</w:t>
      </w:r>
      <w:r w:rsidR="00A2006A" w:rsidRPr="00F771E1">
        <w:t xml:space="preserve"> podmioty</w:t>
      </w:r>
      <w:r w:rsidR="004369A2" w:rsidRPr="00F771E1">
        <w:t xml:space="preserve"> w 2019</w:t>
      </w:r>
      <w:r w:rsidR="00A2006A" w:rsidRPr="00F771E1">
        <w:t xml:space="preserve"> r. udzieliły łącznie </w:t>
      </w:r>
      <w:r w:rsidR="004369A2" w:rsidRPr="00F771E1">
        <w:t>22</w:t>
      </w:r>
      <w:r w:rsidR="00A2006A" w:rsidRPr="00F771E1">
        <w:t xml:space="preserve"> poręczeń i gwarancji na łączną kwotę </w:t>
      </w:r>
      <w:r w:rsidR="003E2E85">
        <w:t>50 573 </w:t>
      </w:r>
      <w:r w:rsidR="004369A2" w:rsidRPr="00F771E1">
        <w:t>200</w:t>
      </w:r>
      <w:r w:rsidR="00A2006A" w:rsidRPr="00F771E1">
        <w:t xml:space="preserve"> zł. Tym </w:t>
      </w:r>
      <w:r w:rsidR="004369A2" w:rsidRPr="00F771E1">
        <w:t>samym wartość udzielonych w 2019</w:t>
      </w:r>
      <w:r w:rsidR="00A2006A" w:rsidRPr="00F771E1">
        <w:t xml:space="preserve"> r. p</w:t>
      </w:r>
      <w:r w:rsidR="00AA11E6" w:rsidRPr="00F771E1">
        <w:t>oręczeń i</w:t>
      </w:r>
      <w:r w:rsidR="00C60A67">
        <w:t> </w:t>
      </w:r>
      <w:r w:rsidR="00AA11E6" w:rsidRPr="00F771E1">
        <w:t xml:space="preserve">gwarancji stanowiła </w:t>
      </w:r>
      <w:r w:rsidR="003A32F9">
        <w:t>6 </w:t>
      </w:r>
      <w:r w:rsidR="00E96317" w:rsidRPr="00F771E1">
        <w:t>475%</w:t>
      </w:r>
      <w:r w:rsidR="00A2006A" w:rsidRPr="00F771E1">
        <w:t xml:space="preserve"> wartości poręczeń i gwarancji udzielonych przez sp</w:t>
      </w:r>
      <w:r w:rsidR="00E96317" w:rsidRPr="00F771E1">
        <w:t>rawozdające podmioty w roku 2018</w:t>
      </w:r>
      <w:r w:rsidR="00A2006A" w:rsidRPr="00F771E1">
        <w:t xml:space="preserve">. </w:t>
      </w:r>
    </w:p>
    <w:p w14:paraId="159B05B5" w14:textId="77777777" w:rsidR="00C66CF3" w:rsidRPr="00F771E1" w:rsidRDefault="00A2006A" w:rsidP="00C66CF3">
      <w:pPr>
        <w:autoSpaceDE w:val="0"/>
        <w:autoSpaceDN w:val="0"/>
        <w:adjustRightInd w:val="0"/>
        <w:ind w:firstLine="567"/>
        <w:jc w:val="both"/>
      </w:pPr>
      <w:r w:rsidRPr="00F771E1">
        <w:t xml:space="preserve">Tak istotny wzrost wartości udzielonych poręczeń i gwarancji </w:t>
      </w:r>
      <w:r w:rsidR="009D2827" w:rsidRPr="00F771E1">
        <w:t xml:space="preserve">wynika przede wszystkim z działalności </w:t>
      </w:r>
      <w:proofErr w:type="spellStart"/>
      <w:r w:rsidR="009D2827" w:rsidRPr="00F771E1">
        <w:t>poręczeniowo</w:t>
      </w:r>
      <w:proofErr w:type="spellEnd"/>
      <w:r w:rsidR="009D2827" w:rsidRPr="00F771E1">
        <w:t>-gwarancyjnej Krajowego Ośrodka</w:t>
      </w:r>
      <w:r w:rsidRPr="00F771E1">
        <w:t xml:space="preserve"> Wsparcia Rolnictwa,</w:t>
      </w:r>
      <w:r w:rsidR="00E96317" w:rsidRPr="00F771E1">
        <w:t xml:space="preserve"> który w II półroczu 2019</w:t>
      </w:r>
      <w:r w:rsidR="009D2827" w:rsidRPr="00F771E1">
        <w:t xml:space="preserve"> roku udzielił gwarancji o łącznej wartości</w:t>
      </w:r>
      <w:r w:rsidRPr="00F771E1">
        <w:t xml:space="preserve"> </w:t>
      </w:r>
      <w:r w:rsidR="00E96317" w:rsidRPr="00F771E1">
        <w:t>5</w:t>
      </w:r>
      <w:r w:rsidR="009D2827" w:rsidRPr="00F771E1">
        <w:t>0</w:t>
      </w:r>
      <w:r w:rsidR="004F1207" w:rsidRPr="00F771E1">
        <w:t> </w:t>
      </w:r>
      <w:r w:rsidR="009D2827" w:rsidRPr="00F771E1">
        <w:t>000</w:t>
      </w:r>
      <w:r w:rsidR="004F1207" w:rsidRPr="00F771E1">
        <w:t> </w:t>
      </w:r>
      <w:r w:rsidR="009D2827" w:rsidRPr="00F771E1">
        <w:t>000 zł.</w:t>
      </w:r>
      <w:r w:rsidR="009401EF">
        <w:t xml:space="preserve"> Ponadto</w:t>
      </w:r>
      <w:r w:rsidR="00317CC1" w:rsidRPr="00F771E1">
        <w:t xml:space="preserve"> należy </w:t>
      </w:r>
      <w:r w:rsidR="002043E2" w:rsidRPr="00F771E1">
        <w:t>wskazać</w:t>
      </w:r>
      <w:r w:rsidR="00317CC1" w:rsidRPr="00F771E1">
        <w:t>, iż Agencja Restrukturyzacji i</w:t>
      </w:r>
      <w:r w:rsidR="004F1207" w:rsidRPr="00F771E1">
        <w:t> </w:t>
      </w:r>
      <w:r w:rsidR="00317CC1" w:rsidRPr="00F771E1">
        <w:t>Modernizacji Rolnictwa</w:t>
      </w:r>
      <w:r w:rsidR="002043E2" w:rsidRPr="00F771E1">
        <w:t xml:space="preserve"> </w:t>
      </w:r>
      <w:r w:rsidR="00317CC1" w:rsidRPr="00F771E1">
        <w:t>corocznie</w:t>
      </w:r>
      <w:r w:rsidR="002043E2" w:rsidRPr="00F771E1">
        <w:t xml:space="preserve">, w ramach działalności </w:t>
      </w:r>
      <w:proofErr w:type="spellStart"/>
      <w:r w:rsidR="002043E2" w:rsidRPr="00F771E1">
        <w:t>poręczeniowo</w:t>
      </w:r>
      <w:proofErr w:type="spellEnd"/>
      <w:r w:rsidR="002043E2" w:rsidRPr="00F771E1">
        <w:t>-gwarancyjnej,</w:t>
      </w:r>
      <w:r w:rsidR="00317CC1" w:rsidRPr="00F771E1">
        <w:t xml:space="preserve"> udziela znacznych ilości poręczeń kredytów studenckich. </w:t>
      </w:r>
      <w:r w:rsidR="002043E2" w:rsidRPr="00F771E1">
        <w:t>W 201</w:t>
      </w:r>
      <w:r w:rsidR="003A32F9">
        <w:t>9</w:t>
      </w:r>
      <w:r w:rsidR="002043E2" w:rsidRPr="00F771E1">
        <w:t xml:space="preserve"> roku wspomniana jednostka udzielił</w:t>
      </w:r>
      <w:r w:rsidR="00F7466E" w:rsidRPr="00F771E1">
        <w:t>a</w:t>
      </w:r>
      <w:r w:rsidR="002043E2" w:rsidRPr="00F771E1">
        <w:t xml:space="preserve"> poręczeń o łącznej wartości </w:t>
      </w:r>
      <w:r w:rsidR="00E96317" w:rsidRPr="00F771E1">
        <w:t>573</w:t>
      </w:r>
      <w:r w:rsidR="002043E2" w:rsidRPr="00F771E1">
        <w:t> </w:t>
      </w:r>
      <w:r w:rsidR="003A32F9">
        <w:t>2</w:t>
      </w:r>
      <w:r w:rsidR="002043E2" w:rsidRPr="00F771E1">
        <w:t>00 zł</w:t>
      </w:r>
      <w:r w:rsidR="004F1207" w:rsidRPr="00F771E1">
        <w:t>,</w:t>
      </w:r>
      <w:r w:rsidR="002043E2" w:rsidRPr="00F771E1">
        <w:t xml:space="preserve"> co również miało wpływ na </w:t>
      </w:r>
      <w:r w:rsidR="004F1207" w:rsidRPr="00F771E1">
        <w:t>ww.</w:t>
      </w:r>
      <w:r w:rsidR="002043E2" w:rsidRPr="00F771E1">
        <w:t xml:space="preserve"> wzrost wartości udzielonych, przez niektóre osoby prawne, w</w:t>
      </w:r>
      <w:r w:rsidR="004F1207" w:rsidRPr="00F771E1">
        <w:t> </w:t>
      </w:r>
      <w:r w:rsidR="00E96317" w:rsidRPr="00F771E1">
        <w:t>2019</w:t>
      </w:r>
      <w:r w:rsidR="002043E2" w:rsidRPr="00F771E1">
        <w:t xml:space="preserve"> roku poręczeń i gwarancji.</w:t>
      </w:r>
    </w:p>
    <w:p w14:paraId="7736A9D9" w14:textId="77777777" w:rsidR="00A2006A" w:rsidRPr="00F771E1" w:rsidRDefault="00A2006A" w:rsidP="00C66CF3">
      <w:pPr>
        <w:autoSpaceDE w:val="0"/>
        <w:autoSpaceDN w:val="0"/>
        <w:adjustRightInd w:val="0"/>
        <w:ind w:firstLine="567"/>
        <w:jc w:val="both"/>
      </w:pPr>
      <w:r w:rsidRPr="00F771E1">
        <w:t>Jednocześnie, według stanu na dzień 31.12.201</w:t>
      </w:r>
      <w:r w:rsidR="00E96317" w:rsidRPr="00F771E1">
        <w:t>9</w:t>
      </w:r>
      <w:r w:rsidRPr="00F771E1">
        <w:t> r.</w:t>
      </w:r>
      <w:r w:rsidR="00C60A67">
        <w:t>,</w:t>
      </w:r>
      <w:r w:rsidRPr="00F771E1">
        <w:t xml:space="preserve"> łączny stan potencjalnych zobowiązań wynikających z udzielonych przez podmi</w:t>
      </w:r>
      <w:r w:rsidR="004A56CF">
        <w:t xml:space="preserve">oty sprawozdające poręczeń </w:t>
      </w:r>
      <w:r w:rsidRPr="00F771E1">
        <w:t>i</w:t>
      </w:r>
      <w:r w:rsidR="004A56CF">
        <w:t> </w:t>
      </w:r>
      <w:r w:rsidRPr="00F771E1">
        <w:t xml:space="preserve">gwarancji osiągnął wartość </w:t>
      </w:r>
      <w:r w:rsidR="00E96317" w:rsidRPr="00F771E1">
        <w:t>85</w:t>
      </w:r>
      <w:r w:rsidR="003A32F9">
        <w:t> </w:t>
      </w:r>
      <w:r w:rsidR="00E96317" w:rsidRPr="00F771E1">
        <w:t>846</w:t>
      </w:r>
      <w:r w:rsidR="003A32F9">
        <w:t> </w:t>
      </w:r>
      <w:r w:rsidR="00E96317" w:rsidRPr="00F771E1">
        <w:t>108</w:t>
      </w:r>
      <w:r w:rsidRPr="00F771E1">
        <w:t xml:space="preserve"> zł (tj. około </w:t>
      </w:r>
      <w:r w:rsidR="00E96317" w:rsidRPr="00F771E1">
        <w:t>145</w:t>
      </w:r>
      <w:r w:rsidRPr="00F771E1">
        <w:t>% stanu potencjalnych zobo</w:t>
      </w:r>
      <w:r w:rsidR="00E96317" w:rsidRPr="00F771E1">
        <w:t>wiązań wykazanych na koniec 2018</w:t>
      </w:r>
      <w:r w:rsidRPr="00F771E1">
        <w:t xml:space="preserve"> r.). Potencjalne zobowiązania z tego tytułu wykazują wszystkie wyżej wymienione podmioty sprawozdające, zaś wzrost</w:t>
      </w:r>
      <w:r w:rsidR="00D408B5" w:rsidRPr="00F771E1">
        <w:t xml:space="preserve"> ich</w:t>
      </w:r>
      <w:r w:rsidRPr="00F771E1">
        <w:t xml:space="preserve"> wartości związany jest przede wszystkim ze wsp</w:t>
      </w:r>
      <w:r w:rsidR="00317CC1" w:rsidRPr="00F771E1">
        <w:t xml:space="preserve">omnianą działalnością </w:t>
      </w:r>
      <w:r w:rsidR="00C66CF3" w:rsidRPr="00F771E1">
        <w:br/>
      </w:r>
      <w:proofErr w:type="spellStart"/>
      <w:r w:rsidR="00317CC1" w:rsidRPr="00F771E1">
        <w:t>poręczeniowo</w:t>
      </w:r>
      <w:proofErr w:type="spellEnd"/>
      <w:r w:rsidR="00317CC1" w:rsidRPr="00F771E1">
        <w:t>-gwarancyjną Krajowego Ośrod</w:t>
      </w:r>
      <w:r w:rsidRPr="00F771E1">
        <w:t>k</w:t>
      </w:r>
      <w:r w:rsidR="00317CC1" w:rsidRPr="00F771E1">
        <w:t>a</w:t>
      </w:r>
      <w:r w:rsidRPr="00F771E1">
        <w:t xml:space="preserve"> Wsparcia Rolnictwa.</w:t>
      </w:r>
    </w:p>
    <w:p w14:paraId="071EE1C7" w14:textId="77777777" w:rsidR="003A32F9" w:rsidRPr="00F771E1" w:rsidRDefault="003A32F9" w:rsidP="00297F40">
      <w:pPr>
        <w:pStyle w:val="Tekstpodstawowy21"/>
        <w:ind w:right="-1" w:firstLine="567"/>
        <w:rPr>
          <w:rFonts w:ascii="Times New Roman" w:hAnsi="Times New Roman"/>
          <w:szCs w:val="24"/>
        </w:rPr>
      </w:pPr>
      <w:r>
        <w:rPr>
          <w:rFonts w:ascii="Times New Roman" w:hAnsi="Times New Roman"/>
        </w:rPr>
        <w:t>Natomiast</w:t>
      </w:r>
      <w:r w:rsidR="0021519F">
        <w:rPr>
          <w:rFonts w:ascii="Times New Roman" w:hAnsi="Times New Roman"/>
        </w:rPr>
        <w:t xml:space="preserve"> </w:t>
      </w:r>
      <w:r w:rsidR="00A2006A" w:rsidRPr="00F771E1">
        <w:rPr>
          <w:rFonts w:ascii="Times New Roman" w:hAnsi="Times New Roman"/>
        </w:rPr>
        <w:t>stan należności wynikający z udzielonych przez niektóre oso</w:t>
      </w:r>
      <w:r w:rsidR="0021519F">
        <w:rPr>
          <w:rFonts w:ascii="Times New Roman" w:hAnsi="Times New Roman"/>
        </w:rPr>
        <w:t xml:space="preserve">by prawne gwarancji i poręczeń </w:t>
      </w:r>
      <w:r w:rsidR="00E96317" w:rsidRPr="00F771E1">
        <w:rPr>
          <w:rFonts w:ascii="Times New Roman" w:hAnsi="Times New Roman"/>
        </w:rPr>
        <w:t>na dzień 31.12.2019</w:t>
      </w:r>
      <w:r w:rsidR="0021519F">
        <w:rPr>
          <w:rFonts w:ascii="Times New Roman" w:hAnsi="Times New Roman"/>
        </w:rPr>
        <w:t xml:space="preserve"> r.</w:t>
      </w:r>
      <w:r w:rsidR="00EA76EE" w:rsidRPr="00F771E1">
        <w:rPr>
          <w:rFonts w:ascii="Times New Roman" w:hAnsi="Times New Roman"/>
        </w:rPr>
        <w:t xml:space="preserve"> wyniósł</w:t>
      </w:r>
      <w:r w:rsidR="00A2006A" w:rsidRPr="00F771E1">
        <w:rPr>
          <w:rFonts w:ascii="Times New Roman" w:hAnsi="Times New Roman"/>
        </w:rPr>
        <w:t xml:space="preserve"> </w:t>
      </w:r>
      <w:r w:rsidR="003E2E85">
        <w:rPr>
          <w:rFonts w:ascii="Times New Roman" w:hAnsi="Times New Roman"/>
          <w:szCs w:val="24"/>
        </w:rPr>
        <w:t>24 759 </w:t>
      </w:r>
      <w:r w:rsidR="00E96317" w:rsidRPr="00F771E1">
        <w:rPr>
          <w:rFonts w:ascii="Times New Roman" w:hAnsi="Times New Roman"/>
          <w:szCs w:val="24"/>
        </w:rPr>
        <w:t>849</w:t>
      </w:r>
      <w:r w:rsidR="00A2006A" w:rsidRPr="00F771E1">
        <w:rPr>
          <w:rFonts w:ascii="Times New Roman" w:hAnsi="Times New Roman"/>
          <w:szCs w:val="24"/>
        </w:rPr>
        <w:t> zł</w:t>
      </w:r>
      <w:r w:rsidR="00A2006A" w:rsidRPr="00F771E1">
        <w:rPr>
          <w:rFonts w:ascii="Times New Roman" w:hAnsi="Times New Roman"/>
        </w:rPr>
        <w:t xml:space="preserve"> (</w:t>
      </w:r>
      <w:r w:rsidR="00A2006A" w:rsidRPr="00F771E1">
        <w:rPr>
          <w:rFonts w:ascii="Times New Roman" w:hAnsi="Times New Roman"/>
          <w:szCs w:val="24"/>
        </w:rPr>
        <w:t>tj. </w:t>
      </w:r>
      <w:r w:rsidR="00340530" w:rsidRPr="00F771E1">
        <w:rPr>
          <w:rFonts w:ascii="Times New Roman" w:hAnsi="Times New Roman"/>
          <w:szCs w:val="24"/>
        </w:rPr>
        <w:t>okoł</w:t>
      </w:r>
      <w:r w:rsidR="00E96317" w:rsidRPr="00F771E1">
        <w:rPr>
          <w:rFonts w:ascii="Times New Roman" w:hAnsi="Times New Roman"/>
          <w:szCs w:val="24"/>
        </w:rPr>
        <w:t>o</w:t>
      </w:r>
      <w:r w:rsidR="00A2006A" w:rsidRPr="00F771E1">
        <w:rPr>
          <w:rFonts w:ascii="Times New Roman" w:hAnsi="Times New Roman"/>
          <w:szCs w:val="24"/>
        </w:rPr>
        <w:t xml:space="preserve"> </w:t>
      </w:r>
      <w:r w:rsidR="00E96317" w:rsidRPr="00F771E1">
        <w:rPr>
          <w:rFonts w:ascii="Times New Roman" w:hAnsi="Times New Roman"/>
          <w:szCs w:val="24"/>
        </w:rPr>
        <w:t>588</w:t>
      </w:r>
      <w:r w:rsidR="00A2006A" w:rsidRPr="00F771E1">
        <w:rPr>
          <w:rFonts w:ascii="Times New Roman" w:hAnsi="Times New Roman"/>
          <w:szCs w:val="24"/>
        </w:rPr>
        <w:t>% stanu nale</w:t>
      </w:r>
      <w:r w:rsidR="007523F5">
        <w:rPr>
          <w:rFonts w:ascii="Times New Roman" w:hAnsi="Times New Roman"/>
          <w:szCs w:val="24"/>
        </w:rPr>
        <w:t>żności wykazanych na koniec 2018</w:t>
      </w:r>
      <w:r w:rsidR="00A2006A" w:rsidRPr="00F771E1">
        <w:rPr>
          <w:rFonts w:ascii="Times New Roman" w:hAnsi="Times New Roman"/>
          <w:szCs w:val="24"/>
        </w:rPr>
        <w:t xml:space="preserve"> r.). </w:t>
      </w:r>
      <w:r w:rsidR="00EA76EE" w:rsidRPr="00F771E1">
        <w:rPr>
          <w:rFonts w:ascii="Times New Roman" w:hAnsi="Times New Roman"/>
          <w:szCs w:val="24"/>
        </w:rPr>
        <w:t>N</w:t>
      </w:r>
      <w:r w:rsidR="00EA76EE" w:rsidRPr="00F771E1">
        <w:rPr>
          <w:rFonts w:ascii="Times New Roman" w:hAnsi="Times New Roman"/>
        </w:rPr>
        <w:t xml:space="preserve">a ww. pozycję w znacznej mierze składają się należności </w:t>
      </w:r>
      <w:r w:rsidR="00EA76EE" w:rsidRPr="00F771E1">
        <w:rPr>
          <w:rFonts w:ascii="Times New Roman" w:hAnsi="Times New Roman"/>
          <w:szCs w:val="24"/>
        </w:rPr>
        <w:t>Krajowego Ośrodka Wsparcia Rolnictwa</w:t>
      </w:r>
      <w:r w:rsidR="004A56CF">
        <w:rPr>
          <w:rFonts w:ascii="Times New Roman" w:hAnsi="Times New Roman"/>
          <w:szCs w:val="24"/>
        </w:rPr>
        <w:t xml:space="preserve"> </w:t>
      </w:r>
      <w:r w:rsidR="00B802CE" w:rsidRPr="00F771E1">
        <w:rPr>
          <w:rFonts w:ascii="Times New Roman" w:hAnsi="Times New Roman"/>
          <w:szCs w:val="24"/>
        </w:rPr>
        <w:t xml:space="preserve">(93% łącznej kwoty wszystkich </w:t>
      </w:r>
      <w:r w:rsidR="00B802CE" w:rsidRPr="00F771E1">
        <w:rPr>
          <w:rFonts w:ascii="Times New Roman" w:hAnsi="Times New Roman"/>
          <w:szCs w:val="24"/>
        </w:rPr>
        <w:lastRenderedPageBreak/>
        <w:t>należności) oraz należ</w:t>
      </w:r>
      <w:r w:rsidR="00470896">
        <w:rPr>
          <w:rFonts w:ascii="Times New Roman" w:hAnsi="Times New Roman"/>
          <w:szCs w:val="24"/>
        </w:rPr>
        <w:t xml:space="preserve">ności Agencji Restrukturyzacji </w:t>
      </w:r>
      <w:r w:rsidR="00B802CE" w:rsidRPr="00F771E1">
        <w:rPr>
          <w:rFonts w:ascii="Times New Roman" w:hAnsi="Times New Roman"/>
          <w:szCs w:val="24"/>
        </w:rPr>
        <w:t>i</w:t>
      </w:r>
      <w:r w:rsidR="00470896">
        <w:rPr>
          <w:rFonts w:ascii="Times New Roman" w:hAnsi="Times New Roman"/>
          <w:szCs w:val="24"/>
        </w:rPr>
        <w:t> </w:t>
      </w:r>
      <w:r w:rsidR="00B802CE" w:rsidRPr="00F771E1">
        <w:rPr>
          <w:rFonts w:ascii="Times New Roman" w:hAnsi="Times New Roman"/>
          <w:szCs w:val="24"/>
        </w:rPr>
        <w:t>Modernizacji Rolnictwa (7%</w:t>
      </w:r>
      <w:r w:rsidR="004A56CF">
        <w:rPr>
          <w:rFonts w:ascii="Times New Roman" w:hAnsi="Times New Roman"/>
          <w:szCs w:val="24"/>
        </w:rPr>
        <w:t> </w:t>
      </w:r>
      <w:r w:rsidR="00B802CE" w:rsidRPr="00F771E1">
        <w:rPr>
          <w:rFonts w:ascii="Times New Roman" w:hAnsi="Times New Roman"/>
          <w:szCs w:val="24"/>
        </w:rPr>
        <w:t xml:space="preserve">łącznej kwoty wszystkich należności). </w:t>
      </w:r>
    </w:p>
    <w:p w14:paraId="46C84338" w14:textId="77777777" w:rsidR="00FF3A19" w:rsidRPr="00F771E1" w:rsidRDefault="00FF3A19" w:rsidP="00FF3A19">
      <w:pPr>
        <w:pStyle w:val="Nagwek2"/>
        <w:spacing w:before="120" w:after="120"/>
        <w:rPr>
          <w:rFonts w:ascii="Times New Roman" w:hAnsi="Times New Roman"/>
          <w:i w:val="0"/>
          <w:sz w:val="24"/>
          <w:szCs w:val="24"/>
        </w:rPr>
      </w:pPr>
      <w:bookmarkStart w:id="43" w:name="_Toc352237521"/>
      <w:bookmarkStart w:id="44" w:name="_Toc351982308"/>
      <w:bookmarkStart w:id="45" w:name="_Toc351982478"/>
      <w:bookmarkStart w:id="46" w:name="_Toc351982628"/>
      <w:bookmarkStart w:id="47" w:name="_Toc351982933"/>
      <w:bookmarkStart w:id="48" w:name="_Toc351990870"/>
      <w:bookmarkStart w:id="49" w:name="_Toc352076149"/>
      <w:bookmarkStart w:id="50" w:name="_Toc448315291"/>
      <w:bookmarkStart w:id="51" w:name="_Toc37242624"/>
      <w:bookmarkStart w:id="52" w:name="_Toc448315297"/>
      <w:r w:rsidRPr="00F771E1">
        <w:rPr>
          <w:rFonts w:ascii="Times New Roman" w:hAnsi="Times New Roman"/>
          <w:i w:val="0"/>
          <w:sz w:val="24"/>
          <w:szCs w:val="24"/>
        </w:rPr>
        <w:t xml:space="preserve">2.4 </w:t>
      </w:r>
      <w:r w:rsidRPr="00F771E1">
        <w:rPr>
          <w:rFonts w:ascii="Times New Roman" w:hAnsi="Times New Roman"/>
          <w:i w:val="0"/>
          <w:sz w:val="24"/>
          <w:szCs w:val="24"/>
        </w:rPr>
        <w:tab/>
        <w:t>Poręczenia i gwarancje Banku Gospodarstwa Krajowego</w:t>
      </w:r>
      <w:r w:rsidRPr="00F771E1">
        <w:rPr>
          <w:rFonts w:ascii="Times New Roman" w:hAnsi="Times New Roman"/>
          <w:i w:val="0"/>
          <w:sz w:val="24"/>
          <w:szCs w:val="24"/>
          <w:vertAlign w:val="superscript"/>
        </w:rPr>
        <w:footnoteReference w:id="3"/>
      </w:r>
      <w:bookmarkEnd w:id="43"/>
      <w:bookmarkEnd w:id="44"/>
      <w:bookmarkEnd w:id="45"/>
      <w:bookmarkEnd w:id="46"/>
      <w:bookmarkEnd w:id="47"/>
      <w:bookmarkEnd w:id="48"/>
      <w:bookmarkEnd w:id="49"/>
      <w:bookmarkEnd w:id="50"/>
      <w:bookmarkEnd w:id="51"/>
    </w:p>
    <w:p w14:paraId="0BC79077" w14:textId="77777777" w:rsidR="00CF4A9D" w:rsidRPr="00F771E1" w:rsidRDefault="00CF4A9D" w:rsidP="00CF4A9D">
      <w:pPr>
        <w:tabs>
          <w:tab w:val="left" w:pos="960"/>
        </w:tabs>
        <w:ind w:right="-1" w:firstLine="567"/>
        <w:jc w:val="both"/>
      </w:pPr>
      <w:bookmarkStart w:id="53" w:name="_Toc352237523"/>
      <w:bookmarkStart w:id="54" w:name="_Toc352076150"/>
      <w:r w:rsidRPr="00F771E1">
        <w:t xml:space="preserve">Działalność </w:t>
      </w:r>
      <w:proofErr w:type="spellStart"/>
      <w:r w:rsidRPr="00F771E1">
        <w:t>poręczeniowo</w:t>
      </w:r>
      <w:proofErr w:type="spellEnd"/>
      <w:r w:rsidRPr="00F771E1">
        <w:t>-gwarancyjna BGK w ramach programów rządowych funkcjonuje w oparciu o ustawę o poręczeniach i gwarancjach, a także o następujące programy rządowe:</w:t>
      </w:r>
    </w:p>
    <w:p w14:paraId="01FDE5E6" w14:textId="77777777" w:rsidR="00CF4A9D" w:rsidRPr="00F771E1" w:rsidRDefault="00CF4A9D" w:rsidP="00CF4A9D">
      <w:pPr>
        <w:numPr>
          <w:ilvl w:val="0"/>
          <w:numId w:val="6"/>
        </w:numPr>
        <w:tabs>
          <w:tab w:val="left" w:pos="851"/>
        </w:tabs>
        <w:ind w:left="851" w:right="-1" w:hanging="284"/>
        <w:jc w:val="both"/>
      </w:pPr>
      <w:r w:rsidRPr="00F771E1">
        <w:t xml:space="preserve">„Wspieranie przedsiębiorczości z wykorzystaniem poręczeń i gwarancji Banku Gospodarstwa Krajowego” (Program Wspierania Przedsiębiorczości), </w:t>
      </w:r>
    </w:p>
    <w:p w14:paraId="046952AB" w14:textId="77777777" w:rsidR="00FF3A19" w:rsidRPr="00F771E1" w:rsidRDefault="00CF4A9D" w:rsidP="00CF4A9D">
      <w:pPr>
        <w:numPr>
          <w:ilvl w:val="0"/>
          <w:numId w:val="6"/>
        </w:numPr>
        <w:tabs>
          <w:tab w:val="left" w:pos="851"/>
        </w:tabs>
        <w:ind w:left="851" w:right="-1" w:hanging="284"/>
        <w:jc w:val="both"/>
      </w:pPr>
      <w:r w:rsidRPr="00F771E1">
        <w:t>„Wsparcie prywatyzacji poprzez udzielani</w:t>
      </w:r>
      <w:r w:rsidR="00470896">
        <w:t xml:space="preserve">e poręczeń i gwarancji spółkom </w:t>
      </w:r>
      <w:r w:rsidRPr="00F771E1">
        <w:t>z</w:t>
      </w:r>
      <w:r w:rsidR="00470896">
        <w:t> </w:t>
      </w:r>
      <w:r w:rsidRPr="00F771E1">
        <w:t>udziałem pracowników i jednostek samorządu terytorialnego (spółkom aktywności obywatelskiej)” (Program Wsparcia Prywatyzacji).</w:t>
      </w:r>
      <w:r w:rsidR="00FF3A19" w:rsidRPr="00F771E1">
        <w:t xml:space="preserve"> </w:t>
      </w:r>
    </w:p>
    <w:p w14:paraId="579520BF" w14:textId="77777777" w:rsidR="00FF3A19" w:rsidRPr="00F771E1" w:rsidRDefault="00FF3A19" w:rsidP="00FF3A19">
      <w:pPr>
        <w:pStyle w:val="Nagwek3"/>
        <w:spacing w:before="120" w:after="120"/>
        <w:rPr>
          <w:rFonts w:ascii="Times New Roman" w:hAnsi="Times New Roman"/>
          <w:sz w:val="24"/>
          <w:szCs w:val="24"/>
        </w:rPr>
      </w:pPr>
      <w:bookmarkStart w:id="55" w:name="_Toc448315292"/>
      <w:bookmarkStart w:id="56" w:name="_Toc37242625"/>
      <w:bookmarkStart w:id="57" w:name="_Toc352237524"/>
      <w:bookmarkEnd w:id="53"/>
      <w:r w:rsidRPr="00F771E1">
        <w:rPr>
          <w:rFonts w:ascii="Times New Roman" w:hAnsi="Times New Roman"/>
          <w:sz w:val="24"/>
          <w:szCs w:val="24"/>
        </w:rPr>
        <w:t xml:space="preserve">2.4.1 </w:t>
      </w:r>
      <w:r w:rsidRPr="00F771E1">
        <w:rPr>
          <w:rFonts w:ascii="Times New Roman" w:hAnsi="Times New Roman"/>
          <w:sz w:val="24"/>
          <w:szCs w:val="24"/>
        </w:rPr>
        <w:tab/>
        <w:t>Program Wspierania Przedsiębiorczości</w:t>
      </w:r>
      <w:bookmarkEnd w:id="55"/>
      <w:bookmarkEnd w:id="56"/>
    </w:p>
    <w:p w14:paraId="0F1619D2" w14:textId="77777777" w:rsidR="00FF3A19" w:rsidRPr="00F771E1" w:rsidRDefault="00FF3A19" w:rsidP="00FF3A19">
      <w:pPr>
        <w:pStyle w:val="Nagwek4"/>
        <w:spacing w:before="120" w:after="120" w:line="240" w:lineRule="auto"/>
        <w:ind w:left="851" w:hanging="851"/>
        <w:jc w:val="both"/>
        <w:rPr>
          <w:rFonts w:ascii="Times New Roman" w:hAnsi="Times New Roman"/>
          <w:i/>
          <w:sz w:val="24"/>
          <w:szCs w:val="24"/>
        </w:rPr>
      </w:pPr>
      <w:bookmarkStart w:id="58" w:name="_Toc448315293"/>
      <w:bookmarkStart w:id="59" w:name="_Toc37242626"/>
      <w:bookmarkStart w:id="60" w:name="_Toc352076151"/>
      <w:bookmarkStart w:id="61" w:name="_Toc352237525"/>
      <w:bookmarkEnd w:id="54"/>
      <w:bookmarkEnd w:id="57"/>
      <w:r w:rsidRPr="00F771E1">
        <w:rPr>
          <w:rFonts w:ascii="Times New Roman" w:hAnsi="Times New Roman"/>
          <w:sz w:val="24"/>
          <w:szCs w:val="24"/>
        </w:rPr>
        <w:t>2.4.1.1</w:t>
      </w:r>
      <w:r w:rsidRPr="00F771E1">
        <w:rPr>
          <w:rFonts w:ascii="Times New Roman" w:hAnsi="Times New Roman"/>
          <w:sz w:val="24"/>
          <w:szCs w:val="24"/>
        </w:rPr>
        <w:tab/>
        <w:t xml:space="preserve">Charakterystyka działalności </w:t>
      </w:r>
      <w:proofErr w:type="spellStart"/>
      <w:r w:rsidRPr="00F771E1">
        <w:rPr>
          <w:rFonts w:ascii="Times New Roman" w:hAnsi="Times New Roman"/>
          <w:sz w:val="24"/>
          <w:szCs w:val="24"/>
        </w:rPr>
        <w:t>poręczeniowo</w:t>
      </w:r>
      <w:proofErr w:type="spellEnd"/>
      <w:r w:rsidRPr="00F771E1">
        <w:rPr>
          <w:rFonts w:ascii="Times New Roman" w:hAnsi="Times New Roman"/>
          <w:sz w:val="24"/>
          <w:szCs w:val="24"/>
        </w:rPr>
        <w:t>-gwarancyjnej Banku Gospodarstwa Krajowego w ramach Programu Wspierania Przedsiębiorczości</w:t>
      </w:r>
      <w:bookmarkEnd w:id="58"/>
      <w:bookmarkEnd w:id="59"/>
    </w:p>
    <w:p w14:paraId="5DE93AB2" w14:textId="77777777" w:rsidR="00CF4A9D" w:rsidRPr="00F771E1" w:rsidRDefault="00CF4A9D" w:rsidP="00CF4A9D">
      <w:pPr>
        <w:tabs>
          <w:tab w:val="left" w:pos="1134"/>
        </w:tabs>
        <w:ind w:firstLine="567"/>
        <w:contextualSpacing/>
        <w:jc w:val="both"/>
      </w:pPr>
      <w:r w:rsidRPr="00F771E1">
        <w:t>Działalność BGK w ramach Programu Wspierania Przedsiębiorczości realizowana jest od 2009 r. w oparciu o współpracę z bankami kredytującymi.</w:t>
      </w:r>
    </w:p>
    <w:p w14:paraId="577D9B59" w14:textId="77777777" w:rsidR="00CF4A9D" w:rsidRPr="00F771E1" w:rsidRDefault="00CF4A9D" w:rsidP="00CF4A9D">
      <w:pPr>
        <w:tabs>
          <w:tab w:val="left" w:pos="1134"/>
        </w:tabs>
        <w:ind w:firstLine="567"/>
        <w:contextualSpacing/>
        <w:jc w:val="both"/>
      </w:pPr>
      <w:r w:rsidRPr="00F771E1">
        <w:t>Podstawowy cel tego Programu to zwiększ</w:t>
      </w:r>
      <w:r w:rsidR="00CE6AF7">
        <w:t>enie dostępności przedsiębiorcom</w:t>
      </w:r>
      <w:r w:rsidRPr="00F771E1">
        <w:t xml:space="preserve">, </w:t>
      </w:r>
      <w:r w:rsidR="00CE6AF7">
        <w:t xml:space="preserve">szczególnie </w:t>
      </w:r>
      <w:proofErr w:type="spellStart"/>
      <w:r w:rsidR="00CE6AF7">
        <w:t>mikroprzedsiębiorcom</w:t>
      </w:r>
      <w:proofErr w:type="spellEnd"/>
      <w:r w:rsidR="00CE6AF7">
        <w:t>, małym i średnim przedsiębiorcom</w:t>
      </w:r>
      <w:r w:rsidR="000972C5">
        <w:t xml:space="preserve"> („MŚP”)</w:t>
      </w:r>
      <w:r w:rsidRPr="00F771E1">
        <w:t xml:space="preserve"> do zewnętrznych źródeł finansowania poprzez udzielanie poręczeń i gwarancji przez BGK.</w:t>
      </w:r>
    </w:p>
    <w:p w14:paraId="08BD99A0" w14:textId="77777777" w:rsidR="00CF4A9D" w:rsidRPr="00F771E1" w:rsidRDefault="00CF4A9D" w:rsidP="00CF4A9D">
      <w:pPr>
        <w:tabs>
          <w:tab w:val="left" w:pos="1134"/>
        </w:tabs>
        <w:ind w:firstLine="567"/>
        <w:contextualSpacing/>
        <w:jc w:val="both"/>
      </w:pPr>
      <w:r w:rsidRPr="00F771E1">
        <w:t>BGK prowadzi działalność w formie bezp</w:t>
      </w:r>
      <w:r w:rsidR="00470896">
        <w:t xml:space="preserve">ośredniej, udzielając poręczeń </w:t>
      </w:r>
      <w:r w:rsidRPr="00F771E1">
        <w:t>i</w:t>
      </w:r>
      <w:r w:rsidR="00470896">
        <w:t> </w:t>
      </w:r>
      <w:r w:rsidRPr="00F771E1">
        <w:t>gwarancji oraz poprzez wykonywanie zadań w zakresi</w:t>
      </w:r>
      <w:r w:rsidR="00470896">
        <w:t xml:space="preserve">e rozwoju systemu regionalnych </w:t>
      </w:r>
      <w:r w:rsidRPr="00F771E1">
        <w:t>i lokalnych funduszy poręczeniowych.</w:t>
      </w:r>
    </w:p>
    <w:p w14:paraId="6CBB3F00" w14:textId="77777777" w:rsidR="00FF3A19" w:rsidRPr="00F771E1" w:rsidRDefault="00CF4A9D" w:rsidP="00CF4A9D">
      <w:pPr>
        <w:pStyle w:val="Akapitzlist"/>
        <w:tabs>
          <w:tab w:val="left" w:pos="1134"/>
        </w:tabs>
        <w:ind w:left="0" w:firstLine="567"/>
        <w:jc w:val="both"/>
      </w:pPr>
      <w:r w:rsidRPr="00F771E1">
        <w:t>W 2019 r. BGK w ramach poręczeń i gwarancji gospodarczych oferował następujące produkty:</w:t>
      </w:r>
    </w:p>
    <w:p w14:paraId="666CE5D3" w14:textId="77777777" w:rsidR="00CF4A9D" w:rsidRPr="00F771E1" w:rsidRDefault="00CF4A9D" w:rsidP="00CF4A9D">
      <w:pPr>
        <w:numPr>
          <w:ilvl w:val="0"/>
          <w:numId w:val="11"/>
        </w:numPr>
        <w:tabs>
          <w:tab w:val="left" w:pos="567"/>
        </w:tabs>
        <w:ind w:left="993" w:hanging="993"/>
        <w:contextualSpacing/>
        <w:jc w:val="both"/>
      </w:pPr>
      <w:r w:rsidRPr="00F771E1">
        <w:t>poręczenia/gwarancje spłaty kredytu udzielane w trybie portfelowym, w tym:</w:t>
      </w:r>
    </w:p>
    <w:p w14:paraId="7AB9AF2F" w14:textId="77777777" w:rsidR="00CF4A9D" w:rsidRPr="00F771E1" w:rsidRDefault="00CF4A9D" w:rsidP="00CF4A9D">
      <w:pPr>
        <w:numPr>
          <w:ilvl w:val="0"/>
          <w:numId w:val="14"/>
        </w:numPr>
        <w:ind w:left="851" w:hanging="284"/>
        <w:contextualSpacing/>
        <w:jc w:val="both"/>
      </w:pPr>
      <w:r w:rsidRPr="00F771E1">
        <w:t xml:space="preserve">gwarancje spłaty kredytu w ramach Portfelowej Linii Gwarancyjnej </w:t>
      </w:r>
      <w:r w:rsidRPr="00F771E1">
        <w:rPr>
          <w:i/>
        </w:rPr>
        <w:t>de </w:t>
      </w:r>
      <w:proofErr w:type="spellStart"/>
      <w:r w:rsidRPr="00F771E1">
        <w:rPr>
          <w:i/>
        </w:rPr>
        <w:t>minimis</w:t>
      </w:r>
      <w:proofErr w:type="spellEnd"/>
      <w:r w:rsidRPr="00F771E1">
        <w:t> (gwarancje PLD); w ramach gwarancji PLD są udzielane przez BGK również gwarancje łączone w ramach zabezpieczenia spłaty kredytu z</w:t>
      </w:r>
      <w:r w:rsidR="00470896">
        <w:t> </w:t>
      </w:r>
      <w:r w:rsidRPr="00F771E1">
        <w:t>poręczeniem udzielanym przez fundusz poręczeniowy (gwarancje PLD</w:t>
      </w:r>
      <w:r w:rsidR="00470896">
        <w:t> </w:t>
      </w:r>
      <w:r w:rsidRPr="00F771E1">
        <w:t>PLUS),</w:t>
      </w:r>
    </w:p>
    <w:p w14:paraId="40828E9E" w14:textId="77777777" w:rsidR="00CF4A9D" w:rsidRPr="00F771E1" w:rsidRDefault="00CF4A9D" w:rsidP="00CF4A9D">
      <w:pPr>
        <w:numPr>
          <w:ilvl w:val="0"/>
          <w:numId w:val="14"/>
        </w:numPr>
        <w:ind w:left="851" w:hanging="284"/>
        <w:contextualSpacing/>
        <w:jc w:val="both"/>
      </w:pPr>
      <w:r w:rsidRPr="00F771E1">
        <w:t xml:space="preserve">gwarancje spłaty kredytu w ramach </w:t>
      </w:r>
      <w:r w:rsidR="00470896">
        <w:t xml:space="preserve">Portfelowej Linii Gwarancyjnej </w:t>
      </w:r>
      <w:r w:rsidRPr="00F771E1">
        <w:t>z</w:t>
      </w:r>
      <w:r w:rsidR="00470896">
        <w:t> </w:t>
      </w:r>
      <w:proofErr w:type="spellStart"/>
      <w:r w:rsidRPr="00F771E1">
        <w:t>regwarancją</w:t>
      </w:r>
      <w:proofErr w:type="spellEnd"/>
      <w:r w:rsidRPr="00F771E1">
        <w:t xml:space="preserve"> udzielaną przez Europejski Fundusz Inwestycyjny w ramach programu COSME (gwarancje PLG COSME),</w:t>
      </w:r>
    </w:p>
    <w:p w14:paraId="6BA616A4" w14:textId="77777777" w:rsidR="00CF4A9D" w:rsidRPr="00F771E1" w:rsidRDefault="00CF4A9D" w:rsidP="00CF4A9D">
      <w:pPr>
        <w:numPr>
          <w:ilvl w:val="0"/>
          <w:numId w:val="14"/>
        </w:numPr>
        <w:ind w:left="851" w:hanging="284"/>
        <w:contextualSpacing/>
        <w:jc w:val="both"/>
      </w:pPr>
      <w:r w:rsidRPr="00F771E1">
        <w:t>gwarancje spłaty kredytu udzielane w ramach Portfelowej Linii Gwarancyjnej finansowane z Funduszu Gwarancyjnego wsparcia innowacyjnych przedsiębiorstw Programu Operacyjnego Inteligentny Rozwój (gwarancje FG</w:t>
      </w:r>
      <w:r w:rsidR="00470896">
        <w:t> </w:t>
      </w:r>
      <w:r w:rsidRPr="00F771E1">
        <w:t>POIR),</w:t>
      </w:r>
    </w:p>
    <w:p w14:paraId="5DBF8A36" w14:textId="77777777" w:rsidR="00CF4A9D" w:rsidRPr="00F771E1" w:rsidRDefault="00CF4A9D" w:rsidP="00CF4A9D">
      <w:pPr>
        <w:numPr>
          <w:ilvl w:val="0"/>
          <w:numId w:val="14"/>
        </w:numPr>
        <w:ind w:left="851" w:hanging="284"/>
        <w:contextualSpacing/>
        <w:jc w:val="both"/>
      </w:pPr>
      <w:r w:rsidRPr="00F771E1">
        <w:t>gwarancje spłaty kredytu w ramach Programu Operacyjnego Polska Cyfrowa (gwarancje PLG POPC),</w:t>
      </w:r>
    </w:p>
    <w:p w14:paraId="1826248B" w14:textId="77777777" w:rsidR="00CF4A9D" w:rsidRPr="00F771E1" w:rsidRDefault="00CF4A9D" w:rsidP="00CF4A9D">
      <w:pPr>
        <w:numPr>
          <w:ilvl w:val="0"/>
          <w:numId w:val="14"/>
        </w:numPr>
        <w:ind w:left="851" w:hanging="284"/>
        <w:contextualSpacing/>
        <w:jc w:val="both"/>
      </w:pPr>
      <w:r w:rsidRPr="00F771E1">
        <w:rPr>
          <w:rFonts w:cs="Arial"/>
        </w:rPr>
        <w:t>gwarancje spłaty kredytu w ramach Portfelowej Linii Gwarancyjnej z</w:t>
      </w:r>
      <w:r w:rsidR="00470896">
        <w:rPr>
          <w:rFonts w:cs="Arial"/>
        </w:rPr>
        <w:t> </w:t>
      </w:r>
      <w:proofErr w:type="spellStart"/>
      <w:r w:rsidRPr="00F771E1">
        <w:rPr>
          <w:rFonts w:cs="Arial"/>
        </w:rPr>
        <w:t>regwarancją</w:t>
      </w:r>
      <w:proofErr w:type="spellEnd"/>
      <w:r w:rsidRPr="00F771E1">
        <w:rPr>
          <w:rFonts w:cs="Arial"/>
        </w:rPr>
        <w:t xml:space="preserve"> udzielaną przez Europejski Fundusz Inwestycyjny ze środków programu Kreatywna Europa (gwarancje PLG Kreatywna Europa),</w:t>
      </w:r>
    </w:p>
    <w:p w14:paraId="0A54A3B1" w14:textId="77777777" w:rsidR="00FF3A19" w:rsidRPr="00F771E1" w:rsidRDefault="00CF4A9D" w:rsidP="00CF4A9D">
      <w:pPr>
        <w:pStyle w:val="Akapitzlist"/>
        <w:numPr>
          <w:ilvl w:val="0"/>
          <w:numId w:val="14"/>
        </w:numPr>
        <w:ind w:left="851" w:hanging="284"/>
        <w:jc w:val="both"/>
      </w:pPr>
      <w:r w:rsidRPr="00F771E1">
        <w:rPr>
          <w:rFonts w:cs="Arial"/>
        </w:rPr>
        <w:t>gwarancje spłaty kredytu w ramach Funduszu Gwarancji Rolnych (gwarancje FGR);</w:t>
      </w:r>
    </w:p>
    <w:p w14:paraId="6C1883CE" w14:textId="77777777" w:rsidR="00FF3A19" w:rsidRPr="00F771E1" w:rsidRDefault="00FF3A19" w:rsidP="00FF3A19">
      <w:pPr>
        <w:pStyle w:val="Akapitzlist"/>
        <w:numPr>
          <w:ilvl w:val="0"/>
          <w:numId w:val="11"/>
        </w:numPr>
        <w:tabs>
          <w:tab w:val="left" w:pos="567"/>
        </w:tabs>
        <w:ind w:left="0" w:firstLine="0"/>
        <w:jc w:val="both"/>
      </w:pPr>
      <w:r w:rsidRPr="00F771E1">
        <w:lastRenderedPageBreak/>
        <w:t>poręczenia/gwarancje udzielane w trybie indywidualnym, w tym:</w:t>
      </w:r>
    </w:p>
    <w:p w14:paraId="0385731F" w14:textId="77777777" w:rsidR="00FF3A19" w:rsidRPr="00F771E1" w:rsidRDefault="00FF3A19" w:rsidP="00FF3A19">
      <w:pPr>
        <w:pStyle w:val="Akapitzlist"/>
        <w:numPr>
          <w:ilvl w:val="0"/>
          <w:numId w:val="15"/>
        </w:numPr>
        <w:tabs>
          <w:tab w:val="left" w:pos="851"/>
        </w:tabs>
        <w:ind w:left="851" w:hanging="284"/>
        <w:jc w:val="both"/>
      </w:pPr>
      <w:r w:rsidRPr="00F771E1">
        <w:t>poręczenia i gwarancje spłaty kredytu,</w:t>
      </w:r>
    </w:p>
    <w:p w14:paraId="319E1459" w14:textId="77777777" w:rsidR="00FF3A19" w:rsidRPr="00F771E1" w:rsidRDefault="00FF3A19" w:rsidP="00FF3A19">
      <w:pPr>
        <w:pStyle w:val="Akapitzlist"/>
        <w:numPr>
          <w:ilvl w:val="0"/>
          <w:numId w:val="15"/>
        </w:numPr>
        <w:tabs>
          <w:tab w:val="left" w:pos="851"/>
        </w:tabs>
        <w:ind w:left="851" w:hanging="284"/>
        <w:jc w:val="both"/>
      </w:pPr>
      <w:r w:rsidRPr="00F771E1">
        <w:t>gwarancje należytego wykonania umowy.</w:t>
      </w:r>
    </w:p>
    <w:p w14:paraId="187F7AFE" w14:textId="77777777" w:rsidR="00FF3A19" w:rsidRPr="00F771E1" w:rsidRDefault="00CF4A9D" w:rsidP="00FF3A19">
      <w:pPr>
        <w:pStyle w:val="Akapitzlist"/>
        <w:tabs>
          <w:tab w:val="left" w:pos="993"/>
          <w:tab w:val="left" w:pos="1134"/>
        </w:tabs>
        <w:spacing w:before="120"/>
        <w:ind w:left="0" w:firstLine="567"/>
        <w:jc w:val="both"/>
      </w:pPr>
      <w:r w:rsidRPr="00F771E1">
        <w:t>Ponadto BGK udziela również, w trybie portfelowym, poręczeń kredytów studenckich.</w:t>
      </w:r>
      <w:r w:rsidR="00FF3A19" w:rsidRPr="00F771E1">
        <w:t xml:space="preserve"> </w:t>
      </w:r>
    </w:p>
    <w:p w14:paraId="6D9E21E3" w14:textId="77777777" w:rsidR="00FF3A19" w:rsidRPr="00F771E1" w:rsidRDefault="00CF4A9D" w:rsidP="00FF3A19">
      <w:pPr>
        <w:pStyle w:val="Akapitzlist"/>
        <w:tabs>
          <w:tab w:val="left" w:pos="993"/>
          <w:tab w:val="left" w:pos="1134"/>
        </w:tabs>
        <w:ind w:left="0" w:firstLine="567"/>
        <w:jc w:val="both"/>
      </w:pPr>
      <w:r w:rsidRPr="00F771E1">
        <w:t>Wnioski o poręczenia i gwarancje w trybie portfelowym oceniane są w bankach kredytujących, które podpisały stosowne umowy z BGK i otrzymały limit kwotowy, do</w:t>
      </w:r>
      <w:r w:rsidR="00470896">
        <w:t> </w:t>
      </w:r>
      <w:r w:rsidRPr="00F771E1">
        <w:t>którego mogą wpisywać transakcje do portfela udzielonych poręczeń/gwarancji. Wnioski o poręczenia i gwarancje udzielane w trybie indywidualnym podlegają ocenie przez BGK, zgodnie z obowiązującymi w BGK przepisami dotyczącymi oceny zdolności kredytowej.</w:t>
      </w:r>
      <w:r w:rsidR="00FF3A19" w:rsidRPr="00F771E1">
        <w:t xml:space="preserve"> </w:t>
      </w:r>
    </w:p>
    <w:p w14:paraId="6686E378" w14:textId="77777777" w:rsidR="00FF3A19" w:rsidRPr="00F771E1" w:rsidRDefault="00CF4A9D" w:rsidP="00FF3A19">
      <w:pPr>
        <w:tabs>
          <w:tab w:val="left" w:pos="993"/>
          <w:tab w:val="left" w:pos="1134"/>
        </w:tabs>
        <w:ind w:firstLine="567"/>
        <w:jc w:val="both"/>
      </w:pPr>
      <w:r w:rsidRPr="00F771E1">
        <w:t>Na podstawie rozporządzenia Ministra Fina</w:t>
      </w:r>
      <w:r w:rsidR="00470896">
        <w:t xml:space="preserve">nsów z dnia 10 czerwca 2014 r. </w:t>
      </w:r>
      <w:r w:rsidRPr="00F771E1">
        <w:rPr>
          <w:i/>
        </w:rPr>
        <w:t>w</w:t>
      </w:r>
      <w:r w:rsidR="00470896">
        <w:rPr>
          <w:i/>
        </w:rPr>
        <w:t> </w:t>
      </w:r>
      <w:r w:rsidRPr="00F771E1">
        <w:rPr>
          <w:i/>
        </w:rPr>
        <w:t>sprawie udzielania przez Bank Gospodarstwa Krajowego pomocy de </w:t>
      </w:r>
      <w:proofErr w:type="spellStart"/>
      <w:r w:rsidRPr="00F771E1">
        <w:rPr>
          <w:i/>
        </w:rPr>
        <w:t>minimis</w:t>
      </w:r>
      <w:proofErr w:type="spellEnd"/>
      <w:r w:rsidRPr="00F771E1">
        <w:rPr>
          <w:i/>
        </w:rPr>
        <w:t xml:space="preserve"> w formie gwarancji spłaty kredytów</w:t>
      </w:r>
      <w:r w:rsidRPr="00F771E1">
        <w:t xml:space="preserve"> (kilkukrotnie zmienianego) (Dz. U. z 2015 r. poz. 1969, z</w:t>
      </w:r>
      <w:r w:rsidR="00470896">
        <w:t> </w:t>
      </w:r>
      <w:proofErr w:type="spellStart"/>
      <w:r w:rsidRPr="00F771E1">
        <w:t>późn</w:t>
      </w:r>
      <w:proofErr w:type="spellEnd"/>
      <w:r w:rsidRPr="00F771E1">
        <w:t xml:space="preserve">. zm.) BGK mógł udzielać pomocy </w:t>
      </w:r>
      <w:r w:rsidRPr="00F771E1">
        <w:rPr>
          <w:i/>
        </w:rPr>
        <w:t>de </w:t>
      </w:r>
      <w:proofErr w:type="spellStart"/>
      <w:r w:rsidRPr="00F771E1">
        <w:rPr>
          <w:i/>
        </w:rPr>
        <w:t>minimis</w:t>
      </w:r>
      <w:proofErr w:type="spellEnd"/>
      <w:r w:rsidRPr="00F771E1" w:rsidDel="00F25F7D">
        <w:t xml:space="preserve"> </w:t>
      </w:r>
      <w:r w:rsidRPr="00F771E1">
        <w:t>w formie gwarancji spłaty kredytów do 30 czerwca 2018 r.</w:t>
      </w:r>
    </w:p>
    <w:p w14:paraId="5FD162E9" w14:textId="77777777" w:rsidR="00FF3A19" w:rsidRPr="00F771E1" w:rsidRDefault="00CF4A9D" w:rsidP="00CF4A9D">
      <w:pPr>
        <w:tabs>
          <w:tab w:val="left" w:pos="993"/>
          <w:tab w:val="left" w:pos="1134"/>
        </w:tabs>
        <w:ind w:firstLine="567"/>
        <w:jc w:val="both"/>
      </w:pPr>
      <w:r w:rsidRPr="00F771E1">
        <w:t xml:space="preserve">W dniu 24 listopada 2017 r. uchwalona została ustawa </w:t>
      </w:r>
      <w:r w:rsidR="00470896">
        <w:rPr>
          <w:i/>
        </w:rPr>
        <w:t xml:space="preserve">o zmianie ustawy </w:t>
      </w:r>
      <w:r w:rsidRPr="00F771E1">
        <w:rPr>
          <w:i/>
        </w:rPr>
        <w:t>o</w:t>
      </w:r>
      <w:r w:rsidR="00470896">
        <w:rPr>
          <w:i/>
        </w:rPr>
        <w:t> </w:t>
      </w:r>
      <w:r w:rsidRPr="00F771E1">
        <w:rPr>
          <w:i/>
        </w:rPr>
        <w:t>poręczeniach i gwarancjach udzielanych przez Skarb Państwa oraz niektóre osoby prawne oraz niektórych innych ustaw</w:t>
      </w:r>
      <w:r w:rsidRPr="00F771E1">
        <w:t xml:space="preserve"> (Dz. U. po</w:t>
      </w:r>
      <w:r w:rsidR="00470896">
        <w:t xml:space="preserve">z. 2433). Znowelizowana ustawa </w:t>
      </w:r>
      <w:r w:rsidRPr="00F771E1">
        <w:t>o</w:t>
      </w:r>
      <w:r w:rsidR="00470896">
        <w:t> </w:t>
      </w:r>
      <w:r w:rsidRPr="00F771E1">
        <w:t xml:space="preserve">poręczeniach i gwarancjach wprowadziła nowy, stabilny model finansowania poręczeń i gwarancji dla MŚP stanowiących pomoc publiczną lub pomoc </w:t>
      </w:r>
      <w:r w:rsidRPr="00F771E1">
        <w:rPr>
          <w:i/>
        </w:rPr>
        <w:t>de </w:t>
      </w:r>
      <w:proofErr w:type="spellStart"/>
      <w:r w:rsidRPr="00F771E1">
        <w:rPr>
          <w:i/>
        </w:rPr>
        <w:t>minimis</w:t>
      </w:r>
      <w:proofErr w:type="spellEnd"/>
      <w:r w:rsidRPr="00F771E1" w:rsidDel="00F25F7D">
        <w:t xml:space="preserve"> </w:t>
      </w:r>
      <w:r w:rsidRPr="00F771E1">
        <w:t xml:space="preserve">udzielanych przez BGK i finansowanych ze środków utworzonego w BGK Krajowego Funduszu Gwarancyjnego („KFG”). Począwszy od 1 lipca 2018 r. BGK udziela pomocy </w:t>
      </w:r>
      <w:r w:rsidRPr="00F771E1">
        <w:rPr>
          <w:i/>
        </w:rPr>
        <w:t>de </w:t>
      </w:r>
      <w:proofErr w:type="spellStart"/>
      <w:r w:rsidRPr="00F771E1">
        <w:rPr>
          <w:i/>
        </w:rPr>
        <w:t>minimis</w:t>
      </w:r>
      <w:proofErr w:type="spellEnd"/>
      <w:r w:rsidRPr="00F771E1" w:rsidDel="00F25F7D">
        <w:t xml:space="preserve"> </w:t>
      </w:r>
      <w:r w:rsidRPr="00F771E1">
        <w:t>w formie gwarancji spłaty kredytów na podstawie rozporządzenia Ministra Finansów z</w:t>
      </w:r>
      <w:r w:rsidR="00470896">
        <w:t> </w:t>
      </w:r>
      <w:r w:rsidRPr="00F771E1">
        <w:t xml:space="preserve">dnia 28 marca 2018 r. </w:t>
      </w:r>
      <w:r w:rsidRPr="00F771E1">
        <w:rPr>
          <w:i/>
        </w:rPr>
        <w:t>w sprawie udzielania przez Bank Gospodarstwa Krajowego pomocy de </w:t>
      </w:r>
      <w:proofErr w:type="spellStart"/>
      <w:r w:rsidRPr="00F771E1">
        <w:rPr>
          <w:i/>
        </w:rPr>
        <w:t>minimis</w:t>
      </w:r>
      <w:proofErr w:type="spellEnd"/>
      <w:r w:rsidRPr="00F771E1" w:rsidDel="00F25F7D">
        <w:rPr>
          <w:i/>
        </w:rPr>
        <w:t xml:space="preserve"> </w:t>
      </w:r>
      <w:r w:rsidRPr="00F771E1">
        <w:rPr>
          <w:i/>
        </w:rPr>
        <w:t>w formie gwarancji spłaty kredytów</w:t>
      </w:r>
      <w:r w:rsidR="00470896">
        <w:t xml:space="preserve"> </w:t>
      </w:r>
      <w:r w:rsidRPr="00F771E1">
        <w:t>(Dz. U. poz. 707</w:t>
      </w:r>
      <w:r w:rsidR="000654ED">
        <w:rPr>
          <w:bCs/>
        </w:rPr>
        <w:t xml:space="preserve">, z </w:t>
      </w:r>
      <w:proofErr w:type="spellStart"/>
      <w:r w:rsidR="000654ED">
        <w:rPr>
          <w:bCs/>
        </w:rPr>
        <w:t>późn</w:t>
      </w:r>
      <w:proofErr w:type="spellEnd"/>
      <w:r w:rsidR="000654ED">
        <w:rPr>
          <w:bCs/>
        </w:rPr>
        <w:t>. zm.</w:t>
      </w:r>
      <w:r w:rsidRPr="00F771E1">
        <w:t>).</w:t>
      </w:r>
    </w:p>
    <w:p w14:paraId="7ECC6932" w14:textId="77777777" w:rsidR="00FF3A19" w:rsidRPr="00F771E1" w:rsidRDefault="00CF4A9D" w:rsidP="008B1CCD">
      <w:pPr>
        <w:tabs>
          <w:tab w:val="left" w:pos="993"/>
          <w:tab w:val="left" w:pos="1134"/>
        </w:tabs>
        <w:ind w:firstLine="567"/>
        <w:jc w:val="both"/>
      </w:pPr>
      <w:r w:rsidRPr="00F771E1">
        <w:t>W 2018 r. w BGK prowadzone były prace nad nowym produktem gwarancyjnym finansowanym ze środków unijnych, w ramach Programu Operacyjnego Polska Cyfrowa, którego sprzedaż rozpoczęła się w 2019 r. Wdrożono gwarancje, zapewniające przedsiębiorcom poprawę dostępu do finansowania inwestycji szerokopasmowych oraz finansowania płynnościowego firm telekomunikacyjnych. Wdrożenie gwarancji pozwoliło na pozyskanie środków unijnych na kolejny program gwarancyjny realizowany w BGK, a po zakończeniu programu w 2023 r. środki będą stanowiły pozabudżetowe źródło zasilania dla utworzonego w BGK KFG.</w:t>
      </w:r>
    </w:p>
    <w:p w14:paraId="02EC9A3B" w14:textId="77777777" w:rsidR="00CF4A9D" w:rsidRPr="00F771E1" w:rsidRDefault="00CF4A9D" w:rsidP="00CF4A9D">
      <w:pPr>
        <w:tabs>
          <w:tab w:val="left" w:pos="993"/>
          <w:tab w:val="left" w:pos="1134"/>
        </w:tabs>
        <w:ind w:firstLine="567"/>
        <w:jc w:val="both"/>
      </w:pPr>
      <w:r w:rsidRPr="00F771E1">
        <w:t xml:space="preserve">Gwarancje PLG COSME nie zawierają komponentu pomocy publicznej. Europejski Fundusz Inwestycyjny („EFI”) regwarantuje BGK 50% ryzyka gwarancyjnego. W 2018 r. dla gwarancji PLG COSME, które zostały wdrożone do oferty BGK z początkiem listopada 2015 r., podwojony został limit </w:t>
      </w:r>
      <w:proofErr w:type="spellStart"/>
      <w:r w:rsidRPr="00F771E1">
        <w:t>regwarancji</w:t>
      </w:r>
      <w:proofErr w:type="spellEnd"/>
      <w:r w:rsidRPr="00F771E1">
        <w:t xml:space="preserve"> EFI z poziomu 1,6 mln zł do poziomu 3,2 mln zł. 17 kwietnia 2019 r. podpisany został aneks do umowy </w:t>
      </w:r>
      <w:r w:rsidRPr="00F771E1">
        <w:rPr>
          <w:rFonts w:cs="Arial"/>
        </w:rPr>
        <w:t xml:space="preserve">z EFI </w:t>
      </w:r>
      <w:r w:rsidRPr="00F771E1">
        <w:t>zwiększający wolumen portfela gwarancji z 3,2 mld zł do 4,8</w:t>
      </w:r>
      <w:r w:rsidR="00470896">
        <w:t> </w:t>
      </w:r>
      <w:r w:rsidRPr="00F771E1">
        <w:t>mld</w:t>
      </w:r>
      <w:r w:rsidR="00470896">
        <w:t> </w:t>
      </w:r>
      <w:r w:rsidRPr="00F771E1">
        <w:t>zł</w:t>
      </w:r>
      <w:r w:rsidRPr="00F771E1">
        <w:rPr>
          <w:rFonts w:cs="Arial"/>
        </w:rPr>
        <w:t>, zaś w dniu 10</w:t>
      </w:r>
      <w:r w:rsidR="00470896">
        <w:rPr>
          <w:rFonts w:cs="Arial"/>
        </w:rPr>
        <w:t> </w:t>
      </w:r>
      <w:r w:rsidRPr="00F771E1">
        <w:rPr>
          <w:rFonts w:cs="Arial"/>
        </w:rPr>
        <w:t>grudnia 2019 r. podpisano z EFI aneks zwiększający maksymalny wolumen portfela gwarancji z 4,8 mld zł do 8,4 mld zł, wydłużając jednocześnie termin wykorzystania środków do października 2021 r.</w:t>
      </w:r>
    </w:p>
    <w:p w14:paraId="49E56EAC" w14:textId="77777777" w:rsidR="00CF4A9D" w:rsidRPr="00F771E1" w:rsidRDefault="00CF4A9D" w:rsidP="00CF4A9D">
      <w:pPr>
        <w:tabs>
          <w:tab w:val="left" w:pos="993"/>
          <w:tab w:val="left" w:pos="1134"/>
        </w:tabs>
        <w:ind w:firstLine="567"/>
        <w:jc w:val="both"/>
      </w:pPr>
      <w:r w:rsidRPr="00F771E1">
        <w:t xml:space="preserve">W ramach rozwijania współpracy z EFI w 2018 r. wdrożono również gwarancje BGK z </w:t>
      </w:r>
      <w:proofErr w:type="spellStart"/>
      <w:r w:rsidRPr="00F771E1">
        <w:t>regwarancją</w:t>
      </w:r>
      <w:proofErr w:type="spellEnd"/>
      <w:r w:rsidRPr="00F771E1">
        <w:t xml:space="preserve"> EFI dla sektora kreatywnego i kultury w ramach unijnego program</w:t>
      </w:r>
      <w:r w:rsidR="0033146B">
        <w:t>u Kreatywna Europa na lata 2014</w:t>
      </w:r>
      <w:r w:rsidR="0033146B">
        <w:rPr>
          <w:bCs/>
        </w:rPr>
        <w:t>–</w:t>
      </w:r>
      <w:r w:rsidR="0033146B">
        <w:t xml:space="preserve">2020 </w:t>
      </w:r>
      <w:r w:rsidR="0033146B">
        <w:rPr>
          <w:bCs/>
        </w:rPr>
        <w:t>–</w:t>
      </w:r>
      <w:r w:rsidRPr="00F771E1">
        <w:t xml:space="preserve"> sprzedaż rozpoczęła się w 2019 r. Maksymalny wolumen portfela gwarancji określony w umowie z EFI wynosi 420 mln zł, co pozwoli na zabezpieczenie kredytów w łącznej kwocie 525 mln zł. </w:t>
      </w:r>
      <w:r w:rsidRPr="00F771E1">
        <w:rPr>
          <w:rFonts w:cs="Arial"/>
        </w:rPr>
        <w:t xml:space="preserve">25 września 2019 r. podpisano </w:t>
      </w:r>
      <w:r w:rsidRPr="00F771E1">
        <w:rPr>
          <w:rFonts w:cs="Arial"/>
        </w:rPr>
        <w:lastRenderedPageBreak/>
        <w:t xml:space="preserve">z EFI aneks do umowy </w:t>
      </w:r>
      <w:proofErr w:type="spellStart"/>
      <w:r w:rsidRPr="00F771E1">
        <w:rPr>
          <w:rFonts w:cs="Arial"/>
        </w:rPr>
        <w:t>regwarancji</w:t>
      </w:r>
      <w:proofErr w:type="spellEnd"/>
      <w:r w:rsidRPr="00F771E1">
        <w:rPr>
          <w:rFonts w:cs="Arial"/>
        </w:rPr>
        <w:t xml:space="preserve"> zwiększający prawie dwukrotnie katalog potencjalnych odbiorców wsparcia.</w:t>
      </w:r>
    </w:p>
    <w:p w14:paraId="01D3A0E5" w14:textId="77777777" w:rsidR="00CF4A9D" w:rsidRPr="00F771E1" w:rsidRDefault="00CF4A9D" w:rsidP="00CF4A9D">
      <w:pPr>
        <w:tabs>
          <w:tab w:val="left" w:pos="993"/>
          <w:tab w:val="left" w:pos="1134"/>
        </w:tabs>
        <w:ind w:firstLine="567"/>
        <w:jc w:val="both"/>
      </w:pPr>
      <w:r w:rsidRPr="00F771E1">
        <w:t xml:space="preserve">Gwarancje FG POIR zawierają komponent pomocy </w:t>
      </w:r>
      <w:r w:rsidRPr="00F771E1">
        <w:rPr>
          <w:i/>
        </w:rPr>
        <w:t>de </w:t>
      </w:r>
      <w:proofErr w:type="spellStart"/>
      <w:r w:rsidRPr="00F771E1">
        <w:rPr>
          <w:i/>
        </w:rPr>
        <w:t>minimis</w:t>
      </w:r>
      <w:proofErr w:type="spellEnd"/>
      <w:r w:rsidRPr="00F771E1" w:rsidDel="00F25F7D">
        <w:t xml:space="preserve"> </w:t>
      </w:r>
      <w:r w:rsidRPr="00F771E1">
        <w:t xml:space="preserve">albo regionalną pomoc inwestycyjną. W 2018 r. wprowadzono dodatkową formę wsparcia w postaci dopłat do oprocentowania kredytów objętych </w:t>
      </w:r>
      <w:r w:rsidR="00CE6AF7">
        <w:t>gwarancjami FG POIR. W 2019 r.</w:t>
      </w:r>
      <w:r w:rsidRPr="00F771E1">
        <w:t xml:space="preserve"> poszerzono cel finansowania o projekty z efektem ekologicznym.</w:t>
      </w:r>
    </w:p>
    <w:p w14:paraId="2ED02498" w14:textId="77777777" w:rsidR="00CF4A9D" w:rsidRPr="00F771E1" w:rsidRDefault="00CF4A9D" w:rsidP="00CF4A9D">
      <w:pPr>
        <w:tabs>
          <w:tab w:val="left" w:pos="993"/>
          <w:tab w:val="left" w:pos="1134"/>
        </w:tabs>
        <w:ind w:firstLine="567"/>
        <w:jc w:val="both"/>
      </w:pPr>
      <w:r w:rsidRPr="00F771E1">
        <w:rPr>
          <w:rFonts w:cs="Arial"/>
        </w:rPr>
        <w:t xml:space="preserve">W 2019 r. utworzono </w:t>
      </w:r>
      <w:r w:rsidR="00CE6AF7">
        <w:rPr>
          <w:rFonts w:cs="Arial"/>
        </w:rPr>
        <w:t xml:space="preserve">również </w:t>
      </w:r>
      <w:r w:rsidRPr="00F771E1">
        <w:rPr>
          <w:rFonts w:cs="Arial"/>
        </w:rPr>
        <w:t>w BGK Fundusz Gwarancji Rolnych w ramach Programu Rozwoju Obsza</w:t>
      </w:r>
      <w:r w:rsidR="00446919">
        <w:rPr>
          <w:rFonts w:cs="Arial"/>
        </w:rPr>
        <w:t>rów Wiejskich na lata 2014</w:t>
      </w:r>
      <w:r w:rsidR="00446919">
        <w:rPr>
          <w:bCs/>
        </w:rPr>
        <w:t>–</w:t>
      </w:r>
      <w:r w:rsidR="00CE6AF7">
        <w:rPr>
          <w:rFonts w:cs="Arial"/>
        </w:rPr>
        <w:t xml:space="preserve">2020, który </w:t>
      </w:r>
      <w:r w:rsidRPr="00F771E1">
        <w:rPr>
          <w:rFonts w:cs="Arial"/>
        </w:rPr>
        <w:t>ma na celu włączenie w system gwarancji BGK producentów podstawowych produktów rolnych - „rolników” oraz wzmocnienie pomocy dla przetwórstwa rolno-spożywczego. Fundusz zasilony został kwotą 50 mln EUR, co pozwoli zabezpieczyć spł</w:t>
      </w:r>
      <w:r w:rsidR="00CE6AF7">
        <w:rPr>
          <w:rFonts w:cs="Arial"/>
        </w:rPr>
        <w:t>atę kredytów o wartości ok. 1,1 </w:t>
      </w:r>
      <w:r w:rsidRPr="00F771E1">
        <w:rPr>
          <w:rFonts w:cs="Arial"/>
        </w:rPr>
        <w:t>mld zł.</w:t>
      </w:r>
    </w:p>
    <w:p w14:paraId="0218A5EE" w14:textId="77777777" w:rsidR="00FF3A19" w:rsidRPr="00F771E1" w:rsidRDefault="00CF4A9D" w:rsidP="00CF4A9D">
      <w:pPr>
        <w:tabs>
          <w:tab w:val="left" w:pos="993"/>
          <w:tab w:val="left" w:pos="1134"/>
        </w:tabs>
        <w:ind w:firstLine="567"/>
        <w:jc w:val="both"/>
      </w:pPr>
      <w:r w:rsidRPr="00F771E1">
        <w:t>Należy podkreślić, że zgodnie z decyzją Komisji Nadzoru Finansowego wartość ekspozycji kredytowych zabezpieczonych poręczeniem alb</w:t>
      </w:r>
      <w:r w:rsidR="006D6F93" w:rsidRPr="00F771E1">
        <w:t xml:space="preserve">o gwarancją BGK jest neutralna </w:t>
      </w:r>
      <w:r w:rsidRPr="00F771E1">
        <w:t>z punktu widzenia współczynnika wypłacalności i banki kredytujące nie muszą uwzględniać tej części ekspozycji kredytowej przy wyliczaniu wymogu kapitałowego. Poza tym banki, zgodnie z rozporządzeniem Ministra Finansów z dnia 16</w:t>
      </w:r>
      <w:r w:rsidR="007B5A9C">
        <w:t> </w:t>
      </w:r>
      <w:r w:rsidRPr="00F771E1">
        <w:t xml:space="preserve">grudnia 2008 r. </w:t>
      </w:r>
      <w:r w:rsidRPr="00F771E1">
        <w:rPr>
          <w:i/>
        </w:rPr>
        <w:t>w sprawie zasad tworzenia rezerw na ryzyko związane z</w:t>
      </w:r>
      <w:r w:rsidR="007B5A9C">
        <w:rPr>
          <w:i/>
        </w:rPr>
        <w:t> </w:t>
      </w:r>
      <w:r w:rsidRPr="00F771E1">
        <w:rPr>
          <w:i/>
        </w:rPr>
        <w:t>działalnością banków</w:t>
      </w:r>
      <w:r w:rsidRPr="00F771E1">
        <w:t xml:space="preserve"> (Dz. U. z</w:t>
      </w:r>
      <w:r w:rsidR="007B5A9C">
        <w:t> </w:t>
      </w:r>
      <w:r w:rsidRPr="00F771E1">
        <w:t>2019 r. poz. 520</w:t>
      </w:r>
      <w:r w:rsidR="000654ED">
        <w:rPr>
          <w:bCs/>
        </w:rPr>
        <w:t xml:space="preserve">, z </w:t>
      </w:r>
      <w:proofErr w:type="spellStart"/>
      <w:r w:rsidR="000654ED">
        <w:rPr>
          <w:bCs/>
        </w:rPr>
        <w:t>późn</w:t>
      </w:r>
      <w:proofErr w:type="spellEnd"/>
      <w:r w:rsidR="000654ED">
        <w:rPr>
          <w:bCs/>
        </w:rPr>
        <w:t>. zm.</w:t>
      </w:r>
      <w:r w:rsidRPr="00F771E1">
        <w:t>), mogą wykorzystać zabezpieczenie w postaci poręczenia lub gwarancji BGK do pomniejszenia kosztów rezerwy celowej na ekspozycje kredytowe poręczane/gwarantowane przez BGK.</w:t>
      </w:r>
    </w:p>
    <w:p w14:paraId="06A24340" w14:textId="77777777" w:rsidR="00FF3A19" w:rsidRPr="00F771E1" w:rsidRDefault="00FF3A19" w:rsidP="00FF3A19">
      <w:pPr>
        <w:pStyle w:val="Nagwek4"/>
        <w:spacing w:before="120" w:after="120" w:line="240" w:lineRule="auto"/>
        <w:ind w:left="851" w:hanging="851"/>
        <w:jc w:val="both"/>
        <w:rPr>
          <w:rFonts w:ascii="Times New Roman" w:hAnsi="Times New Roman"/>
          <w:i/>
          <w:sz w:val="24"/>
          <w:szCs w:val="24"/>
        </w:rPr>
      </w:pPr>
      <w:bookmarkStart w:id="62" w:name="_Toc448315294"/>
      <w:bookmarkStart w:id="63" w:name="_Toc37242627"/>
      <w:bookmarkEnd w:id="60"/>
      <w:bookmarkEnd w:id="61"/>
      <w:r w:rsidRPr="00F771E1">
        <w:rPr>
          <w:rFonts w:ascii="Times New Roman" w:hAnsi="Times New Roman"/>
          <w:sz w:val="24"/>
          <w:szCs w:val="24"/>
        </w:rPr>
        <w:t>2.4.1.2 Poręcze</w:t>
      </w:r>
      <w:r w:rsidR="006D6F93" w:rsidRPr="00F771E1">
        <w:rPr>
          <w:rFonts w:ascii="Times New Roman" w:hAnsi="Times New Roman"/>
          <w:sz w:val="24"/>
          <w:szCs w:val="24"/>
        </w:rPr>
        <w:t>nia i gwarancje udzielone w 2019</w:t>
      </w:r>
      <w:r w:rsidRPr="00F771E1">
        <w:rPr>
          <w:rFonts w:ascii="Times New Roman" w:hAnsi="Times New Roman"/>
          <w:sz w:val="24"/>
          <w:szCs w:val="24"/>
        </w:rPr>
        <w:t> r. w ramach Programu Wspierania Przedsiębiorczości</w:t>
      </w:r>
      <w:bookmarkEnd w:id="62"/>
      <w:bookmarkEnd w:id="63"/>
    </w:p>
    <w:p w14:paraId="19FAB30A" w14:textId="77777777" w:rsidR="00FF3A19" w:rsidRPr="00F771E1" w:rsidRDefault="00CF4A9D" w:rsidP="00FF3A19">
      <w:pPr>
        <w:tabs>
          <w:tab w:val="left" w:pos="1134"/>
        </w:tabs>
        <w:ind w:firstLine="567"/>
        <w:jc w:val="both"/>
      </w:pPr>
      <w:r w:rsidRPr="00F771E1">
        <w:t>W 2019 r. BGK udzielił 51 257 gwarancji gospodarczych w trybie portfelowym, na łączną kwotę 13 907</w:t>
      </w:r>
      <w:r w:rsidR="00385955">
        <w:t> </w:t>
      </w:r>
      <w:r w:rsidRPr="00F771E1">
        <w:t>391</w:t>
      </w:r>
      <w:r w:rsidR="00385955">
        <w:t> </w:t>
      </w:r>
      <w:r w:rsidRPr="00F771E1">
        <w:t xml:space="preserve">293,06 zł, w tym 39 329 gwarancji </w:t>
      </w:r>
      <w:r w:rsidRPr="00F771E1">
        <w:rPr>
          <w:iCs/>
        </w:rPr>
        <w:t>PLD</w:t>
      </w:r>
      <w:r w:rsidRPr="00F771E1">
        <w:t xml:space="preserve"> na łączną kwotę 11 562</w:t>
      </w:r>
      <w:r w:rsidR="00CE6AF7">
        <w:t> </w:t>
      </w:r>
      <w:r w:rsidRPr="00F771E1">
        <w:t>223</w:t>
      </w:r>
      <w:r w:rsidR="00CE6AF7">
        <w:t> </w:t>
      </w:r>
      <w:r w:rsidRPr="00F771E1">
        <w:t>121,90 zł, 11 827 gwarancji PLG COSME na łączną kwotę 2 130 386 172,47 zł, 93 gwarancje FG POIR na łączną kwotę 203 996 238,69 zł, 2</w:t>
      </w:r>
      <w:r w:rsidR="007B5A9C">
        <w:t> </w:t>
      </w:r>
      <w:r w:rsidRPr="00F771E1">
        <w:t>gwarancje PLG Kreatywna Europa na kwotę 2 800 000,00 zł, 1 gwarancję PLG POPC na kwotę 240 000,00 zł oraz 5 gwarancji FGR na kwotę 7</w:t>
      </w:r>
      <w:r w:rsidR="00CE6AF7">
        <w:t> </w:t>
      </w:r>
      <w:r w:rsidRPr="00F771E1">
        <w:t>745</w:t>
      </w:r>
      <w:r w:rsidR="00CE6AF7">
        <w:t xml:space="preserve"> </w:t>
      </w:r>
      <w:r w:rsidRPr="00F771E1">
        <w:t>760,00 zł.</w:t>
      </w:r>
      <w:r w:rsidR="00FF3A19" w:rsidRPr="00F771E1">
        <w:t xml:space="preserve"> </w:t>
      </w:r>
    </w:p>
    <w:p w14:paraId="41B3475D" w14:textId="77777777" w:rsidR="00FF3A19" w:rsidRPr="00F771E1" w:rsidRDefault="00CF4A9D" w:rsidP="00FF3A19">
      <w:pPr>
        <w:tabs>
          <w:tab w:val="left" w:pos="567"/>
        </w:tabs>
        <w:ind w:firstLine="567"/>
        <w:jc w:val="both"/>
      </w:pPr>
      <w:r w:rsidRPr="00F771E1">
        <w:t>W 2019 r. BGK udzielił jedną gwarancję należytego wykonania umowy w trybie indywidualnym na kwotę 500 000,00 zł. Pona</w:t>
      </w:r>
      <w:r w:rsidR="00343217">
        <w:t>dto</w:t>
      </w:r>
      <w:r w:rsidRPr="00F771E1">
        <w:t xml:space="preserve"> w 2019 r. BGK udzielił także 2</w:t>
      </w:r>
      <w:r w:rsidR="007B5A9C">
        <w:t> </w:t>
      </w:r>
      <w:r w:rsidRPr="00F771E1">
        <w:t>416</w:t>
      </w:r>
      <w:r w:rsidR="007B5A9C">
        <w:t> </w:t>
      </w:r>
      <w:r w:rsidRPr="00F771E1">
        <w:t>poręczeń kredytów studenckich na łączną kwotę 55 082 560,00 zł.</w:t>
      </w:r>
      <w:r w:rsidR="00FF3A19" w:rsidRPr="00F771E1">
        <w:t xml:space="preserve"> </w:t>
      </w:r>
    </w:p>
    <w:p w14:paraId="15C582FB" w14:textId="77777777" w:rsidR="00CF4A9D" w:rsidRPr="00F771E1" w:rsidRDefault="00CF4A9D" w:rsidP="00CF4A9D">
      <w:pPr>
        <w:tabs>
          <w:tab w:val="left" w:pos="567"/>
        </w:tabs>
        <w:ind w:firstLine="567"/>
        <w:jc w:val="both"/>
      </w:pPr>
      <w:r w:rsidRPr="00F771E1">
        <w:t>W 2019 r., w ramach Programu Wspieran</w:t>
      </w:r>
      <w:r w:rsidR="007B5A9C">
        <w:t>ia Przedsiębiorczości</w:t>
      </w:r>
      <w:r w:rsidR="009148A0">
        <w:t>,</w:t>
      </w:r>
      <w:r w:rsidR="007B5A9C">
        <w:t xml:space="preserve"> dokonano </w:t>
      </w:r>
      <w:r w:rsidRPr="00F771E1">
        <w:t>3</w:t>
      </w:r>
      <w:r w:rsidR="007B5A9C">
        <w:t> </w:t>
      </w:r>
      <w:r w:rsidRPr="00F771E1">
        <w:t>446</w:t>
      </w:r>
      <w:r w:rsidR="007B5A9C">
        <w:t> </w:t>
      </w:r>
      <w:r w:rsidRPr="00F771E1">
        <w:t>wypłat z tytułu udzielonych poręczeń i gwarancji gospodarczych na łączną kwotę 465 639 758,87 zł oraz 76 wypłat z tytułu udzielonych poręczeń kr</w:t>
      </w:r>
      <w:r w:rsidR="00385955">
        <w:t>edytów studenckich na kwotę 718 </w:t>
      </w:r>
      <w:r w:rsidRPr="00F771E1">
        <w:t xml:space="preserve">103,76 zł. </w:t>
      </w:r>
    </w:p>
    <w:p w14:paraId="553E9E37" w14:textId="77777777" w:rsidR="00CF4A9D" w:rsidRPr="00F771E1" w:rsidRDefault="00CF4A9D" w:rsidP="00CF4A9D">
      <w:pPr>
        <w:ind w:right="-1" w:firstLine="567"/>
        <w:jc w:val="both"/>
      </w:pPr>
      <w:r w:rsidRPr="00F771E1">
        <w:t xml:space="preserve">Według stanu na dzień 31.12.2019 r. łączny stan zobowiązań pozabilansowych (stan czynnych poręczeń i gwarancji) z tytułu udzielonych poręczeń i gwarancji gospodarczych wyniósł 21 211 961,44 tys. zł (tj. około 117,33% stanu potencjalnych zobowiązań wykazanych na koniec 2018 r. w kwocie 18 078 234,77 tys. zł). Wzrost wartości zobowiązań z tytułu udzielonych poręczeń i gwarancji związany jest przede wszystkim z aktywnym udzielaniem gwarancji </w:t>
      </w:r>
      <w:r w:rsidR="007B5A9C">
        <w:t xml:space="preserve">PLD. Jednocześnie zobowiązania </w:t>
      </w:r>
      <w:r w:rsidRPr="00F771E1">
        <w:t xml:space="preserve">z tytułu udzielonych poręczeń kredytów studenckich wg stanu na 31.12.2019 r. wyniosły 256 770,91 tys. zł (tj. około 98,66% stanu potencjalnych zobowiązań wykazanych na koniec 2018 r. w kwocie 260 265,97 tys. zł).  </w:t>
      </w:r>
    </w:p>
    <w:p w14:paraId="5E488550" w14:textId="77777777" w:rsidR="00CF4A9D" w:rsidRPr="00F771E1" w:rsidRDefault="00CF4A9D" w:rsidP="00CF4A9D">
      <w:pPr>
        <w:ind w:right="-1" w:firstLine="567"/>
        <w:jc w:val="both"/>
      </w:pPr>
      <w:r w:rsidRPr="00F771E1">
        <w:rPr>
          <w:szCs w:val="20"/>
        </w:rPr>
        <w:t xml:space="preserve">Natomiast stan należności wynikający z </w:t>
      </w:r>
      <w:r w:rsidR="007B5A9C">
        <w:rPr>
          <w:szCs w:val="20"/>
        </w:rPr>
        <w:t xml:space="preserve">udzielonych przez BGK poręczeń </w:t>
      </w:r>
      <w:r w:rsidRPr="00F771E1">
        <w:rPr>
          <w:szCs w:val="20"/>
        </w:rPr>
        <w:t>i</w:t>
      </w:r>
      <w:r w:rsidR="007B5A9C">
        <w:rPr>
          <w:szCs w:val="20"/>
        </w:rPr>
        <w:t> </w:t>
      </w:r>
      <w:r w:rsidRPr="00F771E1">
        <w:rPr>
          <w:szCs w:val="20"/>
        </w:rPr>
        <w:t xml:space="preserve">gwarancji gospodarczych (dotyczy zadłużenia z tytułu kapitału) na dzień 31.12.2019 r., wynosi 2 064 871,12 tys. zł (tj. około 119,7% stanu należności wykazanych na koniec </w:t>
      </w:r>
      <w:r w:rsidRPr="00F771E1">
        <w:rPr>
          <w:szCs w:val="20"/>
        </w:rPr>
        <w:lastRenderedPageBreak/>
        <w:t>2018 r. w kwocie 1 725 619,10 tys. zł). Na ww. należności składają się przede wszystkim należności z ty</w:t>
      </w:r>
      <w:r w:rsidR="007B5A9C">
        <w:rPr>
          <w:szCs w:val="20"/>
        </w:rPr>
        <w:t xml:space="preserve">tułu wypłaconych gwarancji PLD </w:t>
      </w:r>
      <w:r w:rsidRPr="00F771E1">
        <w:rPr>
          <w:szCs w:val="20"/>
        </w:rPr>
        <w:t xml:space="preserve">w wysokości 1 967 376,94 tys. zł. </w:t>
      </w:r>
      <w:r w:rsidRPr="00F771E1">
        <w:t>Jednocześnie należności z tytułu udzielonych poręczeń kredytów studenckich wg stanu na 31.12.201</w:t>
      </w:r>
      <w:r w:rsidR="007B5A9C">
        <w:t xml:space="preserve">9 r. wyniosły 1 184,25 tys. zł </w:t>
      </w:r>
      <w:r w:rsidRPr="00F771E1">
        <w:t>(tj.</w:t>
      </w:r>
      <w:r w:rsidR="007B5A9C">
        <w:t> </w:t>
      </w:r>
      <w:r w:rsidRPr="00F771E1">
        <w:t>około</w:t>
      </w:r>
      <w:r w:rsidR="007B5A9C">
        <w:t> </w:t>
      </w:r>
      <w:r w:rsidRPr="00F771E1">
        <w:t>177,3% stanu należności wykazanych na koniec 2018 r. w kwocie 667,81 tys. zł).</w:t>
      </w:r>
    </w:p>
    <w:p w14:paraId="1F2F2608" w14:textId="77777777" w:rsidR="00CF4A9D" w:rsidRPr="00F771E1" w:rsidRDefault="00CF4A9D" w:rsidP="00CF4A9D">
      <w:pPr>
        <w:tabs>
          <w:tab w:val="left" w:pos="993"/>
        </w:tabs>
        <w:ind w:firstLine="567"/>
        <w:jc w:val="both"/>
      </w:pPr>
      <w:r w:rsidRPr="00F771E1">
        <w:t xml:space="preserve">Bardzo dobre wyniki działalności BGK w zakresie wsparcia działalności MŚP poprzez udzielanie gwarancji </w:t>
      </w:r>
      <w:r w:rsidRPr="00F771E1">
        <w:rPr>
          <w:iCs/>
        </w:rPr>
        <w:t>PLD</w:t>
      </w:r>
      <w:r w:rsidRPr="00F771E1">
        <w:rPr>
          <w:i/>
          <w:iCs/>
        </w:rPr>
        <w:t xml:space="preserve"> </w:t>
      </w:r>
      <w:r w:rsidRPr="00F771E1">
        <w:t>wskazują, iż powyższa oferta jest dobrze dostosowana do oczekiwań zarówno MŚP, jak też sektora bankowego. Zapewnia finansowanie bieżącej działalności MŚP, jak również realizowanych przez nie przedsięwzięć inwestycyjnych. Sukces omawianego programu wynika w szczególności z faktu, iż ma on charakter ogólnopolski i funkcjon</w:t>
      </w:r>
      <w:r w:rsidR="007B5A9C">
        <w:t xml:space="preserve">uje na zasadzie ujednoliconego </w:t>
      </w:r>
      <w:r w:rsidRPr="00F771E1">
        <w:t xml:space="preserve">w skali kraju produktu, który ze względu na swoje parametry jest bardzo łatwy do zastosowania przez banki, pomimo różnic w ich ofercie kredytowej. Procedura udzielania gwarancji </w:t>
      </w:r>
      <w:r w:rsidRPr="00F771E1">
        <w:rPr>
          <w:iCs/>
        </w:rPr>
        <w:t>PLD</w:t>
      </w:r>
      <w:r w:rsidRPr="00F771E1">
        <w:t xml:space="preserve"> jest bardzo uproszczona, ponieważ przedsiębiorca załatwia wszystkie formalności związane z udzieleniem gwarancji w banku, w którym zaciąga kredyt. Poprzez brak konieczności stosowania rynkowej stawki opłaty prowizyjnej za udzielenie gwarancji</w:t>
      </w:r>
      <w:r w:rsidRPr="00F771E1">
        <w:rPr>
          <w:i/>
          <w:iCs/>
        </w:rPr>
        <w:t xml:space="preserve"> </w:t>
      </w:r>
      <w:r w:rsidRPr="00F771E1">
        <w:rPr>
          <w:iCs/>
        </w:rPr>
        <w:t>PLD</w:t>
      </w:r>
      <w:r w:rsidRPr="00F771E1">
        <w:t xml:space="preserve"> zapewniono przedsiębiorcom możliwość zabezpieczenia kredytu tanim instrumentem, stanowiącym jednocześnie w pełni akceptowalne zabezpieczenie kredytu dla banku. </w:t>
      </w:r>
    </w:p>
    <w:p w14:paraId="6ED2BDD2" w14:textId="77777777" w:rsidR="00CF4A9D" w:rsidRPr="00F771E1" w:rsidRDefault="00CF4A9D" w:rsidP="00CF4A9D">
      <w:pPr>
        <w:ind w:firstLine="567"/>
        <w:jc w:val="both"/>
      </w:pPr>
      <w:r w:rsidRPr="00F771E1">
        <w:t>Podstawowymi elementami warunkującymi realizację Programu Wspierania Przedsiębiorczości były i będą w przyszłości następujące czynniki:</w:t>
      </w:r>
    </w:p>
    <w:p w14:paraId="25C914FB" w14:textId="77777777" w:rsidR="00CF4A9D" w:rsidRPr="00F771E1" w:rsidRDefault="00CF4A9D" w:rsidP="00CF4A9D">
      <w:pPr>
        <w:numPr>
          <w:ilvl w:val="0"/>
          <w:numId w:val="10"/>
        </w:numPr>
        <w:tabs>
          <w:tab w:val="left" w:pos="851"/>
        </w:tabs>
        <w:ind w:left="851" w:hanging="284"/>
        <w:contextualSpacing/>
        <w:jc w:val="both"/>
      </w:pPr>
      <w:r w:rsidRPr="00F771E1">
        <w:t>ogólna sytuacja gospodarcza, w tym zapotrzebowanie przedsiębiorców na kredyty bankowe oraz ich zdolność kredytowa,</w:t>
      </w:r>
    </w:p>
    <w:p w14:paraId="2E36A60B" w14:textId="77777777" w:rsidR="00CF4A9D" w:rsidRPr="00F771E1" w:rsidRDefault="00CF4A9D" w:rsidP="00CF4A9D">
      <w:pPr>
        <w:numPr>
          <w:ilvl w:val="0"/>
          <w:numId w:val="10"/>
        </w:numPr>
        <w:tabs>
          <w:tab w:val="left" w:pos="851"/>
        </w:tabs>
        <w:ind w:left="851" w:hanging="284"/>
        <w:contextualSpacing/>
        <w:jc w:val="both"/>
      </w:pPr>
      <w:r w:rsidRPr="00F771E1">
        <w:t>prowadzenie przez banki współpr</w:t>
      </w:r>
      <w:r w:rsidR="007B5A9C">
        <w:t xml:space="preserve">acujące, które podpisały umowy </w:t>
      </w:r>
      <w:r w:rsidRPr="00F771E1">
        <w:t>o współpracy i umowy w ramach linii gwarancyjnych, aktywnej działalności ukierunkowanej na maksymalne wykorzystanie przyznanych przez BGK limitów,</w:t>
      </w:r>
    </w:p>
    <w:p w14:paraId="018CCB11" w14:textId="77777777" w:rsidR="00FF3A19" w:rsidRPr="00F771E1" w:rsidRDefault="00CF4A9D" w:rsidP="00FF3A19">
      <w:pPr>
        <w:numPr>
          <w:ilvl w:val="0"/>
          <w:numId w:val="10"/>
        </w:numPr>
        <w:tabs>
          <w:tab w:val="left" w:pos="851"/>
        </w:tabs>
        <w:ind w:left="851" w:hanging="284"/>
        <w:contextualSpacing/>
        <w:jc w:val="both"/>
      </w:pPr>
      <w:r w:rsidRPr="00F771E1">
        <w:t>stan wiedzy o korzyściach dla przedsiębiorców, przede wszystkim z sektora MŚP, wynikających z poręczeń/gwarancji BGK.</w:t>
      </w:r>
    </w:p>
    <w:p w14:paraId="11570134" w14:textId="77777777" w:rsidR="00FF3A19" w:rsidRPr="00F771E1" w:rsidRDefault="00FF3A19" w:rsidP="00FF3A19">
      <w:pPr>
        <w:pStyle w:val="Nagwek4"/>
        <w:spacing w:before="120" w:after="120" w:line="240" w:lineRule="auto"/>
        <w:ind w:left="851" w:hanging="851"/>
        <w:jc w:val="both"/>
        <w:rPr>
          <w:rFonts w:ascii="Times New Roman" w:hAnsi="Times New Roman"/>
          <w:sz w:val="24"/>
          <w:szCs w:val="24"/>
        </w:rPr>
      </w:pPr>
      <w:bookmarkStart w:id="64" w:name="_Toc448315295"/>
      <w:bookmarkStart w:id="65" w:name="_Toc37242628"/>
      <w:bookmarkStart w:id="66" w:name="_Toc352076152"/>
      <w:bookmarkStart w:id="67" w:name="_Toc352237527"/>
      <w:r w:rsidRPr="00F771E1">
        <w:rPr>
          <w:rFonts w:ascii="Times New Roman" w:hAnsi="Times New Roman"/>
          <w:sz w:val="24"/>
          <w:szCs w:val="24"/>
        </w:rPr>
        <w:t>2.4.1.3 Wsparcie kapitałowe funduszy poręczeniowych w ramach Programu Wspierania Przedsiębiorczości</w:t>
      </w:r>
      <w:bookmarkEnd w:id="64"/>
      <w:bookmarkEnd w:id="65"/>
    </w:p>
    <w:p w14:paraId="51D5D9F1" w14:textId="77777777" w:rsidR="00CF4A9D" w:rsidRPr="00F771E1" w:rsidRDefault="00CF4A9D" w:rsidP="00CF4A9D">
      <w:pPr>
        <w:tabs>
          <w:tab w:val="left" w:pos="993"/>
          <w:tab w:val="left" w:pos="1134"/>
        </w:tabs>
        <w:ind w:firstLine="567"/>
        <w:jc w:val="both"/>
      </w:pPr>
      <w:bookmarkStart w:id="68" w:name="_Toc448315296"/>
      <w:bookmarkEnd w:id="66"/>
      <w:bookmarkEnd w:id="67"/>
      <w:r w:rsidRPr="00F771E1">
        <w:t>Zgodnie z przepisami ustawy o poręczeniach i gwarancjach BGK może również nabywać lub obejmować akcje i udziały regionalnych i lokalnych funduszy poręczeniowych udzielających poręczeń lub gwarancji za zobowiązania MŚP.</w:t>
      </w:r>
    </w:p>
    <w:p w14:paraId="1416E4C8" w14:textId="77777777" w:rsidR="00FF3A19" w:rsidRPr="00F771E1" w:rsidRDefault="00CF4A9D" w:rsidP="00CF4A9D">
      <w:pPr>
        <w:tabs>
          <w:tab w:val="left" w:pos="993"/>
          <w:tab w:val="left" w:pos="1134"/>
        </w:tabs>
        <w:ind w:firstLine="567"/>
        <w:jc w:val="both"/>
      </w:pPr>
      <w:r w:rsidRPr="00F771E1">
        <w:t>Według stanu na dzień 31.12.2019 r. wartość zaangażowania BGK w</w:t>
      </w:r>
      <w:r w:rsidR="007B5A9C">
        <w:t> </w:t>
      </w:r>
      <w:r w:rsidRPr="00F771E1">
        <w:t>17</w:t>
      </w:r>
      <w:r w:rsidR="007B5A9C">
        <w:t> </w:t>
      </w:r>
      <w:r w:rsidRPr="00F771E1">
        <w:t>funduszach poręczeniowych wynosiła 61 350 247 zł. Udział BGK w kapitałach zakładowych funduszy ogółem wynosił 30,35%.</w:t>
      </w:r>
    </w:p>
    <w:p w14:paraId="4D538FF1" w14:textId="77777777" w:rsidR="00FF3A19" w:rsidRPr="00F771E1" w:rsidRDefault="00FF3A19" w:rsidP="00FF3A19">
      <w:pPr>
        <w:pStyle w:val="Nagwek3"/>
        <w:spacing w:before="120" w:after="120"/>
        <w:rPr>
          <w:rFonts w:ascii="Times New Roman" w:hAnsi="Times New Roman"/>
          <w:sz w:val="24"/>
          <w:szCs w:val="24"/>
        </w:rPr>
      </w:pPr>
      <w:bookmarkStart w:id="69" w:name="_Toc37242629"/>
      <w:r w:rsidRPr="00F771E1">
        <w:rPr>
          <w:rFonts w:ascii="Times New Roman" w:hAnsi="Times New Roman"/>
          <w:sz w:val="24"/>
          <w:szCs w:val="24"/>
        </w:rPr>
        <w:t xml:space="preserve">2.4.2 </w:t>
      </w:r>
      <w:r w:rsidRPr="00F771E1">
        <w:rPr>
          <w:rFonts w:ascii="Times New Roman" w:hAnsi="Times New Roman"/>
          <w:sz w:val="24"/>
          <w:szCs w:val="24"/>
        </w:rPr>
        <w:tab/>
        <w:t>Program Wsparcia Prywatyzacji</w:t>
      </w:r>
      <w:bookmarkEnd w:id="68"/>
      <w:bookmarkEnd w:id="69"/>
    </w:p>
    <w:p w14:paraId="19C5EEBD" w14:textId="77777777" w:rsidR="00FF3A19" w:rsidRPr="00F771E1" w:rsidRDefault="00CF4A9D" w:rsidP="00FF3A19">
      <w:pPr>
        <w:ind w:firstLine="567"/>
        <w:jc w:val="both"/>
      </w:pPr>
      <w:r w:rsidRPr="00F771E1">
        <w:t>Poręczenia i gwarancje w ramach Programu Wspa</w:t>
      </w:r>
      <w:r w:rsidR="007B5A9C">
        <w:t xml:space="preserve">rcia Prywatyzacji znajdują się </w:t>
      </w:r>
      <w:r w:rsidRPr="00F771E1">
        <w:t>w</w:t>
      </w:r>
      <w:r w:rsidR="007B5A9C">
        <w:t> </w:t>
      </w:r>
      <w:r w:rsidRPr="00F771E1">
        <w:t>ofercie BGK od czerwca 2010 r. BGK podjął działania informacyjne w stosunku do podmiotów potencjalnie zainteresowanych uzyskaniem poręczenia/gwarancji spłaty kredytu w ramach tego programu. Jednakże do końca 2019 r. do BGK nie wpłynął żaden wniosek o udzielenie takiego poręczenia/gwarancji. Brak zapytań ze strony spółek pracowniczych o możliwość uzyskania por</w:t>
      </w:r>
      <w:r w:rsidR="007B5A9C">
        <w:t xml:space="preserve">ęczenia/gwarancji BGK świadczy </w:t>
      </w:r>
      <w:r w:rsidRPr="00F771E1">
        <w:t>o braku zainteresowania programem.</w:t>
      </w:r>
    </w:p>
    <w:p w14:paraId="5964887F" w14:textId="77777777" w:rsidR="00FF3A19" w:rsidRPr="00F771E1" w:rsidRDefault="00FF3A19" w:rsidP="00FF3A19">
      <w:pPr>
        <w:pStyle w:val="Nagwek3"/>
        <w:tabs>
          <w:tab w:val="left" w:pos="567"/>
        </w:tabs>
        <w:spacing w:before="120" w:after="120"/>
        <w:rPr>
          <w:rFonts w:ascii="Times New Roman" w:hAnsi="Times New Roman"/>
          <w:sz w:val="24"/>
          <w:szCs w:val="24"/>
        </w:rPr>
      </w:pPr>
      <w:bookmarkStart w:id="70" w:name="_Toc37242630"/>
      <w:r w:rsidRPr="00F771E1">
        <w:rPr>
          <w:rFonts w:ascii="Times New Roman" w:hAnsi="Times New Roman"/>
          <w:sz w:val="24"/>
          <w:szCs w:val="24"/>
        </w:rPr>
        <w:t xml:space="preserve">2.4.3 </w:t>
      </w:r>
      <w:r w:rsidRPr="00F771E1">
        <w:rPr>
          <w:rFonts w:ascii="Times New Roman" w:hAnsi="Times New Roman"/>
          <w:sz w:val="24"/>
          <w:szCs w:val="24"/>
        </w:rPr>
        <w:tab/>
        <w:t>Akcje i udziały przekazane nieodpłatnie Bankowi Gospodarstwa Krajowego</w:t>
      </w:r>
      <w:bookmarkEnd w:id="70"/>
    </w:p>
    <w:p w14:paraId="00D5670D" w14:textId="77777777" w:rsidR="00CF4A9D" w:rsidRPr="00F771E1" w:rsidRDefault="00CF4A9D" w:rsidP="00CF4A9D">
      <w:pPr>
        <w:tabs>
          <w:tab w:val="left" w:pos="1134"/>
        </w:tabs>
        <w:ind w:firstLine="567"/>
        <w:jc w:val="both"/>
      </w:pPr>
      <w:r w:rsidRPr="00F771E1">
        <w:t>Zgodnie z przepisami ustawy o poręczeniach i gwarancjach minister właściwy do spraw Skarbu Państwa, w imieniu Skarbu Państwa</w:t>
      </w:r>
      <w:r w:rsidR="00A528E9">
        <w:t>,</w:t>
      </w:r>
      <w:r w:rsidRPr="00F771E1">
        <w:t xml:space="preserve"> w drodze rozporządzenia, przekazał w dwóch transzach nieodpłatnie BGK akcje i udziały stanowiące własność Skarbu </w:t>
      </w:r>
      <w:r w:rsidRPr="00F771E1">
        <w:lastRenderedPageBreak/>
        <w:t>Państwa. 50% przychodów ze sprzedaży akcji i udziałów zasiliło dawny Krajowy Fundusz Poręczeń Kredytowych (KFPK), a po jego likwidacji BGK, natomiast kolejne 50% przekazano Państwowej Agencji Rozwoju Przedsiębiorczości.</w:t>
      </w:r>
    </w:p>
    <w:p w14:paraId="15DF1B51" w14:textId="77777777" w:rsidR="006D6F93" w:rsidRPr="00F771E1" w:rsidRDefault="00CF4A9D" w:rsidP="00CF4A9D">
      <w:pPr>
        <w:tabs>
          <w:tab w:val="left" w:pos="1134"/>
        </w:tabs>
        <w:ind w:firstLine="567"/>
        <w:jc w:val="both"/>
      </w:pPr>
      <w:r w:rsidRPr="00F771E1">
        <w:t>Wartość wniesienia akcji i udziałów 35 spółek przekazanych do BGK w celu zasilenia zlikwidowanego KFPK w okresie j</w:t>
      </w:r>
      <w:r w:rsidR="007B5A9C">
        <w:t xml:space="preserve">ego funkcjonowania wyniosła </w:t>
      </w:r>
      <w:r w:rsidR="00385955">
        <w:t>38 001 </w:t>
      </w:r>
      <w:r w:rsidRPr="00F771E1">
        <w:t>019 zł. Do dnia 31.12.2019 r. dokonano tran</w:t>
      </w:r>
      <w:r w:rsidR="007B5A9C">
        <w:t xml:space="preserve">sakcji sprzedaży łącznie akcji </w:t>
      </w:r>
      <w:r w:rsidRPr="00F771E1">
        <w:t>i</w:t>
      </w:r>
      <w:r w:rsidR="007B5A9C">
        <w:t> </w:t>
      </w:r>
      <w:r w:rsidRPr="00F771E1">
        <w:t xml:space="preserve">udziałów 31 spółek, których wartość wniesienia do ksiąg BGK wyniosła </w:t>
      </w:r>
      <w:r w:rsidR="00385955">
        <w:t>36 121</w:t>
      </w:r>
      <w:r w:rsidR="007B5A9C">
        <w:t> </w:t>
      </w:r>
      <w:r w:rsidRPr="00F771E1">
        <w:t>263</w:t>
      </w:r>
      <w:r w:rsidR="007B5A9C">
        <w:t> </w:t>
      </w:r>
      <w:r w:rsidRPr="00F771E1">
        <w:t>zł.</w:t>
      </w:r>
      <w:r w:rsidR="007B5A9C">
        <w:t> </w:t>
      </w:r>
      <w:r w:rsidRPr="00F771E1">
        <w:t>W 2015 r. jeden podmiot został zlikwidowany. Łączna kwota uzyskana w</w:t>
      </w:r>
      <w:r w:rsidR="007B5A9C">
        <w:t> </w:t>
      </w:r>
      <w:r w:rsidRPr="00F771E1">
        <w:t xml:space="preserve">latach 2004-2019 ze sprzedaży akcji i udziałów tych podmiotów wyniosła </w:t>
      </w:r>
      <w:r w:rsidR="00385955">
        <w:t>81 423</w:t>
      </w:r>
      <w:r w:rsidR="007B5A9C">
        <w:t> </w:t>
      </w:r>
      <w:r w:rsidRPr="00F771E1">
        <w:t>610</w:t>
      </w:r>
      <w:r w:rsidR="007B5A9C">
        <w:t> </w:t>
      </w:r>
      <w:r w:rsidRPr="00F771E1">
        <w:t>zł.</w:t>
      </w:r>
      <w:r w:rsidR="006D6F93" w:rsidRPr="00F771E1">
        <w:t xml:space="preserve"> </w:t>
      </w:r>
    </w:p>
    <w:p w14:paraId="2B27B1BE" w14:textId="77777777" w:rsidR="00CF4A9D" w:rsidRPr="00F771E1" w:rsidRDefault="00CF4A9D" w:rsidP="00CF4A9D">
      <w:pPr>
        <w:tabs>
          <w:tab w:val="left" w:pos="1134"/>
        </w:tabs>
        <w:ind w:firstLine="567"/>
        <w:jc w:val="both"/>
      </w:pPr>
      <w:r w:rsidRPr="00F771E1">
        <w:t xml:space="preserve">W 2019 r. nie dokonano żadnej transakcji sprzedaży akcji lub udziałów spółek przekazanych do BGK. </w:t>
      </w:r>
    </w:p>
    <w:p w14:paraId="2CDA97A9" w14:textId="77777777" w:rsidR="00FF3A19" w:rsidRPr="00F771E1" w:rsidRDefault="00CF4A9D" w:rsidP="00CF4A9D">
      <w:pPr>
        <w:tabs>
          <w:tab w:val="left" w:pos="1134"/>
        </w:tabs>
        <w:ind w:firstLine="567"/>
        <w:jc w:val="both"/>
      </w:pPr>
      <w:r w:rsidRPr="00F771E1">
        <w:t>Według stanu na dzień 31.12.2019 r. portfel spółek zaliczonych pierwotnie do dawnego KFPK składał się z akcji 3 podmiotów. Ich łączna</w:t>
      </w:r>
      <w:r w:rsidR="00385955">
        <w:t xml:space="preserve"> wartość wniesienia wynosiła 1 096 </w:t>
      </w:r>
      <w:r w:rsidRPr="00F771E1">
        <w:t>386,73 zł.</w:t>
      </w:r>
    </w:p>
    <w:p w14:paraId="58F8F11E" w14:textId="77777777" w:rsidR="00A7514D" w:rsidRPr="00F771E1" w:rsidRDefault="00A7514D" w:rsidP="00A53157">
      <w:pPr>
        <w:pStyle w:val="Nagwek2"/>
        <w:spacing w:before="120" w:after="120"/>
        <w:ind w:left="567" w:hanging="567"/>
        <w:jc w:val="both"/>
        <w:rPr>
          <w:rFonts w:ascii="Times New Roman" w:hAnsi="Times New Roman"/>
          <w:i w:val="0"/>
          <w:sz w:val="24"/>
          <w:szCs w:val="24"/>
        </w:rPr>
      </w:pPr>
      <w:bookmarkStart w:id="71" w:name="_Toc352237529"/>
      <w:bookmarkStart w:id="72" w:name="_Toc448315298"/>
      <w:bookmarkStart w:id="73" w:name="_Toc37242631"/>
      <w:bookmarkStart w:id="74" w:name="_Toc352076157"/>
      <w:bookmarkEnd w:id="52"/>
      <w:r w:rsidRPr="00F771E1">
        <w:rPr>
          <w:rFonts w:ascii="Times New Roman" w:hAnsi="Times New Roman"/>
          <w:i w:val="0"/>
          <w:sz w:val="24"/>
          <w:szCs w:val="24"/>
        </w:rPr>
        <w:t xml:space="preserve">2.5 </w:t>
      </w:r>
      <w:r w:rsidR="00A53157" w:rsidRPr="00F771E1">
        <w:rPr>
          <w:rFonts w:ascii="Times New Roman" w:hAnsi="Times New Roman"/>
          <w:i w:val="0"/>
          <w:sz w:val="24"/>
          <w:szCs w:val="24"/>
        </w:rPr>
        <w:tab/>
      </w:r>
      <w:r w:rsidRPr="00F771E1">
        <w:rPr>
          <w:rFonts w:ascii="Times New Roman" w:hAnsi="Times New Roman"/>
          <w:i w:val="0"/>
          <w:sz w:val="24"/>
          <w:szCs w:val="24"/>
        </w:rPr>
        <w:t>Informacja o liczbie i wartości akcji składających się na zasób majątkowy Skarbu Państwa przeznaczony na zaspokajanie roszczeń z tytułu poręczeń i</w:t>
      </w:r>
      <w:r w:rsidR="007B5A9C">
        <w:rPr>
          <w:rFonts w:ascii="Times New Roman" w:hAnsi="Times New Roman"/>
          <w:i w:val="0"/>
          <w:sz w:val="24"/>
          <w:szCs w:val="24"/>
        </w:rPr>
        <w:t> </w:t>
      </w:r>
      <w:r w:rsidRPr="00F771E1">
        <w:rPr>
          <w:rFonts w:ascii="Times New Roman" w:hAnsi="Times New Roman"/>
          <w:i w:val="0"/>
          <w:sz w:val="24"/>
          <w:szCs w:val="24"/>
        </w:rPr>
        <w:t>gwarancji udzielonych przez Skarb Państwa</w:t>
      </w:r>
      <w:bookmarkEnd w:id="71"/>
      <w:bookmarkEnd w:id="72"/>
      <w:bookmarkEnd w:id="73"/>
    </w:p>
    <w:p w14:paraId="6146EF5D" w14:textId="77777777" w:rsidR="00885CDF" w:rsidRPr="00F771E1" w:rsidRDefault="00885CDF" w:rsidP="00885CDF">
      <w:pPr>
        <w:ind w:right="-1" w:firstLine="567"/>
        <w:jc w:val="both"/>
      </w:pPr>
      <w:r w:rsidRPr="00F771E1">
        <w:t>Zasób majątkowy Skarbu Państwa przezna</w:t>
      </w:r>
      <w:r w:rsidR="007B5A9C">
        <w:t xml:space="preserve">czony na zaspokajanie roszczeń </w:t>
      </w:r>
      <w:r w:rsidRPr="00F771E1">
        <w:t xml:space="preserve">z tytułu poręczeń i gwarancji udzielonych przez Skarb Państwa został utworzony na mocy art. 25 ustawy o poręczeniach i gwarancjach jako alternatywne, obok budżetu państwa, źródło spłat poręczonych lub gwarantowanych przez Skarb Państwa zobowiązań. </w:t>
      </w:r>
    </w:p>
    <w:p w14:paraId="7959B4AC" w14:textId="77777777" w:rsidR="00885CDF" w:rsidRPr="00F771E1" w:rsidRDefault="00885CDF" w:rsidP="00885CDF">
      <w:pPr>
        <w:ind w:right="-1" w:firstLine="567"/>
        <w:jc w:val="both"/>
      </w:pPr>
      <w:r w:rsidRPr="00F771E1">
        <w:t xml:space="preserve">Na zasób składają się akcje i udziały uzyskane w wyniku dochodzenia przez ministra właściwego do spraw finansów publicznych, w imieniu Skarbu Państwa, wierzytelności z tytułu udzielonych poręczeń i gwarancji oraz akcje i udziały </w:t>
      </w:r>
    </w:p>
    <w:p w14:paraId="01752E4A" w14:textId="77777777" w:rsidR="00885CDF" w:rsidRPr="00F771E1" w:rsidRDefault="00885CDF" w:rsidP="00885CDF">
      <w:pPr>
        <w:ind w:right="-1"/>
        <w:jc w:val="both"/>
      </w:pPr>
      <w:r w:rsidRPr="00F771E1">
        <w:t>w spółkach stanowiące własność Skarbu Państwa, wyodrębnione przez Radę Ministrów do dnia 17 lipca 2009 r.</w:t>
      </w:r>
    </w:p>
    <w:p w14:paraId="077D6D7B" w14:textId="77777777" w:rsidR="00885CDF" w:rsidRPr="00F771E1" w:rsidRDefault="00885CDF" w:rsidP="00885CDF">
      <w:pPr>
        <w:ind w:right="-1" w:firstLine="567"/>
        <w:jc w:val="both"/>
      </w:pPr>
      <w:r w:rsidRPr="00F771E1">
        <w:t>W związku z powyższym na koniec 2019 r. na zasobie majątkowym Skarbu Państwa przeznaczonym na zaspokojenie roszczeń z tytułu poręczeń i gwarancji udzielonych przez Skarb Państwa znajdowały się następujące akcje i udziały:</w:t>
      </w:r>
    </w:p>
    <w:p w14:paraId="71DDBBAF" w14:textId="77777777" w:rsidR="00885CDF" w:rsidRPr="00F771E1" w:rsidRDefault="00885CDF" w:rsidP="00885CDF">
      <w:pPr>
        <w:pStyle w:val="Akapitzlist"/>
        <w:numPr>
          <w:ilvl w:val="0"/>
          <w:numId w:val="28"/>
        </w:numPr>
        <w:ind w:left="851" w:right="-1" w:hanging="284"/>
        <w:jc w:val="both"/>
      </w:pPr>
      <w:r w:rsidRPr="00F771E1">
        <w:t>627 900 akcji zwykłych, imiennych, serii A, o numerach od 000000001 do 000627900, o wartości nominalnej 5,63 zł każda, spółki Warszawskie Zakłady Sprzętu Ortopedycznego S.A. z siedzibą w Warszawie,</w:t>
      </w:r>
    </w:p>
    <w:p w14:paraId="62761029" w14:textId="77777777" w:rsidR="00885CDF" w:rsidRPr="00F771E1" w:rsidRDefault="00885CDF" w:rsidP="00885CDF">
      <w:pPr>
        <w:pStyle w:val="Akapitzlist"/>
        <w:numPr>
          <w:ilvl w:val="0"/>
          <w:numId w:val="28"/>
        </w:numPr>
        <w:ind w:left="851" w:right="-1" w:hanging="284"/>
        <w:jc w:val="both"/>
      </w:pPr>
      <w:r w:rsidRPr="00F771E1">
        <w:t>6 171 akcji zwykłych, imiennych, serii B, o</w:t>
      </w:r>
      <w:r w:rsidR="007B5A9C">
        <w:t xml:space="preserve"> numerach od 113687 do 119857, </w:t>
      </w:r>
      <w:r w:rsidRPr="00F771E1">
        <w:t>o</w:t>
      </w:r>
      <w:r w:rsidR="007B5A9C">
        <w:t> </w:t>
      </w:r>
      <w:r w:rsidRPr="00F771E1">
        <w:t>wartości nominalnej 1 000 zł każda, spółki Warszawski Rolno-Spożywczy Rynek Hurtowy S.A. z siedzibą w Broniszach,</w:t>
      </w:r>
    </w:p>
    <w:p w14:paraId="6656E68F" w14:textId="77777777" w:rsidR="00885CDF" w:rsidRPr="00F771E1" w:rsidRDefault="00885CDF" w:rsidP="00885CDF">
      <w:pPr>
        <w:numPr>
          <w:ilvl w:val="0"/>
          <w:numId w:val="1"/>
        </w:numPr>
        <w:tabs>
          <w:tab w:val="clear" w:pos="928"/>
          <w:tab w:val="num" w:pos="851"/>
        </w:tabs>
        <w:ind w:left="851" w:right="-1" w:hanging="283"/>
        <w:jc w:val="both"/>
      </w:pPr>
      <w:r w:rsidRPr="00F771E1">
        <w:t>16 168 udziałów o wartości nom</w:t>
      </w:r>
      <w:r w:rsidR="007B5A9C">
        <w:t xml:space="preserve">inalnej 100 zł każdy, w spółce </w:t>
      </w:r>
      <w:proofErr w:type="spellStart"/>
      <w:r w:rsidRPr="00F771E1">
        <w:t>Lubinex</w:t>
      </w:r>
      <w:proofErr w:type="spellEnd"/>
      <w:r w:rsidRPr="00F771E1">
        <w:t xml:space="preserve"> Sp. z o.o. z siedzibą w Lubinie,</w:t>
      </w:r>
    </w:p>
    <w:p w14:paraId="2ED7EAD8" w14:textId="77777777" w:rsidR="00885CDF" w:rsidRPr="00F771E1" w:rsidRDefault="00885CDF" w:rsidP="00885CDF">
      <w:pPr>
        <w:numPr>
          <w:ilvl w:val="0"/>
          <w:numId w:val="1"/>
        </w:numPr>
        <w:tabs>
          <w:tab w:val="clear" w:pos="928"/>
          <w:tab w:val="num" w:pos="851"/>
        </w:tabs>
        <w:ind w:left="851" w:right="-1" w:hanging="283"/>
        <w:jc w:val="both"/>
      </w:pPr>
      <w:r w:rsidRPr="00F771E1">
        <w:t>7 440 udziałów o wartości nominalnej 500 zł każd</w:t>
      </w:r>
      <w:r w:rsidR="007B5A9C">
        <w:t xml:space="preserve">y, w spółce </w:t>
      </w:r>
      <w:r w:rsidRPr="00F771E1">
        <w:t>Chłodnia Szczecińska Sp. z o.o. z siedzibą w Szczecinie,</w:t>
      </w:r>
    </w:p>
    <w:p w14:paraId="2C5933B7" w14:textId="77777777" w:rsidR="00885CDF" w:rsidRPr="00F771E1" w:rsidRDefault="00885CDF" w:rsidP="00885CDF">
      <w:pPr>
        <w:numPr>
          <w:ilvl w:val="0"/>
          <w:numId w:val="1"/>
        </w:numPr>
        <w:tabs>
          <w:tab w:val="clear" w:pos="928"/>
          <w:tab w:val="num" w:pos="851"/>
        </w:tabs>
        <w:ind w:left="851" w:right="-1" w:hanging="283"/>
        <w:jc w:val="both"/>
      </w:pPr>
      <w:r w:rsidRPr="00F771E1">
        <w:t>40 586 akcji na okaziciela, serii A,</w:t>
      </w:r>
      <w:r w:rsidR="007B5A9C">
        <w:t xml:space="preserve"> o numerach od 38560 do 79145, </w:t>
      </w:r>
      <w:r w:rsidRPr="00F771E1">
        <w:t>o wartości nominalnej 10 zł każda, spółk</w:t>
      </w:r>
      <w:r w:rsidR="007B5A9C">
        <w:t xml:space="preserve">i Zakłady Przemysłu Wełnianego </w:t>
      </w:r>
      <w:r w:rsidRPr="00F771E1">
        <w:t>„9</w:t>
      </w:r>
      <w:r w:rsidR="007B5A9C">
        <w:t> </w:t>
      </w:r>
      <w:r w:rsidRPr="00F771E1">
        <w:t>maja” S.A. z</w:t>
      </w:r>
      <w:r w:rsidR="007B5A9C">
        <w:t> </w:t>
      </w:r>
      <w:r w:rsidRPr="00F771E1">
        <w:t>siedzibą w Łodzi,</w:t>
      </w:r>
    </w:p>
    <w:p w14:paraId="7521C5C0" w14:textId="77777777" w:rsidR="00885CDF" w:rsidRPr="00F771E1" w:rsidRDefault="00885CDF" w:rsidP="00885CDF">
      <w:pPr>
        <w:numPr>
          <w:ilvl w:val="0"/>
          <w:numId w:val="1"/>
        </w:numPr>
        <w:tabs>
          <w:tab w:val="clear" w:pos="928"/>
          <w:tab w:val="num" w:pos="851"/>
        </w:tabs>
        <w:ind w:left="851" w:right="-1" w:hanging="283"/>
        <w:jc w:val="both"/>
      </w:pPr>
      <w:r w:rsidRPr="00F771E1">
        <w:t>109 943 akcje na okaziciela, serii A, o numerach od 64 938 do 174 880 oraz 163</w:t>
      </w:r>
      <w:r w:rsidR="007B5A9C">
        <w:t> </w:t>
      </w:r>
      <w:r w:rsidRPr="00F771E1">
        <w:t>akcje na okaziciela, serii A, o różnych numerach, o wartości nominalnej 2,38 zł każda, spółki WELUX S.A. z siedzibą w Katowicach,</w:t>
      </w:r>
    </w:p>
    <w:p w14:paraId="2BAC4186" w14:textId="77777777" w:rsidR="00885CDF" w:rsidRPr="00F771E1" w:rsidRDefault="00885CDF" w:rsidP="00885CDF">
      <w:pPr>
        <w:numPr>
          <w:ilvl w:val="0"/>
          <w:numId w:val="1"/>
        </w:numPr>
        <w:tabs>
          <w:tab w:val="clear" w:pos="928"/>
          <w:tab w:val="num" w:pos="851"/>
        </w:tabs>
        <w:ind w:left="851" w:right="-1" w:hanging="283"/>
        <w:jc w:val="both"/>
      </w:pPr>
      <w:r w:rsidRPr="00F771E1">
        <w:rPr>
          <w:bCs/>
        </w:rPr>
        <w:t xml:space="preserve">321 843 akcji </w:t>
      </w:r>
      <w:r w:rsidR="00286496">
        <w:t>o wartości nominalnej 7,53</w:t>
      </w:r>
      <w:r w:rsidRPr="00F771E1">
        <w:t xml:space="preserve"> zł każda, </w:t>
      </w:r>
      <w:r w:rsidRPr="00F771E1">
        <w:rPr>
          <w:bCs/>
        </w:rPr>
        <w:t>spółki Polskie Pracownie Konserwacji Zabytków S.A. z siedzibą w Warszawie,</w:t>
      </w:r>
    </w:p>
    <w:p w14:paraId="0A5A8561" w14:textId="77777777" w:rsidR="00885CDF" w:rsidRPr="00F771E1" w:rsidRDefault="00885CDF" w:rsidP="00885CDF">
      <w:pPr>
        <w:numPr>
          <w:ilvl w:val="0"/>
          <w:numId w:val="1"/>
        </w:numPr>
        <w:tabs>
          <w:tab w:val="clear" w:pos="928"/>
          <w:tab w:val="num" w:pos="851"/>
        </w:tabs>
        <w:ind w:left="851" w:right="-1" w:hanging="283"/>
        <w:jc w:val="both"/>
      </w:pPr>
      <w:r w:rsidRPr="00F771E1">
        <w:rPr>
          <w:bCs/>
        </w:rPr>
        <w:lastRenderedPageBreak/>
        <w:t xml:space="preserve">230 785 akcji </w:t>
      </w:r>
      <w:r w:rsidRPr="00F771E1">
        <w:t xml:space="preserve">o wartości nominalnej 100 zł każda, </w:t>
      </w:r>
      <w:r w:rsidRPr="00F771E1">
        <w:rPr>
          <w:bCs/>
        </w:rPr>
        <w:t>spółki Zespół Elektrowni Wodnych Niedzica S.A. z siedzibą w Niedzicy,</w:t>
      </w:r>
    </w:p>
    <w:p w14:paraId="4DBB8998" w14:textId="77777777" w:rsidR="00885CDF" w:rsidRPr="00F771E1" w:rsidRDefault="00885CDF" w:rsidP="00885CDF">
      <w:pPr>
        <w:numPr>
          <w:ilvl w:val="0"/>
          <w:numId w:val="1"/>
        </w:numPr>
        <w:tabs>
          <w:tab w:val="clear" w:pos="928"/>
          <w:tab w:val="num" w:pos="851"/>
        </w:tabs>
        <w:ind w:left="851" w:right="-1" w:hanging="283"/>
        <w:jc w:val="both"/>
      </w:pPr>
      <w:r w:rsidRPr="00F771E1">
        <w:t>100 800 udziałów o wartości nominalnej 50 zł każdy, w spółce Przemysłowy Instytut Maszyn Budowlanych Sp. z o.o. z siedzibą w Kobyłce,</w:t>
      </w:r>
    </w:p>
    <w:p w14:paraId="2E9A5E44" w14:textId="77777777" w:rsidR="00885CDF" w:rsidRPr="00F771E1" w:rsidRDefault="00885CDF" w:rsidP="00885CDF">
      <w:pPr>
        <w:numPr>
          <w:ilvl w:val="0"/>
          <w:numId w:val="1"/>
        </w:numPr>
        <w:tabs>
          <w:tab w:val="clear" w:pos="928"/>
          <w:tab w:val="num" w:pos="851"/>
        </w:tabs>
        <w:ind w:left="851" w:right="-1" w:hanging="283"/>
        <w:jc w:val="both"/>
      </w:pPr>
      <w:r w:rsidRPr="00F771E1">
        <w:t>1 240 000 akcji o wartości nominalnej 10 zł każda, spółki Centrum Techniki Okrętowej S.A. z siedzibą w Gdańsku,</w:t>
      </w:r>
    </w:p>
    <w:p w14:paraId="731F2C91" w14:textId="77777777" w:rsidR="00ED0269" w:rsidRPr="00F771E1" w:rsidRDefault="00885CDF" w:rsidP="00885CDF">
      <w:pPr>
        <w:numPr>
          <w:ilvl w:val="0"/>
          <w:numId w:val="1"/>
        </w:numPr>
        <w:tabs>
          <w:tab w:val="clear" w:pos="928"/>
          <w:tab w:val="num" w:pos="851"/>
        </w:tabs>
        <w:ind w:left="851" w:right="-1" w:hanging="283"/>
        <w:jc w:val="both"/>
      </w:pPr>
      <w:r w:rsidRPr="00F771E1">
        <w:t>53 070 akcji zwykłych imiennych, serii B, o numerach od 21 358 do 74 42</w:t>
      </w:r>
      <w:r w:rsidR="007B5A9C">
        <w:t xml:space="preserve">7, </w:t>
      </w:r>
      <w:r w:rsidRPr="00F771E1">
        <w:t>o</w:t>
      </w:r>
      <w:r w:rsidR="007B5A9C">
        <w:t> </w:t>
      </w:r>
      <w:r w:rsidRPr="00F771E1">
        <w:t>wartości nominalnej 1 000 zł każda, sp</w:t>
      </w:r>
      <w:r w:rsidR="007B5A9C">
        <w:t xml:space="preserve">ółki Pomorskie Hurtowe Centrum </w:t>
      </w:r>
      <w:r w:rsidRPr="00F771E1">
        <w:t>Rolno-Spożywcze S.A. z siedzibą w Gdańsku</w:t>
      </w:r>
      <w:r w:rsidR="00510C6C" w:rsidRPr="00F771E1">
        <w:t>.</w:t>
      </w:r>
    </w:p>
    <w:p w14:paraId="0DFDBD07" w14:textId="77777777" w:rsidR="00FE3E44" w:rsidRPr="00F771E1" w:rsidRDefault="00A7514D" w:rsidP="00C105FD">
      <w:pPr>
        <w:pStyle w:val="Nagwek2"/>
        <w:spacing w:before="120" w:after="120"/>
        <w:ind w:left="567" w:hanging="567"/>
        <w:jc w:val="both"/>
        <w:rPr>
          <w:rFonts w:ascii="Times New Roman" w:hAnsi="Times New Roman"/>
          <w:i w:val="0"/>
          <w:sz w:val="24"/>
          <w:szCs w:val="24"/>
        </w:rPr>
      </w:pPr>
      <w:bookmarkStart w:id="75" w:name="_Toc448315299"/>
      <w:bookmarkStart w:id="76" w:name="_Toc37242632"/>
      <w:bookmarkEnd w:id="74"/>
      <w:r w:rsidRPr="00F771E1">
        <w:rPr>
          <w:rFonts w:ascii="Times New Roman" w:hAnsi="Times New Roman"/>
          <w:i w:val="0"/>
          <w:sz w:val="24"/>
          <w:szCs w:val="24"/>
        </w:rPr>
        <w:t xml:space="preserve">2.6 </w:t>
      </w:r>
      <w:r w:rsidRPr="00F771E1">
        <w:rPr>
          <w:rFonts w:ascii="Times New Roman" w:hAnsi="Times New Roman"/>
          <w:i w:val="0"/>
          <w:sz w:val="24"/>
          <w:szCs w:val="24"/>
        </w:rPr>
        <w:tab/>
        <w:t>Informacja o wykorzystaniu środków g</w:t>
      </w:r>
      <w:r w:rsidR="00C20FF3" w:rsidRPr="00F771E1">
        <w:rPr>
          <w:rFonts w:ascii="Times New Roman" w:hAnsi="Times New Roman"/>
          <w:i w:val="0"/>
          <w:sz w:val="24"/>
          <w:szCs w:val="24"/>
        </w:rPr>
        <w:t xml:space="preserve">romadzonych na rachunku rezerw </w:t>
      </w:r>
      <w:r w:rsidRPr="00F771E1">
        <w:rPr>
          <w:rFonts w:ascii="Times New Roman" w:hAnsi="Times New Roman"/>
          <w:i w:val="0"/>
          <w:sz w:val="24"/>
          <w:szCs w:val="24"/>
        </w:rPr>
        <w:t>poręczeniowych i gwarancyjnych Skarbu Państwa</w:t>
      </w:r>
      <w:bookmarkEnd w:id="75"/>
      <w:bookmarkEnd w:id="76"/>
    </w:p>
    <w:p w14:paraId="5A495CE1" w14:textId="77777777" w:rsidR="00885CDF" w:rsidRPr="00F771E1" w:rsidRDefault="00885CDF" w:rsidP="00885CDF">
      <w:pPr>
        <w:ind w:firstLine="567"/>
        <w:jc w:val="both"/>
      </w:pPr>
      <w:r w:rsidRPr="00F771E1">
        <w:t>Rachunek rezerw poręczeniowych i gwarancyjnych został utworzony w Banku Gospodarstwa Krajowego, na podstawie art. 30 ustawy o poręczeniach i gwarancjach. Na rachunku tym gromadzone są przychody ze sprzedaży akcji i udziałów składających się na omawiany powyżej zasób majątkowy, odsetki z tytułu oprocentowania środków zgromadzonych na tym rachunku oraz opłaty prow</w:t>
      </w:r>
      <w:r w:rsidR="007B5A9C">
        <w:t xml:space="preserve">izyjne od udzielonych poręczeń </w:t>
      </w:r>
      <w:r w:rsidRPr="00F771E1">
        <w:t>i</w:t>
      </w:r>
      <w:r w:rsidR="007B5A9C">
        <w:t> </w:t>
      </w:r>
      <w:r w:rsidRPr="00F771E1">
        <w:t xml:space="preserve">gwarancji. </w:t>
      </w:r>
    </w:p>
    <w:p w14:paraId="4B7D0B70" w14:textId="77777777" w:rsidR="00885CDF" w:rsidRPr="00F771E1" w:rsidRDefault="00885CDF" w:rsidP="00885CDF">
      <w:pPr>
        <w:pStyle w:val="BodyText26"/>
        <w:tabs>
          <w:tab w:val="left" w:pos="960"/>
        </w:tabs>
        <w:ind w:right="-1"/>
        <w:rPr>
          <w:rFonts w:ascii="Times New Roman" w:hAnsi="Times New Roman"/>
          <w:sz w:val="24"/>
          <w:szCs w:val="24"/>
        </w:rPr>
      </w:pPr>
      <w:r w:rsidRPr="00F771E1">
        <w:rPr>
          <w:rFonts w:ascii="Times New Roman" w:hAnsi="Times New Roman"/>
          <w:sz w:val="24"/>
          <w:szCs w:val="24"/>
        </w:rPr>
        <w:t>Środki z rachunku rezerw poręczeniowych i gwarancyjnych Skarbu Państwa mogą być przeznaczone na:</w:t>
      </w:r>
    </w:p>
    <w:p w14:paraId="172CB084" w14:textId="77777777" w:rsidR="00885CDF" w:rsidRPr="00F771E1" w:rsidRDefault="00885CDF" w:rsidP="00885CDF">
      <w:pPr>
        <w:pStyle w:val="BodyText26"/>
        <w:numPr>
          <w:ilvl w:val="0"/>
          <w:numId w:val="20"/>
        </w:numPr>
        <w:tabs>
          <w:tab w:val="left" w:pos="993"/>
        </w:tabs>
        <w:ind w:left="993" w:right="-1" w:hanging="437"/>
        <w:rPr>
          <w:rFonts w:ascii="Times New Roman" w:hAnsi="Times New Roman"/>
          <w:sz w:val="24"/>
          <w:szCs w:val="24"/>
        </w:rPr>
      </w:pPr>
      <w:r w:rsidRPr="00F771E1">
        <w:rPr>
          <w:rFonts w:ascii="Times New Roman" w:hAnsi="Times New Roman"/>
          <w:sz w:val="24"/>
          <w:szCs w:val="24"/>
        </w:rPr>
        <w:t>wykonywanie zobowiązań z tytułu poręczeń lub gwarancji udzielonych przez Skarb Państwa,</w:t>
      </w:r>
    </w:p>
    <w:p w14:paraId="287C6FDA" w14:textId="77777777" w:rsidR="00885CDF" w:rsidRPr="00F771E1" w:rsidRDefault="00885CDF" w:rsidP="00885CDF">
      <w:pPr>
        <w:pStyle w:val="BodyText26"/>
        <w:numPr>
          <w:ilvl w:val="0"/>
          <w:numId w:val="20"/>
        </w:numPr>
        <w:tabs>
          <w:tab w:val="left" w:pos="993"/>
        </w:tabs>
        <w:ind w:left="993" w:right="-1" w:hanging="426"/>
        <w:rPr>
          <w:rFonts w:ascii="Times New Roman" w:hAnsi="Times New Roman"/>
          <w:sz w:val="24"/>
          <w:szCs w:val="24"/>
        </w:rPr>
      </w:pPr>
      <w:r w:rsidRPr="00F771E1">
        <w:rPr>
          <w:rFonts w:ascii="Times New Roman" w:hAnsi="Times New Roman"/>
          <w:sz w:val="24"/>
          <w:szCs w:val="24"/>
        </w:rPr>
        <w:t>pokrycie kosztów dochodzenia wierzytelności Skarbu Państwa powstałych z tytułu wykonania umowy poręczenia lub gwarancji,</w:t>
      </w:r>
    </w:p>
    <w:p w14:paraId="48DBC501" w14:textId="77777777" w:rsidR="00885CDF" w:rsidRPr="00F771E1" w:rsidRDefault="00885CDF" w:rsidP="00885CDF">
      <w:pPr>
        <w:pStyle w:val="BodyText26"/>
        <w:numPr>
          <w:ilvl w:val="0"/>
          <w:numId w:val="20"/>
        </w:numPr>
        <w:tabs>
          <w:tab w:val="left" w:pos="993"/>
        </w:tabs>
        <w:ind w:left="993" w:right="-1" w:hanging="426"/>
        <w:rPr>
          <w:rFonts w:ascii="Times New Roman" w:hAnsi="Times New Roman"/>
          <w:sz w:val="24"/>
          <w:szCs w:val="24"/>
        </w:rPr>
      </w:pPr>
      <w:r w:rsidRPr="00F771E1">
        <w:rPr>
          <w:rFonts w:ascii="Times New Roman" w:hAnsi="Times New Roman"/>
          <w:sz w:val="24"/>
          <w:szCs w:val="24"/>
        </w:rPr>
        <w:t>finansowanie potrzeb pożyczkowych budżetu państwa oraz zarządzanie długiem Skarbu Państwa pod warunkiem ich zwrotu na rachunek, w przypadku zaistnienia konieczności wypłat z tytułu poręczeń i gwarancji Skarbu Państwa, w wysokości i terminie umożliwiającym realizację zobowiązań Skarbu Państwa.</w:t>
      </w:r>
    </w:p>
    <w:p w14:paraId="322183CB" w14:textId="77777777" w:rsidR="00837FBC" w:rsidRPr="00C40369" w:rsidRDefault="00885CDF" w:rsidP="00823428">
      <w:pPr>
        <w:pStyle w:val="BodyText26"/>
        <w:tabs>
          <w:tab w:val="left" w:pos="960"/>
        </w:tabs>
        <w:ind w:right="-1"/>
        <w:rPr>
          <w:rFonts w:ascii="Times New Roman" w:hAnsi="Times New Roman"/>
          <w:sz w:val="24"/>
          <w:szCs w:val="24"/>
        </w:rPr>
      </w:pPr>
      <w:r w:rsidRPr="00F771E1">
        <w:rPr>
          <w:rFonts w:ascii="Times New Roman" w:hAnsi="Times New Roman"/>
          <w:sz w:val="24"/>
          <w:szCs w:val="24"/>
        </w:rPr>
        <w:t>W 2019 r. nie było konieczności wydatkowania środków z wykorzystaniem tego rachunku na cele związane z obsługą gwarancji i poręczeń. W związku z powyższym całość środków, które zasiliły rachunek rezerw poręczeniowych i gwara</w:t>
      </w:r>
      <w:r w:rsidR="007B5A9C">
        <w:rPr>
          <w:rFonts w:ascii="Times New Roman" w:hAnsi="Times New Roman"/>
          <w:sz w:val="24"/>
          <w:szCs w:val="24"/>
        </w:rPr>
        <w:t xml:space="preserve">ncyjnych </w:t>
      </w:r>
      <w:r w:rsidR="00385955">
        <w:rPr>
          <w:rFonts w:ascii="Times New Roman" w:hAnsi="Times New Roman"/>
          <w:sz w:val="24"/>
          <w:szCs w:val="24"/>
        </w:rPr>
        <w:t>w</w:t>
      </w:r>
      <w:r w:rsidR="007B5A9C">
        <w:rPr>
          <w:rFonts w:ascii="Times New Roman" w:hAnsi="Times New Roman"/>
          <w:sz w:val="24"/>
          <w:szCs w:val="24"/>
        </w:rPr>
        <w:t> </w:t>
      </w:r>
      <w:r w:rsidR="00385955">
        <w:rPr>
          <w:rFonts w:ascii="Times New Roman" w:hAnsi="Times New Roman"/>
          <w:sz w:val="24"/>
          <w:szCs w:val="24"/>
        </w:rPr>
        <w:t>2019</w:t>
      </w:r>
      <w:r w:rsidR="007B5A9C">
        <w:rPr>
          <w:rFonts w:ascii="Times New Roman" w:hAnsi="Times New Roman"/>
          <w:sz w:val="24"/>
          <w:szCs w:val="24"/>
        </w:rPr>
        <w:t> </w:t>
      </w:r>
      <w:r w:rsidR="00385955">
        <w:rPr>
          <w:rFonts w:ascii="Times New Roman" w:hAnsi="Times New Roman"/>
          <w:sz w:val="24"/>
          <w:szCs w:val="24"/>
        </w:rPr>
        <w:t>r., tj. 20 225 </w:t>
      </w:r>
      <w:r w:rsidRPr="00F771E1">
        <w:rPr>
          <w:rFonts w:ascii="Times New Roman" w:hAnsi="Times New Roman"/>
          <w:sz w:val="24"/>
          <w:szCs w:val="24"/>
        </w:rPr>
        <w:t xml:space="preserve">274 zł, przeznaczono na finansowanie potrzeb pożyczkowych budżetu państwa, tak jak miało to miejsce w latach poprzednich. Łącznie, na przestrzeni </w:t>
      </w:r>
      <w:r w:rsidR="00A03520">
        <w:rPr>
          <w:rFonts w:ascii="Times New Roman" w:hAnsi="Times New Roman"/>
          <w:sz w:val="24"/>
          <w:szCs w:val="24"/>
        </w:rPr>
        <w:t>sześciu</w:t>
      </w:r>
      <w:r w:rsidRPr="00F771E1">
        <w:rPr>
          <w:rFonts w:ascii="Times New Roman" w:hAnsi="Times New Roman"/>
          <w:sz w:val="24"/>
          <w:szCs w:val="24"/>
        </w:rPr>
        <w:t xml:space="preserve"> lat, przekazano na ten cel z powyższe</w:t>
      </w:r>
      <w:r w:rsidR="007B5A9C">
        <w:rPr>
          <w:rFonts w:ascii="Times New Roman" w:hAnsi="Times New Roman"/>
          <w:sz w:val="24"/>
          <w:szCs w:val="24"/>
        </w:rPr>
        <w:t xml:space="preserve">go rachunku środki w wysokości </w:t>
      </w:r>
      <w:r w:rsidRPr="00F771E1">
        <w:rPr>
          <w:rFonts w:ascii="Times New Roman" w:hAnsi="Times New Roman"/>
          <w:sz w:val="24"/>
          <w:szCs w:val="24"/>
        </w:rPr>
        <w:t>1 198</w:t>
      </w:r>
      <w:r w:rsidR="00385955">
        <w:rPr>
          <w:rFonts w:ascii="Times New Roman" w:hAnsi="Times New Roman"/>
          <w:sz w:val="24"/>
          <w:szCs w:val="24"/>
        </w:rPr>
        <w:t> </w:t>
      </w:r>
      <w:r w:rsidRPr="00F771E1">
        <w:rPr>
          <w:rFonts w:ascii="Times New Roman" w:hAnsi="Times New Roman"/>
          <w:sz w:val="24"/>
          <w:szCs w:val="24"/>
        </w:rPr>
        <w:t>254</w:t>
      </w:r>
      <w:r w:rsidR="00385955">
        <w:rPr>
          <w:rFonts w:ascii="Times New Roman" w:hAnsi="Times New Roman"/>
          <w:sz w:val="24"/>
          <w:szCs w:val="24"/>
        </w:rPr>
        <w:t> </w:t>
      </w:r>
      <w:r w:rsidRPr="00F771E1">
        <w:rPr>
          <w:rFonts w:ascii="Times New Roman" w:hAnsi="Times New Roman"/>
          <w:sz w:val="24"/>
          <w:szCs w:val="24"/>
        </w:rPr>
        <w:t>383 zł.</w:t>
      </w:r>
    </w:p>
    <w:sectPr w:rsidR="00837FBC" w:rsidRPr="00C40369" w:rsidSect="00870D19">
      <w:footerReference w:type="default" r:id="rId11"/>
      <w:footerReference w:type="first" r:id="rId12"/>
      <w:pgSz w:w="11906" w:h="16838" w:code="9"/>
      <w:pgMar w:top="1465" w:right="1700" w:bottom="1628" w:left="1418" w:header="709" w:footer="709" w:gutter="284"/>
      <w:paperSrc w:first="7" w:other="7"/>
      <w:pgNumType w:start="2"/>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AFDA1" w14:textId="77777777" w:rsidR="00350418" w:rsidRDefault="00350418">
      <w:r>
        <w:separator/>
      </w:r>
    </w:p>
  </w:endnote>
  <w:endnote w:type="continuationSeparator" w:id="0">
    <w:p w14:paraId="72E7D4BA" w14:textId="77777777" w:rsidR="00350418" w:rsidRDefault="0035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PL">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PL">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3D013" w14:textId="77777777" w:rsidR="004A56CF" w:rsidRDefault="004A56CF" w:rsidP="00DC762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E924D01" w14:textId="77777777" w:rsidR="004A56CF" w:rsidRDefault="004A56C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1E514" w14:textId="77777777" w:rsidR="004A56CF" w:rsidRDefault="004A56CF" w:rsidP="004F3337">
    <w:pPr>
      <w:pStyle w:val="Stopka"/>
    </w:pPr>
  </w:p>
  <w:p w14:paraId="219DE518" w14:textId="77777777" w:rsidR="004A56CF" w:rsidRDefault="004A56C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51516" w14:textId="77777777" w:rsidR="004A56CF" w:rsidRDefault="004A56CF">
    <w:pPr>
      <w:pStyle w:val="Stopka"/>
      <w:jc w:val="center"/>
    </w:pPr>
    <w:r>
      <w:fldChar w:fldCharType="begin"/>
    </w:r>
    <w:r>
      <w:instrText xml:space="preserve"> PAGE   \* MERGEFORMAT </w:instrText>
    </w:r>
    <w:r>
      <w:fldChar w:fldCharType="separate"/>
    </w:r>
    <w:r w:rsidR="0008168F">
      <w:rPr>
        <w:noProof/>
      </w:rPr>
      <w:t>15</w:t>
    </w:r>
    <w:r>
      <w:rPr>
        <w:noProof/>
      </w:rPr>
      <w:fldChar w:fldCharType="end"/>
    </w:r>
  </w:p>
  <w:p w14:paraId="3126C1F6" w14:textId="77777777" w:rsidR="004A56CF" w:rsidRDefault="004A56C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C0839" w14:textId="77777777" w:rsidR="004A56CF" w:rsidRDefault="004A56CF">
    <w:pPr>
      <w:pStyle w:val="Stopka"/>
      <w:jc w:val="center"/>
    </w:pPr>
    <w:r>
      <w:fldChar w:fldCharType="begin"/>
    </w:r>
    <w:r>
      <w:instrText xml:space="preserve"> PAGE   \* MERGEFORMAT </w:instrText>
    </w:r>
    <w:r>
      <w:fldChar w:fldCharType="separate"/>
    </w:r>
    <w:r w:rsidR="0008168F">
      <w:rPr>
        <w:noProof/>
      </w:rPr>
      <w:t>2</w:t>
    </w:r>
    <w:r>
      <w:rPr>
        <w:noProof/>
      </w:rPr>
      <w:fldChar w:fldCharType="end"/>
    </w:r>
  </w:p>
  <w:p w14:paraId="1E742895" w14:textId="77777777" w:rsidR="004A56CF" w:rsidRDefault="004A56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34047" w14:textId="77777777" w:rsidR="00350418" w:rsidRDefault="00350418">
      <w:r>
        <w:separator/>
      </w:r>
    </w:p>
  </w:footnote>
  <w:footnote w:type="continuationSeparator" w:id="0">
    <w:p w14:paraId="040F189B" w14:textId="77777777" w:rsidR="00350418" w:rsidRDefault="00350418">
      <w:r>
        <w:continuationSeparator/>
      </w:r>
    </w:p>
  </w:footnote>
  <w:footnote w:id="1">
    <w:p w14:paraId="428DB902" w14:textId="77777777" w:rsidR="004A56CF" w:rsidRPr="0080471C" w:rsidRDefault="004A56CF" w:rsidP="00A51294">
      <w:pPr>
        <w:pStyle w:val="Tekstprzypisudolnego"/>
        <w:ind w:right="-1"/>
        <w:jc w:val="both"/>
        <w:rPr>
          <w:color w:val="00B050"/>
        </w:rPr>
      </w:pPr>
      <w:r w:rsidRPr="00A51294">
        <w:rPr>
          <w:rStyle w:val="Odwoanieprzypisudolnego"/>
        </w:rPr>
        <w:t>1</w:t>
      </w:r>
      <w:r w:rsidRPr="00A51294">
        <w:t> Do wyliczenia relacji przyjęto PKB w wysokości 2 265,0 mld zł, tj. zgodnie z informacją GUS z dnia 28 lutego 2020 r. w sprawie wstępnego szacunku produktu krajowego brutto w IV kwartale 2019 r.</w:t>
      </w:r>
    </w:p>
  </w:footnote>
  <w:footnote w:id="2">
    <w:p w14:paraId="51FF4FE0" w14:textId="77777777" w:rsidR="004A56CF" w:rsidRPr="00B7668D" w:rsidRDefault="004A56CF" w:rsidP="00297FF6">
      <w:pPr>
        <w:pStyle w:val="Tekstprzypisudolnego"/>
        <w:ind w:right="-1"/>
        <w:jc w:val="both"/>
      </w:pPr>
      <w:r w:rsidRPr="00B7668D">
        <w:rPr>
          <w:rStyle w:val="Odwoanieprzypisudolnego"/>
        </w:rPr>
        <w:t>2</w:t>
      </w:r>
      <w:r w:rsidRPr="00B7668D">
        <w:t xml:space="preserve"> Do wyliczenia relacji przyjęto PKB w wysokości 2 265,0 mld zł, tj. zgodnie z informacją GUS z dnia 28 lutego 2020 r. w sprawie wstępnego szacunku produktu krajowego brutto w IV kwartale 2019 r.</w:t>
      </w:r>
    </w:p>
  </w:footnote>
  <w:footnote w:id="3">
    <w:p w14:paraId="4AA82F86" w14:textId="77777777" w:rsidR="004A56CF" w:rsidRPr="009D2221" w:rsidRDefault="004A56CF" w:rsidP="00FF3A19">
      <w:pPr>
        <w:pStyle w:val="Tekstprzypisudolnego"/>
        <w:ind w:right="-1"/>
        <w:jc w:val="both"/>
        <w:rPr>
          <w:sz w:val="18"/>
          <w:szCs w:val="18"/>
        </w:rPr>
      </w:pPr>
      <w:r w:rsidRPr="009D2221">
        <w:rPr>
          <w:rStyle w:val="Odwoanieprzypisudolnego"/>
        </w:rPr>
        <w:footnoteRef/>
      </w:r>
      <w:r w:rsidRPr="009D2221">
        <w:t> </w:t>
      </w:r>
      <w:r>
        <w:rPr>
          <w:sz w:val="18"/>
          <w:szCs w:val="18"/>
        </w:rPr>
        <w:t>Na podstawie danych przekazanych</w:t>
      </w:r>
      <w:r w:rsidRPr="009D2221">
        <w:rPr>
          <w:sz w:val="18"/>
          <w:szCs w:val="18"/>
        </w:rPr>
        <w:t xml:space="preserve"> przez Bank </w:t>
      </w:r>
      <w:r>
        <w:rPr>
          <w:sz w:val="18"/>
          <w:szCs w:val="18"/>
        </w:rPr>
        <w:t>Gospodarstwa Krajowego</w:t>
      </w:r>
      <w:r w:rsidRPr="009D2221">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5A2"/>
    <w:multiLevelType w:val="hybridMultilevel"/>
    <w:tmpl w:val="280012B8"/>
    <w:lvl w:ilvl="0" w:tplc="77685102">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 w15:restartNumberingAfterBreak="0">
    <w:nsid w:val="0A1F746A"/>
    <w:multiLevelType w:val="multilevel"/>
    <w:tmpl w:val="92D8D93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B224CED"/>
    <w:multiLevelType w:val="hybridMultilevel"/>
    <w:tmpl w:val="A73AFBF2"/>
    <w:lvl w:ilvl="0" w:tplc="77685102">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 w15:restartNumberingAfterBreak="0">
    <w:nsid w:val="10751835"/>
    <w:multiLevelType w:val="hybridMultilevel"/>
    <w:tmpl w:val="879A8E0C"/>
    <w:lvl w:ilvl="0" w:tplc="77685102">
      <w:start w:val="1"/>
      <w:numFmt w:val="bullet"/>
      <w:lvlText w:val=""/>
      <w:lvlJc w:val="left"/>
      <w:pPr>
        <w:tabs>
          <w:tab w:val="num" w:pos="1248"/>
        </w:tabs>
        <w:ind w:left="1248" w:hanging="397"/>
      </w:pPr>
      <w:rPr>
        <w:rFonts w:ascii="Symbol" w:hAnsi="Symbol" w:hint="default"/>
        <w:sz w:val="20"/>
      </w:rPr>
    </w:lvl>
    <w:lvl w:ilvl="1" w:tplc="04150003" w:tentative="1">
      <w:start w:val="1"/>
      <w:numFmt w:val="bullet"/>
      <w:lvlText w:val="o"/>
      <w:lvlJc w:val="left"/>
      <w:pPr>
        <w:tabs>
          <w:tab w:val="num" w:pos="1113"/>
        </w:tabs>
        <w:ind w:left="1113" w:hanging="360"/>
      </w:pPr>
      <w:rPr>
        <w:rFonts w:ascii="Courier New" w:hAnsi="Courier New" w:hint="default"/>
      </w:rPr>
    </w:lvl>
    <w:lvl w:ilvl="2" w:tplc="04150005" w:tentative="1">
      <w:start w:val="1"/>
      <w:numFmt w:val="bullet"/>
      <w:lvlText w:val=""/>
      <w:lvlJc w:val="left"/>
      <w:pPr>
        <w:tabs>
          <w:tab w:val="num" w:pos="1833"/>
        </w:tabs>
        <w:ind w:left="1833" w:hanging="360"/>
      </w:pPr>
      <w:rPr>
        <w:rFonts w:ascii="Wingdings" w:hAnsi="Wingdings" w:hint="default"/>
      </w:rPr>
    </w:lvl>
    <w:lvl w:ilvl="3" w:tplc="04150001" w:tentative="1">
      <w:start w:val="1"/>
      <w:numFmt w:val="bullet"/>
      <w:lvlText w:val=""/>
      <w:lvlJc w:val="left"/>
      <w:pPr>
        <w:tabs>
          <w:tab w:val="num" w:pos="2553"/>
        </w:tabs>
        <w:ind w:left="2553" w:hanging="360"/>
      </w:pPr>
      <w:rPr>
        <w:rFonts w:ascii="Symbol" w:hAnsi="Symbol" w:hint="default"/>
      </w:rPr>
    </w:lvl>
    <w:lvl w:ilvl="4" w:tplc="04150003" w:tentative="1">
      <w:start w:val="1"/>
      <w:numFmt w:val="bullet"/>
      <w:lvlText w:val="o"/>
      <w:lvlJc w:val="left"/>
      <w:pPr>
        <w:tabs>
          <w:tab w:val="num" w:pos="3273"/>
        </w:tabs>
        <w:ind w:left="3273" w:hanging="360"/>
      </w:pPr>
      <w:rPr>
        <w:rFonts w:ascii="Courier New" w:hAnsi="Courier New" w:hint="default"/>
      </w:rPr>
    </w:lvl>
    <w:lvl w:ilvl="5" w:tplc="04150005" w:tentative="1">
      <w:start w:val="1"/>
      <w:numFmt w:val="bullet"/>
      <w:lvlText w:val=""/>
      <w:lvlJc w:val="left"/>
      <w:pPr>
        <w:tabs>
          <w:tab w:val="num" w:pos="3993"/>
        </w:tabs>
        <w:ind w:left="3993" w:hanging="360"/>
      </w:pPr>
      <w:rPr>
        <w:rFonts w:ascii="Wingdings" w:hAnsi="Wingdings" w:hint="default"/>
      </w:rPr>
    </w:lvl>
    <w:lvl w:ilvl="6" w:tplc="04150001" w:tentative="1">
      <w:start w:val="1"/>
      <w:numFmt w:val="bullet"/>
      <w:lvlText w:val=""/>
      <w:lvlJc w:val="left"/>
      <w:pPr>
        <w:tabs>
          <w:tab w:val="num" w:pos="4713"/>
        </w:tabs>
        <w:ind w:left="4713" w:hanging="360"/>
      </w:pPr>
      <w:rPr>
        <w:rFonts w:ascii="Symbol" w:hAnsi="Symbol" w:hint="default"/>
      </w:rPr>
    </w:lvl>
    <w:lvl w:ilvl="7" w:tplc="04150003" w:tentative="1">
      <w:start w:val="1"/>
      <w:numFmt w:val="bullet"/>
      <w:lvlText w:val="o"/>
      <w:lvlJc w:val="left"/>
      <w:pPr>
        <w:tabs>
          <w:tab w:val="num" w:pos="5433"/>
        </w:tabs>
        <w:ind w:left="5433" w:hanging="360"/>
      </w:pPr>
      <w:rPr>
        <w:rFonts w:ascii="Courier New" w:hAnsi="Courier New" w:hint="default"/>
      </w:rPr>
    </w:lvl>
    <w:lvl w:ilvl="8" w:tplc="04150005" w:tentative="1">
      <w:start w:val="1"/>
      <w:numFmt w:val="bullet"/>
      <w:lvlText w:val=""/>
      <w:lvlJc w:val="left"/>
      <w:pPr>
        <w:tabs>
          <w:tab w:val="num" w:pos="6153"/>
        </w:tabs>
        <w:ind w:left="6153" w:hanging="360"/>
      </w:pPr>
      <w:rPr>
        <w:rFonts w:ascii="Wingdings" w:hAnsi="Wingdings" w:hint="default"/>
      </w:rPr>
    </w:lvl>
  </w:abstractNum>
  <w:abstractNum w:abstractNumId="4" w15:restartNumberingAfterBreak="0">
    <w:nsid w:val="1687608F"/>
    <w:multiLevelType w:val="hybridMultilevel"/>
    <w:tmpl w:val="32EAC9D6"/>
    <w:lvl w:ilvl="0" w:tplc="776851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C104F2"/>
    <w:multiLevelType w:val="hybridMultilevel"/>
    <w:tmpl w:val="1B025A20"/>
    <w:lvl w:ilvl="0" w:tplc="A0AEDC26">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631BF"/>
    <w:multiLevelType w:val="hybridMultilevel"/>
    <w:tmpl w:val="769CCB3A"/>
    <w:lvl w:ilvl="0" w:tplc="04150017">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221CA9"/>
    <w:multiLevelType w:val="hybridMultilevel"/>
    <w:tmpl w:val="CBA061CC"/>
    <w:lvl w:ilvl="0" w:tplc="4E90594A">
      <w:start w:val="2"/>
      <w:numFmt w:val="upperLetter"/>
      <w:lvlText w:val="%1."/>
      <w:lvlJc w:val="left"/>
      <w:pPr>
        <w:ind w:left="360" w:hanging="360"/>
      </w:pPr>
      <w:rPr>
        <w:rFonts w:hint="default"/>
        <w:b/>
      </w:rPr>
    </w:lvl>
    <w:lvl w:ilvl="1" w:tplc="04150019">
      <w:start w:val="1"/>
      <w:numFmt w:val="lowerLetter"/>
      <w:lvlText w:val="%2."/>
      <w:lvlJc w:val="left"/>
      <w:pPr>
        <w:ind w:left="447" w:hanging="360"/>
      </w:pPr>
    </w:lvl>
    <w:lvl w:ilvl="2" w:tplc="0415001B" w:tentative="1">
      <w:start w:val="1"/>
      <w:numFmt w:val="lowerRoman"/>
      <w:lvlText w:val="%3."/>
      <w:lvlJc w:val="right"/>
      <w:pPr>
        <w:ind w:left="1167" w:hanging="180"/>
      </w:pPr>
    </w:lvl>
    <w:lvl w:ilvl="3" w:tplc="0415000F" w:tentative="1">
      <w:start w:val="1"/>
      <w:numFmt w:val="decimal"/>
      <w:lvlText w:val="%4."/>
      <w:lvlJc w:val="left"/>
      <w:pPr>
        <w:ind w:left="1887" w:hanging="360"/>
      </w:pPr>
    </w:lvl>
    <w:lvl w:ilvl="4" w:tplc="04150019" w:tentative="1">
      <w:start w:val="1"/>
      <w:numFmt w:val="lowerLetter"/>
      <w:lvlText w:val="%5."/>
      <w:lvlJc w:val="left"/>
      <w:pPr>
        <w:ind w:left="2607" w:hanging="360"/>
      </w:pPr>
    </w:lvl>
    <w:lvl w:ilvl="5" w:tplc="0415001B" w:tentative="1">
      <w:start w:val="1"/>
      <w:numFmt w:val="lowerRoman"/>
      <w:lvlText w:val="%6."/>
      <w:lvlJc w:val="right"/>
      <w:pPr>
        <w:ind w:left="3327" w:hanging="180"/>
      </w:pPr>
    </w:lvl>
    <w:lvl w:ilvl="6" w:tplc="0415000F" w:tentative="1">
      <w:start w:val="1"/>
      <w:numFmt w:val="decimal"/>
      <w:lvlText w:val="%7."/>
      <w:lvlJc w:val="left"/>
      <w:pPr>
        <w:ind w:left="4047" w:hanging="360"/>
      </w:pPr>
    </w:lvl>
    <w:lvl w:ilvl="7" w:tplc="04150019" w:tentative="1">
      <w:start w:val="1"/>
      <w:numFmt w:val="lowerLetter"/>
      <w:lvlText w:val="%8."/>
      <w:lvlJc w:val="left"/>
      <w:pPr>
        <w:ind w:left="4767" w:hanging="360"/>
      </w:pPr>
    </w:lvl>
    <w:lvl w:ilvl="8" w:tplc="0415001B" w:tentative="1">
      <w:start w:val="1"/>
      <w:numFmt w:val="lowerRoman"/>
      <w:lvlText w:val="%9."/>
      <w:lvlJc w:val="right"/>
      <w:pPr>
        <w:ind w:left="5487" w:hanging="180"/>
      </w:pPr>
    </w:lvl>
  </w:abstractNum>
  <w:abstractNum w:abstractNumId="8" w15:restartNumberingAfterBreak="0">
    <w:nsid w:val="1D557C0F"/>
    <w:multiLevelType w:val="hybridMultilevel"/>
    <w:tmpl w:val="EE8E6040"/>
    <w:lvl w:ilvl="0" w:tplc="77685102">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9" w15:restartNumberingAfterBreak="0">
    <w:nsid w:val="2048110F"/>
    <w:multiLevelType w:val="hybridMultilevel"/>
    <w:tmpl w:val="63869B46"/>
    <w:lvl w:ilvl="0" w:tplc="7768510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0" w15:restartNumberingAfterBreak="0">
    <w:nsid w:val="20B15296"/>
    <w:multiLevelType w:val="hybridMultilevel"/>
    <w:tmpl w:val="00CAA52C"/>
    <w:lvl w:ilvl="0" w:tplc="77685102">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1" w15:restartNumberingAfterBreak="0">
    <w:nsid w:val="22850565"/>
    <w:multiLevelType w:val="hybridMultilevel"/>
    <w:tmpl w:val="D11E0E34"/>
    <w:lvl w:ilvl="0" w:tplc="77685102">
      <w:start w:val="1"/>
      <w:numFmt w:val="bullet"/>
      <w:lvlText w:val=""/>
      <w:lvlJc w:val="left"/>
      <w:pPr>
        <w:tabs>
          <w:tab w:val="num" w:pos="928"/>
        </w:tabs>
        <w:ind w:left="928" w:hanging="360"/>
      </w:pPr>
      <w:rPr>
        <w:rFonts w:ascii="Symbol" w:hAnsi="Symbol" w:hint="default"/>
      </w:rPr>
    </w:lvl>
    <w:lvl w:ilvl="1" w:tplc="FFFFFFFF">
      <w:start w:val="1"/>
      <w:numFmt w:val="bullet"/>
      <w:lvlText w:val="o"/>
      <w:lvlJc w:val="left"/>
      <w:pPr>
        <w:tabs>
          <w:tab w:val="num" w:pos="1648"/>
        </w:tabs>
        <w:ind w:left="1648" w:hanging="360"/>
      </w:pPr>
      <w:rPr>
        <w:rFonts w:ascii="Courier New" w:hAnsi="Courier New"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12" w15:restartNumberingAfterBreak="0">
    <w:nsid w:val="2D747FAB"/>
    <w:multiLevelType w:val="hybridMultilevel"/>
    <w:tmpl w:val="2F52D88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36E3BD7"/>
    <w:multiLevelType w:val="hybridMultilevel"/>
    <w:tmpl w:val="41DE5FFC"/>
    <w:lvl w:ilvl="0" w:tplc="C4DE182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474090D"/>
    <w:multiLevelType w:val="hybridMultilevel"/>
    <w:tmpl w:val="EA7EA08E"/>
    <w:lvl w:ilvl="0" w:tplc="F46C7D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4F5CA2"/>
    <w:multiLevelType w:val="hybridMultilevel"/>
    <w:tmpl w:val="E5E8AFCE"/>
    <w:lvl w:ilvl="0" w:tplc="1E4210D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3C2A67A6"/>
    <w:multiLevelType w:val="hybridMultilevel"/>
    <w:tmpl w:val="16D08E10"/>
    <w:lvl w:ilvl="0" w:tplc="04150011">
      <w:start w:val="1"/>
      <w:numFmt w:val="decimal"/>
      <w:lvlText w:val="%1)"/>
      <w:lvlJc w:val="left"/>
      <w:pPr>
        <w:ind w:left="360" w:hanging="360"/>
      </w:pPr>
    </w:lvl>
    <w:lvl w:ilvl="1" w:tplc="04150019">
      <w:start w:val="1"/>
      <w:numFmt w:val="lowerLetter"/>
      <w:lvlText w:val="%2."/>
      <w:lvlJc w:val="left"/>
      <w:pPr>
        <w:ind w:left="-54" w:hanging="360"/>
      </w:pPr>
    </w:lvl>
    <w:lvl w:ilvl="2" w:tplc="0415001B" w:tentative="1">
      <w:start w:val="1"/>
      <w:numFmt w:val="lowerRoman"/>
      <w:lvlText w:val="%3."/>
      <w:lvlJc w:val="right"/>
      <w:pPr>
        <w:ind w:left="666" w:hanging="180"/>
      </w:pPr>
    </w:lvl>
    <w:lvl w:ilvl="3" w:tplc="0415000F" w:tentative="1">
      <w:start w:val="1"/>
      <w:numFmt w:val="decimal"/>
      <w:lvlText w:val="%4."/>
      <w:lvlJc w:val="left"/>
      <w:pPr>
        <w:ind w:left="1386" w:hanging="360"/>
      </w:pPr>
    </w:lvl>
    <w:lvl w:ilvl="4" w:tplc="04150019" w:tentative="1">
      <w:start w:val="1"/>
      <w:numFmt w:val="lowerLetter"/>
      <w:lvlText w:val="%5."/>
      <w:lvlJc w:val="left"/>
      <w:pPr>
        <w:ind w:left="2106" w:hanging="360"/>
      </w:pPr>
    </w:lvl>
    <w:lvl w:ilvl="5" w:tplc="0415001B" w:tentative="1">
      <w:start w:val="1"/>
      <w:numFmt w:val="lowerRoman"/>
      <w:lvlText w:val="%6."/>
      <w:lvlJc w:val="right"/>
      <w:pPr>
        <w:ind w:left="2826" w:hanging="180"/>
      </w:pPr>
    </w:lvl>
    <w:lvl w:ilvl="6" w:tplc="0415000F" w:tentative="1">
      <w:start w:val="1"/>
      <w:numFmt w:val="decimal"/>
      <w:lvlText w:val="%7."/>
      <w:lvlJc w:val="left"/>
      <w:pPr>
        <w:ind w:left="3546" w:hanging="360"/>
      </w:pPr>
    </w:lvl>
    <w:lvl w:ilvl="7" w:tplc="04150019" w:tentative="1">
      <w:start w:val="1"/>
      <w:numFmt w:val="lowerLetter"/>
      <w:lvlText w:val="%8."/>
      <w:lvlJc w:val="left"/>
      <w:pPr>
        <w:ind w:left="4266" w:hanging="360"/>
      </w:pPr>
    </w:lvl>
    <w:lvl w:ilvl="8" w:tplc="0415001B" w:tentative="1">
      <w:start w:val="1"/>
      <w:numFmt w:val="lowerRoman"/>
      <w:lvlText w:val="%9."/>
      <w:lvlJc w:val="right"/>
      <w:pPr>
        <w:ind w:left="4986" w:hanging="180"/>
      </w:pPr>
    </w:lvl>
  </w:abstractNum>
  <w:abstractNum w:abstractNumId="17" w15:restartNumberingAfterBreak="0">
    <w:nsid w:val="3D6C2270"/>
    <w:multiLevelType w:val="hybridMultilevel"/>
    <w:tmpl w:val="C3260C78"/>
    <w:lvl w:ilvl="0" w:tplc="7768510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406B1ACF"/>
    <w:multiLevelType w:val="hybridMultilevel"/>
    <w:tmpl w:val="03F63E8A"/>
    <w:lvl w:ilvl="0" w:tplc="77685102">
      <w:start w:val="1"/>
      <w:numFmt w:val="bullet"/>
      <w:lvlText w:val=""/>
      <w:lvlJc w:val="left"/>
      <w:pPr>
        <w:tabs>
          <w:tab w:val="num" w:pos="1716"/>
        </w:tabs>
        <w:ind w:left="1716" w:hanging="750"/>
      </w:pPr>
      <w:rPr>
        <w:rFonts w:ascii="Symbol" w:hAnsi="Symbol" w:hint="default"/>
      </w:rPr>
    </w:lvl>
    <w:lvl w:ilvl="1" w:tplc="04150003">
      <w:start w:val="1"/>
      <w:numFmt w:val="bullet"/>
      <w:lvlText w:val="o"/>
      <w:lvlJc w:val="left"/>
      <w:pPr>
        <w:tabs>
          <w:tab w:val="num" w:pos="1806"/>
        </w:tabs>
        <w:ind w:left="1806" w:hanging="360"/>
      </w:pPr>
      <w:rPr>
        <w:rFonts w:ascii="Courier New" w:hAnsi="Courier New" w:hint="default"/>
      </w:rPr>
    </w:lvl>
    <w:lvl w:ilvl="2" w:tplc="04150005" w:tentative="1">
      <w:start w:val="1"/>
      <w:numFmt w:val="bullet"/>
      <w:lvlText w:val=""/>
      <w:lvlJc w:val="left"/>
      <w:pPr>
        <w:tabs>
          <w:tab w:val="num" w:pos="2526"/>
        </w:tabs>
        <w:ind w:left="2526" w:hanging="360"/>
      </w:pPr>
      <w:rPr>
        <w:rFonts w:ascii="Wingdings" w:hAnsi="Wingdings" w:hint="default"/>
      </w:rPr>
    </w:lvl>
    <w:lvl w:ilvl="3" w:tplc="04150001" w:tentative="1">
      <w:start w:val="1"/>
      <w:numFmt w:val="bullet"/>
      <w:lvlText w:val=""/>
      <w:lvlJc w:val="left"/>
      <w:pPr>
        <w:tabs>
          <w:tab w:val="num" w:pos="3246"/>
        </w:tabs>
        <w:ind w:left="3246" w:hanging="360"/>
      </w:pPr>
      <w:rPr>
        <w:rFonts w:ascii="Symbol" w:hAnsi="Symbol" w:hint="default"/>
      </w:rPr>
    </w:lvl>
    <w:lvl w:ilvl="4" w:tplc="04150003" w:tentative="1">
      <w:start w:val="1"/>
      <w:numFmt w:val="bullet"/>
      <w:lvlText w:val="o"/>
      <w:lvlJc w:val="left"/>
      <w:pPr>
        <w:tabs>
          <w:tab w:val="num" w:pos="3966"/>
        </w:tabs>
        <w:ind w:left="3966" w:hanging="360"/>
      </w:pPr>
      <w:rPr>
        <w:rFonts w:ascii="Courier New" w:hAnsi="Courier New" w:hint="default"/>
      </w:rPr>
    </w:lvl>
    <w:lvl w:ilvl="5" w:tplc="04150005" w:tentative="1">
      <w:start w:val="1"/>
      <w:numFmt w:val="bullet"/>
      <w:lvlText w:val=""/>
      <w:lvlJc w:val="left"/>
      <w:pPr>
        <w:tabs>
          <w:tab w:val="num" w:pos="4686"/>
        </w:tabs>
        <w:ind w:left="4686" w:hanging="360"/>
      </w:pPr>
      <w:rPr>
        <w:rFonts w:ascii="Wingdings" w:hAnsi="Wingdings" w:hint="default"/>
      </w:rPr>
    </w:lvl>
    <w:lvl w:ilvl="6" w:tplc="04150001" w:tentative="1">
      <w:start w:val="1"/>
      <w:numFmt w:val="bullet"/>
      <w:lvlText w:val=""/>
      <w:lvlJc w:val="left"/>
      <w:pPr>
        <w:tabs>
          <w:tab w:val="num" w:pos="5406"/>
        </w:tabs>
        <w:ind w:left="5406" w:hanging="360"/>
      </w:pPr>
      <w:rPr>
        <w:rFonts w:ascii="Symbol" w:hAnsi="Symbol" w:hint="default"/>
      </w:rPr>
    </w:lvl>
    <w:lvl w:ilvl="7" w:tplc="04150003" w:tentative="1">
      <w:start w:val="1"/>
      <w:numFmt w:val="bullet"/>
      <w:lvlText w:val="o"/>
      <w:lvlJc w:val="left"/>
      <w:pPr>
        <w:tabs>
          <w:tab w:val="num" w:pos="6126"/>
        </w:tabs>
        <w:ind w:left="6126" w:hanging="360"/>
      </w:pPr>
      <w:rPr>
        <w:rFonts w:ascii="Courier New" w:hAnsi="Courier New" w:hint="default"/>
      </w:rPr>
    </w:lvl>
    <w:lvl w:ilvl="8" w:tplc="04150005" w:tentative="1">
      <w:start w:val="1"/>
      <w:numFmt w:val="bullet"/>
      <w:lvlText w:val=""/>
      <w:lvlJc w:val="left"/>
      <w:pPr>
        <w:tabs>
          <w:tab w:val="num" w:pos="6846"/>
        </w:tabs>
        <w:ind w:left="6846" w:hanging="360"/>
      </w:pPr>
      <w:rPr>
        <w:rFonts w:ascii="Wingdings" w:hAnsi="Wingdings" w:hint="default"/>
      </w:rPr>
    </w:lvl>
  </w:abstractNum>
  <w:abstractNum w:abstractNumId="19" w15:restartNumberingAfterBreak="0">
    <w:nsid w:val="44A41A84"/>
    <w:multiLevelType w:val="hybridMultilevel"/>
    <w:tmpl w:val="BC56B2DC"/>
    <w:lvl w:ilvl="0" w:tplc="776851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7EB3477"/>
    <w:multiLevelType w:val="hybridMultilevel"/>
    <w:tmpl w:val="D63EC6DC"/>
    <w:lvl w:ilvl="0" w:tplc="A390470E">
      <w:start w:val="1"/>
      <w:numFmt w:val="decimal"/>
      <w:lvlText w:val="%1)"/>
      <w:lvlJc w:val="left"/>
      <w:pPr>
        <w:ind w:left="1069" w:hanging="360"/>
      </w:pPr>
      <w:rPr>
        <w:rFonts w:ascii="Times New Roman" w:eastAsia="Times New Roman" w:hAnsi="Times New Roman" w:cs="Times New Roman"/>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4C0E79FB"/>
    <w:multiLevelType w:val="hybridMultilevel"/>
    <w:tmpl w:val="396893B8"/>
    <w:lvl w:ilvl="0" w:tplc="BA4438AA">
      <w:start w:val="1"/>
      <w:numFmt w:val="decimal"/>
      <w:lvlText w:val="%1."/>
      <w:lvlJc w:val="left"/>
      <w:pPr>
        <w:tabs>
          <w:tab w:val="num" w:pos="360"/>
        </w:tabs>
        <w:ind w:left="0" w:firstLine="0"/>
      </w:pPr>
      <w:rPr>
        <w:rFonts w:hint="default"/>
        <w:b/>
        <w:sz w:val="26"/>
        <w:szCs w:val="26"/>
      </w:rPr>
    </w:lvl>
    <w:lvl w:ilvl="1" w:tplc="0FC07542">
      <w:start w:val="1"/>
      <w:numFmt w:val="lowerLetter"/>
      <w:lvlText w:val="%2."/>
      <w:lvlJc w:val="left"/>
      <w:pPr>
        <w:tabs>
          <w:tab w:val="num" w:pos="1353"/>
        </w:tabs>
        <w:ind w:left="1353" w:hanging="360"/>
      </w:pPr>
      <w:rPr>
        <w:color w:val="auto"/>
      </w:rPr>
    </w:lvl>
    <w:lvl w:ilvl="2" w:tplc="04547FA0">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C1A53E4"/>
    <w:multiLevelType w:val="hybridMultilevel"/>
    <w:tmpl w:val="B3BA5576"/>
    <w:lvl w:ilvl="0" w:tplc="12106A46">
      <w:start w:val="1"/>
      <w:numFmt w:val="decimal"/>
      <w:lvlText w:val="%1)"/>
      <w:lvlJc w:val="left"/>
      <w:pPr>
        <w:tabs>
          <w:tab w:val="num" w:pos="-736"/>
        </w:tabs>
        <w:ind w:left="-736" w:hanging="397"/>
      </w:pPr>
      <w:rPr>
        <w:rFonts w:hint="default"/>
        <w:b w:val="0"/>
      </w:rPr>
    </w:lvl>
    <w:lvl w:ilvl="1" w:tplc="E61A1672">
      <w:start w:val="1"/>
      <w:numFmt w:val="decimal"/>
      <w:lvlText w:val="%2."/>
      <w:lvlJc w:val="left"/>
      <w:pPr>
        <w:tabs>
          <w:tab w:val="num" w:pos="307"/>
        </w:tabs>
        <w:ind w:left="307" w:hanging="360"/>
      </w:pPr>
      <w:rPr>
        <w:rFonts w:hint="default"/>
      </w:rPr>
    </w:lvl>
    <w:lvl w:ilvl="2" w:tplc="0415001B" w:tentative="1">
      <w:start w:val="1"/>
      <w:numFmt w:val="lowerRoman"/>
      <w:lvlText w:val="%3."/>
      <w:lvlJc w:val="right"/>
      <w:pPr>
        <w:tabs>
          <w:tab w:val="num" w:pos="1027"/>
        </w:tabs>
        <w:ind w:left="1027" w:hanging="180"/>
      </w:pPr>
    </w:lvl>
    <w:lvl w:ilvl="3" w:tplc="0415000F" w:tentative="1">
      <w:start w:val="1"/>
      <w:numFmt w:val="decimal"/>
      <w:lvlText w:val="%4."/>
      <w:lvlJc w:val="left"/>
      <w:pPr>
        <w:tabs>
          <w:tab w:val="num" w:pos="1747"/>
        </w:tabs>
        <w:ind w:left="1747" w:hanging="360"/>
      </w:pPr>
    </w:lvl>
    <w:lvl w:ilvl="4" w:tplc="04150019" w:tentative="1">
      <w:start w:val="1"/>
      <w:numFmt w:val="lowerLetter"/>
      <w:lvlText w:val="%5."/>
      <w:lvlJc w:val="left"/>
      <w:pPr>
        <w:tabs>
          <w:tab w:val="num" w:pos="2467"/>
        </w:tabs>
        <w:ind w:left="2467" w:hanging="360"/>
      </w:pPr>
    </w:lvl>
    <w:lvl w:ilvl="5" w:tplc="0415001B" w:tentative="1">
      <w:start w:val="1"/>
      <w:numFmt w:val="lowerRoman"/>
      <w:lvlText w:val="%6."/>
      <w:lvlJc w:val="right"/>
      <w:pPr>
        <w:tabs>
          <w:tab w:val="num" w:pos="3187"/>
        </w:tabs>
        <w:ind w:left="3187" w:hanging="180"/>
      </w:pPr>
    </w:lvl>
    <w:lvl w:ilvl="6" w:tplc="0415000F" w:tentative="1">
      <w:start w:val="1"/>
      <w:numFmt w:val="decimal"/>
      <w:lvlText w:val="%7."/>
      <w:lvlJc w:val="left"/>
      <w:pPr>
        <w:tabs>
          <w:tab w:val="num" w:pos="3907"/>
        </w:tabs>
        <w:ind w:left="3907" w:hanging="360"/>
      </w:pPr>
    </w:lvl>
    <w:lvl w:ilvl="7" w:tplc="04150019" w:tentative="1">
      <w:start w:val="1"/>
      <w:numFmt w:val="lowerLetter"/>
      <w:lvlText w:val="%8."/>
      <w:lvlJc w:val="left"/>
      <w:pPr>
        <w:tabs>
          <w:tab w:val="num" w:pos="4627"/>
        </w:tabs>
        <w:ind w:left="4627" w:hanging="360"/>
      </w:pPr>
    </w:lvl>
    <w:lvl w:ilvl="8" w:tplc="0415001B" w:tentative="1">
      <w:start w:val="1"/>
      <w:numFmt w:val="lowerRoman"/>
      <w:lvlText w:val="%9."/>
      <w:lvlJc w:val="right"/>
      <w:pPr>
        <w:tabs>
          <w:tab w:val="num" w:pos="5347"/>
        </w:tabs>
        <w:ind w:left="5347" w:hanging="180"/>
      </w:pPr>
    </w:lvl>
  </w:abstractNum>
  <w:abstractNum w:abstractNumId="23" w15:restartNumberingAfterBreak="0">
    <w:nsid w:val="59D459D5"/>
    <w:multiLevelType w:val="hybridMultilevel"/>
    <w:tmpl w:val="19785A22"/>
    <w:lvl w:ilvl="0" w:tplc="A51CBEB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64031E9C"/>
    <w:multiLevelType w:val="hybridMultilevel"/>
    <w:tmpl w:val="AB38351E"/>
    <w:lvl w:ilvl="0" w:tplc="77685102">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5" w15:restartNumberingAfterBreak="0">
    <w:nsid w:val="664534B5"/>
    <w:multiLevelType w:val="hybridMultilevel"/>
    <w:tmpl w:val="B5589C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697728A"/>
    <w:multiLevelType w:val="hybridMultilevel"/>
    <w:tmpl w:val="10D40DC8"/>
    <w:lvl w:ilvl="0" w:tplc="3B38608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6BF14FEC"/>
    <w:multiLevelType w:val="hybridMultilevel"/>
    <w:tmpl w:val="9BEACC2C"/>
    <w:lvl w:ilvl="0" w:tplc="77685102">
      <w:start w:val="1"/>
      <w:numFmt w:val="bullet"/>
      <w:lvlText w:val=""/>
      <w:lvlJc w:val="left"/>
      <w:pPr>
        <w:tabs>
          <w:tab w:val="num" w:pos="1798"/>
        </w:tabs>
        <w:ind w:left="1798" w:hanging="360"/>
      </w:pPr>
      <w:rPr>
        <w:rFonts w:ascii="Symbol" w:hAnsi="Symbol" w:hint="default"/>
      </w:rPr>
    </w:lvl>
    <w:lvl w:ilvl="1" w:tplc="04150003" w:tentative="1">
      <w:start w:val="1"/>
      <w:numFmt w:val="bullet"/>
      <w:lvlText w:val="o"/>
      <w:lvlJc w:val="left"/>
      <w:pPr>
        <w:tabs>
          <w:tab w:val="num" w:pos="2518"/>
        </w:tabs>
        <w:ind w:left="2518" w:hanging="360"/>
      </w:pPr>
      <w:rPr>
        <w:rFonts w:ascii="Courier New" w:hAnsi="Courier New" w:cs="Courier New" w:hint="default"/>
      </w:rPr>
    </w:lvl>
    <w:lvl w:ilvl="2" w:tplc="04150005" w:tentative="1">
      <w:start w:val="1"/>
      <w:numFmt w:val="bullet"/>
      <w:lvlText w:val=""/>
      <w:lvlJc w:val="left"/>
      <w:pPr>
        <w:tabs>
          <w:tab w:val="num" w:pos="3238"/>
        </w:tabs>
        <w:ind w:left="3238" w:hanging="360"/>
      </w:pPr>
      <w:rPr>
        <w:rFonts w:ascii="Wingdings" w:hAnsi="Wingdings" w:hint="default"/>
      </w:rPr>
    </w:lvl>
    <w:lvl w:ilvl="3" w:tplc="04150001" w:tentative="1">
      <w:start w:val="1"/>
      <w:numFmt w:val="bullet"/>
      <w:lvlText w:val=""/>
      <w:lvlJc w:val="left"/>
      <w:pPr>
        <w:tabs>
          <w:tab w:val="num" w:pos="3958"/>
        </w:tabs>
        <w:ind w:left="3958" w:hanging="360"/>
      </w:pPr>
      <w:rPr>
        <w:rFonts w:ascii="Symbol" w:hAnsi="Symbol" w:hint="default"/>
      </w:rPr>
    </w:lvl>
    <w:lvl w:ilvl="4" w:tplc="04150003" w:tentative="1">
      <w:start w:val="1"/>
      <w:numFmt w:val="bullet"/>
      <w:lvlText w:val="o"/>
      <w:lvlJc w:val="left"/>
      <w:pPr>
        <w:tabs>
          <w:tab w:val="num" w:pos="4678"/>
        </w:tabs>
        <w:ind w:left="4678" w:hanging="360"/>
      </w:pPr>
      <w:rPr>
        <w:rFonts w:ascii="Courier New" w:hAnsi="Courier New" w:cs="Courier New" w:hint="default"/>
      </w:rPr>
    </w:lvl>
    <w:lvl w:ilvl="5" w:tplc="04150005" w:tentative="1">
      <w:start w:val="1"/>
      <w:numFmt w:val="bullet"/>
      <w:lvlText w:val=""/>
      <w:lvlJc w:val="left"/>
      <w:pPr>
        <w:tabs>
          <w:tab w:val="num" w:pos="5398"/>
        </w:tabs>
        <w:ind w:left="5398" w:hanging="360"/>
      </w:pPr>
      <w:rPr>
        <w:rFonts w:ascii="Wingdings" w:hAnsi="Wingdings" w:hint="default"/>
      </w:rPr>
    </w:lvl>
    <w:lvl w:ilvl="6" w:tplc="04150001" w:tentative="1">
      <w:start w:val="1"/>
      <w:numFmt w:val="bullet"/>
      <w:lvlText w:val=""/>
      <w:lvlJc w:val="left"/>
      <w:pPr>
        <w:tabs>
          <w:tab w:val="num" w:pos="6118"/>
        </w:tabs>
        <w:ind w:left="6118" w:hanging="360"/>
      </w:pPr>
      <w:rPr>
        <w:rFonts w:ascii="Symbol" w:hAnsi="Symbol" w:hint="default"/>
      </w:rPr>
    </w:lvl>
    <w:lvl w:ilvl="7" w:tplc="04150003" w:tentative="1">
      <w:start w:val="1"/>
      <w:numFmt w:val="bullet"/>
      <w:lvlText w:val="o"/>
      <w:lvlJc w:val="left"/>
      <w:pPr>
        <w:tabs>
          <w:tab w:val="num" w:pos="6838"/>
        </w:tabs>
        <w:ind w:left="6838" w:hanging="360"/>
      </w:pPr>
      <w:rPr>
        <w:rFonts w:ascii="Courier New" w:hAnsi="Courier New" w:cs="Courier New" w:hint="default"/>
      </w:rPr>
    </w:lvl>
    <w:lvl w:ilvl="8" w:tplc="04150005" w:tentative="1">
      <w:start w:val="1"/>
      <w:numFmt w:val="bullet"/>
      <w:lvlText w:val=""/>
      <w:lvlJc w:val="left"/>
      <w:pPr>
        <w:tabs>
          <w:tab w:val="num" w:pos="7558"/>
        </w:tabs>
        <w:ind w:left="7558" w:hanging="360"/>
      </w:pPr>
      <w:rPr>
        <w:rFonts w:ascii="Wingdings" w:hAnsi="Wingdings" w:hint="default"/>
      </w:rPr>
    </w:lvl>
  </w:abstractNum>
  <w:abstractNum w:abstractNumId="28" w15:restartNumberingAfterBreak="0">
    <w:nsid w:val="6C20668A"/>
    <w:multiLevelType w:val="hybridMultilevel"/>
    <w:tmpl w:val="3CF4BF92"/>
    <w:lvl w:ilvl="0" w:tplc="77685102">
      <w:start w:val="1"/>
      <w:numFmt w:val="bullet"/>
      <w:lvlText w:val=""/>
      <w:lvlJc w:val="left"/>
      <w:pPr>
        <w:ind w:left="731" w:hanging="360"/>
      </w:pPr>
      <w:rPr>
        <w:rFonts w:ascii="Symbol" w:hAnsi="Symbol" w:hint="default"/>
      </w:rPr>
    </w:lvl>
    <w:lvl w:ilvl="1" w:tplc="04150003" w:tentative="1">
      <w:start w:val="1"/>
      <w:numFmt w:val="bullet"/>
      <w:lvlText w:val="o"/>
      <w:lvlJc w:val="left"/>
      <w:pPr>
        <w:ind w:left="1451" w:hanging="360"/>
      </w:pPr>
      <w:rPr>
        <w:rFonts w:ascii="Courier New" w:hAnsi="Courier New" w:cs="Courier New" w:hint="default"/>
      </w:rPr>
    </w:lvl>
    <w:lvl w:ilvl="2" w:tplc="04150005" w:tentative="1">
      <w:start w:val="1"/>
      <w:numFmt w:val="bullet"/>
      <w:lvlText w:val=""/>
      <w:lvlJc w:val="left"/>
      <w:pPr>
        <w:ind w:left="2171" w:hanging="360"/>
      </w:pPr>
      <w:rPr>
        <w:rFonts w:ascii="Wingdings" w:hAnsi="Wingdings" w:hint="default"/>
      </w:rPr>
    </w:lvl>
    <w:lvl w:ilvl="3" w:tplc="04150001" w:tentative="1">
      <w:start w:val="1"/>
      <w:numFmt w:val="bullet"/>
      <w:lvlText w:val=""/>
      <w:lvlJc w:val="left"/>
      <w:pPr>
        <w:ind w:left="2891" w:hanging="360"/>
      </w:pPr>
      <w:rPr>
        <w:rFonts w:ascii="Symbol" w:hAnsi="Symbol" w:hint="default"/>
      </w:rPr>
    </w:lvl>
    <w:lvl w:ilvl="4" w:tplc="04150003" w:tentative="1">
      <w:start w:val="1"/>
      <w:numFmt w:val="bullet"/>
      <w:lvlText w:val="o"/>
      <w:lvlJc w:val="left"/>
      <w:pPr>
        <w:ind w:left="3611" w:hanging="360"/>
      </w:pPr>
      <w:rPr>
        <w:rFonts w:ascii="Courier New" w:hAnsi="Courier New" w:cs="Courier New" w:hint="default"/>
      </w:rPr>
    </w:lvl>
    <w:lvl w:ilvl="5" w:tplc="04150005" w:tentative="1">
      <w:start w:val="1"/>
      <w:numFmt w:val="bullet"/>
      <w:lvlText w:val=""/>
      <w:lvlJc w:val="left"/>
      <w:pPr>
        <w:ind w:left="4331" w:hanging="360"/>
      </w:pPr>
      <w:rPr>
        <w:rFonts w:ascii="Wingdings" w:hAnsi="Wingdings" w:hint="default"/>
      </w:rPr>
    </w:lvl>
    <w:lvl w:ilvl="6" w:tplc="04150001" w:tentative="1">
      <w:start w:val="1"/>
      <w:numFmt w:val="bullet"/>
      <w:lvlText w:val=""/>
      <w:lvlJc w:val="left"/>
      <w:pPr>
        <w:ind w:left="5051" w:hanging="360"/>
      </w:pPr>
      <w:rPr>
        <w:rFonts w:ascii="Symbol" w:hAnsi="Symbol" w:hint="default"/>
      </w:rPr>
    </w:lvl>
    <w:lvl w:ilvl="7" w:tplc="04150003" w:tentative="1">
      <w:start w:val="1"/>
      <w:numFmt w:val="bullet"/>
      <w:lvlText w:val="o"/>
      <w:lvlJc w:val="left"/>
      <w:pPr>
        <w:ind w:left="5771" w:hanging="360"/>
      </w:pPr>
      <w:rPr>
        <w:rFonts w:ascii="Courier New" w:hAnsi="Courier New" w:cs="Courier New" w:hint="default"/>
      </w:rPr>
    </w:lvl>
    <w:lvl w:ilvl="8" w:tplc="04150005" w:tentative="1">
      <w:start w:val="1"/>
      <w:numFmt w:val="bullet"/>
      <w:lvlText w:val=""/>
      <w:lvlJc w:val="left"/>
      <w:pPr>
        <w:ind w:left="6491" w:hanging="360"/>
      </w:pPr>
      <w:rPr>
        <w:rFonts w:ascii="Wingdings" w:hAnsi="Wingdings" w:hint="default"/>
      </w:rPr>
    </w:lvl>
  </w:abstractNum>
  <w:abstractNum w:abstractNumId="29" w15:restartNumberingAfterBreak="0">
    <w:nsid w:val="7F856771"/>
    <w:multiLevelType w:val="hybridMultilevel"/>
    <w:tmpl w:val="BC8AA976"/>
    <w:lvl w:ilvl="0" w:tplc="77685102">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num w:numId="1">
    <w:abstractNumId w:val="11"/>
  </w:num>
  <w:num w:numId="2">
    <w:abstractNumId w:val="22"/>
  </w:num>
  <w:num w:numId="3">
    <w:abstractNumId w:val="18"/>
  </w:num>
  <w:num w:numId="4">
    <w:abstractNumId w:val="21"/>
  </w:num>
  <w:num w:numId="5">
    <w:abstractNumId w:val="3"/>
  </w:num>
  <w:num w:numId="6">
    <w:abstractNumId w:val="27"/>
  </w:num>
  <w:num w:numId="7">
    <w:abstractNumId w:val="1"/>
  </w:num>
  <w:num w:numId="8">
    <w:abstractNumId w:val="29"/>
  </w:num>
  <w:num w:numId="9">
    <w:abstractNumId w:val="8"/>
  </w:num>
  <w:num w:numId="10">
    <w:abstractNumId w:val="14"/>
  </w:num>
  <w:num w:numId="11">
    <w:abstractNumId w:val="16"/>
  </w:num>
  <w:num w:numId="12">
    <w:abstractNumId w:val="12"/>
  </w:num>
  <w:num w:numId="13">
    <w:abstractNumId w:val="7"/>
  </w:num>
  <w:num w:numId="14">
    <w:abstractNumId w:val="9"/>
  </w:num>
  <w:num w:numId="15">
    <w:abstractNumId w:val="10"/>
  </w:num>
  <w:num w:numId="16">
    <w:abstractNumId w:val="19"/>
  </w:num>
  <w:num w:numId="17">
    <w:abstractNumId w:val="24"/>
  </w:num>
  <w:num w:numId="18">
    <w:abstractNumId w:val="0"/>
  </w:num>
  <w:num w:numId="19">
    <w:abstractNumId w:val="6"/>
  </w:num>
  <w:num w:numId="20">
    <w:abstractNumId w:val="28"/>
  </w:num>
  <w:num w:numId="21">
    <w:abstractNumId w:val="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6"/>
  </w:num>
  <w:num w:numId="25">
    <w:abstractNumId w:val="23"/>
  </w:num>
  <w:num w:numId="26">
    <w:abstractNumId w:val="2"/>
  </w:num>
  <w:num w:numId="27">
    <w:abstractNumId w:val="5"/>
  </w:num>
  <w:num w:numId="28">
    <w:abstractNumId w:val="17"/>
  </w:num>
  <w:num w:numId="29">
    <w:abstractNumId w:val="20"/>
  </w:num>
  <w:num w:numId="30">
    <w:abstractNumId w:val="15"/>
  </w:num>
  <w:num w:numId="3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726"/>
    <w:rsid w:val="00000140"/>
    <w:rsid w:val="000028FE"/>
    <w:rsid w:val="000107A6"/>
    <w:rsid w:val="0001194C"/>
    <w:rsid w:val="00014F92"/>
    <w:rsid w:val="000166F5"/>
    <w:rsid w:val="0002650D"/>
    <w:rsid w:val="00026727"/>
    <w:rsid w:val="00026F1E"/>
    <w:rsid w:val="00032AE9"/>
    <w:rsid w:val="00034080"/>
    <w:rsid w:val="00040A27"/>
    <w:rsid w:val="0004542A"/>
    <w:rsid w:val="00060BDA"/>
    <w:rsid w:val="00061161"/>
    <w:rsid w:val="00061ADC"/>
    <w:rsid w:val="00061E85"/>
    <w:rsid w:val="0006270A"/>
    <w:rsid w:val="000654ED"/>
    <w:rsid w:val="000669C1"/>
    <w:rsid w:val="00067C3D"/>
    <w:rsid w:val="0007168F"/>
    <w:rsid w:val="0008168F"/>
    <w:rsid w:val="000816EC"/>
    <w:rsid w:val="0008278A"/>
    <w:rsid w:val="0008561D"/>
    <w:rsid w:val="00085E92"/>
    <w:rsid w:val="000870EF"/>
    <w:rsid w:val="00087A3E"/>
    <w:rsid w:val="00090F38"/>
    <w:rsid w:val="0009122F"/>
    <w:rsid w:val="000916E0"/>
    <w:rsid w:val="0009598D"/>
    <w:rsid w:val="000972C5"/>
    <w:rsid w:val="00097A19"/>
    <w:rsid w:val="000A2965"/>
    <w:rsid w:val="000A46C1"/>
    <w:rsid w:val="000A60D6"/>
    <w:rsid w:val="000A7678"/>
    <w:rsid w:val="000B0B5F"/>
    <w:rsid w:val="000B0ED5"/>
    <w:rsid w:val="000B5D87"/>
    <w:rsid w:val="000B7A37"/>
    <w:rsid w:val="000B7C25"/>
    <w:rsid w:val="000B7F39"/>
    <w:rsid w:val="000C3BB4"/>
    <w:rsid w:val="000C4BFE"/>
    <w:rsid w:val="000C71CC"/>
    <w:rsid w:val="000C74F8"/>
    <w:rsid w:val="000D15F1"/>
    <w:rsid w:val="000D40B9"/>
    <w:rsid w:val="000D4654"/>
    <w:rsid w:val="000D4FE7"/>
    <w:rsid w:val="000D5B7F"/>
    <w:rsid w:val="000D735B"/>
    <w:rsid w:val="000E0524"/>
    <w:rsid w:val="000E0A27"/>
    <w:rsid w:val="000E20F7"/>
    <w:rsid w:val="000E2B0B"/>
    <w:rsid w:val="000E2FAA"/>
    <w:rsid w:val="000E3C28"/>
    <w:rsid w:val="000E718F"/>
    <w:rsid w:val="000E7C2D"/>
    <w:rsid w:val="000F0515"/>
    <w:rsid w:val="000F1235"/>
    <w:rsid w:val="000F2CC8"/>
    <w:rsid w:val="000F3E36"/>
    <w:rsid w:val="000F4322"/>
    <w:rsid w:val="000F5632"/>
    <w:rsid w:val="000F651D"/>
    <w:rsid w:val="000F67F3"/>
    <w:rsid w:val="000F6A1D"/>
    <w:rsid w:val="000F76E6"/>
    <w:rsid w:val="00101D7B"/>
    <w:rsid w:val="001035B8"/>
    <w:rsid w:val="001104EC"/>
    <w:rsid w:val="001107D5"/>
    <w:rsid w:val="00111C02"/>
    <w:rsid w:val="00111CAC"/>
    <w:rsid w:val="001135E1"/>
    <w:rsid w:val="0011361A"/>
    <w:rsid w:val="001149C8"/>
    <w:rsid w:val="001159E7"/>
    <w:rsid w:val="00115F24"/>
    <w:rsid w:val="001176B6"/>
    <w:rsid w:val="0012268D"/>
    <w:rsid w:val="00122BE8"/>
    <w:rsid w:val="00126B0E"/>
    <w:rsid w:val="00127279"/>
    <w:rsid w:val="00131984"/>
    <w:rsid w:val="001329EE"/>
    <w:rsid w:val="00132E28"/>
    <w:rsid w:val="00133CD1"/>
    <w:rsid w:val="0013518A"/>
    <w:rsid w:val="001355B3"/>
    <w:rsid w:val="001371F2"/>
    <w:rsid w:val="00141058"/>
    <w:rsid w:val="001416E5"/>
    <w:rsid w:val="00143880"/>
    <w:rsid w:val="00143BEB"/>
    <w:rsid w:val="00144C7D"/>
    <w:rsid w:val="001476AF"/>
    <w:rsid w:val="001503E7"/>
    <w:rsid w:val="00151485"/>
    <w:rsid w:val="00151E05"/>
    <w:rsid w:val="00152A9F"/>
    <w:rsid w:val="00154253"/>
    <w:rsid w:val="00161FDD"/>
    <w:rsid w:val="001623BE"/>
    <w:rsid w:val="0016309D"/>
    <w:rsid w:val="00164542"/>
    <w:rsid w:val="001700A4"/>
    <w:rsid w:val="00170AD4"/>
    <w:rsid w:val="0018435E"/>
    <w:rsid w:val="001854B7"/>
    <w:rsid w:val="00187ECF"/>
    <w:rsid w:val="0019682C"/>
    <w:rsid w:val="001A47A2"/>
    <w:rsid w:val="001A56A7"/>
    <w:rsid w:val="001A5A85"/>
    <w:rsid w:val="001B0BE9"/>
    <w:rsid w:val="001B16E9"/>
    <w:rsid w:val="001B67C8"/>
    <w:rsid w:val="001C05A6"/>
    <w:rsid w:val="001C37FA"/>
    <w:rsid w:val="001D01C9"/>
    <w:rsid w:val="001D246F"/>
    <w:rsid w:val="001D3CA4"/>
    <w:rsid w:val="001E04FE"/>
    <w:rsid w:val="001E3E2A"/>
    <w:rsid w:val="001E4434"/>
    <w:rsid w:val="001E552E"/>
    <w:rsid w:val="001F053B"/>
    <w:rsid w:val="001F1097"/>
    <w:rsid w:val="001F18ED"/>
    <w:rsid w:val="001F5321"/>
    <w:rsid w:val="001F56B2"/>
    <w:rsid w:val="001F6151"/>
    <w:rsid w:val="002043E2"/>
    <w:rsid w:val="002063BA"/>
    <w:rsid w:val="00212C2B"/>
    <w:rsid w:val="002147EF"/>
    <w:rsid w:val="0021519F"/>
    <w:rsid w:val="00216428"/>
    <w:rsid w:val="00221AA7"/>
    <w:rsid w:val="00221F90"/>
    <w:rsid w:val="002266B2"/>
    <w:rsid w:val="002313C7"/>
    <w:rsid w:val="0023286D"/>
    <w:rsid w:val="0024074B"/>
    <w:rsid w:val="00241283"/>
    <w:rsid w:val="00254287"/>
    <w:rsid w:val="002548A4"/>
    <w:rsid w:val="002640AA"/>
    <w:rsid w:val="00266500"/>
    <w:rsid w:val="0026791B"/>
    <w:rsid w:val="00271D9F"/>
    <w:rsid w:val="0027655C"/>
    <w:rsid w:val="0028262D"/>
    <w:rsid w:val="00283508"/>
    <w:rsid w:val="002841A4"/>
    <w:rsid w:val="0028474D"/>
    <w:rsid w:val="00286496"/>
    <w:rsid w:val="002874A0"/>
    <w:rsid w:val="00295C5E"/>
    <w:rsid w:val="00297F40"/>
    <w:rsid w:val="00297FF6"/>
    <w:rsid w:val="002A292D"/>
    <w:rsid w:val="002A3EBE"/>
    <w:rsid w:val="002A7055"/>
    <w:rsid w:val="002B3DC7"/>
    <w:rsid w:val="002B5B58"/>
    <w:rsid w:val="002B726F"/>
    <w:rsid w:val="002B7738"/>
    <w:rsid w:val="002C05D7"/>
    <w:rsid w:val="002C37E4"/>
    <w:rsid w:val="002C7A38"/>
    <w:rsid w:val="002C7C18"/>
    <w:rsid w:val="002D005D"/>
    <w:rsid w:val="002D03CD"/>
    <w:rsid w:val="002D568E"/>
    <w:rsid w:val="002D5D99"/>
    <w:rsid w:val="002E2246"/>
    <w:rsid w:val="002E22ED"/>
    <w:rsid w:val="002F0CBF"/>
    <w:rsid w:val="002F386E"/>
    <w:rsid w:val="002F5A76"/>
    <w:rsid w:val="00300243"/>
    <w:rsid w:val="00301157"/>
    <w:rsid w:val="003107BA"/>
    <w:rsid w:val="00310A4C"/>
    <w:rsid w:val="003123C5"/>
    <w:rsid w:val="003163B9"/>
    <w:rsid w:val="00316506"/>
    <w:rsid w:val="003170EB"/>
    <w:rsid w:val="00317CC1"/>
    <w:rsid w:val="003219C2"/>
    <w:rsid w:val="00324C8B"/>
    <w:rsid w:val="00326F4B"/>
    <w:rsid w:val="0032765D"/>
    <w:rsid w:val="0033146B"/>
    <w:rsid w:val="00331631"/>
    <w:rsid w:val="00334B88"/>
    <w:rsid w:val="00336232"/>
    <w:rsid w:val="003370DE"/>
    <w:rsid w:val="00340530"/>
    <w:rsid w:val="003407F7"/>
    <w:rsid w:val="00340A08"/>
    <w:rsid w:val="00341A3D"/>
    <w:rsid w:val="00343217"/>
    <w:rsid w:val="00350418"/>
    <w:rsid w:val="00351019"/>
    <w:rsid w:val="00356809"/>
    <w:rsid w:val="00360B9D"/>
    <w:rsid w:val="00361089"/>
    <w:rsid w:val="00361771"/>
    <w:rsid w:val="003632AC"/>
    <w:rsid w:val="003645C0"/>
    <w:rsid w:val="00370E3E"/>
    <w:rsid w:val="00371581"/>
    <w:rsid w:val="0037176E"/>
    <w:rsid w:val="00372DE3"/>
    <w:rsid w:val="00375566"/>
    <w:rsid w:val="0037655C"/>
    <w:rsid w:val="00377B63"/>
    <w:rsid w:val="00380646"/>
    <w:rsid w:val="003814FF"/>
    <w:rsid w:val="003839A7"/>
    <w:rsid w:val="003857D9"/>
    <w:rsid w:val="00385955"/>
    <w:rsid w:val="00386041"/>
    <w:rsid w:val="003919B8"/>
    <w:rsid w:val="00391FFE"/>
    <w:rsid w:val="00397BA7"/>
    <w:rsid w:val="003A1286"/>
    <w:rsid w:val="003A1A6F"/>
    <w:rsid w:val="003A2868"/>
    <w:rsid w:val="003A32F9"/>
    <w:rsid w:val="003A331E"/>
    <w:rsid w:val="003A434E"/>
    <w:rsid w:val="003A473A"/>
    <w:rsid w:val="003A4C5B"/>
    <w:rsid w:val="003A6901"/>
    <w:rsid w:val="003A796E"/>
    <w:rsid w:val="003B0CB2"/>
    <w:rsid w:val="003B142B"/>
    <w:rsid w:val="003B195B"/>
    <w:rsid w:val="003B1DD7"/>
    <w:rsid w:val="003B3FB6"/>
    <w:rsid w:val="003C6359"/>
    <w:rsid w:val="003C6ED5"/>
    <w:rsid w:val="003D0AEB"/>
    <w:rsid w:val="003D2952"/>
    <w:rsid w:val="003D3FCC"/>
    <w:rsid w:val="003D5129"/>
    <w:rsid w:val="003D5912"/>
    <w:rsid w:val="003D7411"/>
    <w:rsid w:val="003E261A"/>
    <w:rsid w:val="003E289F"/>
    <w:rsid w:val="003E2E85"/>
    <w:rsid w:val="003E5C84"/>
    <w:rsid w:val="003E7384"/>
    <w:rsid w:val="003E7FE7"/>
    <w:rsid w:val="003F0D96"/>
    <w:rsid w:val="003F2564"/>
    <w:rsid w:val="00400FFE"/>
    <w:rsid w:val="00401253"/>
    <w:rsid w:val="00401DA8"/>
    <w:rsid w:val="00402123"/>
    <w:rsid w:val="00402B98"/>
    <w:rsid w:val="00403396"/>
    <w:rsid w:val="00403490"/>
    <w:rsid w:val="00403E54"/>
    <w:rsid w:val="004043ED"/>
    <w:rsid w:val="0040578B"/>
    <w:rsid w:val="00405CE7"/>
    <w:rsid w:val="00412239"/>
    <w:rsid w:val="00413349"/>
    <w:rsid w:val="00414C37"/>
    <w:rsid w:val="00415126"/>
    <w:rsid w:val="00417EB3"/>
    <w:rsid w:val="00420F75"/>
    <w:rsid w:val="00424F06"/>
    <w:rsid w:val="0042517A"/>
    <w:rsid w:val="00425C7E"/>
    <w:rsid w:val="00430716"/>
    <w:rsid w:val="00433EDB"/>
    <w:rsid w:val="00434270"/>
    <w:rsid w:val="004369A2"/>
    <w:rsid w:val="00437468"/>
    <w:rsid w:val="00437E75"/>
    <w:rsid w:val="0044016A"/>
    <w:rsid w:val="004407B3"/>
    <w:rsid w:val="00440F8B"/>
    <w:rsid w:val="00441F8C"/>
    <w:rsid w:val="00446919"/>
    <w:rsid w:val="004476F3"/>
    <w:rsid w:val="004477D9"/>
    <w:rsid w:val="00450604"/>
    <w:rsid w:val="00453E81"/>
    <w:rsid w:val="0045670E"/>
    <w:rsid w:val="00456C87"/>
    <w:rsid w:val="00456D5C"/>
    <w:rsid w:val="00457CB0"/>
    <w:rsid w:val="00457D75"/>
    <w:rsid w:val="00464A07"/>
    <w:rsid w:val="00464DFE"/>
    <w:rsid w:val="004679EB"/>
    <w:rsid w:val="00470896"/>
    <w:rsid w:val="00471A75"/>
    <w:rsid w:val="00472029"/>
    <w:rsid w:val="00472AAB"/>
    <w:rsid w:val="004735D3"/>
    <w:rsid w:val="004740CE"/>
    <w:rsid w:val="00482154"/>
    <w:rsid w:val="00482289"/>
    <w:rsid w:val="00483DD8"/>
    <w:rsid w:val="00484A3D"/>
    <w:rsid w:val="00490C03"/>
    <w:rsid w:val="00492071"/>
    <w:rsid w:val="00493768"/>
    <w:rsid w:val="00496108"/>
    <w:rsid w:val="00496CCE"/>
    <w:rsid w:val="004970F4"/>
    <w:rsid w:val="004A4323"/>
    <w:rsid w:val="004A56CF"/>
    <w:rsid w:val="004A5C63"/>
    <w:rsid w:val="004A7D9E"/>
    <w:rsid w:val="004B00A5"/>
    <w:rsid w:val="004B2CF7"/>
    <w:rsid w:val="004B5688"/>
    <w:rsid w:val="004B7141"/>
    <w:rsid w:val="004C1AF3"/>
    <w:rsid w:val="004C57E3"/>
    <w:rsid w:val="004D000C"/>
    <w:rsid w:val="004D0B9A"/>
    <w:rsid w:val="004D3D0B"/>
    <w:rsid w:val="004D69DD"/>
    <w:rsid w:val="004D7EC4"/>
    <w:rsid w:val="004E278E"/>
    <w:rsid w:val="004E3A32"/>
    <w:rsid w:val="004E4E6F"/>
    <w:rsid w:val="004F0146"/>
    <w:rsid w:val="004F1207"/>
    <w:rsid w:val="004F3337"/>
    <w:rsid w:val="004F345F"/>
    <w:rsid w:val="004F3A49"/>
    <w:rsid w:val="00504845"/>
    <w:rsid w:val="0050554E"/>
    <w:rsid w:val="00507429"/>
    <w:rsid w:val="0051051B"/>
    <w:rsid w:val="00510C6C"/>
    <w:rsid w:val="00512EDF"/>
    <w:rsid w:val="00514D09"/>
    <w:rsid w:val="00514F8A"/>
    <w:rsid w:val="0051708D"/>
    <w:rsid w:val="00521021"/>
    <w:rsid w:val="005278ED"/>
    <w:rsid w:val="005329AD"/>
    <w:rsid w:val="00534DA0"/>
    <w:rsid w:val="00536D72"/>
    <w:rsid w:val="00537052"/>
    <w:rsid w:val="0053772B"/>
    <w:rsid w:val="0053784A"/>
    <w:rsid w:val="00537BBA"/>
    <w:rsid w:val="005412D4"/>
    <w:rsid w:val="0054250B"/>
    <w:rsid w:val="00544483"/>
    <w:rsid w:val="005448DF"/>
    <w:rsid w:val="0054669A"/>
    <w:rsid w:val="005522CD"/>
    <w:rsid w:val="00552853"/>
    <w:rsid w:val="0055315E"/>
    <w:rsid w:val="005532E3"/>
    <w:rsid w:val="00562A9C"/>
    <w:rsid w:val="00563944"/>
    <w:rsid w:val="00564E54"/>
    <w:rsid w:val="005653F6"/>
    <w:rsid w:val="00566131"/>
    <w:rsid w:val="00566CCD"/>
    <w:rsid w:val="00575879"/>
    <w:rsid w:val="00576504"/>
    <w:rsid w:val="00580821"/>
    <w:rsid w:val="0058223D"/>
    <w:rsid w:val="00582AF9"/>
    <w:rsid w:val="005860E2"/>
    <w:rsid w:val="0059261B"/>
    <w:rsid w:val="00593C5E"/>
    <w:rsid w:val="005A10B0"/>
    <w:rsid w:val="005A293B"/>
    <w:rsid w:val="005A4571"/>
    <w:rsid w:val="005A4B19"/>
    <w:rsid w:val="005B06FA"/>
    <w:rsid w:val="005B352C"/>
    <w:rsid w:val="005B4EE1"/>
    <w:rsid w:val="005B5A65"/>
    <w:rsid w:val="005B5F03"/>
    <w:rsid w:val="005B6DD5"/>
    <w:rsid w:val="005C182C"/>
    <w:rsid w:val="005C1CA4"/>
    <w:rsid w:val="005C2279"/>
    <w:rsid w:val="005C30ED"/>
    <w:rsid w:val="005C386B"/>
    <w:rsid w:val="005C5258"/>
    <w:rsid w:val="005C6AC2"/>
    <w:rsid w:val="005D22B0"/>
    <w:rsid w:val="005E1750"/>
    <w:rsid w:val="005E2A16"/>
    <w:rsid w:val="005E36E6"/>
    <w:rsid w:val="005E6A37"/>
    <w:rsid w:val="005F0A3B"/>
    <w:rsid w:val="005F4F7C"/>
    <w:rsid w:val="005F569B"/>
    <w:rsid w:val="005F64DF"/>
    <w:rsid w:val="005F6C9D"/>
    <w:rsid w:val="005F75A1"/>
    <w:rsid w:val="00600797"/>
    <w:rsid w:val="00600854"/>
    <w:rsid w:val="00604590"/>
    <w:rsid w:val="00605222"/>
    <w:rsid w:val="006068E6"/>
    <w:rsid w:val="00612A09"/>
    <w:rsid w:val="00614095"/>
    <w:rsid w:val="00615459"/>
    <w:rsid w:val="006212DA"/>
    <w:rsid w:val="00621B03"/>
    <w:rsid w:val="0062261D"/>
    <w:rsid w:val="0063250D"/>
    <w:rsid w:val="006325AB"/>
    <w:rsid w:val="00636A61"/>
    <w:rsid w:val="00640C7F"/>
    <w:rsid w:val="00641E08"/>
    <w:rsid w:val="0064233E"/>
    <w:rsid w:val="006454BB"/>
    <w:rsid w:val="00650D47"/>
    <w:rsid w:val="00651D78"/>
    <w:rsid w:val="0065207E"/>
    <w:rsid w:val="00653E4D"/>
    <w:rsid w:val="0065439E"/>
    <w:rsid w:val="00660C47"/>
    <w:rsid w:val="0066584C"/>
    <w:rsid w:val="00666677"/>
    <w:rsid w:val="00667052"/>
    <w:rsid w:val="006704D1"/>
    <w:rsid w:val="00674306"/>
    <w:rsid w:val="00674D4B"/>
    <w:rsid w:val="006824F5"/>
    <w:rsid w:val="006835FE"/>
    <w:rsid w:val="006838E0"/>
    <w:rsid w:val="0068448C"/>
    <w:rsid w:val="00685807"/>
    <w:rsid w:val="00686AA8"/>
    <w:rsid w:val="00687CC6"/>
    <w:rsid w:val="00693E4A"/>
    <w:rsid w:val="0069469E"/>
    <w:rsid w:val="006962AF"/>
    <w:rsid w:val="0069656F"/>
    <w:rsid w:val="006979CE"/>
    <w:rsid w:val="00697F00"/>
    <w:rsid w:val="006A1D88"/>
    <w:rsid w:val="006A2FEF"/>
    <w:rsid w:val="006A39DD"/>
    <w:rsid w:val="006A3F00"/>
    <w:rsid w:val="006A3F39"/>
    <w:rsid w:val="006A421F"/>
    <w:rsid w:val="006A47FA"/>
    <w:rsid w:val="006A4BE3"/>
    <w:rsid w:val="006A583D"/>
    <w:rsid w:val="006B0131"/>
    <w:rsid w:val="006B10EF"/>
    <w:rsid w:val="006B1CD9"/>
    <w:rsid w:val="006B1DA4"/>
    <w:rsid w:val="006B3F69"/>
    <w:rsid w:val="006B4950"/>
    <w:rsid w:val="006C4B2E"/>
    <w:rsid w:val="006C4BB9"/>
    <w:rsid w:val="006C4D2D"/>
    <w:rsid w:val="006C56DA"/>
    <w:rsid w:val="006C6DF4"/>
    <w:rsid w:val="006D20A4"/>
    <w:rsid w:val="006D254E"/>
    <w:rsid w:val="006D35ED"/>
    <w:rsid w:val="006D3F33"/>
    <w:rsid w:val="006D6F93"/>
    <w:rsid w:val="006E1119"/>
    <w:rsid w:val="006E35D7"/>
    <w:rsid w:val="006E3825"/>
    <w:rsid w:val="006E6CC1"/>
    <w:rsid w:val="006E727D"/>
    <w:rsid w:val="006F02F7"/>
    <w:rsid w:val="006F2732"/>
    <w:rsid w:val="006F497B"/>
    <w:rsid w:val="006F586E"/>
    <w:rsid w:val="006F77DF"/>
    <w:rsid w:val="00710395"/>
    <w:rsid w:val="00710BF9"/>
    <w:rsid w:val="0072007F"/>
    <w:rsid w:val="0072211F"/>
    <w:rsid w:val="00722F19"/>
    <w:rsid w:val="00731711"/>
    <w:rsid w:val="00734417"/>
    <w:rsid w:val="0074029E"/>
    <w:rsid w:val="0074200D"/>
    <w:rsid w:val="007430D9"/>
    <w:rsid w:val="0074470B"/>
    <w:rsid w:val="0074714A"/>
    <w:rsid w:val="0075186F"/>
    <w:rsid w:val="007523F5"/>
    <w:rsid w:val="00754A5E"/>
    <w:rsid w:val="00763F3C"/>
    <w:rsid w:val="007644AE"/>
    <w:rsid w:val="00766F08"/>
    <w:rsid w:val="00770235"/>
    <w:rsid w:val="007704CD"/>
    <w:rsid w:val="0077103E"/>
    <w:rsid w:val="007807E4"/>
    <w:rsid w:val="00784578"/>
    <w:rsid w:val="00785CE7"/>
    <w:rsid w:val="0078653A"/>
    <w:rsid w:val="00790B21"/>
    <w:rsid w:val="007926A5"/>
    <w:rsid w:val="00792D13"/>
    <w:rsid w:val="00796355"/>
    <w:rsid w:val="00797C6D"/>
    <w:rsid w:val="007A6BFF"/>
    <w:rsid w:val="007B0FAE"/>
    <w:rsid w:val="007B21D6"/>
    <w:rsid w:val="007B581C"/>
    <w:rsid w:val="007B5A9C"/>
    <w:rsid w:val="007C125C"/>
    <w:rsid w:val="007C242E"/>
    <w:rsid w:val="007C282F"/>
    <w:rsid w:val="007C2E1A"/>
    <w:rsid w:val="007C32A8"/>
    <w:rsid w:val="007C3A62"/>
    <w:rsid w:val="007C5472"/>
    <w:rsid w:val="007C5E0F"/>
    <w:rsid w:val="007C780A"/>
    <w:rsid w:val="007D1ED6"/>
    <w:rsid w:val="007D2F18"/>
    <w:rsid w:val="007D3BAA"/>
    <w:rsid w:val="007D5EC3"/>
    <w:rsid w:val="007D6FC2"/>
    <w:rsid w:val="007E0693"/>
    <w:rsid w:val="007E2386"/>
    <w:rsid w:val="007E29E2"/>
    <w:rsid w:val="007E3754"/>
    <w:rsid w:val="007E73FE"/>
    <w:rsid w:val="007F3A84"/>
    <w:rsid w:val="007F4CFD"/>
    <w:rsid w:val="007F6C1D"/>
    <w:rsid w:val="007F7D0A"/>
    <w:rsid w:val="008001D1"/>
    <w:rsid w:val="00800591"/>
    <w:rsid w:val="008051AE"/>
    <w:rsid w:val="00807AE6"/>
    <w:rsid w:val="00810D79"/>
    <w:rsid w:val="0081551B"/>
    <w:rsid w:val="00823428"/>
    <w:rsid w:val="008245EB"/>
    <w:rsid w:val="008262C6"/>
    <w:rsid w:val="008273C7"/>
    <w:rsid w:val="008358F3"/>
    <w:rsid w:val="00837B64"/>
    <w:rsid w:val="00837FBC"/>
    <w:rsid w:val="00843F2E"/>
    <w:rsid w:val="00846EF9"/>
    <w:rsid w:val="00847F04"/>
    <w:rsid w:val="008500B7"/>
    <w:rsid w:val="008546FC"/>
    <w:rsid w:val="00857D9C"/>
    <w:rsid w:val="008604E3"/>
    <w:rsid w:val="00864A07"/>
    <w:rsid w:val="008669F4"/>
    <w:rsid w:val="00870D19"/>
    <w:rsid w:val="008720ED"/>
    <w:rsid w:val="008742C0"/>
    <w:rsid w:val="00874702"/>
    <w:rsid w:val="00876150"/>
    <w:rsid w:val="00881EFB"/>
    <w:rsid w:val="0088256C"/>
    <w:rsid w:val="00884B83"/>
    <w:rsid w:val="00884EE3"/>
    <w:rsid w:val="00885CDF"/>
    <w:rsid w:val="0088641F"/>
    <w:rsid w:val="00887426"/>
    <w:rsid w:val="0088759B"/>
    <w:rsid w:val="008929B3"/>
    <w:rsid w:val="008933DA"/>
    <w:rsid w:val="008947D4"/>
    <w:rsid w:val="00896788"/>
    <w:rsid w:val="008A0875"/>
    <w:rsid w:val="008A305C"/>
    <w:rsid w:val="008A3EDA"/>
    <w:rsid w:val="008A75BF"/>
    <w:rsid w:val="008A7E78"/>
    <w:rsid w:val="008B1CCD"/>
    <w:rsid w:val="008B421E"/>
    <w:rsid w:val="008B7379"/>
    <w:rsid w:val="008B74C8"/>
    <w:rsid w:val="008B7DBB"/>
    <w:rsid w:val="008C1B9D"/>
    <w:rsid w:val="008C7947"/>
    <w:rsid w:val="008D5999"/>
    <w:rsid w:val="008D5F84"/>
    <w:rsid w:val="008D69E8"/>
    <w:rsid w:val="008E21A9"/>
    <w:rsid w:val="008E32FA"/>
    <w:rsid w:val="008E4DE6"/>
    <w:rsid w:val="008E4E1F"/>
    <w:rsid w:val="008E53A7"/>
    <w:rsid w:val="008E779C"/>
    <w:rsid w:val="008E7D4D"/>
    <w:rsid w:val="008E7ECD"/>
    <w:rsid w:val="008F2B59"/>
    <w:rsid w:val="008F3D4B"/>
    <w:rsid w:val="009066BF"/>
    <w:rsid w:val="009077D8"/>
    <w:rsid w:val="00911306"/>
    <w:rsid w:val="00912182"/>
    <w:rsid w:val="009128D2"/>
    <w:rsid w:val="00913B41"/>
    <w:rsid w:val="009148A0"/>
    <w:rsid w:val="00914FF4"/>
    <w:rsid w:val="0091566D"/>
    <w:rsid w:val="00916992"/>
    <w:rsid w:val="00921D84"/>
    <w:rsid w:val="00924ECF"/>
    <w:rsid w:val="00926C7C"/>
    <w:rsid w:val="0093074B"/>
    <w:rsid w:val="00936848"/>
    <w:rsid w:val="00936A44"/>
    <w:rsid w:val="0093778C"/>
    <w:rsid w:val="00937A6C"/>
    <w:rsid w:val="009401EF"/>
    <w:rsid w:val="009427E6"/>
    <w:rsid w:val="00944FAA"/>
    <w:rsid w:val="00945F1D"/>
    <w:rsid w:val="009468B1"/>
    <w:rsid w:val="0095058F"/>
    <w:rsid w:val="00953775"/>
    <w:rsid w:val="00962772"/>
    <w:rsid w:val="009670F3"/>
    <w:rsid w:val="00967AFA"/>
    <w:rsid w:val="009709EA"/>
    <w:rsid w:val="00973D70"/>
    <w:rsid w:val="00974DF2"/>
    <w:rsid w:val="00975117"/>
    <w:rsid w:val="009765AA"/>
    <w:rsid w:val="0098002F"/>
    <w:rsid w:val="009812EF"/>
    <w:rsid w:val="00985B5D"/>
    <w:rsid w:val="00985B86"/>
    <w:rsid w:val="00986BFA"/>
    <w:rsid w:val="0099113A"/>
    <w:rsid w:val="00991A3B"/>
    <w:rsid w:val="00995C07"/>
    <w:rsid w:val="00997388"/>
    <w:rsid w:val="009A0824"/>
    <w:rsid w:val="009A27CE"/>
    <w:rsid w:val="009A4777"/>
    <w:rsid w:val="009A7B5A"/>
    <w:rsid w:val="009B021E"/>
    <w:rsid w:val="009B0E73"/>
    <w:rsid w:val="009B0FE0"/>
    <w:rsid w:val="009B6010"/>
    <w:rsid w:val="009B6616"/>
    <w:rsid w:val="009B6FD1"/>
    <w:rsid w:val="009B7117"/>
    <w:rsid w:val="009B7EB1"/>
    <w:rsid w:val="009C51BE"/>
    <w:rsid w:val="009C5BA7"/>
    <w:rsid w:val="009D0BD8"/>
    <w:rsid w:val="009D15E1"/>
    <w:rsid w:val="009D1D1F"/>
    <w:rsid w:val="009D2221"/>
    <w:rsid w:val="009D2827"/>
    <w:rsid w:val="009D2F73"/>
    <w:rsid w:val="009D4E2F"/>
    <w:rsid w:val="009D6DEA"/>
    <w:rsid w:val="009E3BE9"/>
    <w:rsid w:val="009E4843"/>
    <w:rsid w:val="009E5A7A"/>
    <w:rsid w:val="009E6C18"/>
    <w:rsid w:val="009F1347"/>
    <w:rsid w:val="009F3077"/>
    <w:rsid w:val="009F388A"/>
    <w:rsid w:val="009F6C2E"/>
    <w:rsid w:val="009F7A55"/>
    <w:rsid w:val="00A0011D"/>
    <w:rsid w:val="00A03520"/>
    <w:rsid w:val="00A05497"/>
    <w:rsid w:val="00A06B8D"/>
    <w:rsid w:val="00A10468"/>
    <w:rsid w:val="00A145E6"/>
    <w:rsid w:val="00A15969"/>
    <w:rsid w:val="00A16FC9"/>
    <w:rsid w:val="00A17880"/>
    <w:rsid w:val="00A2006A"/>
    <w:rsid w:val="00A209EA"/>
    <w:rsid w:val="00A24F72"/>
    <w:rsid w:val="00A25EFC"/>
    <w:rsid w:val="00A276FD"/>
    <w:rsid w:val="00A27953"/>
    <w:rsid w:val="00A34AA2"/>
    <w:rsid w:val="00A37334"/>
    <w:rsid w:val="00A3751B"/>
    <w:rsid w:val="00A37CCA"/>
    <w:rsid w:val="00A43AEC"/>
    <w:rsid w:val="00A469D9"/>
    <w:rsid w:val="00A47D80"/>
    <w:rsid w:val="00A50600"/>
    <w:rsid w:val="00A508C1"/>
    <w:rsid w:val="00A51294"/>
    <w:rsid w:val="00A528E9"/>
    <w:rsid w:val="00A53157"/>
    <w:rsid w:val="00A53DC9"/>
    <w:rsid w:val="00A56C8C"/>
    <w:rsid w:val="00A570DA"/>
    <w:rsid w:val="00A613CD"/>
    <w:rsid w:val="00A70499"/>
    <w:rsid w:val="00A745AB"/>
    <w:rsid w:val="00A749B0"/>
    <w:rsid w:val="00A7514D"/>
    <w:rsid w:val="00A76F6C"/>
    <w:rsid w:val="00A814B4"/>
    <w:rsid w:val="00A92028"/>
    <w:rsid w:val="00A93072"/>
    <w:rsid w:val="00A949D5"/>
    <w:rsid w:val="00A95A4F"/>
    <w:rsid w:val="00A97491"/>
    <w:rsid w:val="00A97BE7"/>
    <w:rsid w:val="00AA11E6"/>
    <w:rsid w:val="00AA4DD8"/>
    <w:rsid w:val="00AB1C11"/>
    <w:rsid w:val="00AB2112"/>
    <w:rsid w:val="00AB2291"/>
    <w:rsid w:val="00AB3AF4"/>
    <w:rsid w:val="00AB3E99"/>
    <w:rsid w:val="00AB613A"/>
    <w:rsid w:val="00AC0231"/>
    <w:rsid w:val="00AC344D"/>
    <w:rsid w:val="00AC553C"/>
    <w:rsid w:val="00AD4937"/>
    <w:rsid w:val="00AE1C5C"/>
    <w:rsid w:val="00AE1CD1"/>
    <w:rsid w:val="00AE216C"/>
    <w:rsid w:val="00AE4766"/>
    <w:rsid w:val="00AF2236"/>
    <w:rsid w:val="00AF32AA"/>
    <w:rsid w:val="00AF4BBF"/>
    <w:rsid w:val="00AF509A"/>
    <w:rsid w:val="00B006CA"/>
    <w:rsid w:val="00B11B13"/>
    <w:rsid w:val="00B11E76"/>
    <w:rsid w:val="00B15A14"/>
    <w:rsid w:val="00B17EFC"/>
    <w:rsid w:val="00B2002A"/>
    <w:rsid w:val="00B242A4"/>
    <w:rsid w:val="00B25726"/>
    <w:rsid w:val="00B32064"/>
    <w:rsid w:val="00B34BE4"/>
    <w:rsid w:val="00B3549B"/>
    <w:rsid w:val="00B364BF"/>
    <w:rsid w:val="00B452E6"/>
    <w:rsid w:val="00B46219"/>
    <w:rsid w:val="00B46AC0"/>
    <w:rsid w:val="00B507A8"/>
    <w:rsid w:val="00B53D43"/>
    <w:rsid w:val="00B55767"/>
    <w:rsid w:val="00B56D46"/>
    <w:rsid w:val="00B5717A"/>
    <w:rsid w:val="00B57A8F"/>
    <w:rsid w:val="00B630B0"/>
    <w:rsid w:val="00B637EC"/>
    <w:rsid w:val="00B639EE"/>
    <w:rsid w:val="00B64355"/>
    <w:rsid w:val="00B64DB9"/>
    <w:rsid w:val="00B65448"/>
    <w:rsid w:val="00B70414"/>
    <w:rsid w:val="00B70452"/>
    <w:rsid w:val="00B70CBD"/>
    <w:rsid w:val="00B73558"/>
    <w:rsid w:val="00B758C9"/>
    <w:rsid w:val="00B7668D"/>
    <w:rsid w:val="00B802CE"/>
    <w:rsid w:val="00B816A0"/>
    <w:rsid w:val="00B8342E"/>
    <w:rsid w:val="00B83884"/>
    <w:rsid w:val="00B86053"/>
    <w:rsid w:val="00B86128"/>
    <w:rsid w:val="00B87DAF"/>
    <w:rsid w:val="00B92FE2"/>
    <w:rsid w:val="00B94BD0"/>
    <w:rsid w:val="00B95117"/>
    <w:rsid w:val="00B96019"/>
    <w:rsid w:val="00B9629A"/>
    <w:rsid w:val="00BA3827"/>
    <w:rsid w:val="00BA3835"/>
    <w:rsid w:val="00BA5162"/>
    <w:rsid w:val="00BB0389"/>
    <w:rsid w:val="00BB1344"/>
    <w:rsid w:val="00BB1BCE"/>
    <w:rsid w:val="00BB24A4"/>
    <w:rsid w:val="00BB3F28"/>
    <w:rsid w:val="00BB4C1A"/>
    <w:rsid w:val="00BB5D35"/>
    <w:rsid w:val="00BB6A6C"/>
    <w:rsid w:val="00BC099D"/>
    <w:rsid w:val="00BC1380"/>
    <w:rsid w:val="00BC2986"/>
    <w:rsid w:val="00BC489F"/>
    <w:rsid w:val="00BC5931"/>
    <w:rsid w:val="00BC6922"/>
    <w:rsid w:val="00BC72FC"/>
    <w:rsid w:val="00BD2712"/>
    <w:rsid w:val="00BD47E9"/>
    <w:rsid w:val="00BD57B8"/>
    <w:rsid w:val="00BD6145"/>
    <w:rsid w:val="00BD7859"/>
    <w:rsid w:val="00BE0397"/>
    <w:rsid w:val="00BE33ED"/>
    <w:rsid w:val="00BE57DB"/>
    <w:rsid w:val="00BE68C2"/>
    <w:rsid w:val="00BE75BB"/>
    <w:rsid w:val="00BE7FCA"/>
    <w:rsid w:val="00BF1A61"/>
    <w:rsid w:val="00BF1B15"/>
    <w:rsid w:val="00BF2C0F"/>
    <w:rsid w:val="00BF3C65"/>
    <w:rsid w:val="00BF6EC0"/>
    <w:rsid w:val="00C00DB4"/>
    <w:rsid w:val="00C02711"/>
    <w:rsid w:val="00C04E17"/>
    <w:rsid w:val="00C0643E"/>
    <w:rsid w:val="00C105FD"/>
    <w:rsid w:val="00C129F9"/>
    <w:rsid w:val="00C20FF3"/>
    <w:rsid w:val="00C2200F"/>
    <w:rsid w:val="00C221ED"/>
    <w:rsid w:val="00C24ED3"/>
    <w:rsid w:val="00C30A3C"/>
    <w:rsid w:val="00C31587"/>
    <w:rsid w:val="00C31C13"/>
    <w:rsid w:val="00C33F21"/>
    <w:rsid w:val="00C36C79"/>
    <w:rsid w:val="00C37951"/>
    <w:rsid w:val="00C40369"/>
    <w:rsid w:val="00C40534"/>
    <w:rsid w:val="00C41018"/>
    <w:rsid w:val="00C42AA6"/>
    <w:rsid w:val="00C43338"/>
    <w:rsid w:val="00C4348E"/>
    <w:rsid w:val="00C54E35"/>
    <w:rsid w:val="00C5737D"/>
    <w:rsid w:val="00C60836"/>
    <w:rsid w:val="00C60A67"/>
    <w:rsid w:val="00C60CAA"/>
    <w:rsid w:val="00C611CD"/>
    <w:rsid w:val="00C6224D"/>
    <w:rsid w:val="00C6492D"/>
    <w:rsid w:val="00C66CF3"/>
    <w:rsid w:val="00C66E66"/>
    <w:rsid w:val="00C70871"/>
    <w:rsid w:val="00C76849"/>
    <w:rsid w:val="00C769B1"/>
    <w:rsid w:val="00C7733B"/>
    <w:rsid w:val="00C8259C"/>
    <w:rsid w:val="00C85035"/>
    <w:rsid w:val="00C85852"/>
    <w:rsid w:val="00C87C25"/>
    <w:rsid w:val="00C9253F"/>
    <w:rsid w:val="00C92866"/>
    <w:rsid w:val="00C93D6C"/>
    <w:rsid w:val="00C96E9B"/>
    <w:rsid w:val="00C9707E"/>
    <w:rsid w:val="00CA0732"/>
    <w:rsid w:val="00CA13B3"/>
    <w:rsid w:val="00CA35A0"/>
    <w:rsid w:val="00CA6F9E"/>
    <w:rsid w:val="00CA6FF0"/>
    <w:rsid w:val="00CB4396"/>
    <w:rsid w:val="00CB74C3"/>
    <w:rsid w:val="00CB7683"/>
    <w:rsid w:val="00CC4E74"/>
    <w:rsid w:val="00CC701C"/>
    <w:rsid w:val="00CD1C51"/>
    <w:rsid w:val="00CD3A94"/>
    <w:rsid w:val="00CD51B4"/>
    <w:rsid w:val="00CE0E26"/>
    <w:rsid w:val="00CE17B7"/>
    <w:rsid w:val="00CE1B76"/>
    <w:rsid w:val="00CE41A3"/>
    <w:rsid w:val="00CE6AF7"/>
    <w:rsid w:val="00CF0D86"/>
    <w:rsid w:val="00CF3690"/>
    <w:rsid w:val="00CF4A9D"/>
    <w:rsid w:val="00CF5C29"/>
    <w:rsid w:val="00CF60EF"/>
    <w:rsid w:val="00CF653A"/>
    <w:rsid w:val="00D0046B"/>
    <w:rsid w:val="00D02B95"/>
    <w:rsid w:val="00D03124"/>
    <w:rsid w:val="00D05572"/>
    <w:rsid w:val="00D069B2"/>
    <w:rsid w:val="00D07835"/>
    <w:rsid w:val="00D07CFD"/>
    <w:rsid w:val="00D11E6B"/>
    <w:rsid w:val="00D12D1B"/>
    <w:rsid w:val="00D15164"/>
    <w:rsid w:val="00D306CF"/>
    <w:rsid w:val="00D326BE"/>
    <w:rsid w:val="00D33770"/>
    <w:rsid w:val="00D34B39"/>
    <w:rsid w:val="00D35C68"/>
    <w:rsid w:val="00D35CF9"/>
    <w:rsid w:val="00D36BB7"/>
    <w:rsid w:val="00D37717"/>
    <w:rsid w:val="00D40820"/>
    <w:rsid w:val="00D408B5"/>
    <w:rsid w:val="00D46803"/>
    <w:rsid w:val="00D46A6F"/>
    <w:rsid w:val="00D47F27"/>
    <w:rsid w:val="00D51C0B"/>
    <w:rsid w:val="00D54212"/>
    <w:rsid w:val="00D543A2"/>
    <w:rsid w:val="00D5633D"/>
    <w:rsid w:val="00D60594"/>
    <w:rsid w:val="00D62DFE"/>
    <w:rsid w:val="00D6366F"/>
    <w:rsid w:val="00D637FB"/>
    <w:rsid w:val="00D648C7"/>
    <w:rsid w:val="00D7012E"/>
    <w:rsid w:val="00D70731"/>
    <w:rsid w:val="00D71D5A"/>
    <w:rsid w:val="00D81069"/>
    <w:rsid w:val="00D84C98"/>
    <w:rsid w:val="00D84F59"/>
    <w:rsid w:val="00D85D93"/>
    <w:rsid w:val="00D87A02"/>
    <w:rsid w:val="00D9111B"/>
    <w:rsid w:val="00D91286"/>
    <w:rsid w:val="00D92A3B"/>
    <w:rsid w:val="00D9320D"/>
    <w:rsid w:val="00D94ECF"/>
    <w:rsid w:val="00D9642D"/>
    <w:rsid w:val="00D968B8"/>
    <w:rsid w:val="00DA018F"/>
    <w:rsid w:val="00DA0622"/>
    <w:rsid w:val="00DA4DAB"/>
    <w:rsid w:val="00DA6663"/>
    <w:rsid w:val="00DB24C2"/>
    <w:rsid w:val="00DB2BA9"/>
    <w:rsid w:val="00DB79F8"/>
    <w:rsid w:val="00DC2B4F"/>
    <w:rsid w:val="00DC3323"/>
    <w:rsid w:val="00DC41F5"/>
    <w:rsid w:val="00DC61A5"/>
    <w:rsid w:val="00DC7628"/>
    <w:rsid w:val="00DC7F71"/>
    <w:rsid w:val="00DD2360"/>
    <w:rsid w:val="00DD49EE"/>
    <w:rsid w:val="00DD4D8F"/>
    <w:rsid w:val="00DE0EAD"/>
    <w:rsid w:val="00DE1AA4"/>
    <w:rsid w:val="00DE504A"/>
    <w:rsid w:val="00DF02B9"/>
    <w:rsid w:val="00DF5B43"/>
    <w:rsid w:val="00DF671B"/>
    <w:rsid w:val="00DF6932"/>
    <w:rsid w:val="00E01D75"/>
    <w:rsid w:val="00E03835"/>
    <w:rsid w:val="00E0502E"/>
    <w:rsid w:val="00E07072"/>
    <w:rsid w:val="00E10076"/>
    <w:rsid w:val="00E108F6"/>
    <w:rsid w:val="00E11C93"/>
    <w:rsid w:val="00E121EC"/>
    <w:rsid w:val="00E14456"/>
    <w:rsid w:val="00E146F5"/>
    <w:rsid w:val="00E20644"/>
    <w:rsid w:val="00E21821"/>
    <w:rsid w:val="00E23F06"/>
    <w:rsid w:val="00E31485"/>
    <w:rsid w:val="00E3427A"/>
    <w:rsid w:val="00E363E3"/>
    <w:rsid w:val="00E40B80"/>
    <w:rsid w:val="00E43874"/>
    <w:rsid w:val="00E45D6A"/>
    <w:rsid w:val="00E5052E"/>
    <w:rsid w:val="00E560E3"/>
    <w:rsid w:val="00E5778F"/>
    <w:rsid w:val="00E600F5"/>
    <w:rsid w:val="00E659B9"/>
    <w:rsid w:val="00E660E0"/>
    <w:rsid w:val="00E70514"/>
    <w:rsid w:val="00E7460A"/>
    <w:rsid w:val="00E74726"/>
    <w:rsid w:val="00E74778"/>
    <w:rsid w:val="00E74882"/>
    <w:rsid w:val="00E77534"/>
    <w:rsid w:val="00E77E59"/>
    <w:rsid w:val="00E80123"/>
    <w:rsid w:val="00E80A71"/>
    <w:rsid w:val="00E81FFD"/>
    <w:rsid w:val="00E823A1"/>
    <w:rsid w:val="00E85BE7"/>
    <w:rsid w:val="00E872D0"/>
    <w:rsid w:val="00E9179C"/>
    <w:rsid w:val="00E95536"/>
    <w:rsid w:val="00E9587A"/>
    <w:rsid w:val="00E95AC4"/>
    <w:rsid w:val="00E95B60"/>
    <w:rsid w:val="00E96317"/>
    <w:rsid w:val="00E96B9B"/>
    <w:rsid w:val="00E971CE"/>
    <w:rsid w:val="00E9748E"/>
    <w:rsid w:val="00EA0328"/>
    <w:rsid w:val="00EA3874"/>
    <w:rsid w:val="00EA3B6F"/>
    <w:rsid w:val="00EA3D7A"/>
    <w:rsid w:val="00EA493A"/>
    <w:rsid w:val="00EA622F"/>
    <w:rsid w:val="00EA68C9"/>
    <w:rsid w:val="00EA76EE"/>
    <w:rsid w:val="00EB0313"/>
    <w:rsid w:val="00EB11C0"/>
    <w:rsid w:val="00EB1AEF"/>
    <w:rsid w:val="00EB310D"/>
    <w:rsid w:val="00EB4A58"/>
    <w:rsid w:val="00EB750B"/>
    <w:rsid w:val="00EC1963"/>
    <w:rsid w:val="00EC25B7"/>
    <w:rsid w:val="00EC2FBC"/>
    <w:rsid w:val="00EC3380"/>
    <w:rsid w:val="00EC40EA"/>
    <w:rsid w:val="00EC4CF9"/>
    <w:rsid w:val="00ED0269"/>
    <w:rsid w:val="00ED13ED"/>
    <w:rsid w:val="00ED4489"/>
    <w:rsid w:val="00ED6C20"/>
    <w:rsid w:val="00EE0A53"/>
    <w:rsid w:val="00EE0A75"/>
    <w:rsid w:val="00EE0D07"/>
    <w:rsid w:val="00EE1EBF"/>
    <w:rsid w:val="00EE5B63"/>
    <w:rsid w:val="00EF3052"/>
    <w:rsid w:val="00EF6194"/>
    <w:rsid w:val="00F00C16"/>
    <w:rsid w:val="00F00FA5"/>
    <w:rsid w:val="00F04672"/>
    <w:rsid w:val="00F05570"/>
    <w:rsid w:val="00F0569F"/>
    <w:rsid w:val="00F057F9"/>
    <w:rsid w:val="00F079A8"/>
    <w:rsid w:val="00F13678"/>
    <w:rsid w:val="00F13C8E"/>
    <w:rsid w:val="00F25E04"/>
    <w:rsid w:val="00F27EFE"/>
    <w:rsid w:val="00F30C8F"/>
    <w:rsid w:val="00F35102"/>
    <w:rsid w:val="00F35CDB"/>
    <w:rsid w:val="00F40802"/>
    <w:rsid w:val="00F4097A"/>
    <w:rsid w:val="00F41AC4"/>
    <w:rsid w:val="00F447C5"/>
    <w:rsid w:val="00F52700"/>
    <w:rsid w:val="00F564F3"/>
    <w:rsid w:val="00F61AAA"/>
    <w:rsid w:val="00F6426C"/>
    <w:rsid w:val="00F648E3"/>
    <w:rsid w:val="00F66E61"/>
    <w:rsid w:val="00F676D1"/>
    <w:rsid w:val="00F70A7C"/>
    <w:rsid w:val="00F71BFA"/>
    <w:rsid w:val="00F7466E"/>
    <w:rsid w:val="00F75B27"/>
    <w:rsid w:val="00F76BE2"/>
    <w:rsid w:val="00F76BFB"/>
    <w:rsid w:val="00F76CBA"/>
    <w:rsid w:val="00F771E1"/>
    <w:rsid w:val="00F7796E"/>
    <w:rsid w:val="00F77970"/>
    <w:rsid w:val="00F83212"/>
    <w:rsid w:val="00F849D9"/>
    <w:rsid w:val="00F850D7"/>
    <w:rsid w:val="00F854C1"/>
    <w:rsid w:val="00F86AC0"/>
    <w:rsid w:val="00F87AB2"/>
    <w:rsid w:val="00F92B62"/>
    <w:rsid w:val="00FA6EC4"/>
    <w:rsid w:val="00FA7CFD"/>
    <w:rsid w:val="00FC1842"/>
    <w:rsid w:val="00FC19B6"/>
    <w:rsid w:val="00FC2683"/>
    <w:rsid w:val="00FC3D65"/>
    <w:rsid w:val="00FC4057"/>
    <w:rsid w:val="00FC7108"/>
    <w:rsid w:val="00FC7FFC"/>
    <w:rsid w:val="00FD04A7"/>
    <w:rsid w:val="00FD081D"/>
    <w:rsid w:val="00FD38B2"/>
    <w:rsid w:val="00FD625B"/>
    <w:rsid w:val="00FE11C2"/>
    <w:rsid w:val="00FE2EBB"/>
    <w:rsid w:val="00FE3E44"/>
    <w:rsid w:val="00FE45A5"/>
    <w:rsid w:val="00FE5ADB"/>
    <w:rsid w:val="00FE7EE8"/>
    <w:rsid w:val="00FF152E"/>
    <w:rsid w:val="00FF1742"/>
    <w:rsid w:val="00FF3A19"/>
    <w:rsid w:val="00FF4C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22984"/>
  <w15:docId w15:val="{22C2F2A8-80AB-478B-A65D-F54EAF9D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74726"/>
    <w:rPr>
      <w:sz w:val="24"/>
      <w:szCs w:val="24"/>
    </w:rPr>
  </w:style>
  <w:style w:type="paragraph" w:styleId="Nagwek1">
    <w:name w:val="heading 1"/>
    <w:basedOn w:val="Normalny"/>
    <w:next w:val="Normalny"/>
    <w:qFormat/>
    <w:rsid w:val="00E7472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nhideWhenUsed/>
    <w:qFormat/>
    <w:rsid w:val="00361089"/>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nhideWhenUsed/>
    <w:qFormat/>
    <w:rsid w:val="00C30A3C"/>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E74726"/>
    <w:pPr>
      <w:keepNext/>
      <w:spacing w:after="160" w:line="360" w:lineRule="atLeast"/>
      <w:jc w:val="center"/>
      <w:outlineLvl w:val="3"/>
    </w:pPr>
    <w:rPr>
      <w:rFonts w:ascii="Arial" w:hAnsi="Arial"/>
      <w:b/>
      <w:sz w:val="28"/>
      <w:szCs w:val="20"/>
    </w:rPr>
  </w:style>
  <w:style w:type="paragraph" w:styleId="Nagwek5">
    <w:name w:val="heading 5"/>
    <w:basedOn w:val="Normalny"/>
    <w:next w:val="Normalny"/>
    <w:link w:val="Nagwek5Znak"/>
    <w:qFormat/>
    <w:rsid w:val="00E74726"/>
    <w:pPr>
      <w:keepNext/>
      <w:ind w:left="11"/>
      <w:outlineLvl w:val="4"/>
    </w:pPr>
    <w:rPr>
      <w:b/>
      <w:snapToGrid w:val="0"/>
      <w:color w:val="000080"/>
      <w:sz w:val="22"/>
    </w:rPr>
  </w:style>
  <w:style w:type="paragraph" w:styleId="Nagwek6">
    <w:name w:val="heading 6"/>
    <w:basedOn w:val="Normalny"/>
    <w:next w:val="Normalny"/>
    <w:link w:val="Nagwek6Znak"/>
    <w:qFormat/>
    <w:rsid w:val="00E74726"/>
    <w:pPr>
      <w:keepNext/>
      <w:spacing w:after="120" w:line="360" w:lineRule="atLeast"/>
      <w:jc w:val="center"/>
      <w:outlineLvl w:val="5"/>
    </w:pPr>
    <w:rPr>
      <w:rFonts w:ascii="Arial" w:hAnsi="Arial"/>
      <w:b/>
      <w:sz w:val="18"/>
      <w:szCs w:val="20"/>
    </w:rPr>
  </w:style>
  <w:style w:type="paragraph" w:styleId="Nagwek7">
    <w:name w:val="heading 7"/>
    <w:basedOn w:val="Normalny"/>
    <w:next w:val="Normalny"/>
    <w:qFormat/>
    <w:rsid w:val="00E74726"/>
    <w:pPr>
      <w:spacing w:before="240" w:after="60"/>
      <w:outlineLvl w:val="6"/>
    </w:pPr>
  </w:style>
  <w:style w:type="paragraph" w:styleId="Nagwek9">
    <w:name w:val="heading 9"/>
    <w:basedOn w:val="Normalny"/>
    <w:next w:val="Normalny"/>
    <w:link w:val="Nagwek9Znak"/>
    <w:qFormat/>
    <w:rsid w:val="00E74726"/>
    <w:pPr>
      <w:keepNext/>
      <w:spacing w:before="120"/>
      <w:jc w:val="center"/>
      <w:outlineLvl w:val="8"/>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autoRedefine/>
    <w:rsid w:val="000A2965"/>
    <w:pPr>
      <w:ind w:right="828" w:firstLine="600"/>
      <w:jc w:val="both"/>
    </w:pPr>
    <w:rPr>
      <w:rFonts w:eastAsia="Cambria"/>
      <w:szCs w:val="25"/>
      <w:lang w:eastAsia="en-US"/>
    </w:rPr>
  </w:style>
  <w:style w:type="paragraph" w:customStyle="1" w:styleId="TNR12">
    <w:name w:val="TNR12"/>
    <w:aliases w:val="5"/>
    <w:basedOn w:val="Normalny"/>
    <w:autoRedefine/>
    <w:rsid w:val="00141058"/>
    <w:pPr>
      <w:ind w:firstLine="567"/>
      <w:jc w:val="both"/>
    </w:pPr>
    <w:rPr>
      <w:rFonts w:eastAsia="Cambria"/>
      <w:szCs w:val="25"/>
      <w:lang w:eastAsia="en-US"/>
    </w:rPr>
  </w:style>
  <w:style w:type="paragraph" w:customStyle="1" w:styleId="akapit">
    <w:name w:val="akapit"/>
    <w:basedOn w:val="Normalny"/>
    <w:rsid w:val="00E74726"/>
    <w:pPr>
      <w:spacing w:after="120" w:line="360" w:lineRule="atLeast"/>
      <w:ind w:firstLine="426"/>
      <w:jc w:val="both"/>
    </w:pPr>
    <w:rPr>
      <w:rFonts w:ascii="Arial" w:hAnsi="Arial"/>
      <w:sz w:val="26"/>
    </w:rPr>
  </w:style>
  <w:style w:type="character" w:styleId="Odwoanieprzypisudolnego">
    <w:name w:val="footnote reference"/>
    <w:basedOn w:val="Domylnaczcionkaakapitu"/>
    <w:semiHidden/>
    <w:rsid w:val="00E74726"/>
    <w:rPr>
      <w:vertAlign w:val="superscript"/>
    </w:rPr>
  </w:style>
  <w:style w:type="paragraph" w:styleId="Tekstprzypisudolnego">
    <w:name w:val="footnote text"/>
    <w:aliases w:val="Podrozdział"/>
    <w:basedOn w:val="Normalny"/>
    <w:link w:val="TekstprzypisudolnegoZnak"/>
    <w:semiHidden/>
    <w:rsid w:val="00E74726"/>
    <w:rPr>
      <w:sz w:val="20"/>
      <w:szCs w:val="20"/>
    </w:rPr>
  </w:style>
  <w:style w:type="paragraph" w:customStyle="1" w:styleId="pktmyslnw0">
    <w:name w:val="pkt mysln w0"/>
    <w:basedOn w:val="Normalny"/>
    <w:rsid w:val="00E74726"/>
    <w:pPr>
      <w:tabs>
        <w:tab w:val="left" w:pos="284"/>
      </w:tabs>
      <w:spacing w:after="120" w:line="360" w:lineRule="atLeast"/>
      <w:ind w:left="284" w:hanging="284"/>
      <w:jc w:val="both"/>
    </w:pPr>
    <w:rPr>
      <w:rFonts w:ascii="Arial" w:hAnsi="Arial"/>
      <w:sz w:val="26"/>
    </w:rPr>
  </w:style>
  <w:style w:type="paragraph" w:styleId="Tekstpodstawowy">
    <w:name w:val="Body Text"/>
    <w:basedOn w:val="Normalny"/>
    <w:rsid w:val="00E74726"/>
    <w:pPr>
      <w:ind w:right="430"/>
      <w:jc w:val="both"/>
    </w:pPr>
  </w:style>
  <w:style w:type="paragraph" w:customStyle="1" w:styleId="pktlitcyfw0">
    <w:name w:val="pkt lit/cyf w0"/>
    <w:basedOn w:val="Normalny"/>
    <w:rsid w:val="00E74726"/>
    <w:pPr>
      <w:tabs>
        <w:tab w:val="left" w:pos="426"/>
      </w:tabs>
      <w:spacing w:after="120" w:line="360" w:lineRule="atLeast"/>
      <w:ind w:left="426" w:hanging="426"/>
      <w:jc w:val="both"/>
    </w:pPr>
    <w:rPr>
      <w:rFonts w:ascii="Arial" w:hAnsi="Arial"/>
      <w:sz w:val="26"/>
      <w:szCs w:val="20"/>
    </w:rPr>
  </w:style>
  <w:style w:type="paragraph" w:customStyle="1" w:styleId="tabela">
    <w:name w:val="tabela"/>
    <w:basedOn w:val="Normalny"/>
    <w:rsid w:val="00E74726"/>
    <w:pPr>
      <w:spacing w:line="360" w:lineRule="atLeast"/>
    </w:pPr>
    <w:rPr>
      <w:rFonts w:ascii="Arial" w:hAnsi="Arial"/>
      <w:sz w:val="22"/>
      <w:szCs w:val="20"/>
    </w:rPr>
  </w:style>
  <w:style w:type="paragraph" w:customStyle="1" w:styleId="tabelaw">
    <w:name w:val="tabelaw"/>
    <w:basedOn w:val="Normalny"/>
    <w:rsid w:val="00E74726"/>
    <w:pPr>
      <w:spacing w:after="120" w:line="360" w:lineRule="atLeast"/>
      <w:jc w:val="both"/>
    </w:pPr>
    <w:rPr>
      <w:rFonts w:ascii="Arial" w:hAnsi="Arial"/>
      <w:sz w:val="26"/>
      <w:szCs w:val="20"/>
    </w:rPr>
  </w:style>
  <w:style w:type="paragraph" w:customStyle="1" w:styleId="BlockQuotation">
    <w:name w:val="Block Quotation"/>
    <w:basedOn w:val="Normalny"/>
    <w:rsid w:val="00E74726"/>
    <w:pPr>
      <w:widowControl w:val="0"/>
      <w:ind w:left="993" w:right="-142" w:hanging="426"/>
    </w:pPr>
    <w:rPr>
      <w:rFonts w:ascii="Times New Roman PL" w:hAnsi="Times New Roman PL"/>
      <w:sz w:val="26"/>
      <w:szCs w:val="20"/>
    </w:rPr>
  </w:style>
  <w:style w:type="paragraph" w:customStyle="1" w:styleId="BodyText24">
    <w:name w:val="Body Text 24"/>
    <w:basedOn w:val="Normalny"/>
    <w:rsid w:val="00E74726"/>
    <w:pPr>
      <w:widowControl w:val="0"/>
      <w:ind w:firstLine="567"/>
      <w:jc w:val="both"/>
    </w:pPr>
    <w:rPr>
      <w:rFonts w:ascii="Times New Roman PL" w:hAnsi="Times New Roman PL"/>
      <w:sz w:val="26"/>
      <w:szCs w:val="20"/>
    </w:rPr>
  </w:style>
  <w:style w:type="paragraph" w:styleId="Tekstblokowy">
    <w:name w:val="Block Text"/>
    <w:basedOn w:val="Normalny"/>
    <w:rsid w:val="00E74726"/>
    <w:pPr>
      <w:ind w:left="851" w:right="-142" w:hanging="284"/>
      <w:jc w:val="both"/>
    </w:pPr>
    <w:rPr>
      <w:rFonts w:ascii="Times New Roman PL" w:hAnsi="Times New Roman PL"/>
      <w:sz w:val="26"/>
      <w:szCs w:val="20"/>
    </w:rPr>
  </w:style>
  <w:style w:type="paragraph" w:styleId="Tekstpodstawowywcity2">
    <w:name w:val="Body Text Indent 2"/>
    <w:basedOn w:val="Normalny"/>
    <w:rsid w:val="00E74726"/>
    <w:pPr>
      <w:spacing w:after="120" w:line="480" w:lineRule="auto"/>
      <w:ind w:left="283"/>
    </w:pPr>
  </w:style>
  <w:style w:type="paragraph" w:customStyle="1" w:styleId="Tekstblokowy1">
    <w:name w:val="Tekst blokowy1"/>
    <w:basedOn w:val="Normalny"/>
    <w:rsid w:val="00E74726"/>
    <w:pPr>
      <w:ind w:left="851" w:right="-142" w:hanging="284"/>
      <w:jc w:val="both"/>
    </w:pPr>
    <w:rPr>
      <w:rFonts w:ascii="Times New Roman PL" w:hAnsi="Times New Roman PL"/>
      <w:b/>
      <w:sz w:val="26"/>
      <w:szCs w:val="20"/>
    </w:rPr>
  </w:style>
  <w:style w:type="paragraph" w:customStyle="1" w:styleId="BodyText26">
    <w:name w:val="Body Text 26"/>
    <w:basedOn w:val="Normalny"/>
    <w:rsid w:val="00E74726"/>
    <w:pPr>
      <w:widowControl w:val="0"/>
      <w:ind w:right="-142" w:firstLine="567"/>
      <w:jc w:val="both"/>
    </w:pPr>
    <w:rPr>
      <w:rFonts w:ascii="Times New Roman PL" w:hAnsi="Times New Roman PL"/>
      <w:sz w:val="26"/>
      <w:szCs w:val="20"/>
    </w:rPr>
  </w:style>
  <w:style w:type="paragraph" w:styleId="Tekstpodstawowywcity">
    <w:name w:val="Body Text Indent"/>
    <w:basedOn w:val="Normalny"/>
    <w:link w:val="TekstpodstawowywcityZnak"/>
    <w:rsid w:val="00E74726"/>
    <w:pPr>
      <w:spacing w:after="120"/>
      <w:ind w:left="283"/>
    </w:pPr>
  </w:style>
  <w:style w:type="paragraph" w:styleId="Tytu">
    <w:name w:val="Title"/>
    <w:basedOn w:val="Normalny"/>
    <w:qFormat/>
    <w:rsid w:val="00E74726"/>
    <w:pPr>
      <w:widowControl w:val="0"/>
      <w:jc w:val="center"/>
    </w:pPr>
    <w:rPr>
      <w:b/>
    </w:rPr>
  </w:style>
  <w:style w:type="paragraph" w:customStyle="1" w:styleId="blockquotation0">
    <w:name w:val="blockquotation"/>
    <w:basedOn w:val="Normalny"/>
    <w:rsid w:val="00E74726"/>
    <w:pPr>
      <w:ind w:left="993" w:right="-142" w:hanging="426"/>
    </w:pPr>
    <w:rPr>
      <w:rFonts w:ascii="Times New Roman PL" w:eastAsia="Arial Unicode MS" w:hAnsi="Times New Roman PL" w:cs="Arial Unicode MS"/>
      <w:sz w:val="26"/>
      <w:szCs w:val="26"/>
    </w:rPr>
  </w:style>
  <w:style w:type="paragraph" w:styleId="Stopka">
    <w:name w:val="footer"/>
    <w:basedOn w:val="Normalny"/>
    <w:link w:val="StopkaZnak"/>
    <w:uiPriority w:val="99"/>
    <w:rsid w:val="00E74726"/>
    <w:pPr>
      <w:tabs>
        <w:tab w:val="center" w:pos="4536"/>
        <w:tab w:val="right" w:pos="9072"/>
      </w:tabs>
    </w:pPr>
  </w:style>
  <w:style w:type="character" w:styleId="Numerstrony">
    <w:name w:val="page number"/>
    <w:basedOn w:val="Domylnaczcionkaakapitu"/>
    <w:rsid w:val="00E74726"/>
  </w:style>
  <w:style w:type="paragraph" w:styleId="Tekstpodstawowywcity3">
    <w:name w:val="Body Text Indent 3"/>
    <w:basedOn w:val="Normalny"/>
    <w:rsid w:val="00E74726"/>
    <w:pPr>
      <w:spacing w:after="120"/>
      <w:ind w:left="283"/>
    </w:pPr>
    <w:rPr>
      <w:sz w:val="16"/>
      <w:szCs w:val="16"/>
    </w:rPr>
  </w:style>
  <w:style w:type="character" w:customStyle="1" w:styleId="TekstprzypisudolnegoZnak">
    <w:name w:val="Tekst przypisu dolnego Znak"/>
    <w:aliases w:val="Podrozdział Znak"/>
    <w:basedOn w:val="Domylnaczcionkaakapitu"/>
    <w:link w:val="Tekstprzypisudolnego"/>
    <w:rsid w:val="00E74726"/>
    <w:rPr>
      <w:lang w:val="pl-PL" w:eastAsia="pl-PL" w:bidi="ar-SA"/>
    </w:rPr>
  </w:style>
  <w:style w:type="paragraph" w:customStyle="1" w:styleId="Tekstpodstawowy21">
    <w:name w:val="Tekst podstawowy 21"/>
    <w:basedOn w:val="Normalny"/>
    <w:rsid w:val="00896788"/>
    <w:pPr>
      <w:ind w:firstLine="708"/>
      <w:jc w:val="both"/>
    </w:pPr>
    <w:rPr>
      <w:rFonts w:ascii="Times New Roman PL" w:hAnsi="Times New Roman PL"/>
      <w:szCs w:val="20"/>
    </w:rPr>
  </w:style>
  <w:style w:type="paragraph" w:styleId="Tekstdymka">
    <w:name w:val="Balloon Text"/>
    <w:basedOn w:val="Normalny"/>
    <w:semiHidden/>
    <w:rsid w:val="004F3A49"/>
    <w:rPr>
      <w:rFonts w:ascii="Tahoma" w:hAnsi="Tahoma" w:cs="Tahoma"/>
      <w:sz w:val="16"/>
      <w:szCs w:val="16"/>
    </w:rPr>
  </w:style>
  <w:style w:type="paragraph" w:styleId="Nagwekspisutreci">
    <w:name w:val="TOC Heading"/>
    <w:basedOn w:val="Nagwek1"/>
    <w:next w:val="Normalny"/>
    <w:uiPriority w:val="39"/>
    <w:semiHidden/>
    <w:unhideWhenUsed/>
    <w:qFormat/>
    <w:rsid w:val="002313C7"/>
    <w:pPr>
      <w:keepLines/>
      <w:spacing w:before="480" w:after="0" w:line="276" w:lineRule="auto"/>
      <w:outlineLvl w:val="9"/>
    </w:pPr>
    <w:rPr>
      <w:rFonts w:ascii="Cambria" w:hAnsi="Cambria" w:cs="Times New Roman"/>
      <w:color w:val="365F91"/>
      <w:kern w:val="0"/>
      <w:sz w:val="28"/>
      <w:szCs w:val="28"/>
      <w:lang w:eastAsia="en-US"/>
    </w:rPr>
  </w:style>
  <w:style w:type="paragraph" w:styleId="Spistreci1">
    <w:name w:val="toc 1"/>
    <w:basedOn w:val="Normalny"/>
    <w:next w:val="Normalny"/>
    <w:autoRedefine/>
    <w:uiPriority w:val="39"/>
    <w:qFormat/>
    <w:rsid w:val="00537052"/>
    <w:pPr>
      <w:tabs>
        <w:tab w:val="left" w:pos="440"/>
        <w:tab w:val="right" w:leader="dot" w:pos="8647"/>
      </w:tabs>
      <w:spacing w:before="120" w:after="120"/>
      <w:ind w:left="426" w:right="-143" w:hanging="426"/>
      <w:jc w:val="both"/>
    </w:pPr>
    <w:rPr>
      <w:b/>
      <w:noProof/>
    </w:rPr>
  </w:style>
  <w:style w:type="character" w:styleId="Hipercze">
    <w:name w:val="Hyperlink"/>
    <w:basedOn w:val="Domylnaczcionkaakapitu"/>
    <w:uiPriority w:val="99"/>
    <w:unhideWhenUsed/>
    <w:rsid w:val="002313C7"/>
    <w:rPr>
      <w:color w:val="0000FF"/>
      <w:u w:val="single"/>
    </w:rPr>
  </w:style>
  <w:style w:type="paragraph" w:styleId="Spistreci2">
    <w:name w:val="toc 2"/>
    <w:basedOn w:val="Normalny"/>
    <w:next w:val="Normalny"/>
    <w:autoRedefine/>
    <w:uiPriority w:val="39"/>
    <w:unhideWhenUsed/>
    <w:qFormat/>
    <w:rsid w:val="00537052"/>
    <w:pPr>
      <w:tabs>
        <w:tab w:val="left" w:pos="993"/>
        <w:tab w:val="right" w:leader="dot" w:pos="8647"/>
      </w:tabs>
      <w:spacing w:line="360" w:lineRule="auto"/>
      <w:ind w:left="993" w:right="-143" w:hanging="567"/>
      <w:jc w:val="both"/>
    </w:pPr>
    <w:rPr>
      <w:bCs/>
      <w:noProof/>
      <w:sz w:val="22"/>
      <w:szCs w:val="22"/>
      <w:lang w:eastAsia="en-US"/>
    </w:rPr>
  </w:style>
  <w:style w:type="paragraph" w:styleId="Spistreci3">
    <w:name w:val="toc 3"/>
    <w:basedOn w:val="Normalny"/>
    <w:next w:val="Normalny"/>
    <w:autoRedefine/>
    <w:uiPriority w:val="39"/>
    <w:unhideWhenUsed/>
    <w:qFormat/>
    <w:rsid w:val="00537052"/>
    <w:pPr>
      <w:tabs>
        <w:tab w:val="left" w:pos="1560"/>
        <w:tab w:val="right" w:leader="dot" w:pos="8647"/>
      </w:tabs>
      <w:spacing w:line="360" w:lineRule="auto"/>
      <w:ind w:left="1560" w:right="-143" w:hanging="567"/>
      <w:jc w:val="both"/>
    </w:pPr>
    <w:rPr>
      <w:sz w:val="22"/>
      <w:szCs w:val="22"/>
      <w:lang w:eastAsia="en-US"/>
    </w:rPr>
  </w:style>
  <w:style w:type="character" w:customStyle="1" w:styleId="Nagwek2Znak">
    <w:name w:val="Nagłówek 2 Znak"/>
    <w:basedOn w:val="Domylnaczcionkaakapitu"/>
    <w:link w:val="Nagwek2"/>
    <w:rsid w:val="00361089"/>
    <w:rPr>
      <w:rFonts w:ascii="Cambria" w:eastAsia="Times New Roman" w:hAnsi="Cambria" w:cs="Times New Roman"/>
      <w:b/>
      <w:bCs/>
      <w:i/>
      <w:iCs/>
      <w:sz w:val="28"/>
      <w:szCs w:val="28"/>
    </w:rPr>
  </w:style>
  <w:style w:type="character" w:styleId="UyteHipercze">
    <w:name w:val="FollowedHyperlink"/>
    <w:basedOn w:val="Domylnaczcionkaakapitu"/>
    <w:rsid w:val="00912182"/>
    <w:rPr>
      <w:color w:val="800080"/>
      <w:u w:val="single"/>
    </w:rPr>
  </w:style>
  <w:style w:type="paragraph" w:customStyle="1" w:styleId="pktlitcyfw00">
    <w:name w:val="pktlitcyfw0"/>
    <w:basedOn w:val="Normalny"/>
    <w:rsid w:val="004A7D9E"/>
    <w:pPr>
      <w:overflowPunct w:val="0"/>
      <w:autoSpaceDE w:val="0"/>
      <w:autoSpaceDN w:val="0"/>
      <w:spacing w:after="120" w:line="360" w:lineRule="atLeast"/>
      <w:ind w:left="426" w:hanging="426"/>
      <w:jc w:val="both"/>
    </w:pPr>
    <w:rPr>
      <w:rFonts w:ascii="Arial" w:hAnsi="Arial" w:cs="Arial"/>
      <w:sz w:val="22"/>
      <w:szCs w:val="22"/>
    </w:rPr>
  </w:style>
  <w:style w:type="character" w:customStyle="1" w:styleId="Nagwek3Znak">
    <w:name w:val="Nagłówek 3 Znak"/>
    <w:basedOn w:val="Domylnaczcionkaakapitu"/>
    <w:link w:val="Nagwek3"/>
    <w:rsid w:val="00C30A3C"/>
    <w:rPr>
      <w:rFonts w:ascii="Cambria" w:eastAsia="Times New Roman" w:hAnsi="Cambria" w:cs="Times New Roman"/>
      <w:b/>
      <w:bCs/>
      <w:sz w:val="26"/>
      <w:szCs w:val="26"/>
    </w:rPr>
  </w:style>
  <w:style w:type="paragraph" w:styleId="Nagwek">
    <w:name w:val="header"/>
    <w:basedOn w:val="Normalny"/>
    <w:link w:val="NagwekZnak"/>
    <w:uiPriority w:val="99"/>
    <w:rsid w:val="003B3FB6"/>
    <w:pPr>
      <w:tabs>
        <w:tab w:val="center" w:pos="4536"/>
        <w:tab w:val="right" w:pos="9072"/>
      </w:tabs>
    </w:pPr>
  </w:style>
  <w:style w:type="character" w:customStyle="1" w:styleId="NagwekZnak">
    <w:name w:val="Nagłówek Znak"/>
    <w:basedOn w:val="Domylnaczcionkaakapitu"/>
    <w:link w:val="Nagwek"/>
    <w:uiPriority w:val="99"/>
    <w:rsid w:val="003B3FB6"/>
    <w:rPr>
      <w:sz w:val="24"/>
      <w:szCs w:val="24"/>
    </w:rPr>
  </w:style>
  <w:style w:type="paragraph" w:styleId="Tekstpodstawowy2">
    <w:name w:val="Body Text 2"/>
    <w:basedOn w:val="Normalny"/>
    <w:link w:val="Tekstpodstawowy2Znak"/>
    <w:rsid w:val="00D71D5A"/>
    <w:pPr>
      <w:spacing w:after="120" w:line="480" w:lineRule="auto"/>
    </w:pPr>
  </w:style>
  <w:style w:type="character" w:customStyle="1" w:styleId="Tekstpodstawowy2Znak">
    <w:name w:val="Tekst podstawowy 2 Znak"/>
    <w:basedOn w:val="Domylnaczcionkaakapitu"/>
    <w:link w:val="Tekstpodstawowy2"/>
    <w:rsid w:val="00D71D5A"/>
    <w:rPr>
      <w:sz w:val="24"/>
      <w:szCs w:val="24"/>
    </w:rPr>
  </w:style>
  <w:style w:type="paragraph" w:styleId="Tekstpodstawowy3">
    <w:name w:val="Body Text 3"/>
    <w:basedOn w:val="Normalny"/>
    <w:link w:val="Tekstpodstawowy3Znak"/>
    <w:rsid w:val="00D71D5A"/>
    <w:pPr>
      <w:spacing w:after="120"/>
    </w:pPr>
    <w:rPr>
      <w:sz w:val="16"/>
      <w:szCs w:val="16"/>
    </w:rPr>
  </w:style>
  <w:style w:type="character" w:customStyle="1" w:styleId="Tekstpodstawowy3Znak">
    <w:name w:val="Tekst podstawowy 3 Znak"/>
    <w:basedOn w:val="Domylnaczcionkaakapitu"/>
    <w:link w:val="Tekstpodstawowy3"/>
    <w:rsid w:val="00D71D5A"/>
    <w:rPr>
      <w:sz w:val="16"/>
      <w:szCs w:val="16"/>
    </w:rPr>
  </w:style>
  <w:style w:type="paragraph" w:customStyle="1" w:styleId="plgd">
    <w:name w:val="plgd"/>
    <w:basedOn w:val="Normalny"/>
    <w:rsid w:val="00D71D5A"/>
    <w:rPr>
      <w:rFonts w:ascii="Arial PL" w:hAnsi="Arial PL"/>
      <w:sz w:val="20"/>
      <w:szCs w:val="20"/>
    </w:rPr>
  </w:style>
  <w:style w:type="character" w:customStyle="1" w:styleId="StopkaZnak">
    <w:name w:val="Stopka Znak"/>
    <w:basedOn w:val="Domylnaczcionkaakapitu"/>
    <w:link w:val="Stopka"/>
    <w:uiPriority w:val="99"/>
    <w:rsid w:val="00D71D5A"/>
    <w:rPr>
      <w:sz w:val="24"/>
      <w:szCs w:val="24"/>
    </w:rPr>
  </w:style>
  <w:style w:type="paragraph" w:styleId="Akapitzlist">
    <w:name w:val="List Paragraph"/>
    <w:basedOn w:val="Normalny"/>
    <w:uiPriority w:val="34"/>
    <w:qFormat/>
    <w:rsid w:val="00CE41A3"/>
    <w:pPr>
      <w:ind w:left="720"/>
      <w:contextualSpacing/>
    </w:pPr>
  </w:style>
  <w:style w:type="paragraph" w:customStyle="1" w:styleId="tytakt">
    <w:name w:val="tytakt"/>
    <w:basedOn w:val="Normalny"/>
    <w:rsid w:val="003632AC"/>
    <w:pPr>
      <w:spacing w:before="100" w:beforeAutospacing="1" w:after="100" w:afterAutospacing="1"/>
    </w:pPr>
  </w:style>
  <w:style w:type="character" w:styleId="Odwoaniedokomentarza">
    <w:name w:val="annotation reference"/>
    <w:basedOn w:val="Domylnaczcionkaakapitu"/>
    <w:rsid w:val="007E2386"/>
    <w:rPr>
      <w:sz w:val="16"/>
      <w:szCs w:val="16"/>
    </w:rPr>
  </w:style>
  <w:style w:type="paragraph" w:styleId="Tekstkomentarza">
    <w:name w:val="annotation text"/>
    <w:basedOn w:val="Normalny"/>
    <w:link w:val="TekstkomentarzaZnak"/>
    <w:rsid w:val="007E2386"/>
    <w:rPr>
      <w:sz w:val="20"/>
      <w:szCs w:val="20"/>
    </w:rPr>
  </w:style>
  <w:style w:type="character" w:customStyle="1" w:styleId="TekstkomentarzaZnak">
    <w:name w:val="Tekst komentarza Znak"/>
    <w:basedOn w:val="Domylnaczcionkaakapitu"/>
    <w:link w:val="Tekstkomentarza"/>
    <w:rsid w:val="007E2386"/>
  </w:style>
  <w:style w:type="paragraph" w:styleId="Tematkomentarza">
    <w:name w:val="annotation subject"/>
    <w:basedOn w:val="Tekstkomentarza"/>
    <w:next w:val="Tekstkomentarza"/>
    <w:link w:val="TematkomentarzaZnak"/>
    <w:rsid w:val="007E2386"/>
    <w:rPr>
      <w:b/>
      <w:bCs/>
    </w:rPr>
  </w:style>
  <w:style w:type="character" w:customStyle="1" w:styleId="TematkomentarzaZnak">
    <w:name w:val="Temat komentarza Znak"/>
    <w:basedOn w:val="TekstkomentarzaZnak"/>
    <w:link w:val="Tematkomentarza"/>
    <w:rsid w:val="007E2386"/>
    <w:rPr>
      <w:b/>
      <w:bCs/>
    </w:rPr>
  </w:style>
  <w:style w:type="paragraph" w:styleId="Poprawka">
    <w:name w:val="Revision"/>
    <w:hidden/>
    <w:uiPriority w:val="99"/>
    <w:semiHidden/>
    <w:rsid w:val="00F849D9"/>
    <w:rPr>
      <w:sz w:val="24"/>
      <w:szCs w:val="24"/>
    </w:rPr>
  </w:style>
  <w:style w:type="character" w:customStyle="1" w:styleId="Nagwek5Znak">
    <w:name w:val="Nagłówek 5 Znak"/>
    <w:basedOn w:val="Domylnaczcionkaakapitu"/>
    <w:link w:val="Nagwek5"/>
    <w:rsid w:val="0072007F"/>
    <w:rPr>
      <w:b/>
      <w:snapToGrid w:val="0"/>
      <w:color w:val="000080"/>
      <w:sz w:val="22"/>
      <w:szCs w:val="24"/>
    </w:rPr>
  </w:style>
  <w:style w:type="character" w:customStyle="1" w:styleId="Nagwek6Znak">
    <w:name w:val="Nagłówek 6 Znak"/>
    <w:basedOn w:val="Domylnaczcionkaakapitu"/>
    <w:link w:val="Nagwek6"/>
    <w:rsid w:val="0072007F"/>
    <w:rPr>
      <w:rFonts w:ascii="Arial" w:hAnsi="Arial"/>
      <w:b/>
      <w:sz w:val="18"/>
    </w:rPr>
  </w:style>
  <w:style w:type="character" w:customStyle="1" w:styleId="Nagwek9Znak">
    <w:name w:val="Nagłówek 9 Znak"/>
    <w:basedOn w:val="Domylnaczcionkaakapitu"/>
    <w:link w:val="Nagwek9"/>
    <w:rsid w:val="00E95AC4"/>
    <w:rPr>
      <w:b/>
      <w:sz w:val="24"/>
    </w:rPr>
  </w:style>
  <w:style w:type="character" w:customStyle="1" w:styleId="Nagwek4Znak">
    <w:name w:val="Nagłówek 4 Znak"/>
    <w:basedOn w:val="Domylnaczcionkaakapitu"/>
    <w:link w:val="Nagwek4"/>
    <w:rsid w:val="00E95AC4"/>
    <w:rPr>
      <w:rFonts w:ascii="Arial" w:hAnsi="Arial"/>
      <w:b/>
      <w:sz w:val="28"/>
    </w:rPr>
  </w:style>
  <w:style w:type="character" w:customStyle="1" w:styleId="TekstpodstawowywcityZnak">
    <w:name w:val="Tekst podstawowy wcięty Znak"/>
    <w:basedOn w:val="Domylnaczcionkaakapitu"/>
    <w:link w:val="Tekstpodstawowywcity"/>
    <w:rsid w:val="00DE504A"/>
    <w:rPr>
      <w:sz w:val="24"/>
      <w:szCs w:val="24"/>
    </w:rPr>
  </w:style>
  <w:style w:type="character" w:styleId="Uwydatnienie">
    <w:name w:val="Emphasis"/>
    <w:basedOn w:val="Domylnaczcionkaakapitu"/>
    <w:uiPriority w:val="20"/>
    <w:qFormat/>
    <w:rsid w:val="00FE5ADB"/>
    <w:rPr>
      <w:i/>
      <w:iCs/>
    </w:rPr>
  </w:style>
  <w:style w:type="paragraph" w:styleId="Spistreci4">
    <w:name w:val="toc 4"/>
    <w:basedOn w:val="Normalny"/>
    <w:next w:val="Normalny"/>
    <w:autoRedefine/>
    <w:uiPriority w:val="39"/>
    <w:unhideWhenUsed/>
    <w:rsid w:val="00537052"/>
    <w:pPr>
      <w:tabs>
        <w:tab w:val="left" w:pos="2127"/>
        <w:tab w:val="right" w:leader="dot" w:pos="8647"/>
      </w:tabs>
      <w:spacing w:before="120" w:after="120"/>
      <w:ind w:left="2127" w:right="-143" w:hanging="709"/>
      <w:jc w:val="both"/>
    </w:pPr>
    <w:rPr>
      <w:noProof/>
      <w:sz w:val="22"/>
      <w:szCs w:val="22"/>
    </w:rPr>
  </w:style>
  <w:style w:type="paragraph" w:styleId="Tekstprzypisukocowego">
    <w:name w:val="endnote text"/>
    <w:basedOn w:val="Normalny"/>
    <w:link w:val="TekstprzypisukocowegoZnak"/>
    <w:semiHidden/>
    <w:unhideWhenUsed/>
    <w:rsid w:val="009670F3"/>
    <w:rPr>
      <w:sz w:val="20"/>
      <w:szCs w:val="20"/>
    </w:rPr>
  </w:style>
  <w:style w:type="character" w:customStyle="1" w:styleId="TekstprzypisukocowegoZnak">
    <w:name w:val="Tekst przypisu końcowego Znak"/>
    <w:basedOn w:val="Domylnaczcionkaakapitu"/>
    <w:link w:val="Tekstprzypisukocowego"/>
    <w:semiHidden/>
    <w:rsid w:val="009670F3"/>
  </w:style>
  <w:style w:type="character" w:styleId="Odwoanieprzypisukocowego">
    <w:name w:val="endnote reference"/>
    <w:basedOn w:val="Domylnaczcionkaakapitu"/>
    <w:semiHidden/>
    <w:unhideWhenUsed/>
    <w:rsid w:val="009670F3"/>
    <w:rPr>
      <w:vertAlign w:val="superscript"/>
    </w:rPr>
  </w:style>
  <w:style w:type="paragraph" w:customStyle="1" w:styleId="Tekstpodstawowy22">
    <w:name w:val="Tekst podstawowy 22"/>
    <w:basedOn w:val="Normalny"/>
    <w:rsid w:val="00DF6932"/>
    <w:pPr>
      <w:ind w:firstLine="708"/>
      <w:jc w:val="both"/>
    </w:pPr>
    <w:rPr>
      <w:rFonts w:ascii="Times New Roman PL" w:hAnsi="Times New Roman P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45730">
      <w:bodyDiv w:val="1"/>
      <w:marLeft w:val="0"/>
      <w:marRight w:val="0"/>
      <w:marTop w:val="0"/>
      <w:marBottom w:val="0"/>
      <w:divBdr>
        <w:top w:val="none" w:sz="0" w:space="0" w:color="auto"/>
        <w:left w:val="none" w:sz="0" w:space="0" w:color="auto"/>
        <w:bottom w:val="none" w:sz="0" w:space="0" w:color="auto"/>
        <w:right w:val="none" w:sz="0" w:space="0" w:color="auto"/>
      </w:divBdr>
      <w:divsChild>
        <w:div w:id="108933847">
          <w:marLeft w:val="0"/>
          <w:marRight w:val="0"/>
          <w:marTop w:val="0"/>
          <w:marBottom w:val="0"/>
          <w:divBdr>
            <w:top w:val="none" w:sz="0" w:space="0" w:color="auto"/>
            <w:left w:val="none" w:sz="0" w:space="0" w:color="auto"/>
            <w:bottom w:val="none" w:sz="0" w:space="0" w:color="auto"/>
            <w:right w:val="none" w:sz="0" w:space="0" w:color="auto"/>
          </w:divBdr>
        </w:div>
      </w:divsChild>
    </w:div>
    <w:div w:id="182592574">
      <w:bodyDiv w:val="1"/>
      <w:marLeft w:val="0"/>
      <w:marRight w:val="0"/>
      <w:marTop w:val="0"/>
      <w:marBottom w:val="0"/>
      <w:divBdr>
        <w:top w:val="none" w:sz="0" w:space="0" w:color="auto"/>
        <w:left w:val="none" w:sz="0" w:space="0" w:color="auto"/>
        <w:bottom w:val="none" w:sz="0" w:space="0" w:color="auto"/>
        <w:right w:val="none" w:sz="0" w:space="0" w:color="auto"/>
      </w:divBdr>
    </w:div>
    <w:div w:id="236287438">
      <w:bodyDiv w:val="1"/>
      <w:marLeft w:val="0"/>
      <w:marRight w:val="0"/>
      <w:marTop w:val="0"/>
      <w:marBottom w:val="0"/>
      <w:divBdr>
        <w:top w:val="none" w:sz="0" w:space="0" w:color="auto"/>
        <w:left w:val="none" w:sz="0" w:space="0" w:color="auto"/>
        <w:bottom w:val="none" w:sz="0" w:space="0" w:color="auto"/>
        <w:right w:val="none" w:sz="0" w:space="0" w:color="auto"/>
      </w:divBdr>
    </w:div>
    <w:div w:id="309285170">
      <w:bodyDiv w:val="1"/>
      <w:marLeft w:val="0"/>
      <w:marRight w:val="0"/>
      <w:marTop w:val="0"/>
      <w:marBottom w:val="0"/>
      <w:divBdr>
        <w:top w:val="none" w:sz="0" w:space="0" w:color="auto"/>
        <w:left w:val="none" w:sz="0" w:space="0" w:color="auto"/>
        <w:bottom w:val="none" w:sz="0" w:space="0" w:color="auto"/>
        <w:right w:val="none" w:sz="0" w:space="0" w:color="auto"/>
      </w:divBdr>
    </w:div>
    <w:div w:id="491408084">
      <w:bodyDiv w:val="1"/>
      <w:marLeft w:val="0"/>
      <w:marRight w:val="0"/>
      <w:marTop w:val="0"/>
      <w:marBottom w:val="0"/>
      <w:divBdr>
        <w:top w:val="none" w:sz="0" w:space="0" w:color="auto"/>
        <w:left w:val="none" w:sz="0" w:space="0" w:color="auto"/>
        <w:bottom w:val="none" w:sz="0" w:space="0" w:color="auto"/>
        <w:right w:val="none" w:sz="0" w:space="0" w:color="auto"/>
      </w:divBdr>
    </w:div>
    <w:div w:id="504512632">
      <w:bodyDiv w:val="1"/>
      <w:marLeft w:val="0"/>
      <w:marRight w:val="0"/>
      <w:marTop w:val="0"/>
      <w:marBottom w:val="0"/>
      <w:divBdr>
        <w:top w:val="none" w:sz="0" w:space="0" w:color="auto"/>
        <w:left w:val="none" w:sz="0" w:space="0" w:color="auto"/>
        <w:bottom w:val="none" w:sz="0" w:space="0" w:color="auto"/>
        <w:right w:val="none" w:sz="0" w:space="0" w:color="auto"/>
      </w:divBdr>
    </w:div>
    <w:div w:id="712193150">
      <w:bodyDiv w:val="1"/>
      <w:marLeft w:val="0"/>
      <w:marRight w:val="0"/>
      <w:marTop w:val="0"/>
      <w:marBottom w:val="0"/>
      <w:divBdr>
        <w:top w:val="none" w:sz="0" w:space="0" w:color="auto"/>
        <w:left w:val="none" w:sz="0" w:space="0" w:color="auto"/>
        <w:bottom w:val="none" w:sz="0" w:space="0" w:color="auto"/>
        <w:right w:val="none" w:sz="0" w:space="0" w:color="auto"/>
      </w:divBdr>
    </w:div>
    <w:div w:id="719284320">
      <w:bodyDiv w:val="1"/>
      <w:marLeft w:val="0"/>
      <w:marRight w:val="0"/>
      <w:marTop w:val="0"/>
      <w:marBottom w:val="0"/>
      <w:divBdr>
        <w:top w:val="none" w:sz="0" w:space="0" w:color="auto"/>
        <w:left w:val="none" w:sz="0" w:space="0" w:color="auto"/>
        <w:bottom w:val="none" w:sz="0" w:space="0" w:color="auto"/>
        <w:right w:val="none" w:sz="0" w:space="0" w:color="auto"/>
      </w:divBdr>
    </w:div>
    <w:div w:id="732891425">
      <w:bodyDiv w:val="1"/>
      <w:marLeft w:val="0"/>
      <w:marRight w:val="0"/>
      <w:marTop w:val="0"/>
      <w:marBottom w:val="0"/>
      <w:divBdr>
        <w:top w:val="none" w:sz="0" w:space="0" w:color="auto"/>
        <w:left w:val="none" w:sz="0" w:space="0" w:color="auto"/>
        <w:bottom w:val="none" w:sz="0" w:space="0" w:color="auto"/>
        <w:right w:val="none" w:sz="0" w:space="0" w:color="auto"/>
      </w:divBdr>
    </w:div>
    <w:div w:id="773672860">
      <w:bodyDiv w:val="1"/>
      <w:marLeft w:val="0"/>
      <w:marRight w:val="0"/>
      <w:marTop w:val="0"/>
      <w:marBottom w:val="0"/>
      <w:divBdr>
        <w:top w:val="none" w:sz="0" w:space="0" w:color="auto"/>
        <w:left w:val="none" w:sz="0" w:space="0" w:color="auto"/>
        <w:bottom w:val="none" w:sz="0" w:space="0" w:color="auto"/>
        <w:right w:val="none" w:sz="0" w:space="0" w:color="auto"/>
      </w:divBdr>
    </w:div>
    <w:div w:id="820970004">
      <w:bodyDiv w:val="1"/>
      <w:marLeft w:val="0"/>
      <w:marRight w:val="0"/>
      <w:marTop w:val="0"/>
      <w:marBottom w:val="0"/>
      <w:divBdr>
        <w:top w:val="none" w:sz="0" w:space="0" w:color="auto"/>
        <w:left w:val="none" w:sz="0" w:space="0" w:color="auto"/>
        <w:bottom w:val="none" w:sz="0" w:space="0" w:color="auto"/>
        <w:right w:val="none" w:sz="0" w:space="0" w:color="auto"/>
      </w:divBdr>
    </w:div>
    <w:div w:id="826627862">
      <w:bodyDiv w:val="1"/>
      <w:marLeft w:val="0"/>
      <w:marRight w:val="0"/>
      <w:marTop w:val="0"/>
      <w:marBottom w:val="0"/>
      <w:divBdr>
        <w:top w:val="none" w:sz="0" w:space="0" w:color="auto"/>
        <w:left w:val="none" w:sz="0" w:space="0" w:color="auto"/>
        <w:bottom w:val="none" w:sz="0" w:space="0" w:color="auto"/>
        <w:right w:val="none" w:sz="0" w:space="0" w:color="auto"/>
      </w:divBdr>
    </w:div>
    <w:div w:id="827675054">
      <w:bodyDiv w:val="1"/>
      <w:marLeft w:val="0"/>
      <w:marRight w:val="0"/>
      <w:marTop w:val="0"/>
      <w:marBottom w:val="0"/>
      <w:divBdr>
        <w:top w:val="none" w:sz="0" w:space="0" w:color="auto"/>
        <w:left w:val="none" w:sz="0" w:space="0" w:color="auto"/>
        <w:bottom w:val="none" w:sz="0" w:space="0" w:color="auto"/>
        <w:right w:val="none" w:sz="0" w:space="0" w:color="auto"/>
      </w:divBdr>
    </w:div>
    <w:div w:id="925387096">
      <w:bodyDiv w:val="1"/>
      <w:marLeft w:val="0"/>
      <w:marRight w:val="0"/>
      <w:marTop w:val="0"/>
      <w:marBottom w:val="0"/>
      <w:divBdr>
        <w:top w:val="none" w:sz="0" w:space="0" w:color="auto"/>
        <w:left w:val="none" w:sz="0" w:space="0" w:color="auto"/>
        <w:bottom w:val="none" w:sz="0" w:space="0" w:color="auto"/>
        <w:right w:val="none" w:sz="0" w:space="0" w:color="auto"/>
      </w:divBdr>
    </w:div>
    <w:div w:id="968246037">
      <w:bodyDiv w:val="1"/>
      <w:marLeft w:val="0"/>
      <w:marRight w:val="0"/>
      <w:marTop w:val="0"/>
      <w:marBottom w:val="0"/>
      <w:divBdr>
        <w:top w:val="none" w:sz="0" w:space="0" w:color="auto"/>
        <w:left w:val="none" w:sz="0" w:space="0" w:color="auto"/>
        <w:bottom w:val="none" w:sz="0" w:space="0" w:color="auto"/>
        <w:right w:val="none" w:sz="0" w:space="0" w:color="auto"/>
      </w:divBdr>
    </w:div>
    <w:div w:id="1068962147">
      <w:bodyDiv w:val="1"/>
      <w:marLeft w:val="0"/>
      <w:marRight w:val="0"/>
      <w:marTop w:val="0"/>
      <w:marBottom w:val="0"/>
      <w:divBdr>
        <w:top w:val="none" w:sz="0" w:space="0" w:color="auto"/>
        <w:left w:val="none" w:sz="0" w:space="0" w:color="auto"/>
        <w:bottom w:val="none" w:sz="0" w:space="0" w:color="auto"/>
        <w:right w:val="none" w:sz="0" w:space="0" w:color="auto"/>
      </w:divBdr>
    </w:div>
    <w:div w:id="1081223525">
      <w:bodyDiv w:val="1"/>
      <w:marLeft w:val="0"/>
      <w:marRight w:val="0"/>
      <w:marTop w:val="0"/>
      <w:marBottom w:val="0"/>
      <w:divBdr>
        <w:top w:val="none" w:sz="0" w:space="0" w:color="auto"/>
        <w:left w:val="none" w:sz="0" w:space="0" w:color="auto"/>
        <w:bottom w:val="none" w:sz="0" w:space="0" w:color="auto"/>
        <w:right w:val="none" w:sz="0" w:space="0" w:color="auto"/>
      </w:divBdr>
    </w:div>
    <w:div w:id="1158038201">
      <w:bodyDiv w:val="1"/>
      <w:marLeft w:val="0"/>
      <w:marRight w:val="0"/>
      <w:marTop w:val="0"/>
      <w:marBottom w:val="0"/>
      <w:divBdr>
        <w:top w:val="none" w:sz="0" w:space="0" w:color="auto"/>
        <w:left w:val="none" w:sz="0" w:space="0" w:color="auto"/>
        <w:bottom w:val="none" w:sz="0" w:space="0" w:color="auto"/>
        <w:right w:val="none" w:sz="0" w:space="0" w:color="auto"/>
      </w:divBdr>
    </w:div>
    <w:div w:id="1192379669">
      <w:bodyDiv w:val="1"/>
      <w:marLeft w:val="0"/>
      <w:marRight w:val="0"/>
      <w:marTop w:val="0"/>
      <w:marBottom w:val="0"/>
      <w:divBdr>
        <w:top w:val="none" w:sz="0" w:space="0" w:color="auto"/>
        <w:left w:val="none" w:sz="0" w:space="0" w:color="auto"/>
        <w:bottom w:val="none" w:sz="0" w:space="0" w:color="auto"/>
        <w:right w:val="none" w:sz="0" w:space="0" w:color="auto"/>
      </w:divBdr>
    </w:div>
    <w:div w:id="1192453066">
      <w:bodyDiv w:val="1"/>
      <w:marLeft w:val="0"/>
      <w:marRight w:val="0"/>
      <w:marTop w:val="0"/>
      <w:marBottom w:val="0"/>
      <w:divBdr>
        <w:top w:val="none" w:sz="0" w:space="0" w:color="auto"/>
        <w:left w:val="none" w:sz="0" w:space="0" w:color="auto"/>
        <w:bottom w:val="none" w:sz="0" w:space="0" w:color="auto"/>
        <w:right w:val="none" w:sz="0" w:space="0" w:color="auto"/>
      </w:divBdr>
    </w:div>
    <w:div w:id="1292908002">
      <w:bodyDiv w:val="1"/>
      <w:marLeft w:val="0"/>
      <w:marRight w:val="0"/>
      <w:marTop w:val="0"/>
      <w:marBottom w:val="0"/>
      <w:divBdr>
        <w:top w:val="none" w:sz="0" w:space="0" w:color="auto"/>
        <w:left w:val="none" w:sz="0" w:space="0" w:color="auto"/>
        <w:bottom w:val="none" w:sz="0" w:space="0" w:color="auto"/>
        <w:right w:val="none" w:sz="0" w:space="0" w:color="auto"/>
      </w:divBdr>
    </w:div>
    <w:div w:id="1356693266">
      <w:bodyDiv w:val="1"/>
      <w:marLeft w:val="0"/>
      <w:marRight w:val="0"/>
      <w:marTop w:val="0"/>
      <w:marBottom w:val="0"/>
      <w:divBdr>
        <w:top w:val="none" w:sz="0" w:space="0" w:color="auto"/>
        <w:left w:val="none" w:sz="0" w:space="0" w:color="auto"/>
        <w:bottom w:val="none" w:sz="0" w:space="0" w:color="auto"/>
        <w:right w:val="none" w:sz="0" w:space="0" w:color="auto"/>
      </w:divBdr>
    </w:div>
    <w:div w:id="1413620954">
      <w:bodyDiv w:val="1"/>
      <w:marLeft w:val="0"/>
      <w:marRight w:val="0"/>
      <w:marTop w:val="0"/>
      <w:marBottom w:val="0"/>
      <w:divBdr>
        <w:top w:val="none" w:sz="0" w:space="0" w:color="auto"/>
        <w:left w:val="none" w:sz="0" w:space="0" w:color="auto"/>
        <w:bottom w:val="none" w:sz="0" w:space="0" w:color="auto"/>
        <w:right w:val="none" w:sz="0" w:space="0" w:color="auto"/>
      </w:divBdr>
    </w:div>
    <w:div w:id="1450658867">
      <w:bodyDiv w:val="1"/>
      <w:marLeft w:val="0"/>
      <w:marRight w:val="0"/>
      <w:marTop w:val="0"/>
      <w:marBottom w:val="0"/>
      <w:divBdr>
        <w:top w:val="none" w:sz="0" w:space="0" w:color="auto"/>
        <w:left w:val="none" w:sz="0" w:space="0" w:color="auto"/>
        <w:bottom w:val="none" w:sz="0" w:space="0" w:color="auto"/>
        <w:right w:val="none" w:sz="0" w:space="0" w:color="auto"/>
      </w:divBdr>
    </w:div>
    <w:div w:id="1454204023">
      <w:bodyDiv w:val="1"/>
      <w:marLeft w:val="0"/>
      <w:marRight w:val="0"/>
      <w:marTop w:val="0"/>
      <w:marBottom w:val="0"/>
      <w:divBdr>
        <w:top w:val="none" w:sz="0" w:space="0" w:color="auto"/>
        <w:left w:val="none" w:sz="0" w:space="0" w:color="auto"/>
        <w:bottom w:val="none" w:sz="0" w:space="0" w:color="auto"/>
        <w:right w:val="none" w:sz="0" w:space="0" w:color="auto"/>
      </w:divBdr>
    </w:div>
    <w:div w:id="1517041748">
      <w:bodyDiv w:val="1"/>
      <w:marLeft w:val="0"/>
      <w:marRight w:val="0"/>
      <w:marTop w:val="0"/>
      <w:marBottom w:val="0"/>
      <w:divBdr>
        <w:top w:val="none" w:sz="0" w:space="0" w:color="auto"/>
        <w:left w:val="none" w:sz="0" w:space="0" w:color="auto"/>
        <w:bottom w:val="none" w:sz="0" w:space="0" w:color="auto"/>
        <w:right w:val="none" w:sz="0" w:space="0" w:color="auto"/>
      </w:divBdr>
    </w:div>
    <w:div w:id="1656883541">
      <w:bodyDiv w:val="1"/>
      <w:marLeft w:val="0"/>
      <w:marRight w:val="0"/>
      <w:marTop w:val="0"/>
      <w:marBottom w:val="0"/>
      <w:divBdr>
        <w:top w:val="none" w:sz="0" w:space="0" w:color="auto"/>
        <w:left w:val="none" w:sz="0" w:space="0" w:color="auto"/>
        <w:bottom w:val="none" w:sz="0" w:space="0" w:color="auto"/>
        <w:right w:val="none" w:sz="0" w:space="0" w:color="auto"/>
      </w:divBdr>
    </w:div>
    <w:div w:id="1668442490">
      <w:bodyDiv w:val="1"/>
      <w:marLeft w:val="0"/>
      <w:marRight w:val="0"/>
      <w:marTop w:val="0"/>
      <w:marBottom w:val="0"/>
      <w:divBdr>
        <w:top w:val="none" w:sz="0" w:space="0" w:color="auto"/>
        <w:left w:val="none" w:sz="0" w:space="0" w:color="auto"/>
        <w:bottom w:val="none" w:sz="0" w:space="0" w:color="auto"/>
        <w:right w:val="none" w:sz="0" w:space="0" w:color="auto"/>
      </w:divBdr>
    </w:div>
    <w:div w:id="1721244446">
      <w:bodyDiv w:val="1"/>
      <w:marLeft w:val="0"/>
      <w:marRight w:val="0"/>
      <w:marTop w:val="0"/>
      <w:marBottom w:val="0"/>
      <w:divBdr>
        <w:top w:val="none" w:sz="0" w:space="0" w:color="auto"/>
        <w:left w:val="none" w:sz="0" w:space="0" w:color="auto"/>
        <w:bottom w:val="none" w:sz="0" w:space="0" w:color="auto"/>
        <w:right w:val="none" w:sz="0" w:space="0" w:color="auto"/>
      </w:divBdr>
    </w:div>
    <w:div w:id="1743944395">
      <w:bodyDiv w:val="1"/>
      <w:marLeft w:val="0"/>
      <w:marRight w:val="0"/>
      <w:marTop w:val="0"/>
      <w:marBottom w:val="0"/>
      <w:divBdr>
        <w:top w:val="none" w:sz="0" w:space="0" w:color="auto"/>
        <w:left w:val="none" w:sz="0" w:space="0" w:color="auto"/>
        <w:bottom w:val="none" w:sz="0" w:space="0" w:color="auto"/>
        <w:right w:val="none" w:sz="0" w:space="0" w:color="auto"/>
      </w:divBdr>
    </w:div>
    <w:div w:id="1749764970">
      <w:bodyDiv w:val="1"/>
      <w:marLeft w:val="0"/>
      <w:marRight w:val="0"/>
      <w:marTop w:val="0"/>
      <w:marBottom w:val="0"/>
      <w:divBdr>
        <w:top w:val="none" w:sz="0" w:space="0" w:color="auto"/>
        <w:left w:val="none" w:sz="0" w:space="0" w:color="auto"/>
        <w:bottom w:val="none" w:sz="0" w:space="0" w:color="auto"/>
        <w:right w:val="none" w:sz="0" w:space="0" w:color="auto"/>
      </w:divBdr>
    </w:div>
    <w:div w:id="1768847172">
      <w:bodyDiv w:val="1"/>
      <w:marLeft w:val="0"/>
      <w:marRight w:val="0"/>
      <w:marTop w:val="0"/>
      <w:marBottom w:val="0"/>
      <w:divBdr>
        <w:top w:val="none" w:sz="0" w:space="0" w:color="auto"/>
        <w:left w:val="none" w:sz="0" w:space="0" w:color="auto"/>
        <w:bottom w:val="none" w:sz="0" w:space="0" w:color="auto"/>
        <w:right w:val="none" w:sz="0" w:space="0" w:color="auto"/>
      </w:divBdr>
    </w:div>
    <w:div w:id="1792362510">
      <w:bodyDiv w:val="1"/>
      <w:marLeft w:val="0"/>
      <w:marRight w:val="0"/>
      <w:marTop w:val="0"/>
      <w:marBottom w:val="0"/>
      <w:divBdr>
        <w:top w:val="none" w:sz="0" w:space="0" w:color="auto"/>
        <w:left w:val="none" w:sz="0" w:space="0" w:color="auto"/>
        <w:bottom w:val="none" w:sz="0" w:space="0" w:color="auto"/>
        <w:right w:val="none" w:sz="0" w:space="0" w:color="auto"/>
      </w:divBdr>
    </w:div>
    <w:div w:id="1815829527">
      <w:bodyDiv w:val="1"/>
      <w:marLeft w:val="0"/>
      <w:marRight w:val="0"/>
      <w:marTop w:val="0"/>
      <w:marBottom w:val="0"/>
      <w:divBdr>
        <w:top w:val="none" w:sz="0" w:space="0" w:color="auto"/>
        <w:left w:val="none" w:sz="0" w:space="0" w:color="auto"/>
        <w:bottom w:val="none" w:sz="0" w:space="0" w:color="auto"/>
        <w:right w:val="none" w:sz="0" w:space="0" w:color="auto"/>
      </w:divBdr>
    </w:div>
    <w:div w:id="1861314208">
      <w:bodyDiv w:val="1"/>
      <w:marLeft w:val="0"/>
      <w:marRight w:val="0"/>
      <w:marTop w:val="0"/>
      <w:marBottom w:val="0"/>
      <w:divBdr>
        <w:top w:val="none" w:sz="0" w:space="0" w:color="auto"/>
        <w:left w:val="none" w:sz="0" w:space="0" w:color="auto"/>
        <w:bottom w:val="none" w:sz="0" w:space="0" w:color="auto"/>
        <w:right w:val="none" w:sz="0" w:space="0" w:color="auto"/>
      </w:divBdr>
    </w:div>
    <w:div w:id="1919168125">
      <w:bodyDiv w:val="1"/>
      <w:marLeft w:val="0"/>
      <w:marRight w:val="0"/>
      <w:marTop w:val="0"/>
      <w:marBottom w:val="0"/>
      <w:divBdr>
        <w:top w:val="none" w:sz="0" w:space="0" w:color="auto"/>
        <w:left w:val="none" w:sz="0" w:space="0" w:color="auto"/>
        <w:bottom w:val="none" w:sz="0" w:space="0" w:color="auto"/>
        <w:right w:val="none" w:sz="0" w:space="0" w:color="auto"/>
      </w:divBdr>
    </w:div>
    <w:div w:id="1960991181">
      <w:bodyDiv w:val="1"/>
      <w:marLeft w:val="0"/>
      <w:marRight w:val="0"/>
      <w:marTop w:val="0"/>
      <w:marBottom w:val="0"/>
      <w:divBdr>
        <w:top w:val="none" w:sz="0" w:space="0" w:color="auto"/>
        <w:left w:val="none" w:sz="0" w:space="0" w:color="auto"/>
        <w:bottom w:val="none" w:sz="0" w:space="0" w:color="auto"/>
        <w:right w:val="none" w:sz="0" w:space="0" w:color="auto"/>
      </w:divBdr>
    </w:div>
    <w:div w:id="2033218502">
      <w:bodyDiv w:val="1"/>
      <w:marLeft w:val="0"/>
      <w:marRight w:val="0"/>
      <w:marTop w:val="0"/>
      <w:marBottom w:val="0"/>
      <w:divBdr>
        <w:top w:val="none" w:sz="0" w:space="0" w:color="auto"/>
        <w:left w:val="none" w:sz="0" w:space="0" w:color="auto"/>
        <w:bottom w:val="none" w:sz="0" w:space="0" w:color="auto"/>
        <w:right w:val="none" w:sz="0" w:space="0" w:color="auto"/>
      </w:divBdr>
    </w:div>
    <w:div w:id="213498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F47F7-0AC7-47DE-A87F-1A97F3AD7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6399</Words>
  <Characters>38398</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1</vt:lpstr>
    </vt:vector>
  </TitlesOfParts>
  <Company>Ministerstwo Finansów</Company>
  <LinksUpToDate>false</LinksUpToDate>
  <CharactersWithSpaces>44708</CharactersWithSpaces>
  <SharedDoc>false</SharedDoc>
  <HLinks>
    <vt:vector size="114" baseType="variant">
      <vt:variant>
        <vt:i4>1638449</vt:i4>
      </vt:variant>
      <vt:variant>
        <vt:i4>110</vt:i4>
      </vt:variant>
      <vt:variant>
        <vt:i4>0</vt:i4>
      </vt:variant>
      <vt:variant>
        <vt:i4>5</vt:i4>
      </vt:variant>
      <vt:variant>
        <vt:lpwstr/>
      </vt:variant>
      <vt:variant>
        <vt:lpwstr>_Toc384203678</vt:lpwstr>
      </vt:variant>
      <vt:variant>
        <vt:i4>1638449</vt:i4>
      </vt:variant>
      <vt:variant>
        <vt:i4>104</vt:i4>
      </vt:variant>
      <vt:variant>
        <vt:i4>0</vt:i4>
      </vt:variant>
      <vt:variant>
        <vt:i4>5</vt:i4>
      </vt:variant>
      <vt:variant>
        <vt:lpwstr/>
      </vt:variant>
      <vt:variant>
        <vt:lpwstr>_Toc384203677</vt:lpwstr>
      </vt:variant>
      <vt:variant>
        <vt:i4>1638449</vt:i4>
      </vt:variant>
      <vt:variant>
        <vt:i4>98</vt:i4>
      </vt:variant>
      <vt:variant>
        <vt:i4>0</vt:i4>
      </vt:variant>
      <vt:variant>
        <vt:i4>5</vt:i4>
      </vt:variant>
      <vt:variant>
        <vt:lpwstr/>
      </vt:variant>
      <vt:variant>
        <vt:lpwstr>_Toc384203676</vt:lpwstr>
      </vt:variant>
      <vt:variant>
        <vt:i4>1638449</vt:i4>
      </vt:variant>
      <vt:variant>
        <vt:i4>92</vt:i4>
      </vt:variant>
      <vt:variant>
        <vt:i4>0</vt:i4>
      </vt:variant>
      <vt:variant>
        <vt:i4>5</vt:i4>
      </vt:variant>
      <vt:variant>
        <vt:lpwstr/>
      </vt:variant>
      <vt:variant>
        <vt:lpwstr>_Toc384203675</vt:lpwstr>
      </vt:variant>
      <vt:variant>
        <vt:i4>1638449</vt:i4>
      </vt:variant>
      <vt:variant>
        <vt:i4>86</vt:i4>
      </vt:variant>
      <vt:variant>
        <vt:i4>0</vt:i4>
      </vt:variant>
      <vt:variant>
        <vt:i4>5</vt:i4>
      </vt:variant>
      <vt:variant>
        <vt:lpwstr/>
      </vt:variant>
      <vt:variant>
        <vt:lpwstr>_Toc384203674</vt:lpwstr>
      </vt:variant>
      <vt:variant>
        <vt:i4>1638449</vt:i4>
      </vt:variant>
      <vt:variant>
        <vt:i4>80</vt:i4>
      </vt:variant>
      <vt:variant>
        <vt:i4>0</vt:i4>
      </vt:variant>
      <vt:variant>
        <vt:i4>5</vt:i4>
      </vt:variant>
      <vt:variant>
        <vt:lpwstr/>
      </vt:variant>
      <vt:variant>
        <vt:lpwstr>_Toc384203673</vt:lpwstr>
      </vt:variant>
      <vt:variant>
        <vt:i4>1638449</vt:i4>
      </vt:variant>
      <vt:variant>
        <vt:i4>74</vt:i4>
      </vt:variant>
      <vt:variant>
        <vt:i4>0</vt:i4>
      </vt:variant>
      <vt:variant>
        <vt:i4>5</vt:i4>
      </vt:variant>
      <vt:variant>
        <vt:lpwstr/>
      </vt:variant>
      <vt:variant>
        <vt:lpwstr>_Toc384203672</vt:lpwstr>
      </vt:variant>
      <vt:variant>
        <vt:i4>1638449</vt:i4>
      </vt:variant>
      <vt:variant>
        <vt:i4>68</vt:i4>
      </vt:variant>
      <vt:variant>
        <vt:i4>0</vt:i4>
      </vt:variant>
      <vt:variant>
        <vt:i4>5</vt:i4>
      </vt:variant>
      <vt:variant>
        <vt:lpwstr/>
      </vt:variant>
      <vt:variant>
        <vt:lpwstr>_Toc384203671</vt:lpwstr>
      </vt:variant>
      <vt:variant>
        <vt:i4>1638449</vt:i4>
      </vt:variant>
      <vt:variant>
        <vt:i4>62</vt:i4>
      </vt:variant>
      <vt:variant>
        <vt:i4>0</vt:i4>
      </vt:variant>
      <vt:variant>
        <vt:i4>5</vt:i4>
      </vt:variant>
      <vt:variant>
        <vt:lpwstr/>
      </vt:variant>
      <vt:variant>
        <vt:lpwstr>_Toc384203670</vt:lpwstr>
      </vt:variant>
      <vt:variant>
        <vt:i4>1572913</vt:i4>
      </vt:variant>
      <vt:variant>
        <vt:i4>56</vt:i4>
      </vt:variant>
      <vt:variant>
        <vt:i4>0</vt:i4>
      </vt:variant>
      <vt:variant>
        <vt:i4>5</vt:i4>
      </vt:variant>
      <vt:variant>
        <vt:lpwstr/>
      </vt:variant>
      <vt:variant>
        <vt:lpwstr>_Toc384203669</vt:lpwstr>
      </vt:variant>
      <vt:variant>
        <vt:i4>1572913</vt:i4>
      </vt:variant>
      <vt:variant>
        <vt:i4>50</vt:i4>
      </vt:variant>
      <vt:variant>
        <vt:i4>0</vt:i4>
      </vt:variant>
      <vt:variant>
        <vt:i4>5</vt:i4>
      </vt:variant>
      <vt:variant>
        <vt:lpwstr/>
      </vt:variant>
      <vt:variant>
        <vt:lpwstr>_Toc384203668</vt:lpwstr>
      </vt:variant>
      <vt:variant>
        <vt:i4>1572913</vt:i4>
      </vt:variant>
      <vt:variant>
        <vt:i4>44</vt:i4>
      </vt:variant>
      <vt:variant>
        <vt:i4>0</vt:i4>
      </vt:variant>
      <vt:variant>
        <vt:i4>5</vt:i4>
      </vt:variant>
      <vt:variant>
        <vt:lpwstr/>
      </vt:variant>
      <vt:variant>
        <vt:lpwstr>_Toc384203667</vt:lpwstr>
      </vt:variant>
      <vt:variant>
        <vt:i4>1572913</vt:i4>
      </vt:variant>
      <vt:variant>
        <vt:i4>38</vt:i4>
      </vt:variant>
      <vt:variant>
        <vt:i4>0</vt:i4>
      </vt:variant>
      <vt:variant>
        <vt:i4>5</vt:i4>
      </vt:variant>
      <vt:variant>
        <vt:lpwstr/>
      </vt:variant>
      <vt:variant>
        <vt:lpwstr>_Toc384203666</vt:lpwstr>
      </vt:variant>
      <vt:variant>
        <vt:i4>1572913</vt:i4>
      </vt:variant>
      <vt:variant>
        <vt:i4>32</vt:i4>
      </vt:variant>
      <vt:variant>
        <vt:i4>0</vt:i4>
      </vt:variant>
      <vt:variant>
        <vt:i4>5</vt:i4>
      </vt:variant>
      <vt:variant>
        <vt:lpwstr/>
      </vt:variant>
      <vt:variant>
        <vt:lpwstr>_Toc384203665</vt:lpwstr>
      </vt:variant>
      <vt:variant>
        <vt:i4>1572913</vt:i4>
      </vt:variant>
      <vt:variant>
        <vt:i4>26</vt:i4>
      </vt:variant>
      <vt:variant>
        <vt:i4>0</vt:i4>
      </vt:variant>
      <vt:variant>
        <vt:i4>5</vt:i4>
      </vt:variant>
      <vt:variant>
        <vt:lpwstr/>
      </vt:variant>
      <vt:variant>
        <vt:lpwstr>_Toc384203664</vt:lpwstr>
      </vt:variant>
      <vt:variant>
        <vt:i4>1572913</vt:i4>
      </vt:variant>
      <vt:variant>
        <vt:i4>20</vt:i4>
      </vt:variant>
      <vt:variant>
        <vt:i4>0</vt:i4>
      </vt:variant>
      <vt:variant>
        <vt:i4>5</vt:i4>
      </vt:variant>
      <vt:variant>
        <vt:lpwstr/>
      </vt:variant>
      <vt:variant>
        <vt:lpwstr>_Toc384203663</vt:lpwstr>
      </vt:variant>
      <vt:variant>
        <vt:i4>1572913</vt:i4>
      </vt:variant>
      <vt:variant>
        <vt:i4>14</vt:i4>
      </vt:variant>
      <vt:variant>
        <vt:i4>0</vt:i4>
      </vt:variant>
      <vt:variant>
        <vt:i4>5</vt:i4>
      </vt:variant>
      <vt:variant>
        <vt:lpwstr/>
      </vt:variant>
      <vt:variant>
        <vt:lpwstr>_Toc384203662</vt:lpwstr>
      </vt:variant>
      <vt:variant>
        <vt:i4>1572913</vt:i4>
      </vt:variant>
      <vt:variant>
        <vt:i4>8</vt:i4>
      </vt:variant>
      <vt:variant>
        <vt:i4>0</vt:i4>
      </vt:variant>
      <vt:variant>
        <vt:i4>5</vt:i4>
      </vt:variant>
      <vt:variant>
        <vt:lpwstr/>
      </vt:variant>
      <vt:variant>
        <vt:lpwstr>_Toc384203661</vt:lpwstr>
      </vt:variant>
      <vt:variant>
        <vt:i4>1572913</vt:i4>
      </vt:variant>
      <vt:variant>
        <vt:i4>2</vt:i4>
      </vt:variant>
      <vt:variant>
        <vt:i4>0</vt:i4>
      </vt:variant>
      <vt:variant>
        <vt:i4>5</vt:i4>
      </vt:variant>
      <vt:variant>
        <vt:lpwstr/>
      </vt:variant>
      <vt:variant>
        <vt:lpwstr>_Toc384203660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Olas Paweł</dc:creator>
  <cp:lastModifiedBy>Agata Leonowicz</cp:lastModifiedBy>
  <cp:revision>2</cp:revision>
  <cp:lastPrinted>2019-03-15T08:57:00Z</cp:lastPrinted>
  <dcterms:created xsi:type="dcterms:W3CDTF">2020-11-05T09:38:00Z</dcterms:created>
  <dcterms:modified xsi:type="dcterms:W3CDTF">2020-11-05T09:38:00Z</dcterms:modified>
</cp:coreProperties>
</file>