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445135</wp:posOffset>
            </wp:positionH>
            <wp:positionV relativeFrom="paragraph">
              <wp:posOffset>12700</wp:posOffset>
            </wp:positionV>
            <wp:extent cx="1359535" cy="65214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59535" cy="652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6" w:h="17448"/>
          <w:pgMar w:top="1133" w:right="3000" w:bottom="2405" w:left="2885" w:header="0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rStyle w:val="CharStyle3"/>
          <w:b/>
          <w:bCs/>
        </w:rPr>
        <w:t>Instytut Systematyki i Ewolucji Zwierząt Polskiej Akademii Nauk</w:t>
      </w:r>
      <w:bookmarkEnd w:id="0"/>
    </w:p>
    <w:p>
      <w:pPr>
        <w:pStyle w:val="Style2"/>
        <w:keepNext/>
        <w:keepLines/>
        <w:framePr w:w="1759" w:h="410" w:wrap="none" w:vAnchor="text" w:hAnchor="page" w:x="6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3"/>
          <w:b/>
          <w:bCs/>
          <w:color w:val="212121"/>
        </w:rPr>
        <w:t>ISEZ PAN</w:t>
      </w:r>
      <w:bookmarkEnd w:id="2"/>
    </w:p>
    <w:p>
      <w:pPr>
        <w:widowControl w:val="0"/>
        <w:spacing w:after="4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6" w:h="17448"/>
          <w:pgMar w:top="2248" w:right="782" w:bottom="1099" w:left="6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420" w:firstLine="0"/>
        <w:jc w:val="righ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12700</wp:posOffset>
                </wp:positionV>
                <wp:extent cx="981710" cy="187325"/>
                <wp:wrapSquare wrapText="bothSides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  <w:sz w:val="24"/>
                                <w:szCs w:val="24"/>
                              </w:rPr>
                              <w:t>DA.451.3.2025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2.550000000000004pt;margin-top:1.pt;width:77.299999999999997pt;height:14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11"/>
                          <w:b/>
                          <w:bCs/>
                          <w:sz w:val="24"/>
                          <w:szCs w:val="24"/>
                        </w:rPr>
                        <w:t>DA.451.3.2025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1"/>
          <w:b/>
          <w:bCs/>
          <w:sz w:val="24"/>
          <w:szCs w:val="24"/>
        </w:rPr>
        <w:t>Kraków, 17.03.2025 r.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 w:line="264" w:lineRule="auto"/>
        <w:ind w:left="6720" w:right="0" w:firstLine="0"/>
        <w:jc w:val="right"/>
      </w:pPr>
      <w:r>
        <w:rPr>
          <w:rStyle w:val="CharStyle11"/>
        </w:rPr>
        <w:t>Sz.P. Paulina Hennig-Kloska Minister Klimatu i Środowiska ul. Wawelska 52/54 00-922 Warszawa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700"/>
        <w:jc w:val="both"/>
      </w:pPr>
      <w:r>
        <w:rPr>
          <w:rStyle w:val="CharStyle11"/>
        </w:rPr>
        <w:t xml:space="preserve">Na podstawie art. 2, 3, 46 i 48 ustawy z dnia 16 kwietnia 2004 r. o ochronie przyrody (Dz.U.2024.1478), oraz Rozporządzenia Ministra Środowiska z dnia 16 grudnia 2016 r. w sprawie ochrony gatunkowej zwierząt (Dz.U.2022.2380), zwracamy się o objęcie ochroną gatunkową stonki </w:t>
      </w:r>
      <w:r>
        <w:rPr>
          <w:rStyle w:val="CharStyle11"/>
          <w:i/>
          <w:iCs/>
        </w:rPr>
        <w:t>Cheilotoma musciformis</w:t>
      </w:r>
      <w:r>
        <w:rPr>
          <w:rStyle w:val="CharStyle11"/>
        </w:rPr>
        <w:t xml:space="preserve"> (Goeze, 1777) (Coleoptera; Chrysomelidae).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11"/>
        </w:rPr>
        <w:t>Stonka ta, w nomenklaturze krajowej nazywana zaciętką jest gatunkiem skrajnie rzadkim w Polsce, ujętym w Polskiej Czerwonej Księdze Zwierząt w kategorii „zagrożony” (EN) (endangered) (Ścibior 2004) oraz Czerwonej liście zwierząt ginących i zagrożonych w Polsce (Pawłowski i in. 2002).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11"/>
        </w:rPr>
        <w:t>Jest to relikt stepowy, którego krajowe populacje znajdują się kilkaset kilometrów na północ i zachód od zwartego zasięgu występowania tego taksonu, są więc silnie izolowane. Badania genetyczne (Kajtoch i in. 2013) udowodniły, że krajowa populacja jest silnie izolowana od najbliższych stanowisk z Podola na Ukrainie i Kotliny Panońskiej, a jej odrębność genetyczna wskazuje na to, że w Polsce występuje endemiczny takson prawdopodobnie w randze podgatunku.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Owad ten związany jest z zanikającymi w Polsce murawami kserotermicznymi, a jego zasięg drastycznie skurczył się w ostatnich dekadach (Mazur i in. 2015, Kubisz i in. 2025). W XXI wieku zasięg występowania zaciętki w Polsce zmniejszył się o około 30%, natomiast w ostatniej dekadzie nastąpił dalszy spadek o około 40% stanowisk w obrębie populacji jeszcze istniejących. Stawia to ten takson wśród gatunków krytycznie zagrożonych (CR - </w:t>
      </w:r>
      <w:r>
        <w:rPr>
          <w:rStyle w:val="CharStyle11"/>
          <w:i/>
          <w:iCs/>
        </w:rPr>
        <w:t>Critically Endangered),</w:t>
      </w:r>
      <w:r>
        <w:rPr>
          <w:rStyle w:val="CharStyle11"/>
        </w:rPr>
        <w:t xml:space="preserve"> zgodnie z klasyfikacją International Union for Conservation of Naturę (Międzynarodowej Unii Ochrony Przyrody). Aktualnie gatunek ten występuje tylko na 21 stanowiskach rozsianych na Wyżynie Małopolskiej, głównie w Niecce Nidziańskiej, i lokalnie w Górach Świętokrzyskich (jedno stanowisko). Jedynie część ze stanowisk tej stonki znajduje się na terenach chronionych (rezerwatach przyrody i ostojach siedliskowych Natura 2000) (Kajtoch i in. 2024). Jednak brak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12700" distR="12700" simplePos="0" relativeHeight="125829381" behindDoc="0" locked="0" layoutInCell="1" allowOverlap="1">
            <wp:simplePos x="0" y="0"/>
            <wp:positionH relativeFrom="page">
              <wp:posOffset>504190</wp:posOffset>
            </wp:positionH>
            <wp:positionV relativeFrom="margin">
              <wp:posOffset>-877570</wp:posOffset>
            </wp:positionV>
            <wp:extent cx="1359535" cy="652145"/>
            <wp:wrapSquare wrapText="right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59535" cy="65214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3"/>
          <w:b/>
          <w:bCs/>
        </w:rPr>
        <w:t>Instytut Systematyki i Ewolucji Zwierząt Polskiej Akademii Nauk</w:t>
      </w:r>
      <w:bookmarkEnd w:id="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r>
        <w:rPr>
          <w:rStyle w:val="CharStyle3"/>
          <w:b/>
          <w:bCs/>
          <w:color w:val="212121"/>
        </w:rPr>
        <w:t>ISEZ PAN</w:t>
      </w:r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360" w:right="0" w:firstLine="20"/>
        <w:jc w:val="both"/>
      </w:pPr>
      <w:r>
        <w:rPr>
          <w:rStyle w:val="CharStyle11"/>
        </w:rPr>
        <w:t xml:space="preserve">zabiegów lub nieprawidłowo wykonywane zabiegi ochrony czynnej (nadmiernie intensywnie spasanie) stanowią zagrożenie dla przetrwania jej rozproszonych i nielicznych populacji (Mazur i in. 2015, Kubisz i in. 2025). Gatunek ten może mieć dużą rolę przy waloryzacji środowisk kserotermicznych ze względu na: łatwość identyfikacji w terenie i bezpośredniej obserwacji; preferencje siedliskowe, ograniczone do dobrze zachowanych, różnorodnych muraw. Dodatkowo może pełnić rolę gatunku parasolowego, gdyż na preferowanej przez nią roślinie żywicielskiej, rozwijają się także inne, cenne i ściśle kserotermiczne gatunki, jak pędrusie (Coleoptera: Brentidae) </w:t>
      </w:r>
      <w:r>
        <w:rPr>
          <w:rStyle w:val="CharStyle11"/>
          <w:i/>
          <w:iCs/>
        </w:rPr>
        <w:t>Stenopterapion intermedium</w:t>
      </w:r>
      <w:r>
        <w:rPr>
          <w:rStyle w:val="CharStyle11"/>
        </w:rPr>
        <w:t xml:space="preserve"> (Eppelsheim, 1879), </w:t>
      </w:r>
      <w:r>
        <w:rPr>
          <w:rStyle w:val="CharStyle11"/>
          <w:i/>
          <w:iCs/>
        </w:rPr>
        <w:t>Hemitrichapion reflexum</w:t>
      </w:r>
      <w:r>
        <w:rPr>
          <w:rStyle w:val="CharStyle11"/>
        </w:rPr>
        <w:t xml:space="preserve"> (Gyllenhal, 1833), ryjkowiec (Coleoptera: Curculionidae) </w:t>
      </w:r>
      <w:r>
        <w:rPr>
          <w:rStyle w:val="CharStyle11"/>
          <w:i/>
          <w:iCs/>
        </w:rPr>
        <w:t>Sitona callosus</w:t>
      </w:r>
      <w:r>
        <w:rPr>
          <w:rStyle w:val="CharStyle11"/>
        </w:rPr>
        <w:t xml:space="preserve"> Gyllenhal, 1834, czy inny gatunek stonki </w:t>
      </w:r>
      <w:r>
        <w:rPr>
          <w:rStyle w:val="CharStyle11"/>
          <w:i/>
          <w:iCs/>
        </w:rPr>
        <w:t>Bruchidius unicolor</w:t>
      </w:r>
      <w:r>
        <w:rPr>
          <w:rStyle w:val="CharStyle11"/>
        </w:rPr>
        <w:t xml:space="preserve"> (Olivier, 1795), które to jednak gatunki są dużo trudniejsze do identyfikacji i trudniejsze do odnalezienia w terenie. Ograniczenie zabiegów ochrony czynnej, jak również ich prowadzenie w innym terminie, na murawach zasiedlonych przez zaciętkę, pozwoli także na ochronę innych gatunków roślin bobowatych, wyjątkowo chętnie zgryzanych. Rośliny te stanowią główną bazę pokarmową i rośliny rozwojowe dla ponad 20 gatunków rzadkich, typowo kserotermicznych chrząszczy (Mazur i Kubisz 2013), a także wymierającego (ujętego w w Polskiej Czerwonej Księdze Zwierząt w kategorii „krytycznie zagrożony” (CR)) modraszka gniadego </w:t>
      </w:r>
      <w:r>
        <w:rPr>
          <w:rStyle w:val="CharStyle11"/>
          <w:i/>
          <w:iCs/>
        </w:rPr>
        <w:t xml:space="preserve">Polyommatus ripartii </w:t>
      </w:r>
      <w:r>
        <w:rPr>
          <w:rStyle w:val="CharStyle11"/>
        </w:rPr>
        <w:t>(Przybyłowicz 2014).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360" w:right="0" w:firstLine="720"/>
        <w:jc w:val="both"/>
      </w:pPr>
      <w:r>
        <w:rPr>
          <w:rStyle w:val="CharStyle11"/>
        </w:rPr>
        <w:t>W przypadku braku skutecznej ochrony tego taksonu, która powinna być realizowana zarówno poprzez ochronę wymaganych siedlisk, jak i ochronę gatunkową (czynną), należy się spodziewać zaniku kolejnych populacji, a w perspektywie dekady lub dwóch całkowitego wymarcia tego gatunku na terenie Polski.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360" w:right="0" w:firstLine="720"/>
        <w:jc w:val="both"/>
      </w:pPr>
      <w:r>
        <w:rPr>
          <w:rStyle w:val="CharStyle11"/>
        </w:rPr>
        <w:t>W załączeniu znajdują się publikacje, które podsumowują stan wiedzy o krajowej populacji tego gatunku, a także opisują zagrożenia i propozycje ochrony.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720"/>
        <w:jc w:val="both"/>
      </w:pPr>
      <w:r>
        <w:rPr>
          <w:rStyle w:val="CharStyle11"/>
        </w:rPr>
        <w:t>Poniżej załączono poparcia do wniosku od Polskiego Towarzystwa Entomologicznego.</w:t>
      </w:r>
    </w:p>
    <w:sectPr>
      <w:footnotePr>
        <w:pos w:val="pageBottom"/>
        <w:numFmt w:val="decimal"/>
        <w:numRestart w:val="continuous"/>
      </w:footnotePr>
      <w:type w:val="continuous"/>
      <w:pgSz w:w="11906" w:h="17448"/>
      <w:pgMar w:top="1564" w:right="941" w:bottom="1974" w:left="77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478790</wp:posOffset>
              </wp:positionH>
              <wp:positionV relativeFrom="page">
                <wp:posOffset>10445115</wp:posOffset>
              </wp:positionV>
              <wp:extent cx="1725295" cy="2374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25295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b/>
                              <w:bCs/>
                            </w:rPr>
                            <w:t>Sławkowska 17,31-016 Kraków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b/>
                              <w:bCs/>
                            </w:rPr>
                            <w:t>+48 12 422 19 01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7.700000000000003pt;margin-top:822.45000000000005pt;width:135.84999999999999pt;height:18.6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</w:rPr>
                      <w:t>Sławkowska 17,31-016 Kraków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</w:rPr>
                      <w:t>+48 12 422 19 01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5205730</wp:posOffset>
              </wp:positionH>
              <wp:positionV relativeFrom="page">
                <wp:posOffset>10445115</wp:posOffset>
              </wp:positionV>
              <wp:extent cx="1840865" cy="2622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086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b/>
                              <w:bCs/>
                            </w:rPr>
                            <w:t xml:space="preserve">e-mail: </w:t>
                          </w:r>
                          <w:r>
                            <w:rPr>
                              <w:rStyle w:val="CharStyle5"/>
                              <w:b/>
                              <w:bCs/>
                              <w:color w:val="0000FF"/>
                              <w:lang w:val="en-US" w:eastAsia="en-US"/>
                            </w:rPr>
                            <w:t>office@isez.pan.krakow.pl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b/>
                              <w:bCs/>
                              <w:color w:val="0000FF"/>
                              <w:lang w:val="en-US" w:eastAsia="en-US"/>
                            </w:rPr>
                            <w:t>www.isez.pan.krakow.pl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09.90000000000003pt;margin-top:822.45000000000005pt;width:144.95000000000002pt;height:20.65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</w:rPr>
                      <w:t xml:space="preserve">e-mail: </w:t>
                    </w:r>
                    <w:r>
                      <w:rPr>
                        <w:rStyle w:val="CharStyle5"/>
                        <w:b/>
                        <w:bCs/>
                        <w:color w:val="0000FF"/>
                        <w:lang w:val="en-US" w:eastAsia="en-US"/>
                      </w:rPr>
                      <w:t>office@isez.pan.krakow.pl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  <w:color w:val="0000FF"/>
                        <w:lang w:val="en-US" w:eastAsia="en-US"/>
                      </w:rPr>
                      <w:t>www.isez.pan.krakow.pl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407035</wp:posOffset>
              </wp:positionH>
              <wp:positionV relativeFrom="page">
                <wp:posOffset>9951720</wp:posOffset>
              </wp:positionV>
              <wp:extent cx="6668770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687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2.049999999999997pt;margin-top:783.60000000000002pt;width:52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6533515</wp:posOffset>
              </wp:positionH>
              <wp:positionV relativeFrom="page">
                <wp:posOffset>335280</wp:posOffset>
              </wp:positionV>
              <wp:extent cx="362585" cy="4235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2585" cy="423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5760" cy="426720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65760" cy="4267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14.45000000000005pt;margin-top:26.400000000000002pt;width:28.550000000000001pt;height:33.350000000000001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5760" cy="426720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65760" cy="4267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6249670</wp:posOffset>
              </wp:positionH>
              <wp:positionV relativeFrom="page">
                <wp:posOffset>874395</wp:posOffset>
              </wp:positionV>
              <wp:extent cx="873125" cy="546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73125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CharStyle5"/>
                              <w:rFonts w:ascii="Segoe UI" w:eastAsia="Segoe UI" w:hAnsi="Segoe UI" w:cs="Segoe UI"/>
                              <w:b/>
                              <w:bCs/>
                              <w:color w:val="6672A6"/>
                              <w:w w:val="100"/>
                              <w:sz w:val="10"/>
                              <w:szCs w:val="10"/>
                            </w:rPr>
                            <w:t>HR EXCELLENCE IN RESEARCH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2.10000000000002pt;margin-top:68.850000000000009pt;width:68.75pt;height:4.2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5"/>
                        <w:rFonts w:ascii="Segoe UI" w:eastAsia="Segoe UI" w:hAnsi="Segoe UI" w:cs="Segoe UI"/>
                        <w:b/>
                        <w:bCs/>
                        <w:color w:val="6672A6"/>
                        <w:w w:val="100"/>
                        <w:sz w:val="10"/>
                        <w:szCs w:val="10"/>
                      </w:rPr>
                      <w:t>HR EXCELLENCE IN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ekst treści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line="264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  <w:spacing w:after="400" w:line="39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ISEZ PAN Kajtoch pismo do MKiS ochrona Cheilotoma musciformis (1).pdf</dc:title>
  <dc:subject/>
  <dc:creator>Socjusz Marta</dc:creator>
  <cp:keywords/>
</cp:coreProperties>
</file>