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44FBA" w14:textId="53CDAB7A" w:rsidR="00D40F56" w:rsidRPr="00CB6E51" w:rsidRDefault="00D40F56" w:rsidP="00D40F56">
      <w:pPr>
        <w:spacing w:after="0" w:line="240" w:lineRule="auto"/>
        <w:jc w:val="right"/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</w:pPr>
      <w:r w:rsidRPr="00CB6E51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Zał</w:t>
      </w:r>
      <w:r w:rsidR="00CB6E51" w:rsidRPr="00CB6E51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ącznik n</w:t>
      </w:r>
      <w:r w:rsidRPr="00CB6E51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 xml:space="preserve">r 3 </w:t>
      </w:r>
    </w:p>
    <w:p w14:paraId="2E036691" w14:textId="77777777" w:rsidR="00D40F56" w:rsidRPr="00D40F56" w:rsidRDefault="00D40F56" w:rsidP="00D40F56">
      <w:pPr>
        <w:spacing w:after="0" w:line="240" w:lineRule="auto"/>
        <w:jc w:val="right"/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</w:pPr>
    </w:p>
    <w:p w14:paraId="538293E7" w14:textId="1CF942BC" w:rsidR="00D40F56" w:rsidRPr="00D40F56" w:rsidRDefault="00CB6E51" w:rsidP="00D40F56">
      <w:pPr>
        <w:spacing w:after="0" w:line="240" w:lineRule="auto"/>
        <w:jc w:val="right"/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 xml:space="preserve">  </w:t>
      </w:r>
      <w:r w:rsidR="00D40F56" w:rsidRPr="00D40F56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do ogłoszenia z dnia</w:t>
      </w:r>
      <w:r w:rsidR="009F77BD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 xml:space="preserve"> 21.05.</w:t>
      </w:r>
      <w:r w:rsidR="006F459C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 xml:space="preserve">2026 </w:t>
      </w:r>
      <w:r w:rsidR="00D40F56" w:rsidRPr="00D40F56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r.</w:t>
      </w:r>
    </w:p>
    <w:p w14:paraId="5370ECD8" w14:textId="77777777" w:rsidR="00D40F56" w:rsidRPr="00D40F56" w:rsidRDefault="00D40F56" w:rsidP="00D40F56">
      <w:pPr>
        <w:spacing w:after="0" w:line="240" w:lineRule="auto"/>
        <w:jc w:val="right"/>
        <w:rPr>
          <w:rFonts w:ascii="Lato Regular" w:eastAsia="Times New Roman" w:hAnsi="Lato Regular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2E3AF1D6" w14:textId="556E270E" w:rsidR="00D40F56" w:rsidRPr="00D40F56" w:rsidRDefault="00D40F56" w:rsidP="00D40F56">
      <w:pPr>
        <w:spacing w:after="0" w:line="240" w:lineRule="auto"/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</w:pPr>
      <w:r w:rsidRPr="00D40F56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Nr sprawy OEA-A.</w:t>
      </w:r>
      <w:r w:rsidRPr="00D40F56">
        <w:rPr>
          <w:rFonts w:ascii="Lato Regular" w:hAnsi="Lato Regular" w:cs="Times New Roman"/>
          <w:kern w:val="0"/>
          <w:sz w:val="20"/>
          <w:szCs w:val="20"/>
          <w14:ligatures w14:val="none"/>
        </w:rPr>
        <w:t>2613.</w:t>
      </w:r>
      <w:r w:rsidR="006F459C">
        <w:rPr>
          <w:rFonts w:ascii="Lato Regular" w:hAnsi="Lato Regular" w:cs="Times New Roman"/>
          <w:kern w:val="0"/>
          <w:sz w:val="20"/>
          <w:szCs w:val="20"/>
          <w14:ligatures w14:val="none"/>
        </w:rPr>
        <w:t>15.2026</w:t>
      </w:r>
      <w:r w:rsidR="006F459C" w:rsidRPr="00D40F56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D40F56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br/>
        <w:t xml:space="preserve">                                                                                                                    </w:t>
      </w:r>
    </w:p>
    <w:p w14:paraId="265C70A4" w14:textId="77777777" w:rsidR="00D40F56" w:rsidRPr="00D40F56" w:rsidRDefault="00D40F56" w:rsidP="00D40F56">
      <w:pPr>
        <w:spacing w:after="0" w:line="240" w:lineRule="auto"/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</w:pPr>
      <w:r w:rsidRPr="00D40F56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 xml:space="preserve">            </w:t>
      </w:r>
    </w:p>
    <w:p w14:paraId="435A0B82" w14:textId="77777777" w:rsidR="00D40F56" w:rsidRPr="00D40F56" w:rsidRDefault="00D40F56" w:rsidP="00D40F56">
      <w:pPr>
        <w:spacing w:after="0" w:line="360" w:lineRule="auto"/>
        <w:jc w:val="center"/>
        <w:rPr>
          <w:rFonts w:ascii="Lato Regular" w:eastAsia="Times New Roman" w:hAnsi="Lato 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D40F56">
        <w:rPr>
          <w:rFonts w:ascii="Lato Regular" w:eastAsia="Times New Roman" w:hAnsi="Lato Regular" w:cs="Times New Roman"/>
          <w:b/>
          <w:bCs/>
          <w:kern w:val="0"/>
          <w:sz w:val="20"/>
          <w:szCs w:val="20"/>
          <w:lang w:eastAsia="pl-PL"/>
          <w14:ligatures w14:val="none"/>
        </w:rPr>
        <w:t>REGULAMIN PRZETARGU NA SPRZEDAŻ MIENIA RUCHOMEGO</w:t>
      </w:r>
    </w:p>
    <w:p w14:paraId="70786273" w14:textId="0BF3FB00" w:rsidR="00D40F56" w:rsidRPr="00D40F56" w:rsidRDefault="00D40F56" w:rsidP="00D40F56">
      <w:pPr>
        <w:spacing w:line="360" w:lineRule="auto"/>
        <w:jc w:val="center"/>
        <w:rPr>
          <w:rFonts w:ascii="Lato Regular" w:eastAsia="Times New Roman" w:hAnsi="Lato 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D40F56">
        <w:rPr>
          <w:rFonts w:ascii="Lato Regular" w:eastAsia="Times New Roman" w:hAnsi="Lato 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z dnia </w:t>
      </w:r>
      <w:r w:rsidR="009F77BD">
        <w:rPr>
          <w:rFonts w:ascii="Lato Regular" w:eastAsia="Times New Roman" w:hAnsi="Lato Regular" w:cs="Times New Roman"/>
          <w:b/>
          <w:bCs/>
          <w:kern w:val="0"/>
          <w:sz w:val="20"/>
          <w:szCs w:val="20"/>
          <w:lang w:eastAsia="pl-PL"/>
          <w14:ligatures w14:val="none"/>
        </w:rPr>
        <w:t>21.05.</w:t>
      </w:r>
      <w:r w:rsidRPr="00D40F56">
        <w:rPr>
          <w:rFonts w:ascii="Lato Regular" w:eastAsia="Times New Roman" w:hAnsi="Lato Regular" w:cs="Times New Roman"/>
          <w:b/>
          <w:bCs/>
          <w:kern w:val="0"/>
          <w:sz w:val="20"/>
          <w:szCs w:val="20"/>
          <w:lang w:eastAsia="pl-PL"/>
          <w14:ligatures w14:val="none"/>
        </w:rPr>
        <w:t>202</w:t>
      </w:r>
      <w:r w:rsidR="006F459C">
        <w:rPr>
          <w:rFonts w:ascii="Lato Regular" w:eastAsia="Times New Roman" w:hAnsi="Lato Regular" w:cs="Times New Roman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Pr="00D40F56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D40F56">
        <w:rPr>
          <w:rFonts w:ascii="Lato Regular" w:eastAsia="Times New Roman" w:hAnsi="Lato Regular" w:cs="Times New Roman"/>
          <w:b/>
          <w:bCs/>
          <w:kern w:val="0"/>
          <w:sz w:val="20"/>
          <w:szCs w:val="20"/>
          <w:lang w:eastAsia="pl-PL"/>
          <w14:ligatures w14:val="none"/>
        </w:rPr>
        <w:t>r.</w:t>
      </w:r>
    </w:p>
    <w:p w14:paraId="5565C904" w14:textId="77777777" w:rsidR="00D40F56" w:rsidRPr="00D40F56" w:rsidRDefault="00D40F56" w:rsidP="00D40F56">
      <w:pPr>
        <w:spacing w:after="0" w:line="360" w:lineRule="auto"/>
        <w:jc w:val="both"/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</w:pPr>
      <w:r w:rsidRPr="00D40F56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na podstawie Rozporządzenia Rady Ministrów z dnia 21 października 2019 r. w sprawie szczegółowego sposobu gospodarowania składnikami majątku ruchomego Skarbu Państwa</w:t>
      </w:r>
    </w:p>
    <w:p w14:paraId="3CDD8661" w14:textId="3F1A4459" w:rsidR="00D40F56" w:rsidRPr="00D40F56" w:rsidRDefault="00D40F56" w:rsidP="00D40F56">
      <w:pPr>
        <w:spacing w:after="0" w:line="360" w:lineRule="auto"/>
        <w:jc w:val="both"/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</w:pPr>
      <w:r w:rsidRPr="00D40F56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(Dz. U z 202</w:t>
      </w:r>
      <w:r w:rsidR="00F473F5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5</w:t>
      </w:r>
      <w:r w:rsidRPr="00D40F56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 xml:space="preserve"> r., poz. </w:t>
      </w:r>
      <w:r w:rsidR="00F473F5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228</w:t>
      </w:r>
      <w:r w:rsidRPr="00D40F56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).</w:t>
      </w:r>
    </w:p>
    <w:p w14:paraId="19790E9B" w14:textId="77777777" w:rsidR="00D40F56" w:rsidRPr="00D40F56" w:rsidRDefault="00D40F56" w:rsidP="00D40F56">
      <w:pPr>
        <w:spacing w:after="0" w:line="360" w:lineRule="auto"/>
        <w:jc w:val="center"/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</w:pPr>
      <w:r w:rsidRPr="00D40F56">
        <w:rPr>
          <w:rFonts w:ascii="Lato Regular" w:eastAsia="Times New Roman" w:hAnsi="Lato Regular" w:cs="Times New Roman"/>
          <w:b/>
          <w:bCs/>
          <w:kern w:val="0"/>
          <w:sz w:val="20"/>
          <w:szCs w:val="20"/>
          <w:lang w:eastAsia="pl-PL"/>
          <w14:ligatures w14:val="none"/>
        </w:rPr>
        <w:t>§ 1</w:t>
      </w:r>
      <w:r w:rsidRPr="00D40F56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br/>
      </w:r>
      <w:r w:rsidRPr="00D40F56">
        <w:rPr>
          <w:rFonts w:ascii="Lato Regular" w:eastAsia="Times New Roman" w:hAnsi="Lato 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                Postanowienia ogólne</w:t>
      </w:r>
    </w:p>
    <w:p w14:paraId="22571330" w14:textId="31F91F73" w:rsidR="00D40F56" w:rsidRPr="00D40F56" w:rsidRDefault="00D40F56" w:rsidP="00D40F56">
      <w:pPr>
        <w:spacing w:after="0" w:line="360" w:lineRule="auto"/>
        <w:rPr>
          <w:rFonts w:ascii="Lato Regular" w:hAnsi="Lato Regular" w:cs="Times New Roman"/>
          <w:sz w:val="20"/>
          <w:szCs w:val="20"/>
          <w:lang w:eastAsia="pl-PL"/>
        </w:rPr>
      </w:pPr>
      <w:r w:rsidRPr="00D40F56">
        <w:rPr>
          <w:rFonts w:ascii="Lato Regular" w:hAnsi="Lato Regular" w:cs="Times New Roman"/>
          <w:sz w:val="20"/>
          <w:szCs w:val="20"/>
          <w:lang w:eastAsia="pl-PL"/>
        </w:rPr>
        <w:t xml:space="preserve">1. Niniejszy Regulamin określa zasady i reguły przeprowadzenia przetargu na: zbycie </w:t>
      </w:r>
      <w:r>
        <w:rPr>
          <w:rFonts w:ascii="Lato Regular" w:hAnsi="Lato Regular" w:cs="Times New Roman"/>
          <w:sz w:val="20"/>
          <w:szCs w:val="20"/>
          <w:lang w:eastAsia="pl-PL"/>
        </w:rPr>
        <w:t>sprzętu laboratoryjnego</w:t>
      </w:r>
      <w:r w:rsidR="006F459C">
        <w:rPr>
          <w:rFonts w:ascii="Lato Regular" w:hAnsi="Lato Regular" w:cs="Times New Roman"/>
          <w:sz w:val="20"/>
          <w:szCs w:val="20"/>
          <w:lang w:eastAsia="pl-PL"/>
        </w:rPr>
        <w:t>.</w:t>
      </w:r>
    </w:p>
    <w:p w14:paraId="0187DA4E" w14:textId="77777777" w:rsidR="00D40F56" w:rsidRPr="00D40F56" w:rsidRDefault="00D40F56" w:rsidP="00D40F56">
      <w:pPr>
        <w:spacing w:line="360" w:lineRule="auto"/>
        <w:rPr>
          <w:rFonts w:ascii="Lato Regular" w:hAnsi="Lato Regular" w:cs="Times New Roman"/>
          <w:sz w:val="20"/>
          <w:szCs w:val="20"/>
          <w:lang w:eastAsia="pl-PL"/>
        </w:rPr>
      </w:pPr>
      <w:r w:rsidRPr="00D40F56">
        <w:rPr>
          <w:rFonts w:ascii="Lato Regular" w:hAnsi="Lato Regular" w:cs="Times New Roman"/>
          <w:sz w:val="20"/>
          <w:szCs w:val="20"/>
          <w:lang w:eastAsia="pl-PL"/>
        </w:rPr>
        <w:t>2. W zakresie nieuregulowanym w niniejszym Regulaminie odpowiednie zastosowanie mają przepisy ustawy Kodeksu cywilnego.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3. Przetarg przeprowadzi komisja, składająca się z co najmniej 3 osób, powołana Decyzją Dyrektora PSSE w Ostrowie Wielkopolskim.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</w:r>
      <w:r w:rsidRPr="00D40F56">
        <w:rPr>
          <w:rFonts w:ascii="Lato Regular" w:hAnsi="Lato Regular" w:cs="Times New Roman"/>
          <w:b/>
          <w:bCs/>
          <w:sz w:val="20"/>
          <w:szCs w:val="20"/>
          <w:lang w:eastAsia="pl-PL"/>
        </w:rPr>
        <w:t xml:space="preserve">                                                                         § 2</w:t>
      </w:r>
      <w:r w:rsidRPr="00D40F56">
        <w:rPr>
          <w:rFonts w:ascii="Lato Regular" w:hAnsi="Lato Regular" w:cs="Times New Roman"/>
          <w:b/>
          <w:bCs/>
          <w:sz w:val="20"/>
          <w:szCs w:val="20"/>
          <w:lang w:eastAsia="pl-PL"/>
        </w:rPr>
        <w:br/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t xml:space="preserve">                                                                  </w:t>
      </w:r>
      <w:r w:rsidRPr="00D40F56">
        <w:rPr>
          <w:rFonts w:ascii="Lato Regular" w:hAnsi="Lato Regular" w:cs="Times New Roman"/>
          <w:b/>
          <w:bCs/>
          <w:sz w:val="20"/>
          <w:szCs w:val="20"/>
          <w:lang w:eastAsia="pl-PL"/>
        </w:rPr>
        <w:t>Wszczęcie przetargu</w:t>
      </w:r>
    </w:p>
    <w:p w14:paraId="53CE88D9" w14:textId="77777777" w:rsidR="00D40F56" w:rsidRPr="00D40F56" w:rsidRDefault="00D40F56" w:rsidP="00D40F56">
      <w:pPr>
        <w:spacing w:line="360" w:lineRule="auto"/>
        <w:rPr>
          <w:rFonts w:ascii="Lato Regular" w:hAnsi="Lato Regular" w:cs="Times New Roman"/>
          <w:sz w:val="20"/>
          <w:szCs w:val="20"/>
          <w:lang w:eastAsia="pl-PL"/>
        </w:rPr>
      </w:pPr>
      <w:r w:rsidRPr="00D40F56">
        <w:rPr>
          <w:rFonts w:ascii="Lato Regular" w:hAnsi="Lato Regular" w:cs="Times New Roman"/>
          <w:sz w:val="20"/>
          <w:szCs w:val="20"/>
          <w:lang w:eastAsia="pl-PL"/>
        </w:rPr>
        <w:t>1. Wszczęcie przetargu następuje poprzez publiczne ogłoszenie, zamieszczone na stronie internetowej Organizatora przetargu, a także w miejscu publicznie dostępnym w lokalu Organizatora przetargu.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2. Ponadto ogłoszenie, o którym mowa w ust. 1, Komisja przetargowa, może skierować do potencjalnych wybranych przez siebie oferentów informację o ogłoszeniu przetargu,                                   z zastrzeżeniem § 7 ust. 2 pkt 10.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3. Ogłoszenie o przetargu powinno określać w szczególności: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1) nazwę i siedzibę Organizatora przetargu;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2) termin przeprowadzenia przetargu;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3) miejsce i termin, w którym można obejrzeć sprzedawane składniki rzeczowe majątku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ruchomego;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4) rodzaj, typy i ilość sprzedawanych składników rzeczowych majątku ruchomego;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5) wysokość wadium oraz formę, termin i miejsce jego wniesienia;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6) cenę wywoławczą;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7) wymagania, jakim powinna odpowiadać oferta;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8) termin, miejsce i tryb złożenia oferty oraz okres, w którym oferta jest wiążąca;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9) zastrzeżenie, że organizatorowi przetargu przysługuje prawo zamknięcia przetargu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bez wybrania którejkolwiek z ofert, bez podania przyczyny;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10) informację o treści przepisów § 3, § 4 i § 5;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lastRenderedPageBreak/>
        <w:t>11) termin zawarcia umowy sprzedaży.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4. Między datą ogłoszenia o przetargu a terminem składania ofert powinno upłynąć, co najmniej 14 dni.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</w:r>
      <w:r w:rsidRPr="00D40F56">
        <w:rPr>
          <w:rFonts w:ascii="Lato Regular" w:hAnsi="Lato Regular" w:cs="Times New Roman"/>
          <w:b/>
          <w:bCs/>
          <w:sz w:val="20"/>
          <w:szCs w:val="20"/>
          <w:lang w:eastAsia="pl-PL"/>
        </w:rPr>
        <w:t xml:space="preserve">                                                                         § 3</w:t>
      </w:r>
      <w:r w:rsidRPr="00D40F56">
        <w:rPr>
          <w:rFonts w:ascii="Lato Regular" w:hAnsi="Lato Regular" w:cs="Times New Roman"/>
          <w:b/>
          <w:bCs/>
          <w:sz w:val="20"/>
          <w:szCs w:val="20"/>
          <w:lang w:eastAsia="pl-PL"/>
        </w:rPr>
        <w:br/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t xml:space="preserve">                                                                   </w:t>
      </w:r>
      <w:r w:rsidRPr="00D40F56">
        <w:rPr>
          <w:rFonts w:ascii="Lato Regular" w:hAnsi="Lato Regular" w:cs="Times New Roman"/>
          <w:b/>
          <w:bCs/>
          <w:sz w:val="20"/>
          <w:szCs w:val="20"/>
          <w:lang w:eastAsia="pl-PL"/>
        </w:rPr>
        <w:t>Wadium</w:t>
      </w:r>
    </w:p>
    <w:p w14:paraId="3564D49C" w14:textId="77777777" w:rsidR="00D40F56" w:rsidRPr="00D40F56" w:rsidRDefault="00D40F56" w:rsidP="00D40F56">
      <w:pPr>
        <w:spacing w:line="360" w:lineRule="auto"/>
        <w:rPr>
          <w:rFonts w:ascii="Lato Regular" w:hAnsi="Lato Regular" w:cs="Times New Roman"/>
          <w:b/>
          <w:bCs/>
          <w:sz w:val="20"/>
          <w:szCs w:val="20"/>
          <w:lang w:eastAsia="pl-PL"/>
        </w:rPr>
      </w:pPr>
      <w:r w:rsidRPr="00D40F56">
        <w:rPr>
          <w:rFonts w:ascii="Lato Regular" w:hAnsi="Lato Regular" w:cs="Times New Roman"/>
          <w:sz w:val="20"/>
          <w:szCs w:val="20"/>
          <w:lang w:eastAsia="pl-PL"/>
        </w:rPr>
        <w:t>1. Warunkiem przystąpienia do przetargu jest wniesienie wadium w wysokości do 10%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ceny wywoławczej sprzedawanego składnika rzeczowego majątku ruchomego.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2. Wadium wnosi się wyłącznie w formie pieniężnej, poprzez wpłatę ustalonej w Ogłoszeniu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kwoty na wskazane konto Organizatora przetargu.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3. Wadium zwraca się w terminie do 7 dni od dnia dokonania wyboru lub odrzucenia oferty, oferentom których oferty nie zostały wybrane lub zostały odrzucone.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4. Wadium złożone przez oferenta, którego oferta została wybrana zalicza się na poczet ceny.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5. Wadium nie podlega zwrotowi, w przypadku gdy oferent, który wygrał przetarg, uchyli się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od zawarcia umowy sprzedaży.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</w:r>
      <w:r w:rsidRPr="00D40F56">
        <w:rPr>
          <w:rFonts w:ascii="Lato Regular" w:hAnsi="Lato Regular" w:cs="Times New Roman"/>
          <w:b/>
          <w:bCs/>
          <w:sz w:val="20"/>
          <w:szCs w:val="20"/>
          <w:lang w:eastAsia="pl-PL"/>
        </w:rPr>
        <w:t xml:space="preserve">                                                                         § 4</w:t>
      </w:r>
    </w:p>
    <w:p w14:paraId="783D3990" w14:textId="77777777" w:rsidR="00D40F56" w:rsidRPr="00D40F56" w:rsidRDefault="00D40F56" w:rsidP="00D40F56">
      <w:pPr>
        <w:spacing w:line="360" w:lineRule="auto"/>
        <w:rPr>
          <w:rFonts w:ascii="Lato Regular" w:hAnsi="Lato Regular" w:cs="Times New Roman"/>
          <w:b/>
          <w:bCs/>
          <w:sz w:val="20"/>
          <w:szCs w:val="20"/>
          <w:lang w:eastAsia="pl-PL"/>
        </w:rPr>
      </w:pPr>
      <w:r w:rsidRPr="00D40F56">
        <w:rPr>
          <w:rFonts w:ascii="Lato Regular" w:hAnsi="Lato Regular" w:cs="Times New Roman"/>
          <w:b/>
          <w:bCs/>
          <w:sz w:val="20"/>
          <w:szCs w:val="20"/>
          <w:lang w:eastAsia="pl-PL"/>
        </w:rPr>
        <w:t xml:space="preserve">                                                    Przystąpienie do przetargu</w:t>
      </w:r>
    </w:p>
    <w:p w14:paraId="5FD641CC" w14:textId="77777777" w:rsidR="00D40F56" w:rsidRPr="00D40F56" w:rsidRDefault="00D40F56" w:rsidP="00D40F56">
      <w:pPr>
        <w:spacing w:line="360" w:lineRule="auto"/>
        <w:rPr>
          <w:rFonts w:ascii="Lato Regular" w:hAnsi="Lato Regular" w:cs="Times New Roman"/>
          <w:sz w:val="20"/>
          <w:szCs w:val="20"/>
          <w:lang w:eastAsia="pl-PL"/>
        </w:rPr>
      </w:pPr>
      <w:r w:rsidRPr="00D40F56">
        <w:rPr>
          <w:rFonts w:ascii="Lato Regular" w:hAnsi="Lato Regular" w:cs="Times New Roman"/>
          <w:sz w:val="20"/>
          <w:szCs w:val="20"/>
          <w:lang w:eastAsia="pl-PL"/>
        </w:rPr>
        <w:t>Przystąpienie do przetargu następuje poprzez złożenie oferty, której wartość odpowiada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co najmniej wysokości ceny wywoławczej określonej w Ogłoszeniu, przy spełnieniu wymogu, o którym mowa w § 3 ust. 1 Regulaminu.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2. Cenę wywoławczą w przetargu ustala się w wysokości odpowiadającej wartości składnika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rzeczowego majątku ruchomego.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3. Oferta pisemna złożona w toku przetargu powinna zawierać: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1) imię, nazwisko i adres lub nazwę (firmę) i siedzibę oferenta;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2) oferowaną cenę i warunki jej zapłaty;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3) oświadczenie oferenta, że zapoznał się ze stanem przedmiotu przetargu lub że ponosi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odpowiedzialność za skutki wynikające z rezygnacji z oględzin;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4) inne dane wymagane przez organizatora przetargu, określone w ogłoszeniu o przetargu.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4. Ofertę wraz z wymaganymi dokumentami składa się w zaklejonej kopercie w miejscu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i terminie określonym w ogłoszeniu o przetargu.</w:t>
      </w:r>
    </w:p>
    <w:p w14:paraId="39A70BF2" w14:textId="77777777" w:rsidR="00D40F56" w:rsidRPr="00D40F56" w:rsidRDefault="00D40F56" w:rsidP="00D40F56">
      <w:pPr>
        <w:spacing w:line="360" w:lineRule="auto"/>
        <w:ind w:firstLine="708"/>
        <w:rPr>
          <w:rFonts w:ascii="Lato Regular" w:hAnsi="Lato Regular" w:cs="Times New Roman"/>
          <w:b/>
          <w:bCs/>
          <w:sz w:val="20"/>
          <w:szCs w:val="20"/>
          <w:lang w:eastAsia="pl-PL"/>
        </w:rPr>
      </w:pPr>
      <w:r w:rsidRPr="00D40F56">
        <w:rPr>
          <w:rFonts w:ascii="Lato Regular" w:hAnsi="Lato Regular" w:cs="Times New Roman"/>
          <w:sz w:val="20"/>
          <w:szCs w:val="20"/>
          <w:lang w:eastAsia="pl-PL"/>
        </w:rPr>
        <w:t xml:space="preserve">                                                                </w:t>
      </w:r>
      <w:r w:rsidRPr="00D40F56">
        <w:rPr>
          <w:rFonts w:ascii="Lato Regular" w:hAnsi="Lato Regular" w:cs="Times New Roman"/>
          <w:b/>
          <w:bCs/>
          <w:sz w:val="20"/>
          <w:szCs w:val="20"/>
          <w:lang w:eastAsia="pl-PL"/>
        </w:rPr>
        <w:t>§ 5</w:t>
      </w:r>
      <w:r w:rsidRPr="00D40F56">
        <w:rPr>
          <w:rFonts w:ascii="Lato Regular" w:hAnsi="Lato Regular" w:cs="Times New Roman"/>
          <w:b/>
          <w:bCs/>
          <w:sz w:val="20"/>
          <w:szCs w:val="20"/>
          <w:lang w:eastAsia="pl-PL"/>
        </w:rPr>
        <w:br/>
        <w:t xml:space="preserve">                                                                      Ocena ofert</w:t>
      </w:r>
    </w:p>
    <w:p w14:paraId="58821EC6" w14:textId="77777777" w:rsidR="00D40F56" w:rsidRPr="00D40F56" w:rsidRDefault="00D40F56" w:rsidP="00D40F56">
      <w:pPr>
        <w:spacing w:after="0" w:line="360" w:lineRule="auto"/>
        <w:rPr>
          <w:rFonts w:ascii="Lato Regular" w:hAnsi="Lato Regular" w:cs="Times New Roman"/>
          <w:sz w:val="20"/>
          <w:szCs w:val="20"/>
          <w:lang w:eastAsia="pl-PL"/>
        </w:rPr>
      </w:pPr>
      <w:r w:rsidRPr="00D40F56">
        <w:rPr>
          <w:rFonts w:ascii="Lato Regular" w:hAnsi="Lato Regular" w:cs="Times New Roman"/>
          <w:sz w:val="20"/>
          <w:szCs w:val="20"/>
          <w:lang w:eastAsia="pl-PL"/>
        </w:rPr>
        <w:t>1. Publiczne otwarcie złożonych ofert przeprowadza powołana Komisja, która: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1) stwierdza prawidłowość ogłoszenia przetargu;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2) ustala liczbę zgłoszonych ofert oraz sprawdza wniesienie wymaganego wadium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we wskazanym terminie, miejscu i formie;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3) otwiera koperty z ofertami, złożone w terminie i miejscu wskazanym w ogłoszeniu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o przetargu.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2. Na posiedzeniu niejawnym Komisja ocenia złożone oferty, pod kątem spełniania wymagań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lastRenderedPageBreak/>
        <w:t>określonych w Ogłoszeniu oraz wynikających z niniejszego Regulaminu.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3. Komisja odrzuca ofertę, jeżeli:</w:t>
      </w:r>
    </w:p>
    <w:p w14:paraId="12E3864C" w14:textId="77777777" w:rsidR="00D40F56" w:rsidRPr="00D40F56" w:rsidRDefault="00D40F56" w:rsidP="00D40F56">
      <w:pPr>
        <w:spacing w:after="0" w:line="360" w:lineRule="auto"/>
        <w:rPr>
          <w:rFonts w:ascii="Lato Regular" w:hAnsi="Lato Regular" w:cs="Times New Roman"/>
          <w:sz w:val="20"/>
          <w:szCs w:val="20"/>
          <w:lang w:eastAsia="pl-PL"/>
        </w:rPr>
      </w:pPr>
      <w:r w:rsidRPr="00D40F56">
        <w:rPr>
          <w:rFonts w:ascii="Lato Regular" w:hAnsi="Lato Regular" w:cs="Times New Roman"/>
          <w:sz w:val="20"/>
          <w:szCs w:val="20"/>
          <w:lang w:eastAsia="pl-PL"/>
        </w:rPr>
        <w:t xml:space="preserve">  1) została złożona po wyznaczonym terminie, w niewłaściwym miejscu lub przez oferenta, który nie wniósł wadium;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 xml:space="preserve">  2) nie zawiera danych i dokumentów, o których mowa w § 4 ust. 3, lub są one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niekompletne, nieczytelne lub budzą inną wątpliwość, zaś złożenie wyjaśnień mogłoby prowadzić do uznania jej za nową ofertę.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4. O odrzuceniu oferty komisja przetargowa zawiadamia niezwłocznie oferenta.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5. Złożenie jednej ważnej oferty wystarcza do przeprowadzenia przetargu.</w:t>
      </w:r>
    </w:p>
    <w:p w14:paraId="3DA3C875" w14:textId="77777777" w:rsidR="00D40F56" w:rsidRPr="00D40F56" w:rsidRDefault="00D40F56" w:rsidP="00D40F56">
      <w:pPr>
        <w:spacing w:line="360" w:lineRule="auto"/>
        <w:rPr>
          <w:rFonts w:ascii="Lato Regular" w:hAnsi="Lato Regular" w:cs="Times New Roman"/>
          <w:sz w:val="20"/>
          <w:szCs w:val="20"/>
          <w:lang w:eastAsia="pl-PL"/>
        </w:rPr>
      </w:pPr>
      <w:r w:rsidRPr="00D40F56">
        <w:rPr>
          <w:rFonts w:ascii="Lato Regular" w:hAnsi="Lato Regular" w:cs="Times New Roman"/>
          <w:sz w:val="20"/>
          <w:szCs w:val="20"/>
          <w:lang w:eastAsia="pl-PL"/>
        </w:rPr>
        <w:t>6. W razie ustalenia, że kilku oferentów zaoferowało tę samą cenę, Organizator przetargu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wezwie oferentów, do złożenia ofert dodatkowych.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7. Ceny ofert dodatkowych nie mogą być niższe niż zaoferowane ceny w ofercie.</w:t>
      </w:r>
    </w:p>
    <w:p w14:paraId="4F4E08D8" w14:textId="77777777" w:rsidR="00D40F56" w:rsidRPr="00D40F56" w:rsidRDefault="00D40F56" w:rsidP="00D40F56">
      <w:pPr>
        <w:spacing w:line="360" w:lineRule="auto"/>
        <w:rPr>
          <w:rFonts w:ascii="Lato Regular" w:hAnsi="Lato Regular" w:cs="Times New Roman"/>
          <w:sz w:val="20"/>
          <w:szCs w:val="20"/>
          <w:lang w:eastAsia="pl-PL"/>
        </w:rPr>
      </w:pP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</w:r>
      <w:r w:rsidRPr="00D40F56">
        <w:rPr>
          <w:rFonts w:ascii="Lato Regular" w:hAnsi="Lato Regular" w:cs="Times New Roman"/>
          <w:b/>
          <w:bCs/>
          <w:sz w:val="20"/>
          <w:szCs w:val="20"/>
          <w:lang w:eastAsia="pl-PL"/>
        </w:rPr>
        <w:t xml:space="preserve">                                                                             § 6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 xml:space="preserve">                                                                </w:t>
      </w:r>
      <w:r w:rsidRPr="00D40F56">
        <w:rPr>
          <w:rFonts w:ascii="Lato Regular" w:hAnsi="Lato Regular" w:cs="Times New Roman"/>
          <w:b/>
          <w:bCs/>
          <w:sz w:val="20"/>
          <w:szCs w:val="20"/>
          <w:lang w:eastAsia="pl-PL"/>
        </w:rPr>
        <w:t>Wybór oferty</w:t>
      </w:r>
    </w:p>
    <w:p w14:paraId="7FB62639" w14:textId="77777777" w:rsidR="00D40F56" w:rsidRPr="00D40F56" w:rsidRDefault="00D40F56" w:rsidP="00D40F56">
      <w:pPr>
        <w:spacing w:line="360" w:lineRule="auto"/>
        <w:rPr>
          <w:rFonts w:ascii="Lato Regular" w:hAnsi="Lato Regular" w:cs="Times New Roman"/>
          <w:sz w:val="20"/>
          <w:szCs w:val="20"/>
          <w:lang w:eastAsia="pl-PL"/>
        </w:rPr>
      </w:pPr>
      <w:r w:rsidRPr="00D40F56">
        <w:rPr>
          <w:rFonts w:ascii="Lato Regular" w:hAnsi="Lato Regular" w:cs="Times New Roman"/>
          <w:sz w:val="20"/>
          <w:szCs w:val="20"/>
          <w:lang w:eastAsia="pl-PL"/>
        </w:rPr>
        <w:t>1. Komisja wybiera oferenta, który zaoferował najwyższą cenę oraz który spełnił wszystkie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wymagania przewidziane w Ogłoszeniu o przetargu.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2. Z wybranym Oferentem zawierana jest umowa.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3. Kupujący jest zobowiązany zapłacić zaoferowaną cenę w terminie nie dłuższym 7 dni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od dnia zawarcia umowy sprzedaży.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4. Wydanie przedmiotu sprzedaży następuje niezwłocznie po zapłaceniu przez nabywcę ceny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nabycia, potwierdzone właściwym protokołem przekazania.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5. Sprzedaż w trybie przetargu nie może nastąpić za cenę niższą od ceny wywoławczej,                              z  zastrzeżeniem § 7 ust. 4.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 xml:space="preserve">            </w:t>
      </w:r>
    </w:p>
    <w:p w14:paraId="09E55E28" w14:textId="77777777" w:rsidR="00D40F56" w:rsidRPr="00D40F56" w:rsidRDefault="00D40F56" w:rsidP="00D40F56">
      <w:pPr>
        <w:spacing w:line="360" w:lineRule="auto"/>
        <w:rPr>
          <w:rFonts w:ascii="Lato Regular" w:hAnsi="Lato Regular" w:cs="Times New Roman"/>
          <w:sz w:val="20"/>
          <w:szCs w:val="20"/>
          <w:lang w:eastAsia="pl-PL"/>
        </w:rPr>
      </w:pPr>
      <w:r w:rsidRPr="00D40F56">
        <w:rPr>
          <w:rFonts w:ascii="Lato Regular" w:hAnsi="Lato Regular" w:cs="Times New Roman"/>
          <w:b/>
          <w:bCs/>
          <w:sz w:val="20"/>
          <w:szCs w:val="20"/>
          <w:lang w:eastAsia="pl-PL"/>
        </w:rPr>
        <w:t xml:space="preserve">                                                                        § 7</w:t>
      </w:r>
      <w:r w:rsidRPr="00D40F56">
        <w:rPr>
          <w:rFonts w:ascii="Lato Regular" w:hAnsi="Lato Regular" w:cs="Times New Roman"/>
          <w:b/>
          <w:bCs/>
          <w:sz w:val="20"/>
          <w:szCs w:val="20"/>
          <w:lang w:eastAsia="pl-PL"/>
        </w:rPr>
        <w:br/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t xml:space="preserve">                                                      </w:t>
      </w:r>
      <w:r w:rsidRPr="00D40F56">
        <w:rPr>
          <w:rFonts w:ascii="Lato Regular" w:hAnsi="Lato Regular" w:cs="Times New Roman"/>
          <w:b/>
          <w:bCs/>
          <w:sz w:val="20"/>
          <w:szCs w:val="20"/>
          <w:lang w:eastAsia="pl-PL"/>
        </w:rPr>
        <w:t>Zakończenie przetargu</w:t>
      </w:r>
    </w:p>
    <w:p w14:paraId="3F59EB57" w14:textId="77777777" w:rsidR="00D40F56" w:rsidRPr="00D40F56" w:rsidRDefault="00D40F56" w:rsidP="00D40F56">
      <w:pPr>
        <w:spacing w:line="360" w:lineRule="auto"/>
        <w:rPr>
          <w:rFonts w:ascii="Lato Regular" w:hAnsi="Lato Regular" w:cs="Times New Roman"/>
          <w:sz w:val="20"/>
          <w:szCs w:val="20"/>
        </w:rPr>
      </w:pPr>
      <w:r w:rsidRPr="00D40F56">
        <w:rPr>
          <w:rFonts w:ascii="Lato Regular" w:hAnsi="Lato Regular" w:cs="Times New Roman"/>
          <w:sz w:val="20"/>
          <w:szCs w:val="20"/>
          <w:lang w:eastAsia="pl-PL"/>
        </w:rPr>
        <w:t>1. Zakończenie przetargu następuje z chwilą wydania przedmiotu sprzedaży lub z chwilą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stwierdzenia braku ofert.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2. Z przeprowadzonego przetargu Komisja sporządza protokół z przebiegu przetargu,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który powinien zawierać w szczególności: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1) określenie miejsca i czasu przetargu;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2) imiona i nazwiska oraz podpisy członków komisji przetargowej;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3) wysokość ceny wywoławczej;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4) zestawienie ofert, które wpłynęły w odpowiedzi na ogłoszenie;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5) najwyższą cenę zaoferowaną za przedmiot sprzedaży;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6) imię, nazwisko (firmę) i miejsce zamieszkania Kupującego lub jego siedzibę;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lastRenderedPageBreak/>
        <w:t>7) wysokość ceny nabycia i oznaczenie kwoty, jaką Kupujący uiścił na poczet ceny;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8) wnioski i oświadczenia członków komisji przetargowej;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9) wzmiankę o wpłaceniu ceny lub wniosek o zatrzymanie wadium;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10) adnotację o skierowaniu do potencjalnych oferentów informacji o ogłoszeniu przetargu, wraz z ich listą.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3. Protokół z przetargu zatwierdza Dyrektor PSSE w Ostrowie Wielkopolskim.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4. Jeżeli pierwszy przetarg nie zostanie zakończony zawarciem umowy sprzedaży, Organizator przetargu ogłasza drugi przetarg lub kolejne przetargi, w terminie do 3 miesięcy od dnia zamknięcia pierwszego przetargu lub kolejnego przetargu. Cena wywoławcza w drugim lub kolejnym przetargu może zostać obniżona, jednak łącznie nie więcej niż o połowę ceny wywoławczej z pierwszego przetargu.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5. Organizatorowi przetargu przysługuje prawo zakończenia przetargu na dowolnym jego etapie, co nie będzie podstawą żadnych roszczeń ze strony Oferentów.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6. Organizator przetargu nie przewiduje zwrotu kosztów z tytułu udziału w przetargu.</w:t>
      </w:r>
    </w:p>
    <w:p w14:paraId="77A63507" w14:textId="77777777" w:rsidR="00D40F56" w:rsidRPr="00D40F56" w:rsidRDefault="00D40F56" w:rsidP="00D40F56">
      <w:pPr>
        <w:spacing w:line="360" w:lineRule="auto"/>
        <w:ind w:firstLine="708"/>
        <w:rPr>
          <w:rFonts w:ascii="Lato Regular" w:hAnsi="Lato Regular" w:cs="Times New Roman"/>
          <w:sz w:val="20"/>
          <w:szCs w:val="20"/>
        </w:rPr>
      </w:pP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</w:r>
    </w:p>
    <w:p w14:paraId="15F27E61" w14:textId="4085286E" w:rsidR="00714B21" w:rsidRPr="00D40F56" w:rsidRDefault="00D40F56" w:rsidP="00D40F56">
      <w:pPr>
        <w:spacing w:line="360" w:lineRule="auto"/>
        <w:rPr>
          <w:rFonts w:ascii="Lato Regular" w:hAnsi="Lato Regular" w:cs="Times New Roman"/>
          <w:sz w:val="20"/>
          <w:szCs w:val="20"/>
          <w:lang w:eastAsia="pl-PL"/>
        </w:rPr>
      </w:pPr>
      <w:r w:rsidRPr="00D40F56">
        <w:rPr>
          <w:rFonts w:ascii="Lato Regular" w:hAnsi="Lato Regular" w:cs="Times New Roman"/>
          <w:sz w:val="20"/>
          <w:szCs w:val="20"/>
          <w:lang w:eastAsia="pl-PL"/>
        </w:rPr>
        <w:t xml:space="preserve">                                                                                </w:t>
      </w:r>
    </w:p>
    <w:sectPr w:rsidR="00714B21" w:rsidRPr="00D40F5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2FA1F" w14:textId="77777777" w:rsidR="005E2050" w:rsidRDefault="005E2050" w:rsidP="00D40F56">
      <w:pPr>
        <w:spacing w:after="0" w:line="240" w:lineRule="auto"/>
      </w:pPr>
      <w:r>
        <w:separator/>
      </w:r>
    </w:p>
  </w:endnote>
  <w:endnote w:type="continuationSeparator" w:id="0">
    <w:p w14:paraId="37EC53B6" w14:textId="77777777" w:rsidR="005E2050" w:rsidRDefault="005E2050" w:rsidP="00D40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 Regular">
    <w:altName w:val="Lato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1557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6F5C837" w14:textId="098DCE2F" w:rsidR="00D40F56" w:rsidRDefault="00D40F56">
            <w:pPr>
              <w:pStyle w:val="Stopka"/>
              <w:jc w:val="right"/>
            </w:pPr>
            <w:r w:rsidRPr="00D40F56">
              <w:rPr>
                <w:rFonts w:ascii="Lato Regular" w:hAnsi="Lato Regular"/>
                <w:sz w:val="16"/>
                <w:szCs w:val="16"/>
              </w:rPr>
              <w:t xml:space="preserve">Strona </w:t>
            </w:r>
            <w:r w:rsidRPr="00D40F56">
              <w:rPr>
                <w:rFonts w:ascii="Lato Regular" w:hAnsi="Lato Regular"/>
                <w:sz w:val="16"/>
                <w:szCs w:val="16"/>
              </w:rPr>
              <w:fldChar w:fldCharType="begin"/>
            </w:r>
            <w:r w:rsidRPr="00D40F56">
              <w:rPr>
                <w:rFonts w:ascii="Lato Regular" w:hAnsi="Lato Regular"/>
                <w:sz w:val="16"/>
                <w:szCs w:val="16"/>
              </w:rPr>
              <w:instrText>PAGE</w:instrText>
            </w:r>
            <w:r w:rsidRPr="00D40F56">
              <w:rPr>
                <w:rFonts w:ascii="Lato Regular" w:hAnsi="Lato Regular"/>
                <w:sz w:val="16"/>
                <w:szCs w:val="16"/>
              </w:rPr>
              <w:fldChar w:fldCharType="separate"/>
            </w:r>
            <w:r w:rsidRPr="00D40F56">
              <w:rPr>
                <w:rFonts w:ascii="Lato Regular" w:hAnsi="Lato Regular"/>
                <w:sz w:val="16"/>
                <w:szCs w:val="16"/>
              </w:rPr>
              <w:t>2</w:t>
            </w:r>
            <w:r w:rsidRPr="00D40F56">
              <w:rPr>
                <w:rFonts w:ascii="Lato Regular" w:hAnsi="Lato Regular"/>
                <w:sz w:val="16"/>
                <w:szCs w:val="16"/>
              </w:rPr>
              <w:fldChar w:fldCharType="end"/>
            </w:r>
            <w:r w:rsidRPr="00D40F56">
              <w:rPr>
                <w:rFonts w:ascii="Lato Regular" w:hAnsi="Lato Regular"/>
                <w:sz w:val="16"/>
                <w:szCs w:val="16"/>
              </w:rPr>
              <w:t xml:space="preserve"> z </w:t>
            </w:r>
            <w:r w:rsidRPr="00D40F56">
              <w:rPr>
                <w:rFonts w:ascii="Lato Regular" w:hAnsi="Lato Regular"/>
                <w:sz w:val="16"/>
                <w:szCs w:val="16"/>
              </w:rPr>
              <w:fldChar w:fldCharType="begin"/>
            </w:r>
            <w:r w:rsidRPr="00D40F56">
              <w:rPr>
                <w:rFonts w:ascii="Lato Regular" w:hAnsi="Lato Regular"/>
                <w:sz w:val="16"/>
                <w:szCs w:val="16"/>
              </w:rPr>
              <w:instrText>NUMPAGES</w:instrText>
            </w:r>
            <w:r w:rsidRPr="00D40F56">
              <w:rPr>
                <w:rFonts w:ascii="Lato Regular" w:hAnsi="Lato Regular"/>
                <w:sz w:val="16"/>
                <w:szCs w:val="16"/>
              </w:rPr>
              <w:fldChar w:fldCharType="separate"/>
            </w:r>
            <w:r w:rsidRPr="00D40F56">
              <w:rPr>
                <w:rFonts w:ascii="Lato Regular" w:hAnsi="Lato Regular"/>
                <w:sz w:val="16"/>
                <w:szCs w:val="16"/>
              </w:rPr>
              <w:t>2</w:t>
            </w:r>
            <w:r w:rsidRPr="00D40F56">
              <w:rPr>
                <w:rFonts w:ascii="Lato Regular" w:hAnsi="Lato Regular"/>
                <w:sz w:val="16"/>
                <w:szCs w:val="16"/>
              </w:rPr>
              <w:fldChar w:fldCharType="end"/>
            </w:r>
          </w:p>
        </w:sdtContent>
      </w:sdt>
    </w:sdtContent>
  </w:sdt>
  <w:p w14:paraId="692ED8BA" w14:textId="77777777" w:rsidR="00D40F56" w:rsidRDefault="00D40F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248D5" w14:textId="77777777" w:rsidR="005E2050" w:rsidRDefault="005E2050" w:rsidP="00D40F56">
      <w:pPr>
        <w:spacing w:after="0" w:line="240" w:lineRule="auto"/>
      </w:pPr>
      <w:r>
        <w:separator/>
      </w:r>
    </w:p>
  </w:footnote>
  <w:footnote w:type="continuationSeparator" w:id="0">
    <w:p w14:paraId="2451E87A" w14:textId="77777777" w:rsidR="005E2050" w:rsidRDefault="005E2050" w:rsidP="00D40F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56"/>
    <w:rsid w:val="0029491F"/>
    <w:rsid w:val="002E3F99"/>
    <w:rsid w:val="00524475"/>
    <w:rsid w:val="005E2050"/>
    <w:rsid w:val="006F459C"/>
    <w:rsid w:val="00714B21"/>
    <w:rsid w:val="009F77BD"/>
    <w:rsid w:val="00CB6E51"/>
    <w:rsid w:val="00CC11D2"/>
    <w:rsid w:val="00D40F56"/>
    <w:rsid w:val="00DB5A83"/>
    <w:rsid w:val="00DF6553"/>
    <w:rsid w:val="00E732B9"/>
    <w:rsid w:val="00EA12FD"/>
    <w:rsid w:val="00F4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B4E39"/>
  <w15:chartTrackingRefBased/>
  <w15:docId w15:val="{C0A6ED3D-267F-4BE0-BBE6-C26F4D05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F5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40F5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0F5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0F5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0F5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0F5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0F5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0F5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0F5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0F5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0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0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0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0F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0F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0F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0F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0F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0F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0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0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0F5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0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0F5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0F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0F56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0F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0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0F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0F5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40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0F56"/>
  </w:style>
  <w:style w:type="paragraph" w:styleId="Stopka">
    <w:name w:val="footer"/>
    <w:basedOn w:val="Normalny"/>
    <w:link w:val="StopkaZnak"/>
    <w:uiPriority w:val="99"/>
    <w:unhideWhenUsed/>
    <w:rsid w:val="00D40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0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32DB0-8204-4718-8AA1-9663AF88B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1159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Ostrów Wlkp. - Lidia Prudlik</dc:creator>
  <cp:keywords/>
  <dc:description/>
  <cp:lastModifiedBy>PSSE Ostrów Wlkp. - Lidia Prudlik</cp:lastModifiedBy>
  <cp:revision>6</cp:revision>
  <cp:lastPrinted>2026-05-20T12:55:00Z</cp:lastPrinted>
  <dcterms:created xsi:type="dcterms:W3CDTF">2026-04-29T07:51:00Z</dcterms:created>
  <dcterms:modified xsi:type="dcterms:W3CDTF">2026-05-20T12:55:00Z</dcterms:modified>
</cp:coreProperties>
</file>