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C90" w:rsidRPr="003E0C90" w:rsidRDefault="003E0C90" w:rsidP="003E0C90">
      <w:pPr>
        <w:jc w:val="center"/>
        <w:rPr>
          <w:u w:val="single"/>
        </w:rPr>
      </w:pPr>
      <w:r w:rsidRPr="003E0C90">
        <w:rPr>
          <w:u w:val="single"/>
        </w:rPr>
        <w:t>BELEHRUNG ÜBER DIE RECHTE UND PFLICHTEN EINES GESCHÄDIGTEN IM STRAFRECHTLICHEN VERFAHREN</w:t>
      </w:r>
    </w:p>
    <w:p w:rsidR="003E0C90" w:rsidRPr="003E0C90" w:rsidRDefault="003E0C90" w:rsidP="003E0C90">
      <w:pPr>
        <w:rPr>
          <w:u w:val="single"/>
        </w:rPr>
      </w:pPr>
    </w:p>
    <w:p w:rsidR="003E0C90" w:rsidRPr="003E0C90" w:rsidRDefault="003E0C90" w:rsidP="003E0C90">
      <w:pPr>
        <w:spacing w:line="360" w:lineRule="auto"/>
        <w:ind w:firstLine="567"/>
        <w:jc w:val="both"/>
        <w:rPr>
          <w:sz w:val="20"/>
          <w:szCs w:val="20"/>
          <w:lang w:val="de-DE"/>
        </w:rPr>
      </w:pPr>
      <w:bookmarkStart w:id="0" w:name="_GoBack"/>
      <w:bookmarkEnd w:id="0"/>
      <w:r w:rsidRPr="003E0C90">
        <w:rPr>
          <w:sz w:val="20"/>
          <w:szCs w:val="20"/>
          <w:lang w:val="de-DE"/>
        </w:rPr>
        <w:t>Im Ermittlungsverfahren vor der Einreichung der Sache zum Gericht ist der Geschädigte die Prozesspartei (Artikel 299 Paragraph 1).</w:t>
      </w:r>
      <w:r w:rsidRPr="003E0C90">
        <w:rPr>
          <w:rStyle w:val="Odwoanieprzypisudolnego"/>
          <w:sz w:val="20"/>
          <w:szCs w:val="20"/>
          <w:lang w:val="de-DE"/>
        </w:rPr>
        <w:footnoteReference w:id="1"/>
      </w:r>
    </w:p>
    <w:p w:rsidR="003E0C90" w:rsidRPr="003E0C90" w:rsidRDefault="003E0C90" w:rsidP="003E0C90">
      <w:pPr>
        <w:spacing w:line="360" w:lineRule="auto"/>
        <w:ind w:firstLine="567"/>
        <w:jc w:val="both"/>
        <w:rPr>
          <w:sz w:val="20"/>
          <w:szCs w:val="20"/>
          <w:lang w:val="de-DE"/>
        </w:rPr>
      </w:pPr>
      <w:r w:rsidRPr="003E0C90">
        <w:rPr>
          <w:sz w:val="20"/>
          <w:szCs w:val="20"/>
          <w:lang w:val="de-DE"/>
        </w:rPr>
        <w:t xml:space="preserve">Im Gerichtsverfahren kann der Geschädigte als Nebenkläger tätig werden, falls er bis zum Beginn des Gerichtsverfahrens die Erklärung abgibt, dass er als Nebenkläger handeln will (Artikel 53 und Artikel 54 Paragraph 1). Falls Sie eine solche Erklärung nicht abgeben, können Sie die Rechte eines Nebenklägers im Gerichtsverfahren nicht in Anspruch nehmen. Die Erklärung können Sie schriftlich oder mündlich zu Protokoll abgeben. </w:t>
      </w:r>
    </w:p>
    <w:p w:rsidR="003E0C90" w:rsidRPr="003E0C90" w:rsidRDefault="003E0C90" w:rsidP="003E0C90">
      <w:pPr>
        <w:spacing w:line="360" w:lineRule="auto"/>
        <w:ind w:firstLine="567"/>
        <w:jc w:val="both"/>
        <w:rPr>
          <w:sz w:val="20"/>
          <w:szCs w:val="20"/>
          <w:lang w:val="de-DE"/>
        </w:rPr>
      </w:pPr>
      <w:r w:rsidRPr="003E0C90">
        <w:rPr>
          <w:sz w:val="20"/>
          <w:szCs w:val="20"/>
          <w:lang w:val="de-DE"/>
        </w:rPr>
        <w:t>Der Vertreter oder der Vormund eines minderjährigen Geschädigten oder einer voll oder zum Teil entmündigten Person können ihre Rechte ausüben (Artikel 51). Ist der Geschädigte verstorben, so können die Rechte, die ihm zustehen würden, von nächsten Angehörigen ausgeübt werden. (Artikel 52).</w:t>
      </w:r>
    </w:p>
    <w:p w:rsidR="003E0C90" w:rsidRPr="003E0C90" w:rsidRDefault="003E0C90" w:rsidP="003E0C90">
      <w:pPr>
        <w:spacing w:line="360" w:lineRule="auto"/>
        <w:ind w:firstLine="567"/>
        <w:jc w:val="both"/>
        <w:rPr>
          <w:sz w:val="20"/>
          <w:szCs w:val="20"/>
          <w:lang w:val="de-DE"/>
        </w:rPr>
      </w:pPr>
      <w:r w:rsidRPr="003E0C90">
        <w:rPr>
          <w:sz w:val="20"/>
          <w:szCs w:val="20"/>
          <w:lang w:val="de-DE"/>
        </w:rPr>
        <w:t>Sind Sie der Geschädigte oder üben Sie seine Rechte aus, stehen Ihnen die nachstehend ausgeführten Rechte zu:</w:t>
      </w:r>
    </w:p>
    <w:p w:rsidR="003E0C90" w:rsidRPr="003E0C90" w:rsidRDefault="003E0C90" w:rsidP="003E0C90">
      <w:pPr>
        <w:pStyle w:val="Akapitzlist"/>
        <w:widowControl/>
        <w:numPr>
          <w:ilvl w:val="3"/>
          <w:numId w:val="2"/>
        </w:numPr>
        <w:autoSpaceDE/>
        <w:autoSpaceDN/>
        <w:adjustRightInd/>
        <w:spacing w:after="200" w:line="360" w:lineRule="auto"/>
        <w:ind w:left="360"/>
        <w:contextualSpacing/>
        <w:jc w:val="both"/>
        <w:rPr>
          <w:b/>
          <w:bCs/>
          <w:sz w:val="20"/>
          <w:szCs w:val="20"/>
          <w:lang w:val="de-DE"/>
        </w:rPr>
      </w:pPr>
      <w:r w:rsidRPr="003E0C90">
        <w:rPr>
          <w:b/>
          <w:bCs/>
          <w:sz w:val="20"/>
          <w:szCs w:val="20"/>
          <w:lang w:val="de-DE"/>
        </w:rPr>
        <w:t>Rechtshilfe</w:t>
      </w:r>
    </w:p>
    <w:p w:rsidR="003E0C90" w:rsidRPr="003E0C90" w:rsidRDefault="003E0C90" w:rsidP="003E0C90">
      <w:pPr>
        <w:pStyle w:val="Akapitzlist"/>
        <w:widowControl/>
        <w:numPr>
          <w:ilvl w:val="0"/>
          <w:numId w:val="3"/>
        </w:numPr>
        <w:autoSpaceDE/>
        <w:autoSpaceDN/>
        <w:adjustRightInd/>
        <w:spacing w:after="200" w:line="360" w:lineRule="auto"/>
        <w:contextualSpacing/>
        <w:jc w:val="both"/>
        <w:rPr>
          <w:sz w:val="20"/>
          <w:szCs w:val="20"/>
          <w:lang w:val="de-DE"/>
        </w:rPr>
      </w:pPr>
      <w:r w:rsidRPr="003E0C90">
        <w:rPr>
          <w:sz w:val="20"/>
          <w:szCs w:val="20"/>
          <w:lang w:val="de-DE"/>
        </w:rPr>
        <w:t>Sie können die Zuteilung eines Pflichtbevollmächtigen verlangen, wenn Sie in ausreichender Weise nachweisen, dass Sie nicht im Stande ist, die Kosten eines Bevollmächtigten zu tragen. Als Bevollmächtigte kann ein Rechtsanwalt oder Rechtsbeistand bestellt werden. Sie dürfen gleichzeitig nicht mehr als drei Verteidiger Ihrer Wahl haben (Artikel 77, Artikel 87 Paragraph 1 und Paragraph 2, Artikel 88).</w:t>
      </w:r>
    </w:p>
    <w:p w:rsidR="003E0C90" w:rsidRPr="003E0C90" w:rsidRDefault="003E0C90" w:rsidP="003E0C90">
      <w:pPr>
        <w:pStyle w:val="Akapitzlist"/>
        <w:widowControl/>
        <w:numPr>
          <w:ilvl w:val="0"/>
          <w:numId w:val="3"/>
        </w:numPr>
        <w:autoSpaceDE/>
        <w:autoSpaceDN/>
        <w:adjustRightInd/>
        <w:spacing w:after="200" w:line="360" w:lineRule="auto"/>
        <w:contextualSpacing/>
        <w:jc w:val="both"/>
        <w:rPr>
          <w:b/>
          <w:bCs/>
          <w:sz w:val="20"/>
          <w:szCs w:val="20"/>
          <w:lang w:val="de-DE"/>
        </w:rPr>
      </w:pPr>
      <w:r w:rsidRPr="003E0C90">
        <w:rPr>
          <w:sz w:val="20"/>
          <w:szCs w:val="20"/>
          <w:lang w:val="de-DE"/>
        </w:rPr>
        <w:t xml:space="preserve">Weisen Sie in ausreichender Weise nach, dass Sie nicht im Stande ist, die Kosten eines Bevollmächtigten zu tragen, kann das Gericht einen Bevollmächtigten von Amts wegen auch zur Führung einer bestimmten Prozesshandlung bestellen (Artikel 78 und Artikel 88). Den Antrag können Sie durch Vermittlung des Staatsanwaltes stellen, der es an das Gericht richten wird (Artikel 116 und Artikel 118 Paragraph 3). </w:t>
      </w:r>
    </w:p>
    <w:p w:rsidR="003E0C90" w:rsidRPr="003E0C90" w:rsidRDefault="003E0C90" w:rsidP="003E0C90">
      <w:pPr>
        <w:pStyle w:val="Akapitzlist"/>
        <w:widowControl/>
        <w:numPr>
          <w:ilvl w:val="3"/>
          <w:numId w:val="2"/>
        </w:numPr>
        <w:autoSpaceDE/>
        <w:autoSpaceDN/>
        <w:adjustRightInd/>
        <w:spacing w:after="200" w:line="360" w:lineRule="auto"/>
        <w:ind w:left="360"/>
        <w:contextualSpacing/>
        <w:jc w:val="both"/>
        <w:rPr>
          <w:b/>
          <w:bCs/>
          <w:sz w:val="20"/>
          <w:szCs w:val="20"/>
          <w:lang w:val="de-DE"/>
        </w:rPr>
      </w:pPr>
      <w:r w:rsidRPr="003E0C90">
        <w:rPr>
          <w:b/>
          <w:bCs/>
          <w:sz w:val="20"/>
          <w:szCs w:val="20"/>
          <w:lang w:val="de-DE"/>
        </w:rPr>
        <w:t>Hilfe eines Dolmetschers oder Übersetzers</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 xml:space="preserve">Sie haben das Recht, die unentgeltliche Hilfe eines Dolmetschers oder Übersetzers bei der Vernehmung oder bei der Kenntnisnahme mit dem Inhalt des Beweises in Anspruch zu nehmen, wenn Sie die polnische Sprache nicht beherrschen und auch wenn Sie taub oder stumm sind (Artikel 204 Paragraph 1 und Paragraph 2). </w:t>
      </w:r>
    </w:p>
    <w:p w:rsidR="003E0C90" w:rsidRPr="003E0C90" w:rsidRDefault="003E0C90" w:rsidP="003E0C90">
      <w:pPr>
        <w:pStyle w:val="Akapitzlist"/>
        <w:widowControl/>
        <w:numPr>
          <w:ilvl w:val="3"/>
          <w:numId w:val="2"/>
        </w:numPr>
        <w:autoSpaceDE/>
        <w:autoSpaceDN/>
        <w:adjustRightInd/>
        <w:spacing w:after="200" w:line="360" w:lineRule="auto"/>
        <w:ind w:left="284" w:hanging="284"/>
        <w:contextualSpacing/>
        <w:jc w:val="both"/>
        <w:rPr>
          <w:b/>
          <w:bCs/>
          <w:sz w:val="20"/>
          <w:szCs w:val="20"/>
          <w:lang w:val="de-DE"/>
        </w:rPr>
      </w:pPr>
      <w:r w:rsidRPr="003E0C90">
        <w:rPr>
          <w:b/>
          <w:bCs/>
          <w:sz w:val="20"/>
          <w:szCs w:val="20"/>
          <w:lang w:val="de-DE"/>
        </w:rPr>
        <w:t>Zugang zu den Akten</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Sie haben das Recht, die Akteneinsicht vorzunehmen, die Abschriften oder Ablichtungen auch nach der Beendigung des Ermittlungsverfahrens anzufertigen. Die Akteneinsicht kann Ihnen verweigert werden, wenn es dem Schutz der Interessen des Staates oder dem Wohl des Verfahrens entgegensteht. Bei der Verweigerung, wenn Sie den Antrag stellen, wird Ihnen der spätere Zeitpunkt zum Zugang zu den Ermittlungsakten mitgeteilt. Die Akten können Ihnen in elektronischer Form zugänglich gemacht. Der Staatsanwalt kann Ihnen den Zugang zu den Akten verweigern, wenn die endgültige Frist der Kenntnisnahme mit den Unterlagen der Sache durch den Beschuldigten festgesetzt wurde (Artikel 156).</w:t>
      </w:r>
    </w:p>
    <w:p w:rsidR="003E0C90" w:rsidRPr="003E0C90" w:rsidRDefault="003E0C90" w:rsidP="003E0C90">
      <w:pPr>
        <w:pStyle w:val="Akapitzlist"/>
        <w:widowControl/>
        <w:numPr>
          <w:ilvl w:val="3"/>
          <w:numId w:val="2"/>
        </w:numPr>
        <w:autoSpaceDE/>
        <w:autoSpaceDN/>
        <w:adjustRightInd/>
        <w:spacing w:after="200" w:line="360" w:lineRule="auto"/>
        <w:ind w:left="720"/>
        <w:contextualSpacing/>
        <w:jc w:val="both"/>
        <w:rPr>
          <w:b/>
          <w:bCs/>
          <w:sz w:val="20"/>
          <w:szCs w:val="20"/>
          <w:lang w:val="de-DE"/>
        </w:rPr>
      </w:pPr>
      <w:r w:rsidRPr="003E0C90">
        <w:rPr>
          <w:b/>
          <w:bCs/>
          <w:sz w:val="20"/>
          <w:szCs w:val="20"/>
          <w:lang w:val="de-DE"/>
        </w:rPr>
        <w:lastRenderedPageBreak/>
        <w:t>Entschuldigung der Abwesenheit</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 xml:space="preserve">Wurden Sie zum persönlichen Erscheinen geladen, bedarf die Entschuldigung Ihrer Abwesenheit wegen Krankheit der Vorlage eines ärztlichen Attests, das von einem dazu befugten Amtsarzt ausgestellt wurde. </w:t>
      </w:r>
      <w:bookmarkStart w:id="1" w:name="_Hlk55748514"/>
      <w:r w:rsidRPr="003E0C90">
        <w:rPr>
          <w:sz w:val="20"/>
          <w:szCs w:val="20"/>
          <w:lang w:val="de-DE"/>
        </w:rPr>
        <w:t xml:space="preserve">Ein anderes Attest bzw. eine andere Krankschreibung ist nicht ausreichend </w:t>
      </w:r>
      <w:bookmarkEnd w:id="1"/>
      <w:r w:rsidRPr="003E0C90">
        <w:rPr>
          <w:sz w:val="20"/>
          <w:szCs w:val="20"/>
          <w:lang w:val="de-DE"/>
        </w:rPr>
        <w:t>(Artikel 117 Paragraph 2a).</w:t>
      </w:r>
    </w:p>
    <w:p w:rsidR="003E0C90" w:rsidRPr="003E0C90" w:rsidRDefault="003E0C90" w:rsidP="003E0C90">
      <w:pPr>
        <w:pStyle w:val="Akapitzlist"/>
        <w:widowControl/>
        <w:numPr>
          <w:ilvl w:val="3"/>
          <w:numId w:val="2"/>
        </w:numPr>
        <w:autoSpaceDE/>
        <w:autoSpaceDN/>
        <w:adjustRightInd/>
        <w:spacing w:after="200" w:line="360" w:lineRule="auto"/>
        <w:ind w:left="720"/>
        <w:contextualSpacing/>
        <w:jc w:val="both"/>
        <w:rPr>
          <w:b/>
          <w:bCs/>
          <w:sz w:val="20"/>
          <w:szCs w:val="20"/>
          <w:lang w:val="de-DE"/>
        </w:rPr>
      </w:pPr>
      <w:r w:rsidRPr="003E0C90">
        <w:rPr>
          <w:b/>
          <w:bCs/>
          <w:sz w:val="20"/>
          <w:szCs w:val="20"/>
          <w:lang w:val="de-DE"/>
        </w:rPr>
        <w:t>Mediationsverfahren</w:t>
      </w:r>
    </w:p>
    <w:p w:rsidR="003E0C90" w:rsidRPr="003E0C90" w:rsidRDefault="003E0C90" w:rsidP="003E0C90">
      <w:pPr>
        <w:pStyle w:val="Akapitzlist"/>
        <w:widowControl/>
        <w:numPr>
          <w:ilvl w:val="0"/>
          <w:numId w:val="4"/>
        </w:numPr>
        <w:autoSpaceDE/>
        <w:autoSpaceDN/>
        <w:adjustRightInd/>
        <w:spacing w:after="200" w:line="360" w:lineRule="auto"/>
        <w:contextualSpacing/>
        <w:jc w:val="both"/>
        <w:rPr>
          <w:sz w:val="20"/>
          <w:szCs w:val="20"/>
          <w:lang w:val="de-DE"/>
        </w:rPr>
      </w:pPr>
      <w:r w:rsidRPr="003E0C90">
        <w:rPr>
          <w:sz w:val="20"/>
          <w:szCs w:val="20"/>
          <w:lang w:val="de-DE"/>
        </w:rPr>
        <w:t>Sie können beantragen, die Strafsache zum Mediationsverfahren mit dem Zweck weiterzuleiten, ein Mediationsverfahren zwischen Ihnen und dem Beschuldigten durchzuführen und eventuell die Schadenwiedergutmachung abzustimmen (Artikel 23a Paragraph 1). Die Teilnahme an dem Mediationsverfahren ist freiwillig.</w:t>
      </w:r>
    </w:p>
    <w:p w:rsidR="003E0C90" w:rsidRPr="003E0C90" w:rsidRDefault="003E0C90" w:rsidP="003E0C90">
      <w:pPr>
        <w:pStyle w:val="Akapitzlist"/>
        <w:widowControl/>
        <w:numPr>
          <w:ilvl w:val="0"/>
          <w:numId w:val="4"/>
        </w:numPr>
        <w:autoSpaceDE/>
        <w:autoSpaceDN/>
        <w:adjustRightInd/>
        <w:spacing w:after="200" w:line="360" w:lineRule="auto"/>
        <w:contextualSpacing/>
        <w:jc w:val="both"/>
        <w:rPr>
          <w:sz w:val="20"/>
          <w:szCs w:val="20"/>
          <w:lang w:val="de-DE"/>
        </w:rPr>
      </w:pPr>
      <w:r w:rsidRPr="003E0C90">
        <w:rPr>
          <w:sz w:val="20"/>
          <w:szCs w:val="20"/>
          <w:lang w:val="de-DE"/>
        </w:rPr>
        <w:t xml:space="preserve">Das Mediationsverfahren wird von einem Mediator geführt, der verpflichtet ist, den Verlauf des Mediationsverfahrens geheim zu halten (Artikel 178a). </w:t>
      </w:r>
    </w:p>
    <w:p w:rsidR="003E0C90" w:rsidRPr="003E0C90" w:rsidRDefault="003E0C90" w:rsidP="003E0C90">
      <w:pPr>
        <w:pStyle w:val="Akapitzlist"/>
        <w:widowControl/>
        <w:numPr>
          <w:ilvl w:val="3"/>
          <w:numId w:val="2"/>
        </w:numPr>
        <w:autoSpaceDE/>
        <w:autoSpaceDN/>
        <w:adjustRightInd/>
        <w:spacing w:after="200" w:line="360" w:lineRule="auto"/>
        <w:ind w:left="720"/>
        <w:contextualSpacing/>
        <w:jc w:val="both"/>
        <w:rPr>
          <w:b/>
          <w:bCs/>
          <w:sz w:val="20"/>
          <w:szCs w:val="20"/>
          <w:lang w:val="de-DE"/>
        </w:rPr>
      </w:pPr>
      <w:r w:rsidRPr="003E0C90">
        <w:rPr>
          <w:b/>
          <w:bCs/>
          <w:sz w:val="20"/>
          <w:szCs w:val="20"/>
          <w:lang w:val="de-DE"/>
        </w:rPr>
        <w:t>Schadenersatz</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Sie können den Antrag auf die Verpflichtung zur Wiedergutmachung des durch die Tat verursachten Schadens oder Genugtuung für das erlittene Leid bis zum Abschluss der Gerichtsverhandlung stellen (Artikel 49a). Den Antrag können Sie schriftlich oder mündlich zu Protokoll stellen.</w:t>
      </w:r>
    </w:p>
    <w:p w:rsidR="003E0C90" w:rsidRPr="003E0C90" w:rsidRDefault="003E0C90" w:rsidP="003E0C90">
      <w:pPr>
        <w:pStyle w:val="Akapitzlist"/>
        <w:widowControl/>
        <w:numPr>
          <w:ilvl w:val="3"/>
          <w:numId w:val="2"/>
        </w:numPr>
        <w:autoSpaceDE/>
        <w:autoSpaceDN/>
        <w:adjustRightInd/>
        <w:spacing w:after="200" w:line="360" w:lineRule="auto"/>
        <w:ind w:left="720"/>
        <w:contextualSpacing/>
        <w:jc w:val="both"/>
        <w:rPr>
          <w:b/>
          <w:bCs/>
          <w:sz w:val="20"/>
          <w:szCs w:val="20"/>
          <w:lang w:val="de-DE"/>
        </w:rPr>
      </w:pPr>
      <w:r w:rsidRPr="003E0C90">
        <w:rPr>
          <w:b/>
          <w:bCs/>
          <w:sz w:val="20"/>
          <w:szCs w:val="20"/>
          <w:lang w:val="de-DE"/>
        </w:rPr>
        <w:t>Recht auf die Unterrichtung</w:t>
      </w:r>
    </w:p>
    <w:p w:rsidR="003E0C90" w:rsidRPr="003E0C90" w:rsidRDefault="003E0C90" w:rsidP="003E0C90">
      <w:pPr>
        <w:pStyle w:val="Akapitzlist"/>
        <w:widowControl/>
        <w:numPr>
          <w:ilvl w:val="0"/>
          <w:numId w:val="5"/>
        </w:numPr>
        <w:autoSpaceDE/>
        <w:autoSpaceDN/>
        <w:adjustRightInd/>
        <w:spacing w:after="200" w:line="360" w:lineRule="auto"/>
        <w:contextualSpacing/>
        <w:jc w:val="both"/>
        <w:rPr>
          <w:b/>
          <w:bCs/>
          <w:sz w:val="20"/>
          <w:szCs w:val="20"/>
          <w:lang w:val="de-DE"/>
        </w:rPr>
      </w:pPr>
      <w:r w:rsidRPr="003E0C90">
        <w:rPr>
          <w:sz w:val="20"/>
          <w:szCs w:val="20"/>
          <w:lang w:val="de-DE"/>
        </w:rPr>
        <w:t>Sie haben das Recht auf die Unterrichtung über die Aufhebung der gegen den Beschuldigten angeordneten Untersuchungshaft bzw. über seine Flucht aus der Untersuchungshaft, es sei denn Sie auf dieses Recht verzichten (Artikel 253 Paragraph 3).</w:t>
      </w:r>
    </w:p>
    <w:p w:rsidR="003E0C90" w:rsidRPr="003E0C90" w:rsidRDefault="003E0C90" w:rsidP="003E0C90">
      <w:pPr>
        <w:pStyle w:val="Akapitzlist"/>
        <w:widowControl/>
        <w:numPr>
          <w:ilvl w:val="0"/>
          <w:numId w:val="5"/>
        </w:numPr>
        <w:autoSpaceDE/>
        <w:autoSpaceDN/>
        <w:adjustRightInd/>
        <w:spacing w:after="200" w:line="360" w:lineRule="auto"/>
        <w:contextualSpacing/>
        <w:jc w:val="both"/>
        <w:rPr>
          <w:sz w:val="20"/>
          <w:szCs w:val="20"/>
          <w:lang w:val="de-DE"/>
        </w:rPr>
      </w:pPr>
      <w:r w:rsidRPr="003E0C90">
        <w:rPr>
          <w:sz w:val="20"/>
          <w:szCs w:val="20"/>
          <w:lang w:val="de-DE"/>
        </w:rPr>
        <w:t xml:space="preserve">Sie können einen Antrag beim Gericht auf Erhalt von Informationen über die Vorwürfe gegen den Angeklagten und ihre rechtliche Bedeutung stellen. Wurden die Anträge von mehreren Geschädigten vorgelegt, so wird eine Anzeige unter Angabe von Tatvorwürfen und ihrer rechtlichen Bedeutung auf der Internetseite des Gerichts veröffentlicht (Artikel 337a).  </w:t>
      </w:r>
    </w:p>
    <w:p w:rsidR="003E0C90" w:rsidRPr="003E0C90" w:rsidRDefault="003E0C90" w:rsidP="003E0C90">
      <w:pPr>
        <w:pStyle w:val="Akapitzlist"/>
        <w:widowControl/>
        <w:numPr>
          <w:ilvl w:val="0"/>
          <w:numId w:val="5"/>
        </w:numPr>
        <w:autoSpaceDE/>
        <w:autoSpaceDN/>
        <w:adjustRightInd/>
        <w:spacing w:after="200" w:line="360" w:lineRule="auto"/>
        <w:contextualSpacing/>
        <w:jc w:val="both"/>
        <w:rPr>
          <w:sz w:val="20"/>
          <w:szCs w:val="20"/>
          <w:lang w:val="de-DE"/>
        </w:rPr>
      </w:pPr>
      <w:r w:rsidRPr="003E0C90">
        <w:rPr>
          <w:sz w:val="20"/>
          <w:szCs w:val="20"/>
          <w:lang w:val="de-DE"/>
        </w:rPr>
        <w:t>Sie werden über Termin und Ort der Hauptverhandlung unterrichtet (Artikel 350 Paragraph 4).</w:t>
      </w:r>
    </w:p>
    <w:p w:rsidR="003E0C90" w:rsidRPr="003E0C90" w:rsidRDefault="003E0C90" w:rsidP="003E0C90">
      <w:pPr>
        <w:pStyle w:val="Akapitzlist"/>
        <w:widowControl/>
        <w:numPr>
          <w:ilvl w:val="0"/>
          <w:numId w:val="5"/>
        </w:numPr>
        <w:autoSpaceDE/>
        <w:autoSpaceDN/>
        <w:adjustRightInd/>
        <w:spacing w:after="200" w:line="360" w:lineRule="auto"/>
        <w:contextualSpacing/>
        <w:jc w:val="both"/>
        <w:rPr>
          <w:sz w:val="20"/>
          <w:szCs w:val="20"/>
          <w:lang w:val="de-DE"/>
        </w:rPr>
      </w:pPr>
      <w:r w:rsidRPr="003E0C90">
        <w:rPr>
          <w:sz w:val="20"/>
          <w:szCs w:val="20"/>
          <w:lang w:val="de-DE"/>
        </w:rPr>
        <w:t xml:space="preserve">Sie werden über den Tag und Ort der Hauptverhandlung oder Gerichtssitzung, während deren das Verfahren eingestellt, bedingt eingestellt werden kann oder der Angeklagte ohne Durchführung der Hauptverhandlung verurteilt werden kann, unterrichtet (Artikel 339, Artikel 341 und Artikel 343). </w:t>
      </w:r>
    </w:p>
    <w:p w:rsidR="003E0C90" w:rsidRPr="003E0C90" w:rsidRDefault="003E0C90" w:rsidP="003E0C90">
      <w:pPr>
        <w:pStyle w:val="Akapitzlist"/>
        <w:widowControl/>
        <w:numPr>
          <w:ilvl w:val="0"/>
          <w:numId w:val="5"/>
        </w:numPr>
        <w:autoSpaceDE/>
        <w:autoSpaceDN/>
        <w:adjustRightInd/>
        <w:spacing w:after="200" w:line="360" w:lineRule="auto"/>
        <w:contextualSpacing/>
        <w:jc w:val="both"/>
        <w:rPr>
          <w:sz w:val="20"/>
          <w:szCs w:val="20"/>
          <w:lang w:val="de-DE"/>
        </w:rPr>
      </w:pPr>
      <w:r w:rsidRPr="003E0C90">
        <w:rPr>
          <w:sz w:val="20"/>
          <w:szCs w:val="20"/>
          <w:lang w:val="de-DE"/>
        </w:rPr>
        <w:t xml:space="preserve">Im Ermittlungsverfahren können Sie den Antrag auf die Unterrichtung über die Beendigung der Sache von dem Gericht per einfachem Schreiben, per Telefax oder E-Mail vorlegen. Sie erhalten dann eine Abschrift der rechtskräftigen Entscheidung in der Sache oder ihren Auszug, die Ihnen elektronisch übermittelt werden können (Art. 299a Paragraph 2). </w:t>
      </w:r>
    </w:p>
    <w:p w:rsidR="003E0C90" w:rsidRPr="003E0C90" w:rsidRDefault="003E0C90" w:rsidP="003E0C90">
      <w:pPr>
        <w:pStyle w:val="Akapitzlist"/>
        <w:widowControl/>
        <w:numPr>
          <w:ilvl w:val="3"/>
          <w:numId w:val="2"/>
        </w:numPr>
        <w:autoSpaceDE/>
        <w:autoSpaceDN/>
        <w:adjustRightInd/>
        <w:spacing w:after="200" w:line="360" w:lineRule="auto"/>
        <w:ind w:left="360"/>
        <w:contextualSpacing/>
        <w:jc w:val="both"/>
        <w:rPr>
          <w:b/>
          <w:bCs/>
          <w:sz w:val="20"/>
          <w:szCs w:val="20"/>
          <w:lang w:val="de-DE"/>
        </w:rPr>
      </w:pPr>
      <w:r w:rsidRPr="003E0C90">
        <w:rPr>
          <w:b/>
          <w:bCs/>
          <w:sz w:val="20"/>
          <w:szCs w:val="20"/>
          <w:lang w:val="de-DE"/>
        </w:rPr>
        <w:t>Staatliche Abfindung</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 xml:space="preserve">Sind Sie ein polnischer Staatsangehöriger oder ein Staatsangehöriger eines anderen Mitgliedstaates der Europäischen Union, so können Sie sich um die staatliche Abfindung zu den im Gesetz vom 7. Juli 2005 über die staatliche, den Opfern mancher Straftaten zustehende Abfindung bemühen (Gesetzblatt vom 2016, Position 325). Der Antrag umfasst den entgangenen Gewinn oder andere Unterhaltskosten, die Kosten der ärztlichen Behandlung und Rehabilitation sowie die Bestattungskosten, sofern sie die Folge der verbotenen Tat sind. Den Antrag können Sie nur dann stellen, wenn Sie die Mittel von dem Täter, aufgrund der Versicherung oder aus der Sozialhilfe nicht bekommen können. </w:t>
      </w:r>
    </w:p>
    <w:p w:rsidR="003E0C90" w:rsidRPr="003E0C90" w:rsidRDefault="003E0C90" w:rsidP="003E0C90">
      <w:pPr>
        <w:pStyle w:val="Akapitzlist"/>
        <w:widowControl/>
        <w:numPr>
          <w:ilvl w:val="3"/>
          <w:numId w:val="2"/>
        </w:numPr>
        <w:autoSpaceDE/>
        <w:autoSpaceDN/>
        <w:adjustRightInd/>
        <w:spacing w:after="200" w:line="360" w:lineRule="auto"/>
        <w:ind w:left="360"/>
        <w:contextualSpacing/>
        <w:jc w:val="both"/>
        <w:rPr>
          <w:b/>
          <w:sz w:val="20"/>
          <w:szCs w:val="20"/>
          <w:lang w:val="de-DE"/>
        </w:rPr>
      </w:pPr>
      <w:r w:rsidRPr="003E0C90">
        <w:rPr>
          <w:b/>
          <w:sz w:val="20"/>
          <w:szCs w:val="20"/>
          <w:lang w:val="de-DE"/>
        </w:rPr>
        <w:lastRenderedPageBreak/>
        <w:t>Anonymisierung der Personendaten</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 xml:space="preserve">Ihre Wohnanschrift und Arbeitsanschrift werden in Akten der Sache nicht offengelegt. Sie werden in einer getrennten Anlage angegeben und dienen ausschließlich der Information des Organs, das das Verfahren führt. Sie dürfen nur in Ausnamefällen offengelegt werden (Artikel 148a und Artikel 156a). </w:t>
      </w:r>
    </w:p>
    <w:p w:rsidR="003E0C90" w:rsidRPr="003E0C90" w:rsidRDefault="003E0C90" w:rsidP="003E0C90">
      <w:pPr>
        <w:pStyle w:val="Akapitzlist"/>
        <w:widowControl/>
        <w:numPr>
          <w:ilvl w:val="3"/>
          <w:numId w:val="2"/>
        </w:numPr>
        <w:autoSpaceDE/>
        <w:autoSpaceDN/>
        <w:adjustRightInd/>
        <w:spacing w:after="200" w:line="360" w:lineRule="auto"/>
        <w:ind w:left="360"/>
        <w:contextualSpacing/>
        <w:jc w:val="both"/>
        <w:rPr>
          <w:b/>
          <w:bCs/>
          <w:sz w:val="20"/>
          <w:szCs w:val="20"/>
          <w:lang w:val="de-DE"/>
        </w:rPr>
      </w:pPr>
      <w:r w:rsidRPr="003E0C90">
        <w:rPr>
          <w:b/>
          <w:bCs/>
          <w:sz w:val="20"/>
          <w:szCs w:val="20"/>
          <w:lang w:val="de-DE"/>
        </w:rPr>
        <w:t>Schutz, Hilfe und Unterstützung</w:t>
      </w:r>
    </w:p>
    <w:p w:rsidR="003E0C90" w:rsidRPr="003E0C90" w:rsidRDefault="003E0C90" w:rsidP="003E0C90">
      <w:pPr>
        <w:pStyle w:val="Akapitzlist"/>
        <w:widowControl/>
        <w:numPr>
          <w:ilvl w:val="0"/>
          <w:numId w:val="6"/>
        </w:numPr>
        <w:autoSpaceDE/>
        <w:autoSpaceDN/>
        <w:adjustRightInd/>
        <w:spacing w:after="200" w:line="360" w:lineRule="auto"/>
        <w:contextualSpacing/>
        <w:jc w:val="both"/>
        <w:rPr>
          <w:b/>
          <w:bCs/>
          <w:sz w:val="20"/>
          <w:szCs w:val="20"/>
          <w:lang w:val="de-DE"/>
        </w:rPr>
      </w:pPr>
      <w:r w:rsidRPr="003E0C90">
        <w:rPr>
          <w:sz w:val="20"/>
          <w:szCs w:val="20"/>
          <w:lang w:val="de-DE"/>
        </w:rPr>
        <w:t>Bei der Gefährdung Ihres Lebens und Ihrer Gesundheit oder Ihrer nächsten Angehörigen können Sie den Schutz der Polizei für die Zeit der Prozesshandlung erhalten, ist der Gefährdungsgrad hoch, können Sie den persönlichen Schutz oder den Schutz beim Wechsel des Aufenthaltsortes erhalten. Der Antrag auf die Schutzgewährung ist an den Polizeipräsidenten der Woiwodschaft durch Vermittlung des das Verfahren führenden Organs oder des Gerichts zu stellen (Artikel 1 – 17 des Gesetzes über den Schutz und die Hilfe für Geschädigten und Zeugen vom 28. November 2014, (Gesetzblatt vom 2015 Position 21)).</w:t>
      </w:r>
    </w:p>
    <w:p w:rsidR="003E0C90" w:rsidRPr="003E0C90" w:rsidRDefault="003E0C90" w:rsidP="003E0C90">
      <w:pPr>
        <w:pStyle w:val="Akapitzlist"/>
        <w:widowControl/>
        <w:numPr>
          <w:ilvl w:val="0"/>
          <w:numId w:val="6"/>
        </w:numPr>
        <w:autoSpaceDE/>
        <w:autoSpaceDN/>
        <w:adjustRightInd/>
        <w:spacing w:after="200" w:line="360" w:lineRule="auto"/>
        <w:contextualSpacing/>
        <w:jc w:val="both"/>
        <w:rPr>
          <w:sz w:val="20"/>
          <w:szCs w:val="20"/>
          <w:lang w:val="de-DE"/>
        </w:rPr>
      </w:pPr>
      <w:r w:rsidRPr="003E0C90">
        <w:rPr>
          <w:sz w:val="20"/>
          <w:szCs w:val="20"/>
          <w:lang w:val="de-DE"/>
        </w:rPr>
        <w:t xml:space="preserve">Es kann Ihnen medizinische, psychologische Hilfe, Rehabilitationshilfe, Rechtshilfe bei der Hilfestelle für die Geschädigten durch die Straftaten erteilt werden (Artikel 43 Paragraph 8 Ziff. 1 des Gesetzes vom 6. Juni 1997 – Ausführungsstrafgesetzbuch, (Gesetzblatt v. 2020, Pos. 523 und 568). Dieses Recht steht auch Ihren nächsten Angehörigen zu. Die detaillierten Informationen finden Sie auf dem Website </w:t>
      </w:r>
      <w:hyperlink r:id="rId7" w:history="1">
        <w:r w:rsidRPr="003E0C90">
          <w:rPr>
            <w:rStyle w:val="Hipercze"/>
            <w:color w:val="auto"/>
            <w:sz w:val="20"/>
            <w:szCs w:val="20"/>
            <w:lang w:val="de-DE"/>
          </w:rPr>
          <w:t>https://www.funduszsprawiedliwosci.gov.pl</w:t>
        </w:r>
      </w:hyperlink>
      <w:r w:rsidRPr="003E0C90">
        <w:rPr>
          <w:sz w:val="20"/>
          <w:szCs w:val="20"/>
          <w:lang w:val="de-DE"/>
        </w:rPr>
        <w:t xml:space="preserve"> oder unter Telefonnummer: +48 222 309 900.</w:t>
      </w:r>
    </w:p>
    <w:p w:rsidR="003E0C90" w:rsidRPr="003E0C90" w:rsidRDefault="003E0C90" w:rsidP="003E0C90">
      <w:pPr>
        <w:pStyle w:val="Akapitzlist"/>
        <w:widowControl/>
        <w:numPr>
          <w:ilvl w:val="0"/>
          <w:numId w:val="6"/>
        </w:numPr>
        <w:autoSpaceDE/>
        <w:autoSpaceDN/>
        <w:adjustRightInd/>
        <w:spacing w:after="200" w:line="360" w:lineRule="auto"/>
        <w:contextualSpacing/>
        <w:jc w:val="both"/>
        <w:rPr>
          <w:sz w:val="20"/>
          <w:szCs w:val="20"/>
          <w:lang w:val="de-DE"/>
        </w:rPr>
      </w:pPr>
      <w:r w:rsidRPr="003E0C90">
        <w:rPr>
          <w:sz w:val="20"/>
          <w:szCs w:val="20"/>
          <w:lang w:val="de-DE"/>
        </w:rPr>
        <w:t>Sie können eine Person nennen, die bei Handlungen im Ermittlungsverfahren, die unter Ihrer Anwesenheit durchgeführt werden, anwesend sein wird, wenn dies die Durchführung der Handlungen nicht unmöglich macht oder diese nicht wesentlich erschwert (Artikel 299a Paragraph 1).</w:t>
      </w:r>
    </w:p>
    <w:p w:rsidR="003E0C90" w:rsidRPr="003E0C90" w:rsidRDefault="003E0C90" w:rsidP="003E0C90">
      <w:pPr>
        <w:pStyle w:val="Akapitzlist"/>
        <w:widowControl/>
        <w:numPr>
          <w:ilvl w:val="0"/>
          <w:numId w:val="6"/>
        </w:numPr>
        <w:autoSpaceDE/>
        <w:autoSpaceDN/>
        <w:adjustRightInd/>
        <w:spacing w:after="200" w:line="360" w:lineRule="auto"/>
        <w:contextualSpacing/>
        <w:jc w:val="both"/>
        <w:rPr>
          <w:sz w:val="20"/>
          <w:szCs w:val="20"/>
          <w:lang w:val="de-DE"/>
        </w:rPr>
      </w:pPr>
      <w:r w:rsidRPr="003E0C90">
        <w:rPr>
          <w:sz w:val="20"/>
          <w:szCs w:val="20"/>
          <w:lang w:val="de-DE"/>
        </w:rPr>
        <w:t>Sie können den Antrag auf die Ausführung des Verbots für den Täter stellen, sich Ihnen anzunähern oder sich mit Ihnen in Kontakt zu setzen, so kann dieses Verbot auch in einem anderen Mitgliedstaats der Europäischen Union aufgrund eines europäischen Schutzbefehls ausgeführt werden (Artikel 611w – 611wc).</w:t>
      </w:r>
    </w:p>
    <w:p w:rsidR="003E0C90" w:rsidRPr="003E0C90" w:rsidRDefault="003E0C90" w:rsidP="003E0C90">
      <w:pPr>
        <w:pStyle w:val="Akapitzlist"/>
        <w:widowControl/>
        <w:numPr>
          <w:ilvl w:val="3"/>
          <w:numId w:val="2"/>
        </w:numPr>
        <w:autoSpaceDE/>
        <w:autoSpaceDN/>
        <w:adjustRightInd/>
        <w:spacing w:after="200" w:line="360" w:lineRule="auto"/>
        <w:ind w:left="720"/>
        <w:contextualSpacing/>
        <w:jc w:val="both"/>
        <w:rPr>
          <w:b/>
          <w:bCs/>
          <w:sz w:val="20"/>
          <w:szCs w:val="20"/>
          <w:lang w:val="de-DE"/>
        </w:rPr>
      </w:pPr>
      <w:r w:rsidRPr="003E0C90">
        <w:rPr>
          <w:b/>
          <w:bCs/>
          <w:sz w:val="20"/>
          <w:szCs w:val="20"/>
          <w:lang w:val="de-DE"/>
        </w:rPr>
        <w:t>Rückerstattung der Kosten aufgrund der Teilnahme im Strafverfahren</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Sie können den Antrag beim Gericht auf die Rückerstattung der Kosten stellen, welche Ihnen aufgrund Ihrer Teilnahme im Strafverfahren entstanden sind, darunter die Ausgaben für die Bestellung des Bevollmächtigten oder für das Erscheinen im Gericht (Artikel 618j und Artikel 627).</w:t>
      </w:r>
    </w:p>
    <w:p w:rsidR="003E0C90" w:rsidRPr="003E0C90" w:rsidRDefault="003E0C90" w:rsidP="003E0C90">
      <w:pPr>
        <w:pStyle w:val="Akapitzlist"/>
        <w:widowControl/>
        <w:numPr>
          <w:ilvl w:val="3"/>
          <w:numId w:val="2"/>
        </w:numPr>
        <w:autoSpaceDE/>
        <w:autoSpaceDN/>
        <w:adjustRightInd/>
        <w:spacing w:after="200" w:line="360" w:lineRule="auto"/>
        <w:ind w:left="720"/>
        <w:contextualSpacing/>
        <w:jc w:val="both"/>
        <w:rPr>
          <w:b/>
          <w:bCs/>
          <w:sz w:val="20"/>
          <w:szCs w:val="20"/>
          <w:lang w:val="de-DE"/>
        </w:rPr>
      </w:pPr>
      <w:r w:rsidRPr="003E0C90">
        <w:rPr>
          <w:b/>
          <w:bCs/>
          <w:sz w:val="20"/>
          <w:szCs w:val="20"/>
          <w:lang w:val="de-DE"/>
        </w:rPr>
        <w:t>Prozessrechte</w:t>
      </w:r>
    </w:p>
    <w:p w:rsidR="003E0C90" w:rsidRPr="003E0C90" w:rsidRDefault="003E0C90" w:rsidP="003E0C90">
      <w:pPr>
        <w:pStyle w:val="Akapitzlist"/>
        <w:widowControl/>
        <w:numPr>
          <w:ilvl w:val="0"/>
          <w:numId w:val="7"/>
        </w:numPr>
        <w:autoSpaceDE/>
        <w:autoSpaceDN/>
        <w:adjustRightInd/>
        <w:spacing w:after="200" w:line="360" w:lineRule="auto"/>
        <w:contextualSpacing/>
        <w:jc w:val="both"/>
        <w:rPr>
          <w:sz w:val="20"/>
          <w:szCs w:val="20"/>
          <w:lang w:val="de-DE"/>
        </w:rPr>
      </w:pPr>
      <w:r w:rsidRPr="003E0C90">
        <w:rPr>
          <w:sz w:val="20"/>
          <w:szCs w:val="20"/>
          <w:lang w:val="de-DE"/>
        </w:rPr>
        <w:t>Haben Sie eine Straftat angezeigt, so wird Ihnen auf Ihren Antrag eine Bestätigung der Anzeige ausgehändigt (Artikel 304b).</w:t>
      </w:r>
    </w:p>
    <w:p w:rsidR="003E0C90" w:rsidRPr="003E0C90" w:rsidRDefault="003E0C90" w:rsidP="003E0C90">
      <w:pPr>
        <w:pStyle w:val="Akapitzlist"/>
        <w:widowControl/>
        <w:numPr>
          <w:ilvl w:val="0"/>
          <w:numId w:val="7"/>
        </w:numPr>
        <w:autoSpaceDE/>
        <w:autoSpaceDN/>
        <w:adjustRightInd/>
        <w:spacing w:after="200" w:line="360" w:lineRule="auto"/>
        <w:contextualSpacing/>
        <w:jc w:val="both"/>
        <w:rPr>
          <w:sz w:val="20"/>
          <w:szCs w:val="20"/>
          <w:lang w:val="de-DE"/>
        </w:rPr>
      </w:pPr>
      <w:r w:rsidRPr="003E0C90">
        <w:rPr>
          <w:sz w:val="20"/>
          <w:szCs w:val="20"/>
          <w:lang w:val="de-DE"/>
        </w:rPr>
        <w:t>Sie können den Antrag auf die Durchführung von Ermittlungshandlungen z.B. auf die Vernehmung des Zeugen, die Einholung von Unterlagen, die Zulassung des Sachverständigengutachtens stellen (Artikel 315 Paragraph 1).</w:t>
      </w:r>
    </w:p>
    <w:p w:rsidR="003E0C90" w:rsidRPr="003E0C90" w:rsidRDefault="003E0C90" w:rsidP="003E0C90">
      <w:pPr>
        <w:pStyle w:val="Akapitzlist"/>
        <w:widowControl/>
        <w:numPr>
          <w:ilvl w:val="0"/>
          <w:numId w:val="7"/>
        </w:numPr>
        <w:autoSpaceDE/>
        <w:autoSpaceDN/>
        <w:adjustRightInd/>
        <w:spacing w:after="200" w:line="360" w:lineRule="auto"/>
        <w:contextualSpacing/>
        <w:jc w:val="both"/>
        <w:rPr>
          <w:sz w:val="20"/>
          <w:szCs w:val="20"/>
          <w:lang w:val="de-DE"/>
        </w:rPr>
      </w:pPr>
      <w:r w:rsidRPr="003E0C90">
        <w:rPr>
          <w:sz w:val="20"/>
          <w:szCs w:val="20"/>
          <w:lang w:val="de-DE"/>
        </w:rPr>
        <w:t>Ihr Antrag ist abzulehnen, wenn (Artikel 170 Paragraph 1):</w:t>
      </w:r>
    </w:p>
    <w:p w:rsidR="003E0C90" w:rsidRPr="003E0C90" w:rsidRDefault="003E0C90" w:rsidP="003E0C90">
      <w:pPr>
        <w:pStyle w:val="Akapitzlist"/>
        <w:widowControl/>
        <w:numPr>
          <w:ilvl w:val="0"/>
          <w:numId w:val="8"/>
        </w:numPr>
        <w:autoSpaceDE/>
        <w:autoSpaceDN/>
        <w:adjustRightInd/>
        <w:spacing w:after="200" w:line="360" w:lineRule="auto"/>
        <w:contextualSpacing/>
        <w:jc w:val="both"/>
        <w:rPr>
          <w:sz w:val="20"/>
          <w:szCs w:val="20"/>
          <w:lang w:val="de-DE"/>
        </w:rPr>
      </w:pPr>
      <w:r w:rsidRPr="003E0C90">
        <w:rPr>
          <w:sz w:val="20"/>
          <w:szCs w:val="20"/>
          <w:lang w:val="de-DE"/>
        </w:rPr>
        <w:t>die Erhebung des Beweises unzulässig ist,</w:t>
      </w:r>
    </w:p>
    <w:p w:rsidR="003E0C90" w:rsidRPr="003E0C90" w:rsidRDefault="003E0C90" w:rsidP="003E0C90">
      <w:pPr>
        <w:pStyle w:val="Akapitzlist"/>
        <w:widowControl/>
        <w:numPr>
          <w:ilvl w:val="0"/>
          <w:numId w:val="8"/>
        </w:numPr>
        <w:autoSpaceDE/>
        <w:autoSpaceDN/>
        <w:adjustRightInd/>
        <w:spacing w:after="200" w:line="360" w:lineRule="auto"/>
        <w:contextualSpacing/>
        <w:jc w:val="both"/>
        <w:rPr>
          <w:sz w:val="20"/>
          <w:szCs w:val="20"/>
          <w:lang w:val="de-DE"/>
        </w:rPr>
      </w:pPr>
      <w:r w:rsidRPr="003E0C90">
        <w:rPr>
          <w:sz w:val="20"/>
          <w:szCs w:val="20"/>
          <w:lang w:val="de-DE"/>
        </w:rPr>
        <w:t>wenn die Tatsache, die bewiesen werden soll, für die Entscheidung ohne Bedeutung oder schon in Übereinstimmung mit Ihrer Behauptung erwiesen ist;</w:t>
      </w:r>
    </w:p>
    <w:p w:rsidR="003E0C90" w:rsidRPr="003E0C90" w:rsidRDefault="003E0C90" w:rsidP="003E0C90">
      <w:pPr>
        <w:pStyle w:val="Akapitzlist"/>
        <w:widowControl/>
        <w:numPr>
          <w:ilvl w:val="0"/>
          <w:numId w:val="8"/>
        </w:numPr>
        <w:autoSpaceDE/>
        <w:autoSpaceDN/>
        <w:adjustRightInd/>
        <w:spacing w:after="200" w:line="360" w:lineRule="auto"/>
        <w:contextualSpacing/>
        <w:jc w:val="both"/>
        <w:rPr>
          <w:sz w:val="20"/>
          <w:szCs w:val="20"/>
          <w:lang w:val="de-DE"/>
        </w:rPr>
      </w:pPr>
      <w:r w:rsidRPr="003E0C90">
        <w:rPr>
          <w:sz w:val="20"/>
          <w:szCs w:val="20"/>
          <w:lang w:val="de-DE"/>
        </w:rPr>
        <w:lastRenderedPageBreak/>
        <w:t>das Beweismittel völlig ungeeignet ist, eine Tatsache zu beweisen,</w:t>
      </w:r>
    </w:p>
    <w:p w:rsidR="003E0C90" w:rsidRPr="003E0C90" w:rsidRDefault="003E0C90" w:rsidP="003E0C90">
      <w:pPr>
        <w:pStyle w:val="Akapitzlist"/>
        <w:widowControl/>
        <w:numPr>
          <w:ilvl w:val="0"/>
          <w:numId w:val="8"/>
        </w:numPr>
        <w:autoSpaceDE/>
        <w:autoSpaceDN/>
        <w:adjustRightInd/>
        <w:spacing w:after="200" w:line="360" w:lineRule="auto"/>
        <w:contextualSpacing/>
        <w:jc w:val="both"/>
        <w:rPr>
          <w:sz w:val="20"/>
          <w:szCs w:val="20"/>
          <w:lang w:val="de-DE"/>
        </w:rPr>
      </w:pPr>
      <w:r w:rsidRPr="003E0C90">
        <w:rPr>
          <w:sz w:val="20"/>
          <w:szCs w:val="20"/>
          <w:lang w:val="de-DE"/>
        </w:rPr>
        <w:t xml:space="preserve">die Erhebung des Beweises unmöglich ist, </w:t>
      </w:r>
    </w:p>
    <w:p w:rsidR="003E0C90" w:rsidRPr="003E0C90" w:rsidRDefault="003E0C90" w:rsidP="003E0C90">
      <w:pPr>
        <w:pStyle w:val="Akapitzlist"/>
        <w:widowControl/>
        <w:numPr>
          <w:ilvl w:val="0"/>
          <w:numId w:val="8"/>
        </w:numPr>
        <w:autoSpaceDE/>
        <w:autoSpaceDN/>
        <w:adjustRightInd/>
        <w:spacing w:after="200" w:line="360" w:lineRule="auto"/>
        <w:contextualSpacing/>
        <w:jc w:val="both"/>
        <w:rPr>
          <w:sz w:val="20"/>
          <w:szCs w:val="20"/>
          <w:lang w:val="de-DE"/>
        </w:rPr>
      </w:pPr>
      <w:r w:rsidRPr="003E0C90">
        <w:rPr>
          <w:sz w:val="20"/>
          <w:szCs w:val="20"/>
          <w:lang w:val="de-DE"/>
        </w:rPr>
        <w:t>der Antrag ersichtlich zur Prozessverschleppung führt, oder nach der festgesetzten Frist gestellt wird, über die Sie benachrichtigt wurden.</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Die Person, die das Verfahren führt, darf Ihnen die Teilnahme an der Handlung nicht verweigern, wenn Sie den Antrag auf deren Durchführung gestellt haben (Artikel 315 Paragraph 2).</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 xml:space="preserve">Auf Ihr Verlangen hin sind Sie auch zu der Teilnahme an den sonstigen Ermittlungshandlungen zuzulassen. In besonders begründeten Fällen kann Ihnen die Zulassung zu diesen Handlungen verweigert werden, wenn es für den Schutz der Interessen der Ermittlung notwendig ist (Artikel 317). </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Ist die Wiederholung einer Ermittlungshandlung in der Hauptverhandlung nicht möglich, so können Sie zu der Ermittlungshandlung zugelassen werden, es sei denn, es besteht im Fall einer Verzögerung die Gefahr des Verlustes oder der Entstellung des Beweises (Artikel 316 Paragraph 1).</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 xml:space="preserve">Besteht die Gefahr, dass ein Zeuge in der Verhandlung nicht vernommen werden kann, so können Sie das Gericht oder den Staatsanwalt ersuchen, die Vernehmung vorzunehmen (Artikel 316 Paragraph 3). </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Wurde ein Sachverständigengutachten zugelassen, wird Ihnen die Teilnahme an der Vernehmung der Sachverständigen sowie die Einsicht in das Sachverständigengutachten gestattet, wenn dieses schriftlich vorliegt (Artikel 318).</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Sie können verlangen, dass Sie vernommen werden, sofern von dieser Handlung im Untersuchungs- oder Ermittlungsverfahren abgesehen wurde. Ihrem Verlangen wird nicht stattgegeben, wenn es ersichtlich zur Verfahrensverschleppung führt (Artikel 315a).</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 xml:space="preserve">Ihnen steht das Recht zu, eine Beschwerde gegen einen Beschluss über Einleitungsverweigerung des Untersuchungs- oder Ermittlungsverfahrens oder Einstellung des Untersuchungs- oder Ermittlungsverfahrens innerhalb von 7 Tagen ab dem Tag der Zustellung des Beschlusses vorzubringen (Artikel 306 Paragraphen 1 und 1a). Sie haben das Recht auf Akteneinsicht. Zum Zwecke der Akteneinsicht kann der Staatsanwalt die Akten in elektronischer Form zugänglich machen (Artikel 306 Paragraph 1b) </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 xml:space="preserve">Ihnen steht das Recht zu, eine Beschwerde gegen die Untätigkeit vorzubringen, wenn Sie innerhalb von sechs Wochen ab der Erstattung der Strafanzeige über die Einleitung oder Ablehnung der Einleitung des Untersuchungs- oder Ermittlungsverfahrens nicht unterrichtet werden (Artikel 306 Paragraph 3). </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 xml:space="preserve">Sie können innerhalb einer Frist von drei Tagen ab dem Zeitpunkt, zu dem Sie Akteneinsicht genommen haben, Anträge auf Ergänzung der Ermittlungen stellen (Artikel 321 Paragraph 5). </w:t>
      </w:r>
    </w:p>
    <w:p w:rsidR="003E0C90" w:rsidRPr="003E0C90" w:rsidRDefault="003E0C90" w:rsidP="003E0C90">
      <w:pPr>
        <w:pStyle w:val="Akapitzlist"/>
        <w:widowControl/>
        <w:numPr>
          <w:ilvl w:val="0"/>
          <w:numId w:val="9"/>
        </w:numPr>
        <w:autoSpaceDE/>
        <w:autoSpaceDN/>
        <w:adjustRightInd/>
        <w:spacing w:after="200" w:line="360" w:lineRule="auto"/>
        <w:ind w:left="1080"/>
        <w:contextualSpacing/>
        <w:jc w:val="both"/>
        <w:rPr>
          <w:sz w:val="20"/>
          <w:szCs w:val="20"/>
          <w:lang w:val="de-DE"/>
        </w:rPr>
      </w:pPr>
      <w:r w:rsidRPr="003E0C90">
        <w:rPr>
          <w:sz w:val="20"/>
          <w:szCs w:val="20"/>
          <w:lang w:val="de-DE"/>
        </w:rPr>
        <w:t>Ihnen steht die Beschwerde gegen die Gerichtsbeschlüsse und Gerichtsanordnungen in den im Gesetz genannten Fällen (Artikel 459) sowie gegen Handlungen zu, durch die Ihre Rechte verletzt werden (Artikel 302 Paragraph 2).</w:t>
      </w:r>
    </w:p>
    <w:p w:rsidR="003E0C90" w:rsidRPr="003E0C90" w:rsidRDefault="003E0C90" w:rsidP="003E0C90">
      <w:pPr>
        <w:spacing w:line="360" w:lineRule="auto"/>
        <w:jc w:val="both"/>
        <w:rPr>
          <w:b/>
          <w:sz w:val="20"/>
          <w:szCs w:val="20"/>
          <w:lang w:val="de-DE"/>
        </w:rPr>
      </w:pPr>
      <w:r w:rsidRPr="003E0C90">
        <w:rPr>
          <w:b/>
          <w:sz w:val="20"/>
          <w:szCs w:val="20"/>
          <w:lang w:val="de-DE"/>
        </w:rPr>
        <w:t>Sie sind verpflichtet,</w:t>
      </w:r>
    </w:p>
    <w:p w:rsidR="003E0C90" w:rsidRPr="003E0C90" w:rsidRDefault="003E0C90" w:rsidP="003E0C90">
      <w:pPr>
        <w:pStyle w:val="Akapitzlist"/>
        <w:widowControl/>
        <w:numPr>
          <w:ilvl w:val="0"/>
          <w:numId w:val="10"/>
        </w:numPr>
        <w:autoSpaceDE/>
        <w:autoSpaceDN/>
        <w:adjustRightInd/>
        <w:spacing w:after="200" w:line="360" w:lineRule="auto"/>
        <w:contextualSpacing/>
        <w:jc w:val="both"/>
        <w:rPr>
          <w:sz w:val="20"/>
          <w:szCs w:val="20"/>
          <w:lang w:val="de-DE"/>
        </w:rPr>
      </w:pPr>
      <w:r w:rsidRPr="003E0C90">
        <w:rPr>
          <w:sz w:val="20"/>
          <w:szCs w:val="20"/>
          <w:lang w:val="de-DE"/>
        </w:rPr>
        <w:lastRenderedPageBreak/>
        <w:t>sich einer körperlichen Untersuchung sowie anderen Untersuchungen mit Ausnahme von chirurgischen Eingriffen bzw. der Beobachtung in einer Heilanstalt zu unterziehen, sofern von Ihrem Gesundheitszustand die Strafbarkeit der Straftat abhängt (Artikel 192 Paragraph 1).</w:t>
      </w:r>
    </w:p>
    <w:p w:rsidR="003E0C90" w:rsidRPr="003E0C90" w:rsidRDefault="003E0C90" w:rsidP="003E0C90">
      <w:pPr>
        <w:pStyle w:val="Akapitzlist"/>
        <w:widowControl/>
        <w:numPr>
          <w:ilvl w:val="0"/>
          <w:numId w:val="10"/>
        </w:numPr>
        <w:autoSpaceDE/>
        <w:autoSpaceDN/>
        <w:adjustRightInd/>
        <w:spacing w:after="200" w:line="360" w:lineRule="auto"/>
        <w:contextualSpacing/>
        <w:jc w:val="both"/>
        <w:rPr>
          <w:sz w:val="20"/>
          <w:szCs w:val="20"/>
          <w:lang w:val="de-DE"/>
        </w:rPr>
      </w:pPr>
      <w:r w:rsidRPr="003E0C90">
        <w:rPr>
          <w:sz w:val="20"/>
          <w:szCs w:val="20"/>
          <w:lang w:val="de-DE"/>
        </w:rPr>
        <w:t>die Zustellungsadresse im Inland oder in einem anderen Mitgliedstaat der Europäischen Union (d.h. eine Person oder eine Institution mit Adressendaten) anzugeben, wenn Sie dort nicht aufhalten; kommen Sie dieser Pflicht nicht nach, so gilt ein Schriftsatz als zugestellt, wenn er an die zuletzt bekannte Adresse versendet wurde (Artikel 138);</w:t>
      </w:r>
    </w:p>
    <w:p w:rsidR="003E0C90" w:rsidRPr="003E0C90" w:rsidRDefault="003E0C90" w:rsidP="003E0C90">
      <w:pPr>
        <w:pStyle w:val="Akapitzlist"/>
        <w:widowControl/>
        <w:numPr>
          <w:ilvl w:val="0"/>
          <w:numId w:val="10"/>
        </w:numPr>
        <w:autoSpaceDE/>
        <w:autoSpaceDN/>
        <w:adjustRightInd/>
        <w:spacing w:after="200" w:line="360" w:lineRule="auto"/>
        <w:contextualSpacing/>
        <w:jc w:val="both"/>
        <w:rPr>
          <w:sz w:val="20"/>
          <w:szCs w:val="20"/>
          <w:lang w:val="de-DE"/>
        </w:rPr>
      </w:pPr>
      <w:r w:rsidRPr="003E0C90">
        <w:rPr>
          <w:sz w:val="20"/>
          <w:szCs w:val="20"/>
          <w:lang w:val="de-DE"/>
        </w:rPr>
        <w:t xml:space="preserve">wenn Sie Ihren Wohnort oder Ihren Aufenthaltsort wechseln, auch wegen des Freiheitsentzugs in einer anderen Sache (Untersuchungshaft, Inhaftierung in der Strafvollzugsanstalt zur Vollstreckung der Freiheitsstrafe), sind Sie verpflichtet, Ihre neue Adresse anzugeben; Kommen Sie dieser Pflicht nicht nach, so gilt ein Schriftsatz als zugestellt, wenn er an die zuletzt bekannte Adresse (darunter an das genannte Postfach) versendet wurde (Artikel 139). </w:t>
      </w:r>
    </w:p>
    <w:p w:rsidR="003E0C90" w:rsidRPr="003E0C90" w:rsidRDefault="003E0C90" w:rsidP="003E0C90">
      <w:pPr>
        <w:spacing w:line="360" w:lineRule="auto"/>
        <w:jc w:val="both"/>
        <w:rPr>
          <w:b/>
          <w:bCs/>
          <w:sz w:val="20"/>
          <w:szCs w:val="20"/>
          <w:lang w:val="de-DE"/>
        </w:rPr>
      </w:pPr>
      <w:r w:rsidRPr="003E0C90">
        <w:rPr>
          <w:b/>
          <w:bCs/>
          <w:sz w:val="20"/>
          <w:szCs w:val="20"/>
          <w:lang w:val="de-DE"/>
        </w:rPr>
        <w:t>Vernehmung durch einen Konsul</w:t>
      </w:r>
    </w:p>
    <w:p w:rsidR="003E0C90" w:rsidRPr="003E0C90" w:rsidRDefault="003E0C90" w:rsidP="003E0C90">
      <w:pPr>
        <w:pStyle w:val="Akapitzlist"/>
        <w:spacing w:line="360" w:lineRule="auto"/>
        <w:jc w:val="both"/>
        <w:rPr>
          <w:sz w:val="20"/>
          <w:szCs w:val="20"/>
          <w:lang w:val="de-DE"/>
        </w:rPr>
      </w:pPr>
      <w:r w:rsidRPr="003E0C90">
        <w:rPr>
          <w:sz w:val="20"/>
          <w:szCs w:val="20"/>
          <w:lang w:val="de-DE"/>
        </w:rPr>
        <w:t xml:space="preserve">Wenn Sie im Ausland sind, können Sie vor einem Konsul vernommen werden. Die Vernehmung kann nur dann erfolgen, wenn Sie Ihr Einverständnis dazu erteilen. Auf solch einen Fall finden die Vorschriften über die Erscheinungspflicht und die damit verbundenen Konsequenzen bzw. die Vorschriften, die die Vernehmung im Wege einer Videokonferenz erlauben, die Vorschriften über den Zeugenschutz und die Beteiligung anderer Personen wie ein Arzt oder Psychologe keine Anwendung (Artikel 26 Absatz 1 Punkt 2 des Gesetzes – Konsularrecht  vom 25. Juni 2015 (GBl. v. 2020 Pos. 195 und 1086)). </w:t>
      </w:r>
    </w:p>
    <w:p w:rsidR="003E0C90" w:rsidRPr="003E0C90" w:rsidRDefault="003E0C90" w:rsidP="003E0C90">
      <w:pPr>
        <w:pStyle w:val="Akapitzlist"/>
        <w:spacing w:line="360" w:lineRule="auto"/>
        <w:jc w:val="both"/>
        <w:rPr>
          <w:sz w:val="20"/>
          <w:szCs w:val="20"/>
          <w:lang w:val="de-DE"/>
        </w:rPr>
      </w:pPr>
    </w:p>
    <w:p w:rsidR="003E0C90" w:rsidRPr="003E0C90" w:rsidRDefault="003E0C90" w:rsidP="003E0C90">
      <w:pPr>
        <w:spacing w:line="360" w:lineRule="auto"/>
        <w:jc w:val="both"/>
        <w:rPr>
          <w:b/>
          <w:bCs/>
          <w:sz w:val="20"/>
          <w:szCs w:val="20"/>
          <w:lang w:val="de-DE"/>
        </w:rPr>
      </w:pPr>
      <w:r w:rsidRPr="003E0C90">
        <w:rPr>
          <w:b/>
          <w:bCs/>
          <w:sz w:val="20"/>
          <w:szCs w:val="20"/>
          <w:lang w:val="de-DE"/>
        </w:rPr>
        <w:t>Wichtig: Finden Sie die Ihnen vorgelegte Belehrung für unklar oder unvollständig, können Sie von dem Vernehmenden die zusätzliche, detaillierte Auskunft über Ihre Rechte und Pflichten verlangen.</w:t>
      </w:r>
    </w:p>
    <w:p w:rsidR="001153FB" w:rsidRPr="003E0C90" w:rsidRDefault="001153FB" w:rsidP="003E0C90"/>
    <w:sectPr w:rsidR="001153FB" w:rsidRPr="003E0C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236" w:rsidRDefault="00AC1236" w:rsidP="003E0C90">
      <w:r>
        <w:separator/>
      </w:r>
    </w:p>
  </w:endnote>
  <w:endnote w:type="continuationSeparator" w:id="0">
    <w:p w:rsidR="00AC1236" w:rsidRDefault="00AC1236" w:rsidP="003E0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ambria"/>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236" w:rsidRDefault="00AC1236" w:rsidP="003E0C90">
      <w:r>
        <w:separator/>
      </w:r>
    </w:p>
  </w:footnote>
  <w:footnote w:type="continuationSeparator" w:id="0">
    <w:p w:rsidR="00AC1236" w:rsidRDefault="00AC1236" w:rsidP="003E0C90">
      <w:r>
        <w:continuationSeparator/>
      </w:r>
    </w:p>
  </w:footnote>
  <w:footnote w:id="1">
    <w:p w:rsidR="003E0C90" w:rsidRPr="003E0C90" w:rsidRDefault="003E0C90" w:rsidP="003E0C90">
      <w:pPr>
        <w:pStyle w:val="Tekstprzypisudolnego"/>
      </w:pPr>
      <w:r w:rsidRPr="003E0C90">
        <w:rPr>
          <w:rStyle w:val="Odwoanieprzypisudolnego"/>
        </w:rPr>
        <w:footnoteRef/>
      </w:r>
      <w:r w:rsidRPr="003E0C90">
        <w:t xml:space="preserve"> </w:t>
      </w:r>
      <w:r w:rsidRPr="003E0C90">
        <w:rPr>
          <w:lang w:val="de-DE"/>
        </w:rPr>
        <w:t>Falls nicht anders angegeben wurde, beziehen sich die in Klammern angegebenen Artikel auf jeweilige Artikel der Strafprozessordnung vom 6. Juni 1997 (Gesetzblatt v. 2020 Pos. 30, 413, 568, 1086 und 1458)</w:t>
      </w:r>
    </w:p>
    <w:p w:rsidR="003E0C90" w:rsidRPr="003E0C90" w:rsidRDefault="003E0C90" w:rsidP="003E0C90">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540" w:hanging="421"/>
      </w:pPr>
      <w:rPr>
        <w:rFonts w:ascii="Times New Roman" w:hAnsi="Times New Roman" w:cs="Times New Roman"/>
        <w:b/>
        <w:bCs/>
        <w:spacing w:val="1"/>
        <w:w w:val="99"/>
        <w:sz w:val="20"/>
        <w:szCs w:val="20"/>
      </w:rPr>
    </w:lvl>
    <w:lvl w:ilvl="1">
      <w:numFmt w:val="bullet"/>
      <w:lvlText w:val="–"/>
      <w:lvlJc w:val="left"/>
      <w:pPr>
        <w:ind w:left="898" w:hanging="358"/>
      </w:pPr>
      <w:rPr>
        <w:rFonts w:ascii="Times New Roman" w:hAnsi="Times New Roman"/>
        <w:b w:val="0"/>
        <w:w w:val="99"/>
        <w:sz w:val="20"/>
      </w:rPr>
    </w:lvl>
    <w:lvl w:ilvl="2">
      <w:numFmt w:val="bullet"/>
      <w:lvlText w:val=""/>
      <w:lvlJc w:val="left"/>
      <w:pPr>
        <w:ind w:left="1166" w:hanging="272"/>
      </w:pPr>
      <w:rPr>
        <w:rFonts w:ascii="Symbol" w:hAnsi="Symbol"/>
        <w:b w:val="0"/>
        <w:w w:val="99"/>
        <w:sz w:val="20"/>
      </w:rPr>
    </w:lvl>
    <w:lvl w:ilvl="3">
      <w:numFmt w:val="bullet"/>
      <w:lvlText w:val="•"/>
      <w:lvlJc w:val="left"/>
      <w:pPr>
        <w:ind w:left="898" w:hanging="272"/>
      </w:pPr>
    </w:lvl>
    <w:lvl w:ilvl="4">
      <w:numFmt w:val="bullet"/>
      <w:lvlText w:val="•"/>
      <w:lvlJc w:val="left"/>
      <w:pPr>
        <w:ind w:left="898" w:hanging="272"/>
      </w:pPr>
    </w:lvl>
    <w:lvl w:ilvl="5">
      <w:numFmt w:val="bullet"/>
      <w:lvlText w:val="•"/>
      <w:lvlJc w:val="left"/>
      <w:pPr>
        <w:ind w:left="898" w:hanging="272"/>
      </w:pPr>
    </w:lvl>
    <w:lvl w:ilvl="6">
      <w:numFmt w:val="bullet"/>
      <w:lvlText w:val="•"/>
      <w:lvlJc w:val="left"/>
      <w:pPr>
        <w:ind w:left="1166" w:hanging="272"/>
      </w:pPr>
    </w:lvl>
    <w:lvl w:ilvl="7">
      <w:numFmt w:val="bullet"/>
      <w:lvlText w:val="•"/>
      <w:lvlJc w:val="left"/>
      <w:pPr>
        <w:ind w:left="3396" w:hanging="272"/>
      </w:pPr>
    </w:lvl>
    <w:lvl w:ilvl="8">
      <w:numFmt w:val="bullet"/>
      <w:lvlText w:val="•"/>
      <w:lvlJc w:val="left"/>
      <w:pPr>
        <w:ind w:left="5626" w:hanging="272"/>
      </w:pPr>
    </w:lvl>
  </w:abstractNum>
  <w:abstractNum w:abstractNumId="1" w15:restartNumberingAfterBreak="0">
    <w:nsid w:val="03836E30"/>
    <w:multiLevelType w:val="hybridMultilevel"/>
    <w:tmpl w:val="E8DE491E"/>
    <w:lvl w:ilvl="0" w:tplc="32C2B500">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 w15:restartNumberingAfterBreak="0">
    <w:nsid w:val="05886E57"/>
    <w:multiLevelType w:val="hybridMultilevel"/>
    <w:tmpl w:val="F87C38F0"/>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A03EC3"/>
    <w:multiLevelType w:val="multilevel"/>
    <w:tmpl w:val="F64ED9E0"/>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B876218"/>
    <w:multiLevelType w:val="hybridMultilevel"/>
    <w:tmpl w:val="EE92DA6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 w15:restartNumberingAfterBreak="0">
    <w:nsid w:val="0F8A468D"/>
    <w:multiLevelType w:val="multilevel"/>
    <w:tmpl w:val="4704DA4A"/>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start w:val="2"/>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54C2C7A"/>
    <w:multiLevelType w:val="multilevel"/>
    <w:tmpl w:val="FC666052"/>
    <w:lvl w:ilvl="0">
      <w:start w:val="1"/>
      <w:numFmt w:val="bullet"/>
      <w:lvlText w:val="•"/>
      <w:lvlJc w:val="left"/>
      <w:rPr>
        <w:rFonts w:ascii="Times New Roman" w:eastAsia="Times New Roman" w:hAnsi="Times New Roman"/>
        <w:b w:val="0"/>
        <w:i w:val="0"/>
        <w:smallCaps w:val="0"/>
        <w:strike w:val="0"/>
        <w:color w:val="000000"/>
        <w:spacing w:val="0"/>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22CD40CB"/>
    <w:multiLevelType w:val="hybridMultilevel"/>
    <w:tmpl w:val="D22C6D40"/>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1D74E68"/>
    <w:multiLevelType w:val="hybridMultilevel"/>
    <w:tmpl w:val="51FCA35A"/>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44CA3C1A"/>
    <w:multiLevelType w:val="multilevel"/>
    <w:tmpl w:val="DB3C1A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58D41C1"/>
    <w:multiLevelType w:val="hybridMultilevel"/>
    <w:tmpl w:val="B33A3AF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73D04E3"/>
    <w:multiLevelType w:val="hybridMultilevel"/>
    <w:tmpl w:val="673A8F26"/>
    <w:lvl w:ilvl="0" w:tplc="32C2B50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9C57F68"/>
    <w:multiLevelType w:val="hybridMultilevel"/>
    <w:tmpl w:val="1C6A86B8"/>
    <w:lvl w:ilvl="0" w:tplc="32C2B50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E2844E4"/>
    <w:multiLevelType w:val="multilevel"/>
    <w:tmpl w:val="2BEAFE6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0CC10C2"/>
    <w:multiLevelType w:val="multilevel"/>
    <w:tmpl w:val="1A98A76E"/>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997557D"/>
    <w:multiLevelType w:val="hybridMultilevel"/>
    <w:tmpl w:val="4FD2A7DE"/>
    <w:lvl w:ilvl="0" w:tplc="32C2B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15"/>
  </w:num>
  <w:num w:numId="4">
    <w:abstractNumId w:val="7"/>
  </w:num>
  <w:num w:numId="5">
    <w:abstractNumId w:val="2"/>
  </w:num>
  <w:num w:numId="6">
    <w:abstractNumId w:val="11"/>
  </w:num>
  <w:num w:numId="7">
    <w:abstractNumId w:val="8"/>
  </w:num>
  <w:num w:numId="8">
    <w:abstractNumId w:val="4"/>
  </w:num>
  <w:num w:numId="9">
    <w:abstractNumId w:val="1"/>
  </w:num>
  <w:num w:numId="10">
    <w:abstractNumId w:val="12"/>
  </w:num>
  <w:num w:numId="11">
    <w:abstractNumId w:val="9"/>
  </w:num>
  <w:num w:numId="12">
    <w:abstractNumId w:val="3"/>
  </w:num>
  <w:num w:numId="13">
    <w:abstractNumId w:val="14"/>
  </w:num>
  <w:num w:numId="14">
    <w:abstractNumId w:val="5"/>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33C"/>
    <w:rsid w:val="001153FB"/>
    <w:rsid w:val="0015536F"/>
    <w:rsid w:val="003E0C90"/>
    <w:rsid w:val="0063709B"/>
    <w:rsid w:val="00A4342C"/>
    <w:rsid w:val="00AC1236"/>
    <w:rsid w:val="00ED63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BAA37"/>
  <w15:chartTrackingRefBased/>
  <w15:docId w15:val="{59DE8917-B791-424E-92CC-FB5FE444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ED633C"/>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1"/>
    <w:qFormat/>
    <w:rsid w:val="00ED633C"/>
    <w:pPr>
      <w:ind w:left="540" w:hanging="4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ED633C"/>
    <w:rPr>
      <w:rFonts w:ascii="Times New Roman" w:eastAsiaTheme="minorEastAsia" w:hAnsi="Times New Roman" w:cs="Times New Roman"/>
      <w:b/>
      <w:bCs/>
      <w:sz w:val="20"/>
      <w:szCs w:val="20"/>
      <w:lang w:eastAsia="pl-PL"/>
    </w:rPr>
  </w:style>
  <w:style w:type="paragraph" w:styleId="Tekstpodstawowy">
    <w:name w:val="Body Text"/>
    <w:basedOn w:val="Normalny"/>
    <w:link w:val="TekstpodstawowyZnak"/>
    <w:uiPriority w:val="1"/>
    <w:qFormat/>
    <w:rsid w:val="00ED633C"/>
    <w:pPr>
      <w:spacing w:before="120"/>
      <w:ind w:left="880" w:hanging="360"/>
    </w:pPr>
    <w:rPr>
      <w:sz w:val="20"/>
      <w:szCs w:val="20"/>
    </w:rPr>
  </w:style>
  <w:style w:type="character" w:customStyle="1" w:styleId="TekstpodstawowyZnak">
    <w:name w:val="Tekst podstawowy Znak"/>
    <w:basedOn w:val="Domylnaczcionkaakapitu"/>
    <w:link w:val="Tekstpodstawowy"/>
    <w:uiPriority w:val="1"/>
    <w:rsid w:val="00ED633C"/>
    <w:rPr>
      <w:rFonts w:ascii="Times New Roman" w:eastAsiaTheme="minorEastAsia" w:hAnsi="Times New Roman" w:cs="Times New Roman"/>
      <w:sz w:val="20"/>
      <w:szCs w:val="20"/>
      <w:lang w:eastAsia="pl-PL"/>
    </w:rPr>
  </w:style>
  <w:style w:type="paragraph" w:styleId="Akapitzlist">
    <w:name w:val="List Paragraph"/>
    <w:basedOn w:val="Normalny"/>
    <w:uiPriority w:val="34"/>
    <w:qFormat/>
    <w:rsid w:val="00ED633C"/>
  </w:style>
  <w:style w:type="paragraph" w:customStyle="1" w:styleId="TableParagraph">
    <w:name w:val="Table Paragraph"/>
    <w:basedOn w:val="Normalny"/>
    <w:uiPriority w:val="1"/>
    <w:qFormat/>
    <w:rsid w:val="00ED633C"/>
  </w:style>
  <w:style w:type="character" w:customStyle="1" w:styleId="Teksttreci">
    <w:name w:val="Tekst treści_"/>
    <w:link w:val="Teksttreci1"/>
    <w:locked/>
    <w:rsid w:val="00ED633C"/>
    <w:rPr>
      <w:sz w:val="19"/>
      <w:shd w:val="clear" w:color="auto" w:fill="FFFFFF"/>
    </w:rPr>
  </w:style>
  <w:style w:type="paragraph" w:customStyle="1" w:styleId="Teksttreci1">
    <w:name w:val="Tekst treści1"/>
    <w:basedOn w:val="Normalny"/>
    <w:link w:val="Teksttreci"/>
    <w:rsid w:val="00ED633C"/>
    <w:pPr>
      <w:widowControl/>
      <w:shd w:val="clear" w:color="auto" w:fill="FFFFFF"/>
      <w:autoSpaceDE/>
      <w:autoSpaceDN/>
      <w:adjustRightInd/>
      <w:spacing w:before="180" w:after="300" w:line="240" w:lineRule="atLeast"/>
      <w:ind w:hanging="440"/>
      <w:jc w:val="center"/>
    </w:pPr>
    <w:rPr>
      <w:rFonts w:asciiTheme="minorHAnsi" w:eastAsiaTheme="minorHAnsi" w:hAnsiTheme="minorHAnsi" w:cstheme="minorBidi"/>
      <w:sz w:val="19"/>
      <w:szCs w:val="22"/>
      <w:lang w:eastAsia="en-US"/>
    </w:rPr>
  </w:style>
  <w:style w:type="character" w:customStyle="1" w:styleId="Teksttreci0">
    <w:name w:val="Tekst treści"/>
    <w:rsid w:val="00ED633C"/>
  </w:style>
  <w:style w:type="paragraph" w:styleId="Nagwek">
    <w:name w:val="header"/>
    <w:basedOn w:val="Normalny"/>
    <w:link w:val="NagwekZnak"/>
    <w:uiPriority w:val="99"/>
    <w:unhideWhenUsed/>
    <w:rsid w:val="00ED633C"/>
    <w:pPr>
      <w:tabs>
        <w:tab w:val="center" w:pos="4536"/>
        <w:tab w:val="right" w:pos="9072"/>
      </w:tabs>
    </w:pPr>
  </w:style>
  <w:style w:type="character" w:customStyle="1" w:styleId="NagwekZnak">
    <w:name w:val="Nagłówek Znak"/>
    <w:basedOn w:val="Domylnaczcionkaakapitu"/>
    <w:link w:val="Nagwek"/>
    <w:uiPriority w:val="99"/>
    <w:rsid w:val="00ED633C"/>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ED633C"/>
    <w:pPr>
      <w:tabs>
        <w:tab w:val="center" w:pos="4536"/>
        <w:tab w:val="right" w:pos="9072"/>
      </w:tabs>
    </w:pPr>
  </w:style>
  <w:style w:type="character" w:customStyle="1" w:styleId="StopkaZnak">
    <w:name w:val="Stopka Znak"/>
    <w:basedOn w:val="Domylnaczcionkaakapitu"/>
    <w:link w:val="Stopka"/>
    <w:uiPriority w:val="99"/>
    <w:rsid w:val="00ED633C"/>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D63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633C"/>
    <w:rPr>
      <w:rFonts w:ascii="Segoe UI" w:eastAsiaTheme="minorEastAsia" w:hAnsi="Segoe UI" w:cs="Segoe UI"/>
      <w:sz w:val="18"/>
      <w:szCs w:val="18"/>
      <w:lang w:eastAsia="pl-PL"/>
    </w:rPr>
  </w:style>
  <w:style w:type="character" w:styleId="Hipercze">
    <w:name w:val="Hyperlink"/>
    <w:basedOn w:val="Domylnaczcionkaakapitu"/>
    <w:uiPriority w:val="99"/>
    <w:unhideWhenUsed/>
    <w:rsid w:val="00ED633C"/>
    <w:rPr>
      <w:rFonts w:cs="Times New Roman"/>
      <w:color w:val="0000FF"/>
      <w:u w:val="single"/>
    </w:rPr>
  </w:style>
  <w:style w:type="paragraph" w:styleId="Tekstprzypisudolnego">
    <w:name w:val="footnote text"/>
    <w:basedOn w:val="Normalny"/>
    <w:link w:val="TekstprzypisudolnegoZnak"/>
    <w:uiPriority w:val="99"/>
    <w:semiHidden/>
    <w:unhideWhenUsed/>
    <w:rsid w:val="00ED633C"/>
    <w:pPr>
      <w:widowControl/>
      <w:autoSpaceDE/>
      <w:autoSpaceDN/>
      <w:adjustRightInd/>
    </w:pPr>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ED633C"/>
    <w:rPr>
      <w:rFonts w:ascii="Calibri" w:eastAsiaTheme="minorEastAsia" w:hAnsi="Calibri" w:cs="Times New Roman"/>
      <w:sz w:val="20"/>
      <w:szCs w:val="20"/>
    </w:rPr>
  </w:style>
  <w:style w:type="character" w:styleId="Odwoanieprzypisudolnego">
    <w:name w:val="footnote reference"/>
    <w:basedOn w:val="Domylnaczcionkaakapitu"/>
    <w:uiPriority w:val="99"/>
    <w:semiHidden/>
    <w:unhideWhenUsed/>
    <w:rsid w:val="00ED633C"/>
    <w:rPr>
      <w:rFonts w:cs="Times New Roman"/>
      <w:vertAlign w:val="superscript"/>
    </w:rPr>
  </w:style>
  <w:style w:type="character" w:customStyle="1" w:styleId="FontStyle12">
    <w:name w:val="Font Style12"/>
    <w:uiPriority w:val="99"/>
    <w:rsid w:val="00ED633C"/>
    <w:rPr>
      <w:rFonts w:ascii="Times New Roman" w:hAnsi="Times New Roman"/>
      <w:sz w:val="20"/>
    </w:rPr>
  </w:style>
  <w:style w:type="character" w:customStyle="1" w:styleId="FontStyle15">
    <w:name w:val="Font Style15"/>
    <w:uiPriority w:val="99"/>
    <w:rsid w:val="00ED633C"/>
    <w:rPr>
      <w:rFonts w:ascii="Times New Roman" w:hAnsi="Times New Roman"/>
      <w:b/>
      <w:sz w:val="20"/>
    </w:rPr>
  </w:style>
  <w:style w:type="character" w:customStyle="1" w:styleId="Nagwek4">
    <w:name w:val="Nagłówek #4_"/>
    <w:link w:val="Nagwek40"/>
    <w:locked/>
    <w:rsid w:val="00ED633C"/>
    <w:rPr>
      <w:rFonts w:ascii="Times New Roman" w:hAnsi="Times New Roman"/>
      <w:sz w:val="19"/>
      <w:shd w:val="clear" w:color="auto" w:fill="FFFFFF"/>
    </w:rPr>
  </w:style>
  <w:style w:type="paragraph" w:customStyle="1" w:styleId="Nagwek40">
    <w:name w:val="Nagłówek #4"/>
    <w:basedOn w:val="Normalny"/>
    <w:link w:val="Nagwek4"/>
    <w:rsid w:val="00ED633C"/>
    <w:pPr>
      <w:widowControl/>
      <w:shd w:val="clear" w:color="auto" w:fill="FFFFFF"/>
      <w:autoSpaceDE/>
      <w:autoSpaceDN/>
      <w:adjustRightInd/>
      <w:spacing w:before="420" w:line="302" w:lineRule="exact"/>
      <w:jc w:val="center"/>
      <w:outlineLvl w:val="3"/>
    </w:pPr>
    <w:rPr>
      <w:rFonts w:eastAsiaTheme="minorHAnsi" w:cstheme="minorBidi"/>
      <w:sz w:val="19"/>
      <w:szCs w:val="22"/>
      <w:lang w:eastAsia="en-US"/>
    </w:rPr>
  </w:style>
  <w:style w:type="character" w:styleId="Nierozpoznanawzmianka">
    <w:name w:val="Unresolved Mention"/>
    <w:basedOn w:val="Domylnaczcionkaakapitu"/>
    <w:uiPriority w:val="99"/>
    <w:semiHidden/>
    <w:unhideWhenUsed/>
    <w:rsid w:val="00ED633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1978</Words>
  <Characters>11873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Królikowski (RPLUB ADM)</dc:creator>
  <cp:keywords/>
  <dc:description/>
  <cp:lastModifiedBy>Michał Królikowski (RPLUB ADM)</cp:lastModifiedBy>
  <cp:revision>3</cp:revision>
  <dcterms:created xsi:type="dcterms:W3CDTF">2023-10-26T09:36:00Z</dcterms:created>
  <dcterms:modified xsi:type="dcterms:W3CDTF">2023-10-26T09:38:00Z</dcterms:modified>
</cp:coreProperties>
</file>