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03" w:rsidRDefault="00174D03">
      <w:pPr>
        <w:pStyle w:val="Bodytext10"/>
        <w:pBdr>
          <w:bottom w:val="single" w:sz="4" w:space="0" w:color="auto"/>
        </w:pBdr>
        <w:spacing w:before="380"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6840"/>
      </w:tblGrid>
      <w:tr w:rsidR="00174D03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987" w:type="dxa"/>
            <w:shd w:val="clear" w:color="auto" w:fill="auto"/>
          </w:tcPr>
          <w:p w:rsidR="00174D03" w:rsidRDefault="00C76BD8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6840" w:type="dxa"/>
            <w:shd w:val="clear" w:color="auto" w:fill="auto"/>
          </w:tcPr>
          <w:p w:rsidR="00174D03" w:rsidRDefault="00174D03">
            <w:pPr>
              <w:pStyle w:val="Other10"/>
              <w:spacing w:after="0" w:line="240" w:lineRule="auto"/>
              <w:ind w:left="1080"/>
              <w:rPr>
                <w:sz w:val="19"/>
                <w:szCs w:val="19"/>
              </w:rPr>
            </w:pPr>
          </w:p>
        </w:tc>
      </w:tr>
      <w:tr w:rsidR="00174D0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987" w:type="dxa"/>
            <w:shd w:val="clear" w:color="auto" w:fill="auto"/>
          </w:tcPr>
          <w:p w:rsidR="00174D03" w:rsidRDefault="00C76BD8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Wysłano:</w:t>
            </w:r>
          </w:p>
        </w:tc>
        <w:tc>
          <w:tcPr>
            <w:tcW w:w="6840" w:type="dxa"/>
            <w:shd w:val="clear" w:color="auto" w:fill="auto"/>
          </w:tcPr>
          <w:p w:rsidR="00174D03" w:rsidRDefault="00C76BD8">
            <w:pPr>
              <w:pStyle w:val="Other10"/>
              <w:spacing w:after="0" w:line="240" w:lineRule="auto"/>
              <w:ind w:left="10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środa, 1 kwietnia 2026 14:49</w:t>
            </w:r>
          </w:p>
        </w:tc>
      </w:tr>
      <w:tr w:rsidR="00174D0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987" w:type="dxa"/>
            <w:shd w:val="clear" w:color="auto" w:fill="auto"/>
          </w:tcPr>
          <w:p w:rsidR="00174D03" w:rsidRDefault="00C76BD8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Do:</w:t>
            </w:r>
          </w:p>
        </w:tc>
        <w:tc>
          <w:tcPr>
            <w:tcW w:w="6840" w:type="dxa"/>
            <w:shd w:val="clear" w:color="auto" w:fill="auto"/>
            <w:vAlign w:val="bottom"/>
          </w:tcPr>
          <w:p w:rsidR="00174D03" w:rsidRDefault="00C76BD8">
            <w:pPr>
              <w:pStyle w:val="Other10"/>
              <w:spacing w:after="0" w:line="293" w:lineRule="auto"/>
              <w:ind w:left="10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Sekretariat DPL; wlodzimierz.czarzasty@sejm.p; </w:t>
            </w:r>
            <w:hyperlink r:id="rId7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AD@kprm.gov.pl</w:t>
              </w:r>
            </w:hyperlink>
            <w:r>
              <w:rPr>
                <w:rStyle w:val="Other1"/>
                <w:sz w:val="19"/>
                <w:szCs w:val="19"/>
                <w:lang w:val="en-US" w:eastAsia="en-US" w:bidi="en-US"/>
              </w:rPr>
              <w:t xml:space="preserve">; </w:t>
            </w:r>
            <w:hyperlink r:id="rId8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listy@prezydent.pl</w:t>
              </w:r>
            </w:hyperlink>
          </w:p>
        </w:tc>
      </w:tr>
      <w:tr w:rsidR="00174D0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987" w:type="dxa"/>
            <w:shd w:val="clear" w:color="auto" w:fill="auto"/>
          </w:tcPr>
          <w:p w:rsidR="00174D03" w:rsidRDefault="00C76BD8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Temat:</w:t>
            </w:r>
          </w:p>
        </w:tc>
        <w:tc>
          <w:tcPr>
            <w:tcW w:w="6840" w:type="dxa"/>
            <w:shd w:val="clear" w:color="auto" w:fill="auto"/>
          </w:tcPr>
          <w:p w:rsidR="00174D03" w:rsidRDefault="00C76BD8">
            <w:pPr>
              <w:pStyle w:val="Other10"/>
              <w:spacing w:after="0" w:line="240" w:lineRule="auto"/>
              <w:ind w:left="10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Dramatyczna sytuacja mieszkaniowa w Polsce</w:t>
            </w:r>
          </w:p>
        </w:tc>
      </w:tr>
    </w:tbl>
    <w:p w:rsidR="00174D03" w:rsidRDefault="00174D03">
      <w:pPr>
        <w:spacing w:after="1039" w:line="1" w:lineRule="exact"/>
      </w:pPr>
    </w:p>
    <w:p w:rsidR="00174D03" w:rsidRDefault="00C76BD8">
      <w:pPr>
        <w:pStyle w:val="Bodytext20"/>
      </w:pPr>
      <w:r>
        <w:rPr>
          <w:rStyle w:val="Bodytext2"/>
        </w:rPr>
        <w:t>Poczta zewnętrzna. Nie otwieraj linków i załączników z nieznanych źródeł!</w:t>
      </w:r>
    </w:p>
    <w:p w:rsidR="00174D03" w:rsidRDefault="00C76BD8">
      <w:pPr>
        <w:pStyle w:val="Bodytext10"/>
      </w:pPr>
      <w:r>
        <w:rPr>
          <w:rStyle w:val="Bodytext1"/>
        </w:rPr>
        <w:t>Szanowni Państwo,</w:t>
      </w:r>
    </w:p>
    <w:p w:rsidR="00174D03" w:rsidRDefault="00C76BD8">
      <w:pPr>
        <w:pStyle w:val="Bodytext10"/>
      </w:pPr>
      <w:r>
        <w:rPr>
          <w:rStyle w:val="Bodytext1"/>
        </w:rPr>
        <w:t xml:space="preserve">W Polsce od wielu lat mamy dramatyczną sytuacją </w:t>
      </w:r>
      <w:r>
        <w:rPr>
          <w:rStyle w:val="Bodytext1"/>
        </w:rPr>
        <w:t>mieszkaniową, która wynika z:</w:t>
      </w:r>
    </w:p>
    <w:p w:rsidR="00174D03" w:rsidRDefault="00C76BD8">
      <w:pPr>
        <w:pStyle w:val="Bodytext10"/>
        <w:numPr>
          <w:ilvl w:val="0"/>
          <w:numId w:val="1"/>
        </w:numPr>
        <w:tabs>
          <w:tab w:val="left" w:pos="272"/>
        </w:tabs>
      </w:pPr>
      <w:r>
        <w:rPr>
          <w:rStyle w:val="Bodytext1"/>
        </w:rPr>
        <w:t>wolnorynkowego podejścia do zasobów mieszkaniowych,</w:t>
      </w:r>
    </w:p>
    <w:p w:rsidR="00174D03" w:rsidRDefault="00C76BD8">
      <w:pPr>
        <w:pStyle w:val="Bodytext10"/>
        <w:numPr>
          <w:ilvl w:val="0"/>
          <w:numId w:val="1"/>
        </w:numPr>
        <w:tabs>
          <w:tab w:val="left" w:pos="272"/>
        </w:tabs>
      </w:pPr>
      <w:r>
        <w:rPr>
          <w:rStyle w:val="Bodytext1"/>
        </w:rPr>
        <w:t>wprowadzania przez Rząd programów, których efektem jest wzrost cen mieszkań</w:t>
      </w:r>
    </w:p>
    <w:p w:rsidR="00174D03" w:rsidRDefault="00C76BD8">
      <w:pPr>
        <w:pStyle w:val="Bodytext10"/>
        <w:numPr>
          <w:ilvl w:val="0"/>
          <w:numId w:val="1"/>
        </w:numPr>
        <w:tabs>
          <w:tab w:val="left" w:pos="272"/>
        </w:tabs>
        <w:spacing w:line="259" w:lineRule="auto"/>
      </w:pPr>
      <w:r>
        <w:rPr>
          <w:rStyle w:val="Bodytext1"/>
        </w:rPr>
        <w:t>braku kontroli nad źródłami finansowania zakupu kolejnych mieszkań w tzw. celach inwestycyjnych pr</w:t>
      </w:r>
      <w:r>
        <w:rPr>
          <w:rStyle w:val="Bodytext1"/>
        </w:rPr>
        <w:t>zez osoby prywatne, firmy i fundusze inwestycyjne</w:t>
      </w:r>
    </w:p>
    <w:p w:rsidR="00174D03" w:rsidRDefault="00C76BD8">
      <w:pPr>
        <w:pStyle w:val="Bodytext10"/>
        <w:numPr>
          <w:ilvl w:val="0"/>
          <w:numId w:val="1"/>
        </w:numPr>
        <w:tabs>
          <w:tab w:val="left" w:pos="272"/>
        </w:tabs>
      </w:pPr>
      <w:r>
        <w:rPr>
          <w:rStyle w:val="Bodytext1"/>
        </w:rPr>
        <w:t>zbyt niskiego podatku od nieruchomości</w:t>
      </w:r>
    </w:p>
    <w:p w:rsidR="00174D03" w:rsidRDefault="00C76BD8">
      <w:pPr>
        <w:pStyle w:val="Bodytext10"/>
        <w:numPr>
          <w:ilvl w:val="0"/>
          <w:numId w:val="1"/>
        </w:numPr>
        <w:tabs>
          <w:tab w:val="left" w:pos="272"/>
        </w:tabs>
        <w:spacing w:line="266" w:lineRule="auto"/>
      </w:pPr>
      <w:r>
        <w:rPr>
          <w:rStyle w:val="Bodytext1"/>
        </w:rPr>
        <w:t>rozwoju inwestycyjnego wyłącznie dużych ośrodków miejskich, które wywołują migracje i zapotrzebowanie na mieszkania w tychże połączony ze wzrostem cen.</w:t>
      </w:r>
    </w:p>
    <w:p w:rsidR="00174D03" w:rsidRDefault="00C76BD8">
      <w:pPr>
        <w:pStyle w:val="Bodytext10"/>
        <w:spacing w:line="266" w:lineRule="auto"/>
      </w:pPr>
      <w:r>
        <w:rPr>
          <w:rStyle w:val="Bodytext1"/>
        </w:rPr>
        <w:t>Przeciętne wyna</w:t>
      </w:r>
      <w:r>
        <w:rPr>
          <w:rStyle w:val="Bodytext1"/>
        </w:rPr>
        <w:t xml:space="preserve">grodzenie miesięczne </w:t>
      </w:r>
      <w:r>
        <w:rPr>
          <w:rStyle w:val="Bodytext1"/>
          <w:b/>
          <w:bCs/>
        </w:rPr>
        <w:t xml:space="preserve">brutto </w:t>
      </w:r>
      <w:r>
        <w:rPr>
          <w:rStyle w:val="Bodytext1"/>
        </w:rPr>
        <w:t>w gospodarce narodowej w październiku 2025 wyniosło 8</w:t>
      </w:r>
      <w:r w:rsidR="00237C26">
        <w:rPr>
          <w:rStyle w:val="Bodytext1"/>
        </w:rPr>
        <w:t> </w:t>
      </w:r>
      <w:r>
        <w:rPr>
          <w:rStyle w:val="Bodytext1"/>
        </w:rPr>
        <w:t>990, 80 zł. co daje 6 459 zł netto.</w:t>
      </w:r>
    </w:p>
    <w:p w:rsidR="00174D03" w:rsidRDefault="00C76BD8">
      <w:pPr>
        <w:pStyle w:val="Bodytext10"/>
      </w:pPr>
      <w:r>
        <w:rPr>
          <w:rStyle w:val="Bodytext1"/>
        </w:rPr>
        <w:t>Jak na tym tle wyglądają ceny mieszkań źródło Sonar Home:</w:t>
      </w:r>
    </w:p>
    <w:p w:rsidR="00174D03" w:rsidRDefault="00C76BD8">
      <w:pPr>
        <w:pStyle w:val="Bodytext10"/>
      </w:pPr>
      <w:r>
        <w:rPr>
          <w:rStyle w:val="Bodytext1"/>
        </w:rPr>
        <w:t>Warszawa 15 260 zł/m2 brutto</w:t>
      </w:r>
    </w:p>
    <w:p w:rsidR="00174D03" w:rsidRDefault="00C76BD8">
      <w:pPr>
        <w:pStyle w:val="Bodytext10"/>
      </w:pPr>
      <w:r>
        <w:rPr>
          <w:rStyle w:val="Bodytext1"/>
        </w:rPr>
        <w:t>Kraków 14 145 zł/m2 brutto</w:t>
      </w:r>
    </w:p>
    <w:p w:rsidR="00174D03" w:rsidRDefault="00C76BD8">
      <w:pPr>
        <w:pStyle w:val="Bodytext10"/>
      </w:pPr>
      <w:r>
        <w:rPr>
          <w:rStyle w:val="Bodytext1"/>
        </w:rPr>
        <w:t>Lublin 9100 zł/m2 brutto</w:t>
      </w:r>
    </w:p>
    <w:p w:rsidR="00174D03" w:rsidRDefault="00C76BD8">
      <w:pPr>
        <w:pStyle w:val="Bodytext10"/>
      </w:pPr>
      <w:r>
        <w:rPr>
          <w:rStyle w:val="Bodytext1"/>
        </w:rPr>
        <w:t>Tarnowski Góry 5 469 zł/m2 brutto</w:t>
      </w:r>
    </w:p>
    <w:p w:rsidR="00174D03" w:rsidRDefault="00C76BD8">
      <w:pPr>
        <w:pStyle w:val="Bodytext10"/>
      </w:pPr>
      <w:r>
        <w:rPr>
          <w:rStyle w:val="Bodytext1"/>
        </w:rPr>
        <w:t>Zielona Góra 8 131 zł/m2 brutto</w:t>
      </w:r>
    </w:p>
    <w:p w:rsidR="00174D03" w:rsidRDefault="00C76BD8">
      <w:pPr>
        <w:pStyle w:val="Bodytext10"/>
      </w:pPr>
      <w:r>
        <w:rPr>
          <w:rStyle w:val="Bodytext1"/>
        </w:rPr>
        <w:t>Iława 6 511 zł/m2 brutto</w:t>
      </w:r>
    </w:p>
    <w:p w:rsidR="00174D03" w:rsidRDefault="00C76BD8">
      <w:pPr>
        <w:pStyle w:val="Bodytext10"/>
        <w:sectPr w:rsidR="00174D03">
          <w:footerReference w:type="default" r:id="rId9"/>
          <w:pgSz w:w="11900" w:h="16840"/>
          <w:pgMar w:top="673" w:right="695" w:bottom="976" w:left="700" w:header="245" w:footer="3" w:gutter="0"/>
          <w:pgNumType w:fmt="lowerRoman" w:start="1"/>
          <w:cols w:space="720"/>
          <w:noEndnote/>
          <w:docGrid w:linePitch="360"/>
        </w:sectPr>
      </w:pPr>
      <w:r>
        <w:rPr>
          <w:rStyle w:val="Bodytext1"/>
        </w:rPr>
        <w:t>Jakie działanie może podjąć czteroosobowa rodzina z Warszawy, która potrzebuje mieszkania o powierzchni 80m2 ? Musi zapłacić za mieszkanie w Warszawie 1 220 800 zł brutto, przy założeniu, że jest to płatność gotówkowa. Jeśli mówimy o kredycie hipotecznym z</w:t>
      </w:r>
      <w:r>
        <w:rPr>
          <w:rStyle w:val="Bodytext1"/>
        </w:rPr>
        <w:t xml:space="preserve"> wkładem własnym w wysokości 220 800 zł brutto, to rata miesięczna wyniesie przy stałym oprocentowaniu </w:t>
      </w:r>
    </w:p>
    <w:p w:rsidR="00174D03" w:rsidRDefault="00C76BD8">
      <w:pPr>
        <w:pStyle w:val="Bodytext10"/>
      </w:pPr>
      <w:r>
        <w:rPr>
          <w:rStyle w:val="Bodytext1"/>
        </w:rPr>
        <w:lastRenderedPageBreak/>
        <w:t>i spłacie przez 30 lat wyniesie wg. ofert Banku PKO SA - 5 970 zł brutto. Średnia cena najmu ok. 5 000 zł/miesięcznie brutto.</w:t>
      </w:r>
    </w:p>
    <w:p w:rsidR="00174D03" w:rsidRDefault="00C76BD8">
      <w:pPr>
        <w:pStyle w:val="Bodytext10"/>
        <w:spacing w:line="264" w:lineRule="auto"/>
      </w:pPr>
      <w:r>
        <w:rPr>
          <w:rStyle w:val="Bodytext1"/>
          <w:b/>
          <w:bCs/>
        </w:rPr>
        <w:t>Z tych obliczeń wynika, że</w:t>
      </w:r>
      <w:r>
        <w:rPr>
          <w:rStyle w:val="Bodytext1"/>
          <w:b/>
          <w:bCs/>
        </w:rPr>
        <w:t xml:space="preserve"> setek tysięcy osób nie stać ani na wynajem, ani na zakup mieszkania, więc żadne programy </w:t>
      </w:r>
      <w:r>
        <w:rPr>
          <w:rStyle w:val="Bodytext1"/>
          <w:b/>
          <w:bCs/>
          <w:lang w:val="en-US" w:eastAsia="en-US" w:bidi="en-US"/>
        </w:rPr>
        <w:t xml:space="preserve">dot. </w:t>
      </w:r>
      <w:r>
        <w:rPr>
          <w:rStyle w:val="Bodytext1"/>
          <w:b/>
          <w:bCs/>
        </w:rPr>
        <w:t>podniesienia dzietności w oderwaniu od polityki mieszkaniowej nie przynosiły i nie przyniosą rezultatów.</w:t>
      </w:r>
    </w:p>
    <w:p w:rsidR="00174D03" w:rsidRDefault="00C76BD8">
      <w:pPr>
        <w:pStyle w:val="Bodytext10"/>
        <w:spacing w:line="259" w:lineRule="auto"/>
      </w:pPr>
      <w:r>
        <w:rPr>
          <w:rStyle w:val="Bodytext1"/>
        </w:rPr>
        <w:t>W tej sytuacji władze publiczne powinny podjąć skuteczne</w:t>
      </w:r>
      <w:r>
        <w:rPr>
          <w:rStyle w:val="Bodytext1"/>
        </w:rPr>
        <w:t xml:space="preserve"> działania, ponieważ mają narzędzia do tego, aby rynek mieszkaniowy sprowadzić do poziomu cenowego adekwatnego do wynagrodzeń Polaków jeżeli mogły narzucić maksymalną cenę paliwa na stacjach benzynowych.</w:t>
      </w:r>
    </w:p>
    <w:p w:rsidR="00174D03" w:rsidRDefault="00C76BD8">
      <w:pPr>
        <w:pStyle w:val="Bodytext10"/>
        <w:numPr>
          <w:ilvl w:val="0"/>
          <w:numId w:val="2"/>
        </w:numPr>
        <w:tabs>
          <w:tab w:val="left" w:pos="432"/>
        </w:tabs>
        <w:spacing w:after="0" w:line="259" w:lineRule="auto"/>
      </w:pPr>
      <w:r>
        <w:rPr>
          <w:rStyle w:val="Bodytext1"/>
        </w:rPr>
        <w:t>Wprowadzenie wysokiego podatku od drugiej posiadanej</w:t>
      </w:r>
      <w:r>
        <w:rPr>
          <w:rStyle w:val="Bodytext1"/>
        </w:rPr>
        <w:t xml:space="preserve"> nieruchomości, co zmusi Fundusze inwestycyjne i osoby prywatne zarabiające na bardzo wysokich czynszach do sprzedaży mieszkań.</w:t>
      </w:r>
    </w:p>
    <w:p w:rsidR="00174D03" w:rsidRDefault="00C76BD8">
      <w:pPr>
        <w:pStyle w:val="Bodytext10"/>
        <w:spacing w:line="259" w:lineRule="auto"/>
      </w:pPr>
      <w:r>
        <w:rPr>
          <w:rStyle w:val="Bodytext1"/>
        </w:rPr>
        <w:t xml:space="preserve">W mojej klatce schodowej na 9 lokali 7 jest wynajmowanych w tym kilku dobrze sytuowanym obcokrajowcom, których stać na płacenie </w:t>
      </w:r>
      <w:r>
        <w:rPr>
          <w:rStyle w:val="Bodytext1"/>
        </w:rPr>
        <w:t>wysokiego czynszu w Warszawie, w Miasteczku Wilanów.</w:t>
      </w:r>
    </w:p>
    <w:p w:rsidR="00174D03" w:rsidRDefault="00C76BD8">
      <w:pPr>
        <w:pStyle w:val="Bodytext10"/>
        <w:numPr>
          <w:ilvl w:val="0"/>
          <w:numId w:val="2"/>
        </w:numPr>
        <w:tabs>
          <w:tab w:val="left" w:pos="432"/>
        </w:tabs>
      </w:pPr>
      <w:r>
        <w:rPr>
          <w:rStyle w:val="Bodytext1"/>
        </w:rPr>
        <w:t>Uniemożliwienie obcokrajowcom spoza Unii Europejskiej zakupu mieszkań w Polsce.</w:t>
      </w:r>
    </w:p>
    <w:p w:rsidR="00174D03" w:rsidRDefault="00C76BD8">
      <w:pPr>
        <w:pStyle w:val="Bodytext10"/>
        <w:numPr>
          <w:ilvl w:val="0"/>
          <w:numId w:val="2"/>
        </w:numPr>
        <w:tabs>
          <w:tab w:val="left" w:pos="432"/>
        </w:tabs>
        <w:spacing w:line="266" w:lineRule="auto"/>
      </w:pPr>
      <w:r>
        <w:rPr>
          <w:rStyle w:val="Bodytext1"/>
        </w:rPr>
        <w:t>Uruchamianie lokalnych inwestycji związanych z tworzeniem nowych miejsc pracy przeciwdziałąjące wyludnianiu małych ośrodków</w:t>
      </w:r>
      <w:r>
        <w:rPr>
          <w:rStyle w:val="Bodytext1"/>
        </w:rPr>
        <w:t xml:space="preserve"> miejskich.</w:t>
      </w:r>
    </w:p>
    <w:p w:rsidR="00174D03" w:rsidRDefault="00C76BD8">
      <w:pPr>
        <w:pStyle w:val="Bodytext10"/>
        <w:numPr>
          <w:ilvl w:val="0"/>
          <w:numId w:val="2"/>
        </w:numPr>
        <w:tabs>
          <w:tab w:val="left" w:pos="432"/>
        </w:tabs>
        <w:spacing w:line="259" w:lineRule="auto"/>
      </w:pPr>
      <w:r>
        <w:rPr>
          <w:rStyle w:val="Bodytext1"/>
        </w:rPr>
        <w:t xml:space="preserve">Uruchomienie programu zamiany mieszkań w celu dostosowania do aktualnych potrzeb, szczególnie </w:t>
      </w:r>
      <w:r>
        <w:rPr>
          <w:rStyle w:val="Bodytext1"/>
          <w:lang w:val="en-US" w:eastAsia="en-US" w:bidi="en-US"/>
        </w:rPr>
        <w:t xml:space="preserve">dot. </w:t>
      </w:r>
      <w:r>
        <w:rPr>
          <w:rStyle w:val="Bodytext1"/>
        </w:rPr>
        <w:t>osób starszych, które są samotne i nie mają wiedzy w tym zakresie stając się niejednokrotnie łupem oszustów, którzy wyłudzają od nich prawo do mi</w:t>
      </w:r>
      <w:r>
        <w:rPr>
          <w:rStyle w:val="Bodytext1"/>
        </w:rPr>
        <w:t>eszkania.</w:t>
      </w:r>
    </w:p>
    <w:p w:rsidR="00174D03" w:rsidRDefault="00C76BD8">
      <w:pPr>
        <w:pStyle w:val="Bodytext10"/>
      </w:pPr>
      <w:r>
        <w:rPr>
          <w:rStyle w:val="Bodytext1"/>
        </w:rPr>
        <w:t xml:space="preserve">W dniu 1 kwietnia na Portalu Otodom są dostępne następujące informacje </w:t>
      </w:r>
      <w:r>
        <w:rPr>
          <w:rStyle w:val="Bodytext1"/>
          <w:lang w:val="en-US" w:eastAsia="en-US" w:bidi="en-US"/>
        </w:rPr>
        <w:t xml:space="preserve">dot. </w:t>
      </w:r>
      <w:r>
        <w:rPr>
          <w:rStyle w:val="Bodytext1"/>
        </w:rPr>
        <w:t>Warszawy :</w:t>
      </w:r>
    </w:p>
    <w:p w:rsidR="00174D03" w:rsidRDefault="00C76BD8">
      <w:pPr>
        <w:pStyle w:val="Bodytext10"/>
        <w:spacing w:line="259" w:lineRule="auto"/>
      </w:pPr>
      <w:r>
        <w:rPr>
          <w:rStyle w:val="Bodytext1"/>
        </w:rPr>
        <w:t>oferta mieszkań do kupienia - 18 257,wynajem - 6 875, Oprócz tego dostępne są lokale na wynajem krótkoterminowy.</w:t>
      </w:r>
    </w:p>
    <w:p w:rsidR="00174D03" w:rsidRDefault="00C76BD8">
      <w:pPr>
        <w:pStyle w:val="Bodytext10"/>
      </w:pPr>
      <w:r>
        <w:rPr>
          <w:rStyle w:val="Bodytext1"/>
          <w:b/>
          <w:bCs/>
        </w:rPr>
        <w:t xml:space="preserve">Podsumowując, tylko w Warszawie jest na dzień </w:t>
      </w:r>
      <w:r>
        <w:rPr>
          <w:rStyle w:val="Bodytext1"/>
          <w:b/>
          <w:bCs/>
        </w:rPr>
        <w:t xml:space="preserve">dzisiejszy </w:t>
      </w:r>
      <w:r>
        <w:rPr>
          <w:rStyle w:val="Bodytext1"/>
          <w:b/>
          <w:bCs/>
          <w:color w:val="F60505"/>
        </w:rPr>
        <w:t xml:space="preserve">ponad 25 tysięcy mieszkań, </w:t>
      </w:r>
      <w:r>
        <w:rPr>
          <w:rStyle w:val="Bodytext1"/>
          <w:b/>
          <w:bCs/>
        </w:rPr>
        <w:t>które stały się dobrem inwestycyjnym, sposobem na zarabianie pieniędzy a nie dobrem podstawowym niezbędnym do życia. Ich właściciele wraz z Deweloperami, korzystając z napływu obcokrajowców w</w:t>
      </w:r>
      <w:r w:rsidR="00237C26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>związku z trwającą wojną z</w:t>
      </w:r>
      <w:r>
        <w:rPr>
          <w:rStyle w:val="Bodytext1"/>
          <w:b/>
          <w:bCs/>
        </w:rPr>
        <w:t>a naszą wschodnią granicą nadmuchali bańkę mieszkaniową i zbierają żniwo a problem ten dotyczy wszystkich dużych miast w Polsce.</w:t>
      </w:r>
    </w:p>
    <w:p w:rsidR="00174D03" w:rsidRDefault="00C76BD8">
      <w:pPr>
        <w:pStyle w:val="Bodytext10"/>
        <w:jc w:val="both"/>
      </w:pPr>
      <w:r>
        <w:rPr>
          <w:rStyle w:val="Bodytext1"/>
        </w:rPr>
        <w:t>Oczekuję pilnego rozwiązania problemu mieszkaniowego w dużych miastach, bo skutki braku odpowiedniej polityki już przynoszę neg</w:t>
      </w:r>
      <w:r>
        <w:rPr>
          <w:rStyle w:val="Bodytext1"/>
        </w:rPr>
        <w:t>atywne rezultaty a będzie jeszcze gorzej. Dochody wielu grup społecznych takich jak: nauczyciele, urzędnicy, policjanci, pielęgniarki, pracownicy pomocy społecznej, pracownicy handlu, usług, pracownicy miejskich zakładów oczyszczania, Poczty Polskiej, służ</w:t>
      </w:r>
      <w:r>
        <w:rPr>
          <w:rStyle w:val="Bodytext1"/>
        </w:rPr>
        <w:t>by więzienniczej nie pozwalają ani na zakup ani na wynajęcie niezbędnego do życia mieszkania, założenia rodziny i posiadania dzieci. Według obliczeń Centrum im. Adama Smitha koszt wychowania jednego dziecka do osiągnięcia osiemnastego roku życia w roku 202</w:t>
      </w:r>
      <w:r>
        <w:rPr>
          <w:rStyle w:val="Bodytext1"/>
        </w:rPr>
        <w:t>4 wyniósł 346 tys. do czasu uzyskania pełnoletniości ( 1 602 zł miesięcznie ) a dwójki dzieci 579 tys. Według danych GUS w 2025 roku w Polsce urodziło się 238 tys dzieci o 14 tysięcy mniej niż w roku 2024. Podczas gdy w latach 70-80 rodziło się w Polsce ok</w:t>
      </w:r>
      <w:r>
        <w:rPr>
          <w:rStyle w:val="Bodytext1"/>
        </w:rPr>
        <w:t>oło 700 tys rocznie. Różnice są porażające a</w:t>
      </w:r>
      <w:r w:rsidR="00237C26">
        <w:rPr>
          <w:rStyle w:val="Bodytext1"/>
        </w:rPr>
        <w:t> </w:t>
      </w:r>
      <w:r>
        <w:rPr>
          <w:rStyle w:val="Bodytext1"/>
        </w:rPr>
        <w:t>przyczyny znane.</w:t>
      </w:r>
    </w:p>
    <w:p w:rsidR="00174D03" w:rsidRDefault="00C76BD8">
      <w:pPr>
        <w:pStyle w:val="Bodytext10"/>
        <w:spacing w:after="0" w:line="259" w:lineRule="auto"/>
      </w:pPr>
      <w:r>
        <w:rPr>
          <w:rStyle w:val="Bodytext1"/>
        </w:rPr>
        <w:t xml:space="preserve">W Konstytucj RP znajduje się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75 </w:t>
      </w:r>
      <w:r>
        <w:rPr>
          <w:rStyle w:val="Bodytext1"/>
          <w:lang w:val="en-US" w:eastAsia="en-US" w:bidi="en-US"/>
        </w:rPr>
        <w:t xml:space="preserve">p.1 dot. </w:t>
      </w:r>
      <w:r>
        <w:rPr>
          <w:rStyle w:val="Bodytext1"/>
        </w:rPr>
        <w:t>zaspokajania potrzeb mieszkaniowych:</w:t>
      </w:r>
    </w:p>
    <w:p w:rsidR="00174D03" w:rsidRDefault="00C76BD8">
      <w:pPr>
        <w:pStyle w:val="Bodytext10"/>
        <w:spacing w:line="259" w:lineRule="auto"/>
      </w:pPr>
      <w:r>
        <w:rPr>
          <w:rStyle w:val="Bodytext1"/>
        </w:rPr>
        <w:t>Władze publiczne prowadzą politykę sprzyjającą zaspokojeniu potrzeb mieszkaniowych obywateli, w</w:t>
      </w:r>
      <w:r w:rsidR="00237C26">
        <w:rPr>
          <w:rStyle w:val="Bodytext1"/>
        </w:rPr>
        <w:t> </w:t>
      </w:r>
      <w:bookmarkStart w:id="0" w:name="_GoBack"/>
      <w:bookmarkEnd w:id="0"/>
      <w:r>
        <w:rPr>
          <w:rStyle w:val="Bodytext1"/>
        </w:rPr>
        <w:t>szczególności p</w:t>
      </w:r>
      <w:r>
        <w:rPr>
          <w:rStyle w:val="Bodytext1"/>
        </w:rPr>
        <w:t>rzeciwdziałają bezdomności, wspierają rozwój budownictwa socjalnego oraz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popierają działania obywateli zmierzające do uzyskania własnego mieszkania i czas najwyższy, aby się tym skutecznie zająć. Dlatego oczekuję, że Sejm, Rząd, Prezydent podejmą pilnie ws</w:t>
      </w:r>
      <w:r>
        <w:rPr>
          <w:rStyle w:val="Bodytext1"/>
        </w:rPr>
        <w:t>pólne działania wymienione powyżej, w przeciwnym razie grozi nam wyludnienie, emigracja i w efekcie końcowym upadek naszego kraju. Ja już dzisiaj czuję się jakbym nie mieszkała w Polsce bo częściej słyszę wokół siebie języki obce a nie własny polski.</w:t>
      </w:r>
    </w:p>
    <w:p w:rsidR="00174D03" w:rsidRDefault="00C76BD8">
      <w:pPr>
        <w:pStyle w:val="Bodytext10"/>
        <w:spacing w:line="264" w:lineRule="auto"/>
        <w:jc w:val="both"/>
      </w:pPr>
      <w:r>
        <w:rPr>
          <w:rStyle w:val="Bodytext1"/>
        </w:rPr>
        <w:t>Z pow</w:t>
      </w:r>
      <w:r>
        <w:rPr>
          <w:rStyle w:val="Bodytext1"/>
        </w:rPr>
        <w:t>ażaniem</w:t>
      </w:r>
    </w:p>
    <w:p w:rsidR="00174D03" w:rsidRDefault="00174D03">
      <w:pPr>
        <w:pStyle w:val="Bodytext10"/>
        <w:spacing w:line="264" w:lineRule="auto"/>
        <w:jc w:val="both"/>
      </w:pPr>
    </w:p>
    <w:sectPr w:rsidR="00174D03">
      <w:footerReference w:type="default" r:id="rId10"/>
      <w:pgSz w:w="11900" w:h="16840"/>
      <w:pgMar w:top="673" w:right="695" w:bottom="976" w:left="700" w:header="24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D8" w:rsidRDefault="00C76BD8">
      <w:r>
        <w:separator/>
      </w:r>
    </w:p>
  </w:endnote>
  <w:endnote w:type="continuationSeparator" w:id="0">
    <w:p w:rsidR="00C76BD8" w:rsidRDefault="00C7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03" w:rsidRDefault="00C76BD8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3766185</wp:posOffset>
              </wp:positionH>
              <wp:positionV relativeFrom="page">
                <wp:posOffset>10137140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4D03" w:rsidRDefault="00C76BD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7C26" w:rsidRPr="00237C26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6.55pt;margin-top:798.2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vXjSjt8AAAANAQAA&#10;DwAAAAAAAAAAAAAAAADsAwAAZHJzL2Rvd25yZXYueG1sUEsFBgAAAAAEAAQA8wAAAPgEAAAAAA==&#10;" filled="f" stroked="f">
              <v:textbox style="mso-fit-shape-to-text:t" inset="0,0,0,0">
                <w:txbxContent>
                  <w:p w:rsidR="00174D03" w:rsidRDefault="00C76BD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7C26" w:rsidRPr="00237C26">
                      <w:rPr>
                        <w:rStyle w:val="Headerorfooter2"/>
                        <w:noProof/>
                        <w:sz w:val="17"/>
                        <w:szCs w:val="17"/>
                      </w:rPr>
                      <w:t>i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D03" w:rsidRDefault="00C76BD8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10141585</wp:posOffset>
              </wp:positionV>
              <wp:extent cx="4127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4D03" w:rsidRDefault="00C76BD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7C26" w:rsidRPr="00237C26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5.65pt;margin-top:798.55pt;width:3.25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" filled="f" stroked="f">
              <v:textbox style="mso-fit-shape-to-text:t" inset="0,0,0,0">
                <w:txbxContent>
                  <w:p w:rsidR="00174D03" w:rsidRDefault="00C76BD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7C26" w:rsidRPr="00237C26">
                      <w:rPr>
                        <w:rStyle w:val="Headerorfooter2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D8" w:rsidRDefault="00C76BD8"/>
  </w:footnote>
  <w:footnote w:type="continuationSeparator" w:id="0">
    <w:p w:rsidR="00C76BD8" w:rsidRDefault="00C76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917"/>
    <w:multiLevelType w:val="multilevel"/>
    <w:tmpl w:val="487E99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E065B8"/>
    <w:multiLevelType w:val="multilevel"/>
    <w:tmpl w:val="2EB680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03"/>
    <w:rsid w:val="00174D03"/>
    <w:rsid w:val="00237C26"/>
    <w:rsid w:val="00C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CEAF"/>
  <w15:docId w15:val="{A4D39B06-F5E9-4B88-9254-045D5AD1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color w:val="F60505"/>
      <w:u w:val="none"/>
    </w:rPr>
  </w:style>
  <w:style w:type="paragraph" w:customStyle="1" w:styleId="Bodytext10">
    <w:name w:val="Body text|1"/>
    <w:basedOn w:val="Normalny"/>
    <w:link w:val="Bodytext1"/>
    <w:pPr>
      <w:spacing w:after="260" w:line="262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Other10">
    <w:name w:val="Other|1"/>
    <w:basedOn w:val="Normalny"/>
    <w:link w:val="Other1"/>
    <w:pPr>
      <w:spacing w:after="260" w:line="262" w:lineRule="auto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after="840"/>
    </w:pPr>
    <w:rPr>
      <w:color w:val="F605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y@prezyden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4566</Characters>
  <Application>Microsoft Office Word</Application>
  <DocSecurity>0</DocSecurity>
  <Lines>38</Lines>
  <Paragraphs>10</Paragraphs>
  <ScaleCrop>false</ScaleCrop>
  <Company>MSWiA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2026-06-19T11:44:00Z</dcterms:created>
  <dcterms:modified xsi:type="dcterms:W3CDTF">2026-06-19T11:44:00Z</dcterms:modified>
</cp:coreProperties>
</file>