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FD" w:rsidRDefault="00F729FE" w:rsidP="006501FD">
      <w:pPr>
        <w:tabs>
          <w:tab w:val="left" w:pos="5865"/>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Załącznik B.99</w:t>
      </w:r>
      <w:r w:rsidR="006501FD" w:rsidRPr="006501FD">
        <w:rPr>
          <w:rFonts w:ascii="Times New Roman" w:eastAsia="Times New Roman" w:hAnsi="Times New Roman" w:cs="Times New Roman"/>
          <w:szCs w:val="20"/>
          <w:lang w:eastAsia="pl-PL"/>
        </w:rPr>
        <w:t>.</w:t>
      </w:r>
    </w:p>
    <w:p w:rsidR="006501FD" w:rsidRPr="006501FD" w:rsidRDefault="006501FD" w:rsidP="006501FD">
      <w:pPr>
        <w:tabs>
          <w:tab w:val="left" w:pos="5865"/>
        </w:tabs>
        <w:spacing w:after="0" w:line="240" w:lineRule="auto"/>
        <w:jc w:val="both"/>
        <w:rPr>
          <w:rFonts w:ascii="Times New Roman" w:eastAsia="Times New Roman" w:hAnsi="Times New Roman" w:cs="Times New Roman"/>
          <w:b/>
          <w:lang w:eastAsia="pl-PL"/>
        </w:rPr>
      </w:pPr>
    </w:p>
    <w:p w:rsidR="009B6E4C" w:rsidRPr="009B6E4C" w:rsidRDefault="009B6E4C" w:rsidP="006501FD">
      <w:pPr>
        <w:tabs>
          <w:tab w:val="left" w:pos="5865"/>
        </w:tabs>
        <w:spacing w:after="240" w:line="240" w:lineRule="auto"/>
        <w:jc w:val="both"/>
        <w:rPr>
          <w:rFonts w:ascii="Times New Roman" w:eastAsia="Times New Roman" w:hAnsi="Times New Roman" w:cs="Times New Roman"/>
          <w:b/>
          <w:sz w:val="28"/>
          <w:szCs w:val="24"/>
          <w:lang w:eastAsia="pl-PL"/>
        </w:rPr>
      </w:pPr>
      <w:r w:rsidRPr="009B6E4C">
        <w:rPr>
          <w:rFonts w:ascii="Times New Roman" w:eastAsia="Times New Roman" w:hAnsi="Times New Roman" w:cs="Times New Roman"/>
          <w:b/>
          <w:sz w:val="28"/>
          <w:szCs w:val="24"/>
          <w:lang w:eastAsia="pl-PL"/>
        </w:rPr>
        <w:t>LECZENIE</w:t>
      </w:r>
      <w:r w:rsidR="00F729FE" w:rsidRPr="00F729FE">
        <w:rPr>
          <w:rFonts w:ascii="Times New Roman" w:eastAsia="Times New Roman" w:hAnsi="Times New Roman" w:cs="Times New Roman"/>
          <w:b/>
          <w:sz w:val="28"/>
          <w:szCs w:val="24"/>
          <w:lang w:eastAsia="pl-PL"/>
        </w:rPr>
        <w:t xml:space="preserve"> AKROMEGALII PASYREOTYDEM (ICD-10 E22.0)</w:t>
      </w:r>
    </w:p>
    <w:tbl>
      <w:tblPr>
        <w:tblW w:w="4901" w:type="pct"/>
        <w:tblInd w:w="-8" w:type="dxa"/>
        <w:tblCellMar>
          <w:left w:w="70" w:type="dxa"/>
          <w:right w:w="70" w:type="dxa"/>
        </w:tblCellMar>
        <w:tblLook w:val="0000" w:firstRow="0" w:lastRow="0" w:firstColumn="0" w:lastColumn="0" w:noHBand="0" w:noVBand="0"/>
      </w:tblPr>
      <w:tblGrid>
        <w:gridCol w:w="5388"/>
        <w:gridCol w:w="3878"/>
        <w:gridCol w:w="5811"/>
      </w:tblGrid>
      <w:tr w:rsidR="00F729FE" w:rsidRPr="001116D2" w:rsidTr="006B1C2D">
        <w:trPr>
          <w:trHeight w:val="407"/>
        </w:trPr>
        <w:tc>
          <w:tcPr>
            <w:tcW w:w="5000" w:type="pct"/>
            <w:gridSpan w:val="3"/>
            <w:tcBorders>
              <w:top w:val="single" w:sz="6" w:space="0" w:color="auto"/>
              <w:left w:val="single" w:sz="6" w:space="0" w:color="auto"/>
              <w:bottom w:val="nil"/>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ZAKRES ŚWIADCZENIA GWARANTOWANEGO</w:t>
            </w:r>
          </w:p>
        </w:tc>
      </w:tr>
      <w:tr w:rsidR="00F729FE" w:rsidRPr="001116D2" w:rsidTr="006B1C2D">
        <w:trPr>
          <w:trHeight w:val="680"/>
        </w:trPr>
        <w:tc>
          <w:tcPr>
            <w:tcW w:w="1787"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ŚWIADCZENIOBIORCY</w:t>
            </w:r>
          </w:p>
        </w:tc>
        <w:tc>
          <w:tcPr>
            <w:tcW w:w="1286"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SCHEMAT DAWKOWANIA LEKÓW w PROGRAMIE</w:t>
            </w:r>
          </w:p>
        </w:tc>
        <w:tc>
          <w:tcPr>
            <w:tcW w:w="1927" w:type="pct"/>
            <w:tcBorders>
              <w:top w:val="single" w:sz="6" w:space="0" w:color="auto"/>
              <w:left w:val="single" w:sz="6" w:space="0" w:color="auto"/>
              <w:bottom w:val="single" w:sz="6" w:space="0" w:color="auto"/>
              <w:right w:val="single" w:sz="6" w:space="0" w:color="auto"/>
            </w:tcBorders>
            <w:vAlign w:val="center"/>
          </w:tcPr>
          <w:p w:rsidR="00F729FE" w:rsidRPr="00FE4F27" w:rsidRDefault="00F729FE" w:rsidP="00F729FE">
            <w:pPr>
              <w:widowControl w:val="0"/>
              <w:spacing w:after="0"/>
              <w:jc w:val="center"/>
              <w:rPr>
                <w:rFonts w:ascii="Times New Roman" w:eastAsia="Times New Roman" w:hAnsi="Times New Roman" w:cs="Times New Roman"/>
                <w:b/>
                <w:sz w:val="20"/>
                <w:szCs w:val="20"/>
                <w:lang w:eastAsia="pl-PL"/>
              </w:rPr>
            </w:pPr>
            <w:r w:rsidRPr="00FE4F27">
              <w:rPr>
                <w:rFonts w:ascii="Times New Roman" w:eastAsia="Times New Roman" w:hAnsi="Times New Roman" w:cs="Times New Roman"/>
                <w:b/>
                <w:sz w:val="20"/>
                <w:szCs w:val="20"/>
                <w:lang w:eastAsia="pl-PL"/>
              </w:rPr>
              <w:t>BADANIA DIAGNOSTYCZNE WYKONYWANE w RAMACH PROGRAMU</w:t>
            </w:r>
          </w:p>
        </w:tc>
      </w:tr>
      <w:tr w:rsidR="00F729FE" w:rsidRPr="001116D2" w:rsidTr="006B1C2D">
        <w:tc>
          <w:tcPr>
            <w:tcW w:w="1787" w:type="pct"/>
            <w:tcBorders>
              <w:top w:val="single" w:sz="6" w:space="0" w:color="auto"/>
              <w:left w:val="single" w:sz="6" w:space="0" w:color="auto"/>
              <w:bottom w:val="single" w:sz="6" w:space="0" w:color="auto"/>
              <w:right w:val="single" w:sz="6" w:space="0" w:color="auto"/>
            </w:tcBorders>
          </w:tcPr>
          <w:p w:rsidR="00F729FE" w:rsidRPr="0073124E" w:rsidRDefault="00F729FE" w:rsidP="00F729FE">
            <w:pPr>
              <w:numPr>
                <w:ilvl w:val="0"/>
                <w:numId w:val="16"/>
              </w:numPr>
              <w:spacing w:before="120" w:after="120"/>
              <w:ind w:left="357" w:right="87" w:hanging="357"/>
              <w:jc w:val="both"/>
              <w:rPr>
                <w:rFonts w:ascii="Times New Roman" w:eastAsia="Times New Roman" w:hAnsi="Times New Roman"/>
                <w:b/>
                <w:sz w:val="20"/>
                <w:szCs w:val="20"/>
              </w:rPr>
            </w:pPr>
            <w:r w:rsidRPr="0073124E">
              <w:rPr>
                <w:rFonts w:ascii="Times New Roman" w:eastAsia="Times New Roman" w:hAnsi="Times New Roman"/>
                <w:b/>
                <w:sz w:val="20"/>
                <w:szCs w:val="20"/>
              </w:rPr>
              <w:t>Kryteria kwalifikacji</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dorośli chorzy, wiek co najmniej 18 lat;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akromegalia rozpoznana na podstawie powszechnie przyjętych kryteriów klinicznych i biochemicznych;</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pacjenci, u których leczenie operacyjne (zabieg neurochirurgiczny usunięcia guza </w:t>
            </w:r>
            <w:proofErr w:type="spellStart"/>
            <w:r w:rsidRPr="0073124E">
              <w:rPr>
                <w:rFonts w:ascii="Times New Roman" w:eastAsia="Times New Roman" w:hAnsi="Times New Roman"/>
                <w:sz w:val="20"/>
                <w:szCs w:val="20"/>
              </w:rPr>
              <w:t>somatotropowego</w:t>
            </w:r>
            <w:proofErr w:type="spellEnd"/>
            <w:r w:rsidRPr="0073124E">
              <w:rPr>
                <w:rFonts w:ascii="Times New Roman" w:eastAsia="Times New Roman" w:hAnsi="Times New Roman"/>
                <w:sz w:val="20"/>
                <w:szCs w:val="20"/>
              </w:rPr>
              <w:t xml:space="preserve"> przysadki) nie doprowadziło do normalizacji stężenia GH (w doustnym teście obciążenia glukozą OGTT lub w profilu GH) oraz stężenia IGF-1 prawidłowego dla płci i wieku i którzy nie osiągnęli biochemicznej kontroli akromegalii po przynajmniej 6-cio miesięcznym okresie leczenia uzupełniającego analogami </w:t>
            </w:r>
            <w:proofErr w:type="spellStart"/>
            <w:r w:rsidRPr="0073124E">
              <w:rPr>
                <w:rFonts w:ascii="Times New Roman" w:eastAsia="Times New Roman" w:hAnsi="Times New Roman"/>
                <w:sz w:val="20"/>
                <w:szCs w:val="20"/>
              </w:rPr>
              <w:t>somatostatyny</w:t>
            </w:r>
            <w:proofErr w:type="spellEnd"/>
            <w:r w:rsidRPr="0073124E">
              <w:rPr>
                <w:rFonts w:ascii="Times New Roman" w:eastAsia="Times New Roman" w:hAnsi="Times New Roman"/>
                <w:sz w:val="20"/>
                <w:szCs w:val="20"/>
              </w:rPr>
              <w:t xml:space="preserve"> o przedłużonym działaniu tj. </w:t>
            </w:r>
            <w:proofErr w:type="spellStart"/>
            <w:r w:rsidRPr="0073124E">
              <w:rPr>
                <w:rFonts w:ascii="Times New Roman" w:eastAsia="Times New Roman" w:hAnsi="Times New Roman"/>
                <w:sz w:val="20"/>
                <w:szCs w:val="20"/>
              </w:rPr>
              <w:t>oktreotydem</w:t>
            </w:r>
            <w:proofErr w:type="spellEnd"/>
            <w:r w:rsidRPr="0073124E">
              <w:rPr>
                <w:rFonts w:ascii="Times New Roman" w:eastAsia="Times New Roman" w:hAnsi="Times New Roman"/>
                <w:sz w:val="20"/>
                <w:szCs w:val="20"/>
              </w:rPr>
              <w:t xml:space="preserve"> w dawce ≥30 mg lub </w:t>
            </w:r>
            <w:proofErr w:type="spellStart"/>
            <w:r w:rsidRPr="0073124E">
              <w:rPr>
                <w:rFonts w:ascii="Times New Roman" w:eastAsia="Times New Roman" w:hAnsi="Times New Roman"/>
                <w:sz w:val="20"/>
                <w:szCs w:val="20"/>
              </w:rPr>
              <w:t>lanreotydem</w:t>
            </w:r>
            <w:proofErr w:type="spellEnd"/>
            <w:r w:rsidRPr="0073124E">
              <w:rPr>
                <w:rFonts w:ascii="Times New Roman" w:eastAsia="Times New Roman" w:hAnsi="Times New Roman"/>
                <w:sz w:val="20"/>
                <w:szCs w:val="20"/>
              </w:rPr>
              <w:t xml:space="preserve"> w dawce 120 mg, podawanymi co 28 dni;</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którzy nie są kandydatami do ponownego leczenia operacyjnego (ponowna operacja w opinii specjalisty neurochirurga nie poprawi kontroli choroby lub leczenie chirurgiczne nie jest możliwe);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pacjenci, którzy nie byli dotychczas operowani mogą być kwalifikowani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wyłącznie w sytuacji, gdy leczenie chirurgiczne nie jest możliwe i nie uzyskano kontroli biochemicznej choroby po przynajmniej </w:t>
            </w:r>
            <w:r w:rsidRPr="0073124E">
              <w:rPr>
                <w:rFonts w:ascii="Times New Roman" w:eastAsia="Times New Roman" w:hAnsi="Times New Roman"/>
                <w:sz w:val="20"/>
                <w:szCs w:val="20"/>
              </w:rPr>
              <w:lastRenderedPageBreak/>
              <w:t xml:space="preserve">6-cio miesięcznym okresie leczenia analogami </w:t>
            </w:r>
            <w:proofErr w:type="spellStart"/>
            <w:r w:rsidRPr="0073124E">
              <w:rPr>
                <w:rFonts w:ascii="Times New Roman" w:eastAsia="Times New Roman" w:hAnsi="Times New Roman"/>
                <w:sz w:val="20"/>
                <w:szCs w:val="20"/>
              </w:rPr>
              <w:t>somatostatyny</w:t>
            </w:r>
            <w:proofErr w:type="spellEnd"/>
            <w:r w:rsidRPr="0073124E">
              <w:rPr>
                <w:rFonts w:ascii="Times New Roman" w:eastAsia="Times New Roman" w:hAnsi="Times New Roman"/>
                <w:sz w:val="20"/>
                <w:szCs w:val="20"/>
              </w:rPr>
              <w:t xml:space="preserve"> o przedłużonym działaniu tj.</w:t>
            </w:r>
            <w:r>
              <w:rPr>
                <w:rFonts w:ascii="Times New Roman" w:eastAsia="Times New Roman" w:hAnsi="Times New Roman"/>
                <w:sz w:val="20"/>
                <w:szCs w:val="20"/>
              </w:rPr>
              <w:t> </w:t>
            </w:r>
            <w:proofErr w:type="spellStart"/>
            <w:r w:rsidRPr="0073124E">
              <w:rPr>
                <w:rFonts w:ascii="Times New Roman" w:eastAsia="Times New Roman" w:hAnsi="Times New Roman"/>
                <w:sz w:val="20"/>
                <w:szCs w:val="20"/>
              </w:rPr>
              <w:t>oktreotydem</w:t>
            </w:r>
            <w:proofErr w:type="spellEnd"/>
            <w:r w:rsidRPr="0073124E">
              <w:rPr>
                <w:rFonts w:ascii="Times New Roman" w:eastAsia="Times New Roman" w:hAnsi="Times New Roman"/>
                <w:sz w:val="20"/>
                <w:szCs w:val="20"/>
              </w:rPr>
              <w:t xml:space="preserve"> w dawce ≥30 mg lub </w:t>
            </w:r>
            <w:proofErr w:type="spellStart"/>
            <w:r w:rsidRPr="0073124E">
              <w:rPr>
                <w:rFonts w:ascii="Times New Roman" w:eastAsia="Times New Roman" w:hAnsi="Times New Roman"/>
                <w:sz w:val="20"/>
                <w:szCs w:val="20"/>
              </w:rPr>
              <w:t>lanreotydem</w:t>
            </w:r>
            <w:proofErr w:type="spellEnd"/>
            <w:r w:rsidRPr="0073124E">
              <w:rPr>
                <w:rFonts w:ascii="Times New Roman" w:eastAsia="Times New Roman" w:hAnsi="Times New Roman"/>
                <w:sz w:val="20"/>
                <w:szCs w:val="20"/>
              </w:rPr>
              <w:t xml:space="preserve"> w dawce 120 mg, podawanymi co 28 dni;</w:t>
            </w:r>
          </w:p>
          <w:p w:rsidR="00F729FE" w:rsidRDefault="00F729FE" w:rsidP="00F729FE">
            <w:pPr>
              <w:numPr>
                <w:ilvl w:val="1"/>
                <w:numId w:val="16"/>
              </w:numPr>
              <w:spacing w:after="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kwalifikacja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wymaga spełnienia warunków 1, 2, 3, 4 łącznie lub 1, 2, 5 łącznie.</w:t>
            </w:r>
          </w:p>
          <w:p w:rsidR="006E3227" w:rsidRPr="0073124E" w:rsidRDefault="006E3227" w:rsidP="006E3227">
            <w:pPr>
              <w:spacing w:before="120" w:after="0"/>
              <w:ind w:right="87"/>
              <w:jc w:val="both"/>
              <w:rPr>
                <w:rFonts w:ascii="Times New Roman" w:eastAsia="Times New Roman" w:hAnsi="Times New Roman"/>
                <w:sz w:val="20"/>
                <w:szCs w:val="20"/>
              </w:rPr>
            </w:pPr>
            <w:r>
              <w:rPr>
                <w:rFonts w:ascii="Times New Roman" w:eastAsia="Times New Roman" w:hAnsi="Times New Roman"/>
                <w:sz w:val="20"/>
                <w:szCs w:val="20"/>
              </w:rPr>
              <w:t xml:space="preserve">Ponadto do programu lekowego kwalifikowani są również pacjenci, którzy byli leczeni </w:t>
            </w:r>
            <w:proofErr w:type="spellStart"/>
            <w:r>
              <w:rPr>
                <w:rFonts w:ascii="Times New Roman" w:eastAsia="Times New Roman" w:hAnsi="Times New Roman"/>
                <w:sz w:val="20"/>
                <w:szCs w:val="20"/>
              </w:rPr>
              <w:t>pas</w:t>
            </w:r>
            <w:r w:rsidR="006B1C2D">
              <w:rPr>
                <w:rFonts w:ascii="Times New Roman" w:eastAsia="Times New Roman" w:hAnsi="Times New Roman"/>
                <w:sz w:val="20"/>
                <w:szCs w:val="20"/>
              </w:rPr>
              <w:t>y</w:t>
            </w:r>
            <w:r>
              <w:rPr>
                <w:rFonts w:ascii="Times New Roman" w:eastAsia="Times New Roman" w:hAnsi="Times New Roman"/>
                <w:sz w:val="20"/>
                <w:szCs w:val="20"/>
              </w:rPr>
              <w:t>reotydem</w:t>
            </w:r>
            <w:proofErr w:type="spellEnd"/>
            <w:r>
              <w:rPr>
                <w:rFonts w:ascii="Times New Roman" w:eastAsia="Times New Roman" w:hAnsi="Times New Roman"/>
                <w:sz w:val="20"/>
                <w:szCs w:val="20"/>
              </w:rPr>
              <w:t xml:space="preserve"> w ramach innego sposobu finansowania terapii, pod warunkiem, że w chwili rozpoczęcia leczenia spełniali kryteria kwalifikacji do programu lekowego</w:t>
            </w:r>
          </w:p>
          <w:p w:rsidR="00F729FE" w:rsidRPr="0073124E" w:rsidRDefault="00F729FE" w:rsidP="00F729FE">
            <w:pPr>
              <w:numPr>
                <w:ilvl w:val="0"/>
                <w:numId w:val="16"/>
              </w:numPr>
              <w:spacing w:before="120" w:after="120"/>
              <w:ind w:left="426" w:right="87"/>
              <w:jc w:val="both"/>
              <w:rPr>
                <w:rFonts w:ascii="Times New Roman" w:eastAsia="Times New Roman" w:hAnsi="Times New Roman"/>
                <w:b/>
                <w:sz w:val="20"/>
                <w:szCs w:val="20"/>
              </w:rPr>
            </w:pPr>
            <w:r w:rsidRPr="0073124E">
              <w:rPr>
                <w:rFonts w:ascii="Times New Roman" w:eastAsia="Times New Roman" w:hAnsi="Times New Roman"/>
                <w:b/>
                <w:sz w:val="20"/>
                <w:szCs w:val="20"/>
              </w:rPr>
              <w:t>Określenie czasu leczenia w programie</w:t>
            </w:r>
          </w:p>
          <w:p w:rsidR="00F729FE" w:rsidRPr="0073124E" w:rsidRDefault="00F729FE" w:rsidP="006B1C2D">
            <w:pPr>
              <w:ind w:right="87"/>
              <w:jc w:val="both"/>
              <w:rPr>
                <w:rFonts w:ascii="Times New Roman" w:eastAsia="Times New Roman" w:hAnsi="Times New Roman"/>
                <w:sz w:val="20"/>
                <w:szCs w:val="20"/>
              </w:rPr>
            </w:pPr>
            <w:r w:rsidRPr="0073124E">
              <w:rPr>
                <w:rFonts w:ascii="Times New Roman" w:eastAsia="Times New Roman" w:hAnsi="Times New Roman"/>
                <w:sz w:val="20"/>
                <w:szCs w:val="20"/>
              </w:rPr>
              <w:t>Leczenie trwa do czasu podjęcia przez lekarza prowadzącego decyzji o wyłączeniu świadczeniobiorcy z programu zgodnie z kryteriami wyłączenia.</w:t>
            </w:r>
          </w:p>
          <w:p w:rsidR="00F729FE" w:rsidRPr="0073124E" w:rsidRDefault="00F729FE" w:rsidP="00F729FE">
            <w:pPr>
              <w:numPr>
                <w:ilvl w:val="0"/>
                <w:numId w:val="16"/>
              </w:numPr>
              <w:spacing w:after="120"/>
              <w:ind w:left="426" w:right="87"/>
              <w:jc w:val="both"/>
              <w:rPr>
                <w:rFonts w:ascii="Times New Roman" w:eastAsia="Times New Roman" w:hAnsi="Times New Roman"/>
                <w:b/>
                <w:sz w:val="20"/>
                <w:szCs w:val="20"/>
              </w:rPr>
            </w:pPr>
            <w:r w:rsidRPr="0073124E">
              <w:rPr>
                <w:rFonts w:ascii="Times New Roman" w:eastAsia="Times New Roman" w:hAnsi="Times New Roman"/>
                <w:b/>
                <w:sz w:val="20"/>
                <w:szCs w:val="20"/>
              </w:rPr>
              <w:t>Kryteria wyłączenia z programu:</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którzy są kandydatami do pierwszorazowego lub kolejnego leczenia operacyjnego;</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ucisk skrzyżowania nerwów wzrokowych przez guz powodujący istotne zaburzenia pola widzenia u pacjentów kwalifikujących się do </w:t>
            </w:r>
            <w:proofErr w:type="spellStart"/>
            <w:r w:rsidRPr="0073124E">
              <w:rPr>
                <w:rFonts w:ascii="Times New Roman" w:eastAsia="Times New Roman" w:hAnsi="Times New Roman"/>
                <w:sz w:val="20"/>
                <w:szCs w:val="20"/>
              </w:rPr>
              <w:t>odbarczającego</w:t>
            </w:r>
            <w:proofErr w:type="spellEnd"/>
            <w:r w:rsidRPr="0073124E">
              <w:rPr>
                <w:rFonts w:ascii="Times New Roman" w:eastAsia="Times New Roman" w:hAnsi="Times New Roman"/>
                <w:sz w:val="20"/>
                <w:szCs w:val="20"/>
              </w:rPr>
              <w:t xml:space="preserve"> leczenia neurochirurgicznego;</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cukrzyca niewyrównana metabolicznie pomimo podjęcia próby optymalizacji </w:t>
            </w:r>
            <w:r>
              <w:rPr>
                <w:rFonts w:ascii="Times New Roman" w:eastAsia="Times New Roman" w:hAnsi="Times New Roman"/>
                <w:sz w:val="20"/>
                <w:szCs w:val="20"/>
              </w:rPr>
              <w:t>leczenia zgodnie z punktem 3.1. </w:t>
            </w:r>
            <w:r w:rsidRPr="0073124E">
              <w:rPr>
                <w:rFonts w:ascii="Times New Roman" w:eastAsia="Times New Roman" w:hAnsi="Times New Roman"/>
                <w:i/>
                <w:sz w:val="20"/>
                <w:szCs w:val="20"/>
              </w:rPr>
              <w:t>Schematu dawkowania</w:t>
            </w:r>
            <w:r w:rsidRPr="0073124E">
              <w:rPr>
                <w:rFonts w:ascii="Times New Roman" w:eastAsia="Times New Roman" w:hAnsi="Times New Roman"/>
                <w:sz w:val="20"/>
                <w:szCs w:val="20"/>
              </w:rPr>
              <w: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objawowa kamica żółciowa;</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ciężkie zaburzenia czynności wątroby (klasa C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lastRenderedPageBreak/>
              <w:t xml:space="preserve">żółtaczka lub inne objawy sugerujące klinicznie istotną dysfunkcję wątroby lub utrzymywanie się zwiększonej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na poziomie co najmniej 5 x GGN (górna granica normy) lub wzrost aktywności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przekraczający 3 x GGN z jednoczesnym wzrostem stężenia bilirubiny powyżej 2 x GGN;</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pacjenci z niewyrównaną niedoczynnością kory nadnerczy lub tarczycy (nieadekwatne leczenie substytucyjne);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okres ciąży lub karmienia piersią;</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nadwrażliwość na </w:t>
            </w: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lub którąkolwiek substancję pomocniczą leku;</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brak odpowiedzi na leczenie, w sytuacji gdy odpowiedź definiujemy jako:</w:t>
            </w:r>
          </w:p>
          <w:p w:rsidR="006B1C2D" w:rsidRDefault="00F729FE" w:rsidP="00F729FE">
            <w:pPr>
              <w:numPr>
                <w:ilvl w:val="2"/>
                <w:numId w:val="17"/>
              </w:numPr>
              <w:tabs>
                <w:tab w:val="left" w:pos="845"/>
              </w:tabs>
              <w:spacing w:after="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obniżenie stężenia GH o &gt; 50% w stosunku do wartości tego stężenia w trakcie kwalifikacji do programu lub do poziomu &lt;2,5 µg/l </w:t>
            </w:r>
          </w:p>
          <w:p w:rsidR="00F729FE" w:rsidRPr="0073124E" w:rsidRDefault="00F729FE" w:rsidP="006B1C2D">
            <w:pPr>
              <w:tabs>
                <w:tab w:val="left" w:pos="845"/>
              </w:tabs>
              <w:spacing w:after="0"/>
              <w:ind w:left="845" w:right="87"/>
              <w:jc w:val="both"/>
              <w:rPr>
                <w:rFonts w:ascii="Times New Roman" w:eastAsia="Times New Roman" w:hAnsi="Times New Roman"/>
                <w:sz w:val="20"/>
                <w:szCs w:val="20"/>
              </w:rPr>
            </w:pPr>
            <w:r w:rsidRPr="0073124E">
              <w:rPr>
                <w:rFonts w:ascii="Times New Roman" w:eastAsia="Times New Roman" w:hAnsi="Times New Roman"/>
                <w:sz w:val="20"/>
                <w:szCs w:val="20"/>
              </w:rPr>
              <w:t>lub</w:t>
            </w:r>
          </w:p>
          <w:p w:rsidR="006B1C2D" w:rsidRDefault="00F729FE" w:rsidP="00F729FE">
            <w:pPr>
              <w:numPr>
                <w:ilvl w:val="2"/>
                <w:numId w:val="17"/>
              </w:numPr>
              <w:tabs>
                <w:tab w:val="left" w:pos="845"/>
              </w:tabs>
              <w:spacing w:after="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obniżenie stężenia IGF-1 o &gt;40% w stosunku do wartości tego stężenia w trakcie kwalifikacji do programu lub normalizacja stężenia IGF-1 </w:t>
            </w:r>
          </w:p>
          <w:p w:rsidR="00F729FE" w:rsidRPr="0073124E" w:rsidRDefault="00F729FE" w:rsidP="006B1C2D">
            <w:pPr>
              <w:tabs>
                <w:tab w:val="left" w:pos="845"/>
              </w:tabs>
              <w:spacing w:after="0"/>
              <w:ind w:left="845" w:right="8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lub </w:t>
            </w:r>
          </w:p>
          <w:p w:rsidR="00F729FE" w:rsidRPr="0073124E" w:rsidRDefault="00F729FE" w:rsidP="00F729FE">
            <w:pPr>
              <w:numPr>
                <w:ilvl w:val="2"/>
                <w:numId w:val="17"/>
              </w:numPr>
              <w:tabs>
                <w:tab w:val="left" w:pos="845"/>
              </w:tabs>
              <w:spacing w:after="120"/>
              <w:ind w:left="845" w:right="87" w:hanging="356"/>
              <w:jc w:val="both"/>
              <w:rPr>
                <w:rFonts w:ascii="Times New Roman" w:eastAsia="Times New Roman" w:hAnsi="Times New Roman"/>
                <w:sz w:val="20"/>
                <w:szCs w:val="20"/>
              </w:rPr>
            </w:pPr>
            <w:r w:rsidRPr="0073124E">
              <w:rPr>
                <w:rFonts w:ascii="Times New Roman" w:eastAsia="Times New Roman" w:hAnsi="Times New Roman"/>
                <w:sz w:val="20"/>
                <w:szCs w:val="20"/>
              </w:rPr>
              <w:t>zmniejszenie maksymalnego wymiaru guza &gt; 25% w stosunku do maksymalnego wymiaru guza w badaniu przeprowadzanym przy kwalifikacji do programu</w:t>
            </w:r>
          </w:p>
          <w:p w:rsidR="00F729FE" w:rsidRPr="0073124E" w:rsidRDefault="00F729FE" w:rsidP="00A91EAE">
            <w:pPr>
              <w:ind w:right="87"/>
              <w:rPr>
                <w:rFonts w:ascii="Times New Roman" w:eastAsia="Times New Roman" w:hAnsi="Times New Roman"/>
                <w:sz w:val="20"/>
                <w:szCs w:val="20"/>
              </w:rPr>
            </w:pPr>
            <w:r w:rsidRPr="0073124E">
              <w:rPr>
                <w:rFonts w:ascii="Times New Roman" w:eastAsia="Times New Roman" w:hAnsi="Times New Roman"/>
                <w:sz w:val="20"/>
                <w:szCs w:val="20"/>
              </w:rPr>
              <w:t xml:space="preserve">- po co najmniej 6-cio miesięcznym okresie podawania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w najwyższej tolerowanej dawce;</w:t>
            </w:r>
          </w:p>
          <w:p w:rsidR="00F729FE" w:rsidRPr="0073124E" w:rsidRDefault="00F729FE" w:rsidP="00F729FE">
            <w:pPr>
              <w:numPr>
                <w:ilvl w:val="1"/>
                <w:numId w:val="16"/>
              </w:numPr>
              <w:spacing w:after="120"/>
              <w:ind w:left="426" w:right="87"/>
              <w:jc w:val="both"/>
              <w:rPr>
                <w:rFonts w:ascii="Times New Roman" w:eastAsia="Times New Roman" w:hAnsi="Times New Roman"/>
                <w:sz w:val="20"/>
                <w:szCs w:val="20"/>
              </w:rPr>
            </w:pPr>
            <w:r w:rsidRPr="0073124E">
              <w:rPr>
                <w:rFonts w:ascii="Times New Roman" w:eastAsia="Times New Roman" w:hAnsi="Times New Roman"/>
                <w:sz w:val="20"/>
                <w:szCs w:val="20"/>
              </w:rPr>
              <w:t>rezygnacja pacjenta.</w:t>
            </w:r>
          </w:p>
        </w:tc>
        <w:tc>
          <w:tcPr>
            <w:tcW w:w="1286" w:type="pct"/>
            <w:tcBorders>
              <w:top w:val="single" w:sz="6" w:space="0" w:color="auto"/>
              <w:left w:val="single" w:sz="6" w:space="0" w:color="auto"/>
              <w:bottom w:val="single" w:sz="6" w:space="0" w:color="auto"/>
              <w:right w:val="single" w:sz="6" w:space="0" w:color="auto"/>
            </w:tcBorders>
          </w:tcPr>
          <w:p w:rsidR="00F729FE" w:rsidRPr="0073124E" w:rsidRDefault="00F729FE" w:rsidP="00F729FE">
            <w:pPr>
              <w:numPr>
                <w:ilvl w:val="0"/>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b/>
                <w:sz w:val="20"/>
                <w:szCs w:val="20"/>
              </w:rPr>
              <w:lastRenderedPageBreak/>
              <w:t>Dawkowanie</w:t>
            </w:r>
          </w:p>
          <w:p w:rsidR="00F729FE" w:rsidRPr="0073124E" w:rsidRDefault="00F729FE" w:rsidP="006B1C2D">
            <w:pPr>
              <w:ind w:left="56" w:right="54"/>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Zalecana początkowa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wynosi 40 mg podawana w iniekcjach domięśniowych co 28 dni. W przypadku braku kontroli biochemicznej akromegalii (utrzymywanie się stężenia GH ≥2,5 µg/l i/lub IGF-1 powyżej normy dla płci i wieku) po 12 tygodniach leczenia,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może zostać zwiększona do 60 mg podawana co 28 dni. W przypadku wystąpienia działań niepożądanych lub nadmiernej odpowiedzi na leczenie dawka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może zostać zmniejszona o 20 mg lub preparat powinien zostać odstawiony.</w:t>
            </w:r>
          </w:p>
          <w:p w:rsidR="00F729FE" w:rsidRPr="0073124E" w:rsidRDefault="00F729FE" w:rsidP="00F729FE">
            <w:pPr>
              <w:numPr>
                <w:ilvl w:val="0"/>
                <w:numId w:val="18"/>
              </w:numPr>
              <w:spacing w:after="120"/>
              <w:ind w:left="357" w:right="54" w:hanging="357"/>
              <w:jc w:val="both"/>
              <w:rPr>
                <w:rFonts w:ascii="Times New Roman" w:eastAsia="Times New Roman" w:hAnsi="Times New Roman"/>
                <w:b/>
                <w:sz w:val="20"/>
                <w:szCs w:val="20"/>
              </w:rPr>
            </w:pPr>
            <w:r w:rsidRPr="0073124E">
              <w:rPr>
                <w:rFonts w:ascii="Times New Roman" w:eastAsia="Times New Roman" w:hAnsi="Times New Roman"/>
                <w:b/>
                <w:sz w:val="20"/>
                <w:szCs w:val="20"/>
              </w:rPr>
              <w:t>Sposób podawania</w:t>
            </w:r>
          </w:p>
          <w:p w:rsidR="00F729FE" w:rsidRPr="0073124E" w:rsidRDefault="00F729FE" w:rsidP="006B1C2D">
            <w:pPr>
              <w:ind w:right="54"/>
              <w:jc w:val="both"/>
              <w:rPr>
                <w:rFonts w:ascii="Times New Roman" w:eastAsia="Times New Roman" w:hAnsi="Times New Roman"/>
                <w:sz w:val="20"/>
                <w:szCs w:val="20"/>
              </w:rPr>
            </w:pP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jest podawany w głębokim wstrzyknięciu domięśniowym wykonywanym przez fachowy personel medyczny.</w:t>
            </w:r>
          </w:p>
          <w:p w:rsidR="00F729FE" w:rsidRPr="0073124E" w:rsidRDefault="00F729FE" w:rsidP="006B1C2D">
            <w:pPr>
              <w:spacing w:after="120"/>
              <w:ind w:right="54"/>
              <w:jc w:val="both"/>
              <w:rPr>
                <w:rFonts w:ascii="Times New Roman" w:eastAsia="Times New Roman" w:hAnsi="Times New Roman"/>
                <w:sz w:val="20"/>
                <w:szCs w:val="20"/>
              </w:rPr>
            </w:pPr>
            <w:r w:rsidRPr="0073124E">
              <w:rPr>
                <w:rFonts w:ascii="Times New Roman" w:eastAsia="Times New Roman" w:hAnsi="Times New Roman"/>
                <w:sz w:val="20"/>
                <w:szCs w:val="20"/>
              </w:rPr>
              <w:t>W przypadku wielokrotnego podawania należy zmieniać miejsca podania leku między prawym i lewym mięśniem pośladkowym.</w:t>
            </w:r>
          </w:p>
          <w:p w:rsidR="00F729FE" w:rsidRPr="0073124E" w:rsidRDefault="00F729FE" w:rsidP="00F729FE">
            <w:pPr>
              <w:numPr>
                <w:ilvl w:val="0"/>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b/>
                <w:sz w:val="20"/>
                <w:szCs w:val="20"/>
              </w:rPr>
              <w:lastRenderedPageBreak/>
              <w:t>Specjalne ostrzeżenia i środki ostrożności dotyczące stosowania</w:t>
            </w:r>
          </w:p>
          <w:p w:rsidR="00F729FE" w:rsidRPr="0073124E" w:rsidRDefault="00F729FE" w:rsidP="006B1C2D">
            <w:pPr>
              <w:numPr>
                <w:ilvl w:val="1"/>
                <w:numId w:val="18"/>
              </w:numPr>
              <w:spacing w:after="120"/>
              <w:ind w:left="357" w:right="54" w:hanging="357"/>
              <w:jc w:val="both"/>
              <w:rPr>
                <w:rFonts w:ascii="Times New Roman" w:eastAsia="Times New Roman" w:hAnsi="Times New Roman"/>
                <w:sz w:val="20"/>
                <w:szCs w:val="20"/>
              </w:rPr>
            </w:pPr>
            <w:r>
              <w:rPr>
                <w:rFonts w:ascii="Times New Roman" w:eastAsia="Times New Roman" w:hAnsi="Times New Roman"/>
                <w:sz w:val="20"/>
                <w:szCs w:val="20"/>
              </w:rPr>
              <w:t xml:space="preserve">Jeżeli u </w:t>
            </w:r>
            <w:r w:rsidRPr="0073124E">
              <w:rPr>
                <w:rFonts w:ascii="Times New Roman" w:eastAsia="Times New Roman" w:hAnsi="Times New Roman"/>
                <w:sz w:val="20"/>
                <w:szCs w:val="20"/>
              </w:rPr>
              <w:t xml:space="preserve">pacjenta leczonego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wystąpi hiperglikemia, zaleca się rozpoczęcie lub zmianę leczenia przeciwcukrzycowego według wytycznych dotyczących postępowania w hiperglikemii. Jeżeli niekontrolowana hiperglikemia utrzymuje się pomimo odpowiedniego leczenia, dawkę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należy zmniejszyć lub należy przerwać leczenie.</w:t>
            </w:r>
          </w:p>
          <w:p w:rsidR="00F729FE" w:rsidRPr="0073124E" w:rsidRDefault="00F729FE" w:rsidP="006B1C2D">
            <w:pPr>
              <w:numPr>
                <w:ilvl w:val="1"/>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Zaburzenia czynności wątroby:</w:t>
            </w:r>
          </w:p>
          <w:p w:rsidR="00F729FE" w:rsidRPr="0073124E" w:rsidRDefault="00F729FE" w:rsidP="006B1C2D">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w przypadku pacjentów z łagodnymi zaburzeniami czynności wątroby (klasa A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 dostosowanie dawkowania nie jest konieczne;</w:t>
            </w:r>
          </w:p>
          <w:p w:rsidR="00F729FE" w:rsidRPr="0073124E" w:rsidRDefault="00F729FE" w:rsidP="006B1C2D">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w przypadku pacjentów z umiarkowanymi zaburzeniami czynności wątroby (klasa B wg. skali Child-</w:t>
            </w:r>
            <w:proofErr w:type="spellStart"/>
            <w:r w:rsidRPr="0073124E">
              <w:rPr>
                <w:rFonts w:ascii="Times New Roman" w:eastAsia="Times New Roman" w:hAnsi="Times New Roman"/>
                <w:sz w:val="20"/>
                <w:szCs w:val="20"/>
              </w:rPr>
              <w:t>Pugha</w:t>
            </w:r>
            <w:proofErr w:type="spellEnd"/>
            <w:r w:rsidRPr="0073124E">
              <w:rPr>
                <w:rFonts w:ascii="Times New Roman" w:eastAsia="Times New Roman" w:hAnsi="Times New Roman"/>
                <w:sz w:val="20"/>
                <w:szCs w:val="20"/>
              </w:rPr>
              <w:t>) zalecana dawka początkowa wynosi 20 mg co 4 tygodnie. Maksymalna dawka zalecana u tych pacjentów wynosi 40 mg co 4 tygodnie;</w:t>
            </w:r>
          </w:p>
          <w:p w:rsidR="00F729FE" w:rsidRPr="0073124E" w:rsidRDefault="00F729FE" w:rsidP="006B1C2D">
            <w:pPr>
              <w:numPr>
                <w:ilvl w:val="2"/>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w przypadku pacjentów z żółtaczką lub innymi objawami sugerującymi klinicznie istotną dysfunkcję wątroby lub utrzymywanie się zwiększonej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na poziomie co najmniej 5 x GGN (górna granica normy) lub wzrost aktywności </w:t>
            </w:r>
            <w:proofErr w:type="spellStart"/>
            <w:r w:rsidRPr="0073124E">
              <w:rPr>
                <w:rFonts w:ascii="Times New Roman" w:eastAsia="Times New Roman" w:hAnsi="Times New Roman"/>
                <w:sz w:val="20"/>
                <w:szCs w:val="20"/>
              </w:rPr>
              <w:lastRenderedPageBreak/>
              <w:t>AlAT</w:t>
            </w:r>
            <w:proofErr w:type="spellEnd"/>
            <w:r w:rsidRPr="0073124E">
              <w:rPr>
                <w:rFonts w:ascii="Times New Roman" w:eastAsia="Times New Roman" w:hAnsi="Times New Roman"/>
                <w:sz w:val="20"/>
                <w:szCs w:val="20"/>
              </w:rPr>
              <w:t xml:space="preserve"> lub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przekraczający 3 x GGN z jednoczesnym wzrostem stężenia bilirubiny powyżej 2 x GGN należy monitorować stan pacjenta po przerwaniu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do czasu ustąpienia nieprawidłowości. Leczenia nie należy wznawiać, jeśli w ocenie lekarza nieprawidłowa czynność wątroby ma związek z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6B1C2D">
            <w:pPr>
              <w:numPr>
                <w:ilvl w:val="1"/>
                <w:numId w:val="18"/>
              </w:numPr>
              <w:spacing w:before="120" w:after="120"/>
              <w:ind w:left="357" w:right="54" w:hanging="357"/>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Należy zachować ostrożność oraz dokonać uważnej oceny stosunku korzyści do ryzyka stosując </w:t>
            </w:r>
            <w:proofErr w:type="spellStart"/>
            <w:r w:rsidRPr="0073124E">
              <w:rPr>
                <w:rFonts w:ascii="Times New Roman" w:eastAsia="Times New Roman" w:hAnsi="Times New Roman"/>
                <w:sz w:val="20"/>
                <w:szCs w:val="20"/>
              </w:rPr>
              <w:t>pasyreotyd</w:t>
            </w:r>
            <w:proofErr w:type="spellEnd"/>
            <w:r w:rsidRPr="0073124E">
              <w:rPr>
                <w:rFonts w:ascii="Times New Roman" w:eastAsia="Times New Roman" w:hAnsi="Times New Roman"/>
                <w:sz w:val="20"/>
                <w:szCs w:val="20"/>
              </w:rPr>
              <w:t xml:space="preserve"> u pacjentów narażonych na istotne ryzyko wystąpienia wydłużenia odstępu QT w EKG.</w:t>
            </w:r>
          </w:p>
        </w:tc>
        <w:tc>
          <w:tcPr>
            <w:tcW w:w="1927" w:type="pct"/>
            <w:tcBorders>
              <w:top w:val="single" w:sz="6" w:space="0" w:color="auto"/>
              <w:left w:val="single" w:sz="6" w:space="0" w:color="auto"/>
              <w:bottom w:val="single" w:sz="6" w:space="0" w:color="auto"/>
              <w:right w:val="single" w:sz="6" w:space="0" w:color="auto"/>
            </w:tcBorders>
          </w:tcPr>
          <w:p w:rsidR="00F729FE" w:rsidRPr="0073124E" w:rsidRDefault="00F729FE" w:rsidP="00AB14AF">
            <w:pPr>
              <w:numPr>
                <w:ilvl w:val="0"/>
                <w:numId w:val="20"/>
              </w:numPr>
              <w:spacing w:before="240" w:after="240" w:line="240" w:lineRule="auto"/>
              <w:ind w:left="357" w:right="43" w:hanging="357"/>
              <w:jc w:val="both"/>
              <w:rPr>
                <w:rFonts w:ascii="Times New Roman" w:eastAsia="Times New Roman" w:hAnsi="Times New Roman"/>
                <w:b/>
                <w:sz w:val="20"/>
                <w:szCs w:val="20"/>
              </w:rPr>
            </w:pPr>
            <w:r w:rsidRPr="0073124E">
              <w:rPr>
                <w:rFonts w:ascii="Times New Roman" w:hAnsi="Times New Roman"/>
                <w:b/>
                <w:sz w:val="20"/>
                <w:szCs w:val="20"/>
              </w:rPr>
              <w:lastRenderedPageBreak/>
              <w:t xml:space="preserve"> </w:t>
            </w:r>
            <w:r w:rsidRPr="0073124E">
              <w:rPr>
                <w:rFonts w:ascii="Times New Roman" w:eastAsia="Times New Roman" w:hAnsi="Times New Roman"/>
                <w:b/>
                <w:sz w:val="20"/>
                <w:szCs w:val="20"/>
              </w:rPr>
              <w:t xml:space="preserve">Badania przy kwalifikacji do leczenia </w:t>
            </w:r>
            <w:proofErr w:type="spellStart"/>
            <w:r w:rsidRPr="0073124E">
              <w:rPr>
                <w:rFonts w:ascii="Times New Roman" w:eastAsia="Times New Roman" w:hAnsi="Times New Roman"/>
                <w:b/>
                <w:sz w:val="20"/>
                <w:szCs w:val="20"/>
              </w:rPr>
              <w:t>pasyreotydem</w:t>
            </w:r>
            <w:proofErr w:type="spellEnd"/>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badanie podmiotowe i przedmiotowe: ocena somatycznych objawów akromegalii oraz ewentualnych powikłań, zwłaszcza w zakresie chorób układu sercowo-naczyniowego i metabolicznych (cukrzyca i zaburzenia tolerancji węglowodanów);</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hormonalna: stę</w:t>
            </w:r>
            <w:r>
              <w:rPr>
                <w:rFonts w:ascii="Times New Roman" w:eastAsia="Times New Roman" w:hAnsi="Times New Roman"/>
                <w:sz w:val="20"/>
                <w:szCs w:val="20"/>
              </w:rPr>
              <w:t>żenie hormonu wzrostu; stężenie</w:t>
            </w:r>
            <w:r w:rsidR="006B1C2D">
              <w:rPr>
                <w:rFonts w:ascii="Times New Roman" w:eastAsia="Times New Roman" w:hAnsi="Times New Roman"/>
                <w:sz w:val="20"/>
                <w:szCs w:val="20"/>
              </w:rPr>
              <w:t xml:space="preserve"> </w:t>
            </w:r>
            <w:r w:rsidRPr="0073124E">
              <w:rPr>
                <w:rFonts w:ascii="Times New Roman" w:eastAsia="Times New Roman" w:hAnsi="Times New Roman"/>
                <w:sz w:val="20"/>
                <w:szCs w:val="20"/>
              </w:rPr>
              <w:t>IGF-1, ocena wyrównania czynności nadnerczy i tarczycy;</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rezonans magnetyczny układu podwzgórzowo-przysadkowego z użyciem środka kontrastowego wykonany przy użyciu aparatu spełniającego normy do diagnostyki przysadki nie wcześniej niż w okresie 3 miesięcy poprzedzających kwalifikację do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pola widzenia w przypadku </w:t>
            </w:r>
            <w:proofErr w:type="spellStart"/>
            <w:r w:rsidRPr="0073124E">
              <w:rPr>
                <w:rFonts w:ascii="Times New Roman" w:eastAsia="Times New Roman" w:hAnsi="Times New Roman"/>
                <w:sz w:val="20"/>
                <w:szCs w:val="20"/>
              </w:rPr>
              <w:t>makrogruczolaka</w:t>
            </w:r>
            <w:proofErr w:type="spellEnd"/>
            <w:r w:rsidRPr="0073124E">
              <w:rPr>
                <w:rFonts w:ascii="Times New Roman" w:eastAsia="Times New Roman" w:hAnsi="Times New Roman"/>
                <w:sz w:val="20"/>
                <w:szCs w:val="20"/>
              </w:rPr>
              <w:t xml:space="preserve"> przysadki (guz o średnicy ≥ 1 cm);</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badania laboratoryjne: ocena stężenia glukozy w osoczu krwi żylnej na czczo oraz odsetek hemoglobiny </w:t>
            </w:r>
            <w:proofErr w:type="spellStart"/>
            <w:r w:rsidRPr="0073124E">
              <w:rPr>
                <w:rFonts w:ascii="Times New Roman" w:eastAsia="Times New Roman" w:hAnsi="Times New Roman"/>
                <w:sz w:val="20"/>
                <w:szCs w:val="20"/>
              </w:rPr>
              <w:t>glikowanej</w:t>
            </w:r>
            <w:proofErr w:type="spellEnd"/>
            <w:r w:rsidRPr="0073124E">
              <w:rPr>
                <w:rFonts w:ascii="Times New Roman" w:eastAsia="Times New Roman" w:hAnsi="Times New Roman"/>
                <w:sz w:val="20"/>
                <w:szCs w:val="20"/>
              </w:rPr>
              <w:t xml:space="preserve"> (HbA1c), stężenie sodu, potasu, magnezu, kreatyniny i GFR;</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funkcji wątroby: aktywność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oraz bilirubiny całkowitej;</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lastRenderedPageBreak/>
              <w:t>oc</w:t>
            </w:r>
            <w:bookmarkStart w:id="0" w:name="_GoBack"/>
            <w:bookmarkEnd w:id="0"/>
            <w:r w:rsidRPr="0073124E">
              <w:rPr>
                <w:rFonts w:ascii="Times New Roman" w:eastAsia="Times New Roman" w:hAnsi="Times New Roman"/>
                <w:sz w:val="20"/>
                <w:szCs w:val="20"/>
              </w:rPr>
              <w:t>ena ultrasonograficzna jamy brzusznej ze szczególnym uwzględnieniem pęcherzyka żółciowego i dróg żółciowych (jeśli nie była wykonywana w okresie 3 poprzedzających miesięcy);</w:t>
            </w:r>
          </w:p>
          <w:p w:rsidR="00F729FE" w:rsidRPr="0073124E" w:rsidRDefault="00F729FE" w:rsidP="00AB14AF">
            <w:pPr>
              <w:numPr>
                <w:ilvl w:val="1"/>
                <w:numId w:val="21"/>
              </w:numPr>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układu krążenia: ocena ciśnienia tętniczego oraz badanie EKG z uważną oceną odstępu QT oraz ewentualnych zaburzeń rytmu serca, a w razie wątpliwości lub obciążającego wywiadu w zakresie chorób układu krążenia konsultacja kardiologiczna.</w:t>
            </w:r>
          </w:p>
          <w:p w:rsidR="00F729FE" w:rsidRPr="0073124E" w:rsidRDefault="00F729FE" w:rsidP="00AB14AF">
            <w:pPr>
              <w:numPr>
                <w:ilvl w:val="0"/>
                <w:numId w:val="20"/>
              </w:numPr>
              <w:spacing w:before="120" w:after="120"/>
              <w:ind w:right="43"/>
              <w:jc w:val="both"/>
              <w:rPr>
                <w:rFonts w:ascii="Times New Roman" w:eastAsia="Times New Roman" w:hAnsi="Times New Roman"/>
                <w:b/>
                <w:sz w:val="20"/>
                <w:szCs w:val="20"/>
              </w:rPr>
            </w:pPr>
            <w:r w:rsidRPr="0073124E">
              <w:rPr>
                <w:rFonts w:ascii="Times New Roman" w:eastAsia="Times New Roman" w:hAnsi="Times New Roman"/>
                <w:b/>
                <w:sz w:val="20"/>
                <w:szCs w:val="20"/>
              </w:rPr>
              <w:t xml:space="preserve"> Monitorowanie leczenia</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po 3 miesiącach od rozpoczęcia leczenia (3 dawki </w:t>
            </w:r>
            <w:proofErr w:type="spellStart"/>
            <w:r w:rsidRPr="0073124E">
              <w:rPr>
                <w:rFonts w:ascii="Times New Roman" w:eastAsia="Times New Roman" w:hAnsi="Times New Roman"/>
                <w:sz w:val="20"/>
                <w:szCs w:val="20"/>
              </w:rPr>
              <w:t>pasyreotydu</w:t>
            </w:r>
            <w:proofErr w:type="spellEnd"/>
            <w:r w:rsidRPr="0073124E">
              <w:rPr>
                <w:rFonts w:ascii="Times New Roman" w:eastAsia="Times New Roman" w:hAnsi="Times New Roman"/>
                <w:sz w:val="20"/>
                <w:szCs w:val="20"/>
              </w:rPr>
              <w:t xml:space="preserve">) należy wykonać ocenę stężenia GH i stężenia IGF-1 w surowicy. Oznaczenia GH i IGF-1 należy powtarzać w okresie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 xml:space="preserve"> co 3 miesiące;</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po 6 i 12 miesiącach od rozpoczęcia leczenia należy wykonać badanie rezonansu magnetycznego układu podwzgórzowo-przysadkowego. Począwszy od drugiego roku leczenia badanie to należy wykonywać co 12 miesięcy lub też niezwłocznie w sytuacji dołączenia się nowych ubytków w polu widzenia;</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oznaczanie stężenia glukozy we krwi i / lub ocena stężenia glukozy w osoczu na czczo – co tydzień przez pierwsze trzy miesiące od podania leku następnie okresowo zgodnie ze wskazaniami klinicznymi, a także w ciągu pierwszych 4</w:t>
            </w:r>
            <w:r>
              <w:rPr>
                <w:rFonts w:ascii="Times New Roman" w:eastAsia="Times New Roman" w:hAnsi="Times New Roman"/>
                <w:sz w:val="20"/>
                <w:szCs w:val="20"/>
              </w:rPr>
              <w:t> </w:t>
            </w:r>
            <w:r w:rsidRPr="0073124E">
              <w:rPr>
                <w:rFonts w:ascii="Times New Roman" w:eastAsia="Times New Roman" w:hAnsi="Times New Roman"/>
                <w:sz w:val="20"/>
                <w:szCs w:val="20"/>
              </w:rPr>
              <w:t>tygodni po każdym zwiększeniu dawki. Ponadto należy monitorować wartość stężenia glukozy w osoczu na czczo po 4 tygodniach od zakończenia leczenia, a stężenie HbA1c – po 3 tygodniach od zakończenia leczenia;</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odsetka HbA1c po 3 miesiącach od podania leku i następnie co 3 miesiące w pierwszym roku leczenia oraz nie rzadziej niż raz na 6 miesięcy począwszy od drugiego roku leczenia </w:t>
            </w:r>
            <w:proofErr w:type="spellStart"/>
            <w:r w:rsidRPr="0073124E">
              <w:rPr>
                <w:rFonts w:ascii="Times New Roman" w:eastAsia="Times New Roman" w:hAnsi="Times New Roman"/>
                <w:sz w:val="20"/>
                <w:szCs w:val="20"/>
              </w:rPr>
              <w:t>pasyreotydem</w:t>
            </w:r>
            <w:proofErr w:type="spellEnd"/>
            <w:r w:rsidRPr="0073124E">
              <w:rPr>
                <w:rFonts w:ascii="Times New Roman" w:eastAsia="Times New Roman" w:hAnsi="Times New Roman"/>
                <w:sz w:val="20"/>
                <w:szCs w:val="20"/>
              </w:rPr>
              <w:t>;</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oznaczenie aktywności </w:t>
            </w:r>
            <w:proofErr w:type="spellStart"/>
            <w:r w:rsidRPr="0073124E">
              <w:rPr>
                <w:rFonts w:ascii="Times New Roman" w:eastAsia="Times New Roman" w:hAnsi="Times New Roman"/>
                <w:sz w:val="20"/>
                <w:szCs w:val="20"/>
              </w:rPr>
              <w:t>AspAT</w:t>
            </w:r>
            <w:proofErr w:type="spellEnd"/>
            <w:r w:rsidRPr="0073124E">
              <w:rPr>
                <w:rFonts w:ascii="Times New Roman" w:eastAsia="Times New Roman" w:hAnsi="Times New Roman"/>
                <w:sz w:val="20"/>
                <w:szCs w:val="20"/>
              </w:rPr>
              <w:t xml:space="preserve"> i </w:t>
            </w:r>
            <w:proofErr w:type="spellStart"/>
            <w:r w:rsidRPr="0073124E">
              <w:rPr>
                <w:rFonts w:ascii="Times New Roman" w:eastAsia="Times New Roman" w:hAnsi="Times New Roman"/>
                <w:sz w:val="20"/>
                <w:szCs w:val="20"/>
              </w:rPr>
              <w:t>AlAT</w:t>
            </w:r>
            <w:proofErr w:type="spellEnd"/>
            <w:r w:rsidRPr="0073124E">
              <w:rPr>
                <w:rFonts w:ascii="Times New Roman" w:eastAsia="Times New Roman" w:hAnsi="Times New Roman"/>
                <w:sz w:val="20"/>
                <w:szCs w:val="20"/>
              </w:rPr>
              <w:t xml:space="preserve"> oraz stężenia bilirubiny całkowitej po 1 i 2 tygodniach od podania pierwszej dawki leku lub zwiększenia jego dawki, a następnie z częstością co 1 miesiąc </w:t>
            </w:r>
            <w:r w:rsidRPr="0073124E">
              <w:rPr>
                <w:rFonts w:ascii="Times New Roman" w:eastAsia="Times New Roman" w:hAnsi="Times New Roman"/>
                <w:sz w:val="20"/>
                <w:szCs w:val="20"/>
              </w:rPr>
              <w:lastRenderedPageBreak/>
              <w:t>przez 3 miesiące leczenia. Następne monitorowanie powinno odbyć się w zależności od potrzeb klinicznych;</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badanie EKG z oceną odstępu QT po 3 tygodniach od rozpoczęcia leczenia lub zwiększenia dawki leku, następnie co 1 miesiąc przez 3 miesiące, a potem nie rzadziej niż raz na 6 miesięcy w trakcie trwania leczenia lub częściej, w zależności od wskazań klinicznych;</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USG pęcherzyka i dróg żółci</w:t>
            </w:r>
            <w:r>
              <w:rPr>
                <w:rFonts w:ascii="Times New Roman" w:eastAsia="Times New Roman" w:hAnsi="Times New Roman"/>
                <w:sz w:val="20"/>
                <w:szCs w:val="20"/>
              </w:rPr>
              <w:t>owych nie rzadziej niż raz na 6 </w:t>
            </w:r>
            <w:r w:rsidRPr="0073124E">
              <w:rPr>
                <w:rFonts w:ascii="Times New Roman" w:eastAsia="Times New Roman" w:hAnsi="Times New Roman"/>
                <w:sz w:val="20"/>
                <w:szCs w:val="20"/>
              </w:rPr>
              <w:t>miesięcy w okresie leczenia i 6 miesięcy po jego zakończeniu;</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oznaczenie poziomu magnezu i potasu według wskazań klinicznych;</w:t>
            </w:r>
          </w:p>
          <w:p w:rsidR="00F729FE" w:rsidRPr="0073124E" w:rsidRDefault="00F729FE" w:rsidP="00AB14AF">
            <w:pPr>
              <w:numPr>
                <w:ilvl w:val="1"/>
                <w:numId w:val="22"/>
              </w:numPr>
              <w:tabs>
                <w:tab w:val="left" w:pos="317"/>
              </w:tabs>
              <w:spacing w:after="6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 xml:space="preserve">ocena pola widzenia w przypadku </w:t>
            </w:r>
            <w:proofErr w:type="spellStart"/>
            <w:r w:rsidRPr="0073124E">
              <w:rPr>
                <w:rFonts w:ascii="Times New Roman" w:eastAsia="Times New Roman" w:hAnsi="Times New Roman"/>
                <w:sz w:val="20"/>
                <w:szCs w:val="20"/>
              </w:rPr>
              <w:t>makrogruczolaków</w:t>
            </w:r>
            <w:proofErr w:type="spellEnd"/>
            <w:r w:rsidRPr="0073124E">
              <w:rPr>
                <w:rFonts w:ascii="Times New Roman" w:eastAsia="Times New Roman" w:hAnsi="Times New Roman"/>
                <w:sz w:val="20"/>
                <w:szCs w:val="20"/>
              </w:rPr>
              <w:t xml:space="preserve"> przysadki nie rzadziej niż 1 raz do roku i zawsze w przypadku wystąpienia nowych ubytków w polu widzenia lub subiektywnego pogorszenia pola widzenia;</w:t>
            </w:r>
          </w:p>
          <w:p w:rsidR="00F729FE" w:rsidRPr="0073124E" w:rsidRDefault="00F729FE" w:rsidP="00AB14AF">
            <w:pPr>
              <w:numPr>
                <w:ilvl w:val="1"/>
                <w:numId w:val="22"/>
              </w:numPr>
              <w:tabs>
                <w:tab w:val="left" w:pos="317"/>
              </w:tabs>
              <w:spacing w:after="120"/>
              <w:ind w:left="317" w:right="43" w:hanging="289"/>
              <w:jc w:val="both"/>
              <w:rPr>
                <w:rFonts w:ascii="Times New Roman" w:eastAsia="Times New Roman" w:hAnsi="Times New Roman"/>
                <w:sz w:val="20"/>
                <w:szCs w:val="20"/>
              </w:rPr>
            </w:pPr>
            <w:r w:rsidRPr="0073124E">
              <w:rPr>
                <w:rFonts w:ascii="Times New Roman" w:eastAsia="Times New Roman" w:hAnsi="Times New Roman"/>
                <w:sz w:val="20"/>
                <w:szCs w:val="20"/>
              </w:rPr>
              <w:t>ocena wyrównania czyn</w:t>
            </w:r>
            <w:r>
              <w:rPr>
                <w:rFonts w:ascii="Times New Roman" w:eastAsia="Times New Roman" w:hAnsi="Times New Roman"/>
                <w:sz w:val="20"/>
                <w:szCs w:val="20"/>
              </w:rPr>
              <w:t>ności nadnerczy i tarczycy co 6 </w:t>
            </w:r>
            <w:r w:rsidRPr="0073124E">
              <w:rPr>
                <w:rFonts w:ascii="Times New Roman" w:eastAsia="Times New Roman" w:hAnsi="Times New Roman"/>
                <w:sz w:val="20"/>
                <w:szCs w:val="20"/>
              </w:rPr>
              <w:t>miesięcy.</w:t>
            </w:r>
          </w:p>
          <w:p w:rsidR="00F729FE" w:rsidRPr="00595437" w:rsidRDefault="00F729FE" w:rsidP="00AB14AF">
            <w:pPr>
              <w:numPr>
                <w:ilvl w:val="0"/>
                <w:numId w:val="20"/>
              </w:numPr>
              <w:spacing w:before="120" w:after="120"/>
              <w:ind w:right="43"/>
              <w:jc w:val="both"/>
              <w:rPr>
                <w:rFonts w:ascii="Times New Roman" w:eastAsia="Times New Roman" w:hAnsi="Times New Roman"/>
                <w:b/>
                <w:sz w:val="20"/>
                <w:szCs w:val="20"/>
              </w:rPr>
            </w:pPr>
            <w:r w:rsidRPr="00595437">
              <w:rPr>
                <w:rFonts w:ascii="Times New Roman" w:eastAsia="Times New Roman" w:hAnsi="Times New Roman"/>
                <w:b/>
                <w:sz w:val="20"/>
                <w:szCs w:val="20"/>
              </w:rPr>
              <w:t>Monitorowanie programu</w:t>
            </w:r>
          </w:p>
          <w:p w:rsidR="00F729FE" w:rsidRPr="0073124E" w:rsidRDefault="00F729FE" w:rsidP="00AB14AF">
            <w:pPr>
              <w:numPr>
                <w:ilvl w:val="1"/>
                <w:numId w:val="19"/>
              </w:numPr>
              <w:autoSpaceDE w:val="0"/>
              <w:autoSpaceDN w:val="0"/>
              <w:adjustRightInd w:val="0"/>
              <w:spacing w:after="60"/>
              <w:ind w:left="312" w:right="43" w:hanging="263"/>
              <w:jc w:val="both"/>
              <w:rPr>
                <w:rFonts w:ascii="Times New Roman" w:eastAsia="Times New Roman" w:hAnsi="Times New Roman"/>
                <w:sz w:val="20"/>
                <w:szCs w:val="20"/>
              </w:rPr>
            </w:pPr>
            <w:r w:rsidRPr="0073124E">
              <w:rPr>
                <w:rFonts w:ascii="Times New Roman" w:eastAsia="Times New Roman" w:hAnsi="Times New Roman"/>
                <w:sz w:val="20"/>
                <w:szCs w:val="20"/>
              </w:rPr>
              <w:t>gromadzenie w dokumentacji medycznej pacjenta danych dotyczących monitorowania leczenia i każdorazowe ich przedstawienie na żądanie kontrolerów Narodowego Funduszu Zdrowia;</w:t>
            </w:r>
          </w:p>
          <w:p w:rsidR="00F729FE" w:rsidRPr="0073124E" w:rsidRDefault="00F729FE" w:rsidP="00AB14AF">
            <w:pPr>
              <w:numPr>
                <w:ilvl w:val="1"/>
                <w:numId w:val="19"/>
              </w:numPr>
              <w:autoSpaceDE w:val="0"/>
              <w:autoSpaceDN w:val="0"/>
              <w:adjustRightInd w:val="0"/>
              <w:spacing w:after="60"/>
              <w:ind w:left="312" w:right="43" w:hanging="263"/>
              <w:jc w:val="both"/>
              <w:rPr>
                <w:rFonts w:ascii="Times New Roman" w:eastAsia="Times New Roman" w:hAnsi="Times New Roman"/>
                <w:sz w:val="20"/>
                <w:szCs w:val="20"/>
              </w:rPr>
            </w:pPr>
            <w:r w:rsidRPr="0073124E">
              <w:rPr>
                <w:rFonts w:ascii="Times New Roman" w:eastAsia="Times New Roman" w:hAnsi="Times New Roman"/>
                <w:sz w:val="20"/>
                <w:szCs w:val="20"/>
              </w:rPr>
              <w:t>uzupełnianie danych zawartych w rejestrze (SMPT), dostępnym za pomocą aplikacji internetowej udostępnionej przez OW NFZ, z częstotliwością zgodną z opisem programu oraz na zakończenie leczenia;</w:t>
            </w:r>
          </w:p>
          <w:p w:rsidR="00F729FE" w:rsidRPr="0073124E" w:rsidRDefault="00F729FE" w:rsidP="00AB14AF">
            <w:pPr>
              <w:numPr>
                <w:ilvl w:val="1"/>
                <w:numId w:val="19"/>
              </w:numPr>
              <w:autoSpaceDE w:val="0"/>
              <w:autoSpaceDN w:val="0"/>
              <w:adjustRightInd w:val="0"/>
              <w:spacing w:after="120"/>
              <w:ind w:left="312" w:right="43" w:hanging="284"/>
              <w:jc w:val="both"/>
              <w:rPr>
                <w:rFonts w:ascii="Times New Roman" w:hAnsi="Times New Roman"/>
                <w:b/>
                <w:sz w:val="20"/>
                <w:szCs w:val="20"/>
              </w:rPr>
            </w:pPr>
            <w:r w:rsidRPr="0073124E">
              <w:rPr>
                <w:rFonts w:ascii="Times New Roman" w:eastAsia="Times New Roman" w:hAnsi="Times New Roman"/>
                <w:sz w:val="20"/>
                <w:szCs w:val="20"/>
              </w:rPr>
              <w:t xml:space="preserve">przekazywanie informacji sprawozdawczo – rozliczeniowych do NFZ: informacje przekazuje się do NFZ w formie papierowej lub w formie elektronicznej, zgodnie z wymaganiami opublikowanymi przez Narodowy Fundusz Zdrowia. </w:t>
            </w:r>
          </w:p>
        </w:tc>
      </w:tr>
    </w:tbl>
    <w:p w:rsidR="00097CEA" w:rsidRPr="006B1C2D" w:rsidRDefault="00097CEA" w:rsidP="0015336C">
      <w:pPr>
        <w:rPr>
          <w:rFonts w:ascii="Times New Roman" w:hAnsi="Times New Roman" w:cs="Times New Roman"/>
          <w:sz w:val="12"/>
          <w:szCs w:val="20"/>
        </w:rPr>
      </w:pPr>
    </w:p>
    <w:sectPr w:rsidR="00097CEA" w:rsidRPr="006B1C2D" w:rsidSect="006501FD">
      <w:footerReference w:type="default" r:id="rId8"/>
      <w:pgSz w:w="16838" w:h="11906" w:orient="landscape"/>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08" w:rsidRDefault="00AE5D08" w:rsidP="00EA1DA5">
      <w:pPr>
        <w:spacing w:after="0" w:line="240" w:lineRule="auto"/>
      </w:pPr>
      <w:r>
        <w:separator/>
      </w:r>
    </w:p>
  </w:endnote>
  <w:endnote w:type="continuationSeparator" w:id="0">
    <w:p w:rsidR="00AE5D08" w:rsidRDefault="00AE5D08" w:rsidP="00EA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C" w:rsidRDefault="00FD2B5C">
    <w:pPr>
      <w:pStyle w:val="Stopka"/>
    </w:pPr>
  </w:p>
  <w:p w:rsidR="00CD3F29" w:rsidRPr="001B56AA" w:rsidRDefault="00CD3F29" w:rsidP="001B56AA">
    <w:pPr>
      <w:spacing w:after="0" w:line="240" w:lineRule="auto"/>
      <w:jc w:val="center"/>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08" w:rsidRDefault="00AE5D08" w:rsidP="00EA1DA5">
      <w:pPr>
        <w:spacing w:after="0" w:line="240" w:lineRule="auto"/>
      </w:pPr>
      <w:r>
        <w:separator/>
      </w:r>
    </w:p>
  </w:footnote>
  <w:footnote w:type="continuationSeparator" w:id="0">
    <w:p w:rsidR="00AE5D08" w:rsidRDefault="00AE5D08" w:rsidP="00EA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10E"/>
    <w:multiLevelType w:val="hybridMultilevel"/>
    <w:tmpl w:val="C834FF08"/>
    <w:lvl w:ilvl="0" w:tplc="04150017">
      <w:start w:val="1"/>
      <w:numFmt w:val="lowerLetter"/>
      <w:lvlText w:val="%1)"/>
      <w:lvlJc w:val="left"/>
      <w:pPr>
        <w:ind w:left="942" w:hanging="360"/>
      </w:pPr>
    </w:lvl>
    <w:lvl w:ilvl="1" w:tplc="04150019" w:tentative="1">
      <w:start w:val="1"/>
      <w:numFmt w:val="lowerLetter"/>
      <w:lvlText w:val="%2."/>
      <w:lvlJc w:val="left"/>
      <w:pPr>
        <w:ind w:left="1662" w:hanging="360"/>
      </w:pPr>
    </w:lvl>
    <w:lvl w:ilvl="2" w:tplc="0415001B" w:tentative="1">
      <w:start w:val="1"/>
      <w:numFmt w:val="lowerRoman"/>
      <w:lvlText w:val="%3."/>
      <w:lvlJc w:val="right"/>
      <w:pPr>
        <w:ind w:left="2382" w:hanging="180"/>
      </w:pPr>
    </w:lvl>
    <w:lvl w:ilvl="3" w:tplc="0415000F" w:tentative="1">
      <w:start w:val="1"/>
      <w:numFmt w:val="decimal"/>
      <w:lvlText w:val="%4."/>
      <w:lvlJc w:val="left"/>
      <w:pPr>
        <w:ind w:left="3102" w:hanging="360"/>
      </w:pPr>
    </w:lvl>
    <w:lvl w:ilvl="4" w:tplc="04150019" w:tentative="1">
      <w:start w:val="1"/>
      <w:numFmt w:val="lowerLetter"/>
      <w:lvlText w:val="%5."/>
      <w:lvlJc w:val="left"/>
      <w:pPr>
        <w:ind w:left="3822" w:hanging="360"/>
      </w:pPr>
    </w:lvl>
    <w:lvl w:ilvl="5" w:tplc="0415001B" w:tentative="1">
      <w:start w:val="1"/>
      <w:numFmt w:val="lowerRoman"/>
      <w:lvlText w:val="%6."/>
      <w:lvlJc w:val="right"/>
      <w:pPr>
        <w:ind w:left="4542" w:hanging="180"/>
      </w:pPr>
    </w:lvl>
    <w:lvl w:ilvl="6" w:tplc="0415000F" w:tentative="1">
      <w:start w:val="1"/>
      <w:numFmt w:val="decimal"/>
      <w:lvlText w:val="%7."/>
      <w:lvlJc w:val="left"/>
      <w:pPr>
        <w:ind w:left="5262" w:hanging="360"/>
      </w:pPr>
    </w:lvl>
    <w:lvl w:ilvl="7" w:tplc="04150019" w:tentative="1">
      <w:start w:val="1"/>
      <w:numFmt w:val="lowerLetter"/>
      <w:lvlText w:val="%8."/>
      <w:lvlJc w:val="left"/>
      <w:pPr>
        <w:ind w:left="5982" w:hanging="360"/>
      </w:pPr>
    </w:lvl>
    <w:lvl w:ilvl="8" w:tplc="0415001B" w:tentative="1">
      <w:start w:val="1"/>
      <w:numFmt w:val="lowerRoman"/>
      <w:lvlText w:val="%9."/>
      <w:lvlJc w:val="right"/>
      <w:pPr>
        <w:ind w:left="6702" w:hanging="180"/>
      </w:pPr>
    </w:lvl>
  </w:abstractNum>
  <w:abstractNum w:abstractNumId="1" w15:restartNumberingAfterBreak="0">
    <w:nsid w:val="014B4F18"/>
    <w:multiLevelType w:val="multilevel"/>
    <w:tmpl w:val="05D62BE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51B0"/>
    <w:multiLevelType w:val="hybridMultilevel"/>
    <w:tmpl w:val="D4A2C24E"/>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92DD5"/>
    <w:multiLevelType w:val="hybridMultilevel"/>
    <w:tmpl w:val="A9AA899C"/>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546A0"/>
    <w:multiLevelType w:val="multilevel"/>
    <w:tmpl w:val="9A621D8E"/>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E52211E"/>
    <w:multiLevelType w:val="hybridMultilevel"/>
    <w:tmpl w:val="6BAACEE2"/>
    <w:lvl w:ilvl="0" w:tplc="209EA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ED1D64"/>
    <w:multiLevelType w:val="multilevel"/>
    <w:tmpl w:val="59E4DC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80611F"/>
    <w:multiLevelType w:val="hybridMultilevel"/>
    <w:tmpl w:val="0660D322"/>
    <w:lvl w:ilvl="0" w:tplc="76263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5D7416"/>
    <w:multiLevelType w:val="multilevel"/>
    <w:tmpl w:val="BABAF954"/>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9A0F55"/>
    <w:multiLevelType w:val="multilevel"/>
    <w:tmpl w:val="B40CD0D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9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D63A21"/>
    <w:multiLevelType w:val="hybridMultilevel"/>
    <w:tmpl w:val="7C0087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F175F7"/>
    <w:multiLevelType w:val="multilevel"/>
    <w:tmpl w:val="9D069B5A"/>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5A0F74"/>
    <w:multiLevelType w:val="multilevel"/>
    <w:tmpl w:val="DB0AB0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6041E6"/>
    <w:multiLevelType w:val="multilevel"/>
    <w:tmpl w:val="CD640B0E"/>
    <w:lvl w:ilvl="0">
      <w:start w:val="1"/>
      <w:numFmt w:val="decimal"/>
      <w:lvlText w:val="%1)"/>
      <w:lvlJc w:val="right"/>
      <w:pPr>
        <w:ind w:left="360" w:hanging="360"/>
      </w:pPr>
      <w:rPr>
        <w:rFonts w:ascii="Times New Roman" w:eastAsiaTheme="minorHAnsi" w:hAnsi="Times New Roman" w:cs="Times New Roman"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6E6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E82FF9"/>
    <w:multiLevelType w:val="hybridMultilevel"/>
    <w:tmpl w:val="46408562"/>
    <w:lvl w:ilvl="0" w:tplc="76263364">
      <w:start w:val="1"/>
      <w:numFmt w:val="bullet"/>
      <w:lvlText w:val=""/>
      <w:lvlJc w:val="left"/>
      <w:pPr>
        <w:ind w:left="942" w:hanging="360"/>
      </w:pPr>
      <w:rPr>
        <w:rFonts w:ascii="Symbol" w:hAnsi="Symbol" w:hint="default"/>
      </w:rPr>
    </w:lvl>
    <w:lvl w:ilvl="1" w:tplc="04150003" w:tentative="1">
      <w:start w:val="1"/>
      <w:numFmt w:val="bullet"/>
      <w:lvlText w:val="o"/>
      <w:lvlJc w:val="left"/>
      <w:pPr>
        <w:ind w:left="1662" w:hanging="360"/>
      </w:pPr>
      <w:rPr>
        <w:rFonts w:ascii="Courier New" w:hAnsi="Courier New" w:cs="Courier New" w:hint="default"/>
      </w:rPr>
    </w:lvl>
    <w:lvl w:ilvl="2" w:tplc="04150005" w:tentative="1">
      <w:start w:val="1"/>
      <w:numFmt w:val="bullet"/>
      <w:lvlText w:val=""/>
      <w:lvlJc w:val="left"/>
      <w:pPr>
        <w:ind w:left="2382" w:hanging="360"/>
      </w:pPr>
      <w:rPr>
        <w:rFonts w:ascii="Wingdings" w:hAnsi="Wingdings" w:hint="default"/>
      </w:rPr>
    </w:lvl>
    <w:lvl w:ilvl="3" w:tplc="04150001" w:tentative="1">
      <w:start w:val="1"/>
      <w:numFmt w:val="bullet"/>
      <w:lvlText w:val=""/>
      <w:lvlJc w:val="left"/>
      <w:pPr>
        <w:ind w:left="3102" w:hanging="360"/>
      </w:pPr>
      <w:rPr>
        <w:rFonts w:ascii="Symbol" w:hAnsi="Symbol" w:hint="default"/>
      </w:rPr>
    </w:lvl>
    <w:lvl w:ilvl="4" w:tplc="04150003" w:tentative="1">
      <w:start w:val="1"/>
      <w:numFmt w:val="bullet"/>
      <w:lvlText w:val="o"/>
      <w:lvlJc w:val="left"/>
      <w:pPr>
        <w:ind w:left="3822" w:hanging="360"/>
      </w:pPr>
      <w:rPr>
        <w:rFonts w:ascii="Courier New" w:hAnsi="Courier New" w:cs="Courier New" w:hint="default"/>
      </w:rPr>
    </w:lvl>
    <w:lvl w:ilvl="5" w:tplc="04150005" w:tentative="1">
      <w:start w:val="1"/>
      <w:numFmt w:val="bullet"/>
      <w:lvlText w:val=""/>
      <w:lvlJc w:val="left"/>
      <w:pPr>
        <w:ind w:left="4542" w:hanging="360"/>
      </w:pPr>
      <w:rPr>
        <w:rFonts w:ascii="Wingdings" w:hAnsi="Wingdings" w:hint="default"/>
      </w:rPr>
    </w:lvl>
    <w:lvl w:ilvl="6" w:tplc="04150001" w:tentative="1">
      <w:start w:val="1"/>
      <w:numFmt w:val="bullet"/>
      <w:lvlText w:val=""/>
      <w:lvlJc w:val="left"/>
      <w:pPr>
        <w:ind w:left="5262" w:hanging="360"/>
      </w:pPr>
      <w:rPr>
        <w:rFonts w:ascii="Symbol" w:hAnsi="Symbol" w:hint="default"/>
      </w:rPr>
    </w:lvl>
    <w:lvl w:ilvl="7" w:tplc="04150003" w:tentative="1">
      <w:start w:val="1"/>
      <w:numFmt w:val="bullet"/>
      <w:lvlText w:val="o"/>
      <w:lvlJc w:val="left"/>
      <w:pPr>
        <w:ind w:left="5982" w:hanging="360"/>
      </w:pPr>
      <w:rPr>
        <w:rFonts w:ascii="Courier New" w:hAnsi="Courier New" w:cs="Courier New" w:hint="default"/>
      </w:rPr>
    </w:lvl>
    <w:lvl w:ilvl="8" w:tplc="04150005" w:tentative="1">
      <w:start w:val="1"/>
      <w:numFmt w:val="bullet"/>
      <w:lvlText w:val=""/>
      <w:lvlJc w:val="left"/>
      <w:pPr>
        <w:ind w:left="6702" w:hanging="360"/>
      </w:pPr>
      <w:rPr>
        <w:rFonts w:ascii="Wingdings" w:hAnsi="Wingdings" w:hint="default"/>
      </w:rPr>
    </w:lvl>
  </w:abstractNum>
  <w:abstractNum w:abstractNumId="17" w15:restartNumberingAfterBreak="0">
    <w:nsid w:val="5E064C57"/>
    <w:multiLevelType w:val="hybridMultilevel"/>
    <w:tmpl w:val="C2862BE6"/>
    <w:lvl w:ilvl="0" w:tplc="E5CC5B82">
      <w:start w:val="1"/>
      <w:numFmt w:val="decimal"/>
      <w:lvlText w:val="%1)"/>
      <w:lvlJc w:val="right"/>
      <w:pPr>
        <w:ind w:left="501"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4A5A19"/>
    <w:multiLevelType w:val="multilevel"/>
    <w:tmpl w:val="59E4DC6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8F4CF6"/>
    <w:multiLevelType w:val="hybridMultilevel"/>
    <w:tmpl w:val="89924AA6"/>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0" w15:restartNumberingAfterBreak="0">
    <w:nsid w:val="734A1E30"/>
    <w:multiLevelType w:val="hybridMultilevel"/>
    <w:tmpl w:val="BCDA73A6"/>
    <w:lvl w:ilvl="0" w:tplc="E5CC5B82">
      <w:start w:val="1"/>
      <w:numFmt w:val="decimal"/>
      <w:lvlText w:val="%1)"/>
      <w:lvlJc w:val="righ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87F19"/>
    <w:multiLevelType w:val="hybridMultilevel"/>
    <w:tmpl w:val="07F8398A"/>
    <w:lvl w:ilvl="0" w:tplc="E5CC5B82">
      <w:start w:val="1"/>
      <w:numFmt w:val="decimal"/>
      <w:lvlText w:val="%1)"/>
      <w:lvlJc w:val="right"/>
      <w:pPr>
        <w:ind w:left="72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5"/>
  </w:num>
  <w:num w:numId="5">
    <w:abstractNumId w:val="14"/>
  </w:num>
  <w:num w:numId="6">
    <w:abstractNumId w:val="20"/>
  </w:num>
  <w:num w:numId="7">
    <w:abstractNumId w:val="7"/>
  </w:num>
  <w:num w:numId="8">
    <w:abstractNumId w:val="3"/>
  </w:num>
  <w:num w:numId="9">
    <w:abstractNumId w:val="21"/>
  </w:num>
  <w:num w:numId="10">
    <w:abstractNumId w:val="11"/>
  </w:num>
  <w:num w:numId="11">
    <w:abstractNumId w:val="17"/>
  </w:num>
  <w:num w:numId="12">
    <w:abstractNumId w:val="19"/>
  </w:num>
  <w:num w:numId="13">
    <w:abstractNumId w:val="2"/>
  </w:num>
  <w:num w:numId="14">
    <w:abstractNumId w:val="0"/>
  </w:num>
  <w:num w:numId="15">
    <w:abstractNumId w:val="16"/>
  </w:num>
  <w:num w:numId="16">
    <w:abstractNumId w:val="10"/>
  </w:num>
  <w:num w:numId="17">
    <w:abstractNumId w:val="18"/>
  </w:num>
  <w:num w:numId="18">
    <w:abstractNumId w:val="6"/>
  </w:num>
  <w:num w:numId="19">
    <w:abstractNumId w:val="8"/>
  </w:num>
  <w:num w:numId="20">
    <w:abstractNumId w:val="13"/>
  </w:num>
  <w:num w:numId="21">
    <w:abstractNumId w:val="1"/>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A"/>
    <w:rsid w:val="0000774E"/>
    <w:rsid w:val="00016E7D"/>
    <w:rsid w:val="0001743B"/>
    <w:rsid w:val="0002328C"/>
    <w:rsid w:val="00026323"/>
    <w:rsid w:val="0004348E"/>
    <w:rsid w:val="0004522F"/>
    <w:rsid w:val="000754AD"/>
    <w:rsid w:val="0008481F"/>
    <w:rsid w:val="00090E05"/>
    <w:rsid w:val="00097CEA"/>
    <w:rsid w:val="000A3B50"/>
    <w:rsid w:val="000A4C13"/>
    <w:rsid w:val="000B54B9"/>
    <w:rsid w:val="000C26A5"/>
    <w:rsid w:val="00101A8D"/>
    <w:rsid w:val="00102D95"/>
    <w:rsid w:val="001122F3"/>
    <w:rsid w:val="00133F4C"/>
    <w:rsid w:val="00151EB2"/>
    <w:rsid w:val="0015336C"/>
    <w:rsid w:val="00171A23"/>
    <w:rsid w:val="001807E9"/>
    <w:rsid w:val="001833F6"/>
    <w:rsid w:val="00184FCE"/>
    <w:rsid w:val="001B1B22"/>
    <w:rsid w:val="001B56AA"/>
    <w:rsid w:val="001D2025"/>
    <w:rsid w:val="001F2F3D"/>
    <w:rsid w:val="001F319F"/>
    <w:rsid w:val="002026CD"/>
    <w:rsid w:val="00211ACB"/>
    <w:rsid w:val="00230B01"/>
    <w:rsid w:val="00242455"/>
    <w:rsid w:val="00282981"/>
    <w:rsid w:val="00291924"/>
    <w:rsid w:val="002A4ECE"/>
    <w:rsid w:val="002B3FE9"/>
    <w:rsid w:val="002C6734"/>
    <w:rsid w:val="002D5B09"/>
    <w:rsid w:val="002E31C9"/>
    <w:rsid w:val="002F15EF"/>
    <w:rsid w:val="00320E06"/>
    <w:rsid w:val="00333F0F"/>
    <w:rsid w:val="00344669"/>
    <w:rsid w:val="00367687"/>
    <w:rsid w:val="00392D9A"/>
    <w:rsid w:val="003A3258"/>
    <w:rsid w:val="003C53D3"/>
    <w:rsid w:val="003D7CCF"/>
    <w:rsid w:val="003E4C68"/>
    <w:rsid w:val="004003FF"/>
    <w:rsid w:val="00403769"/>
    <w:rsid w:val="00440404"/>
    <w:rsid w:val="004605DF"/>
    <w:rsid w:val="004736A6"/>
    <w:rsid w:val="00475A61"/>
    <w:rsid w:val="004858FC"/>
    <w:rsid w:val="004E554D"/>
    <w:rsid w:val="00502DAD"/>
    <w:rsid w:val="00511432"/>
    <w:rsid w:val="0052217A"/>
    <w:rsid w:val="00553F95"/>
    <w:rsid w:val="0057219F"/>
    <w:rsid w:val="005733DB"/>
    <w:rsid w:val="00587EC9"/>
    <w:rsid w:val="005E2AE0"/>
    <w:rsid w:val="00604FC6"/>
    <w:rsid w:val="006133BA"/>
    <w:rsid w:val="0061367F"/>
    <w:rsid w:val="0061787D"/>
    <w:rsid w:val="00626BA2"/>
    <w:rsid w:val="006319DB"/>
    <w:rsid w:val="00642468"/>
    <w:rsid w:val="006501FD"/>
    <w:rsid w:val="0066548C"/>
    <w:rsid w:val="006778BC"/>
    <w:rsid w:val="006977EB"/>
    <w:rsid w:val="006A08EF"/>
    <w:rsid w:val="006B1C2D"/>
    <w:rsid w:val="006B21DC"/>
    <w:rsid w:val="006C3862"/>
    <w:rsid w:val="006E3227"/>
    <w:rsid w:val="006F4E84"/>
    <w:rsid w:val="00776914"/>
    <w:rsid w:val="007A41E4"/>
    <w:rsid w:val="007B7E5B"/>
    <w:rsid w:val="007C7350"/>
    <w:rsid w:val="00804B1A"/>
    <w:rsid w:val="008137BC"/>
    <w:rsid w:val="0083577B"/>
    <w:rsid w:val="00847A8D"/>
    <w:rsid w:val="008628A9"/>
    <w:rsid w:val="00863FA2"/>
    <w:rsid w:val="00874EB3"/>
    <w:rsid w:val="008C7CAA"/>
    <w:rsid w:val="008D3D48"/>
    <w:rsid w:val="008E3C9B"/>
    <w:rsid w:val="009032E5"/>
    <w:rsid w:val="00906740"/>
    <w:rsid w:val="00921383"/>
    <w:rsid w:val="0092492F"/>
    <w:rsid w:val="009434BE"/>
    <w:rsid w:val="009440F9"/>
    <w:rsid w:val="009520EF"/>
    <w:rsid w:val="00966741"/>
    <w:rsid w:val="009815E4"/>
    <w:rsid w:val="00986B20"/>
    <w:rsid w:val="00990321"/>
    <w:rsid w:val="009A2A0C"/>
    <w:rsid w:val="009A4CE1"/>
    <w:rsid w:val="009A5CA2"/>
    <w:rsid w:val="009B6E4C"/>
    <w:rsid w:val="009C3E5B"/>
    <w:rsid w:val="00A36C05"/>
    <w:rsid w:val="00A45067"/>
    <w:rsid w:val="00A50EF9"/>
    <w:rsid w:val="00A704EC"/>
    <w:rsid w:val="00A9435D"/>
    <w:rsid w:val="00AB0E0C"/>
    <w:rsid w:val="00AB14AF"/>
    <w:rsid w:val="00AC0A47"/>
    <w:rsid w:val="00AC1C08"/>
    <w:rsid w:val="00AE5D08"/>
    <w:rsid w:val="00AF268E"/>
    <w:rsid w:val="00AF2FCC"/>
    <w:rsid w:val="00B07645"/>
    <w:rsid w:val="00B5090C"/>
    <w:rsid w:val="00B74261"/>
    <w:rsid w:val="00B750CC"/>
    <w:rsid w:val="00B8422E"/>
    <w:rsid w:val="00B967BB"/>
    <w:rsid w:val="00BC029A"/>
    <w:rsid w:val="00BD08EF"/>
    <w:rsid w:val="00BD7F6C"/>
    <w:rsid w:val="00C02F73"/>
    <w:rsid w:val="00C138A1"/>
    <w:rsid w:val="00C166A1"/>
    <w:rsid w:val="00C2669C"/>
    <w:rsid w:val="00C32310"/>
    <w:rsid w:val="00C45D55"/>
    <w:rsid w:val="00C53B9F"/>
    <w:rsid w:val="00C63FF0"/>
    <w:rsid w:val="00C64FB5"/>
    <w:rsid w:val="00C76D55"/>
    <w:rsid w:val="00C85CE2"/>
    <w:rsid w:val="00C876D4"/>
    <w:rsid w:val="00CA1D97"/>
    <w:rsid w:val="00CB413C"/>
    <w:rsid w:val="00CD3F29"/>
    <w:rsid w:val="00CD5BB3"/>
    <w:rsid w:val="00D11E58"/>
    <w:rsid w:val="00D17380"/>
    <w:rsid w:val="00D24802"/>
    <w:rsid w:val="00D40121"/>
    <w:rsid w:val="00D41DF5"/>
    <w:rsid w:val="00D56B8C"/>
    <w:rsid w:val="00D831D4"/>
    <w:rsid w:val="00D90491"/>
    <w:rsid w:val="00DA42F4"/>
    <w:rsid w:val="00DC135D"/>
    <w:rsid w:val="00DE6C55"/>
    <w:rsid w:val="00E05816"/>
    <w:rsid w:val="00E21710"/>
    <w:rsid w:val="00E334B6"/>
    <w:rsid w:val="00E370B0"/>
    <w:rsid w:val="00E40EA2"/>
    <w:rsid w:val="00E54496"/>
    <w:rsid w:val="00E70753"/>
    <w:rsid w:val="00EA1DA5"/>
    <w:rsid w:val="00EB75DF"/>
    <w:rsid w:val="00EC6693"/>
    <w:rsid w:val="00EF4B76"/>
    <w:rsid w:val="00EF71D4"/>
    <w:rsid w:val="00F20A3A"/>
    <w:rsid w:val="00F33D11"/>
    <w:rsid w:val="00F37C14"/>
    <w:rsid w:val="00F438F6"/>
    <w:rsid w:val="00F45ED6"/>
    <w:rsid w:val="00F57FAD"/>
    <w:rsid w:val="00F71E5E"/>
    <w:rsid w:val="00F729FE"/>
    <w:rsid w:val="00F866BC"/>
    <w:rsid w:val="00FA0578"/>
    <w:rsid w:val="00FA1D99"/>
    <w:rsid w:val="00FD18A1"/>
    <w:rsid w:val="00FD2B5C"/>
    <w:rsid w:val="00FE4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74BD1EA-D505-4FEC-8A02-3217923F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7CEA"/>
    <w:pPr>
      <w:ind w:left="720"/>
      <w:contextualSpacing/>
    </w:pPr>
  </w:style>
  <w:style w:type="paragraph" w:styleId="Tekstdymka">
    <w:name w:val="Balloon Text"/>
    <w:basedOn w:val="Normalny"/>
    <w:link w:val="TekstdymkaZnak"/>
    <w:uiPriority w:val="99"/>
    <w:semiHidden/>
    <w:unhideWhenUsed/>
    <w:rsid w:val="002F1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EF"/>
    <w:rPr>
      <w:rFonts w:ascii="Tahoma" w:hAnsi="Tahoma" w:cs="Tahoma"/>
      <w:sz w:val="16"/>
      <w:szCs w:val="16"/>
    </w:rPr>
  </w:style>
  <w:style w:type="paragraph" w:styleId="Nagwek">
    <w:name w:val="header"/>
    <w:basedOn w:val="Normalny"/>
    <w:link w:val="NagwekZnak"/>
    <w:uiPriority w:val="99"/>
    <w:unhideWhenUsed/>
    <w:rsid w:val="00EA1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DA5"/>
  </w:style>
  <w:style w:type="paragraph" w:styleId="Bezodstpw">
    <w:name w:val="No Spacing"/>
    <w:basedOn w:val="Normalny"/>
    <w:uiPriority w:val="1"/>
    <w:qFormat/>
    <w:rsid w:val="00090E05"/>
    <w:pPr>
      <w:autoSpaceDE w:val="0"/>
      <w:autoSpaceDN w:val="0"/>
      <w:adjustRightInd w:val="0"/>
      <w:spacing w:before="60" w:after="0" w:line="240" w:lineRule="auto"/>
      <w:jc w:val="both"/>
    </w:pPr>
    <w:rPr>
      <w:rFonts w:ascii="Times New Roman" w:eastAsia="Times New Roman" w:hAnsi="Times New Roman" w:cs="Times New Roman"/>
      <w:sz w:val="20"/>
      <w:szCs w:val="20"/>
      <w:lang w:val="en-GB" w:eastAsia="pl-PL"/>
    </w:rPr>
  </w:style>
  <w:style w:type="table" w:styleId="Jasnecieniowanie">
    <w:name w:val="Light Shading"/>
    <w:basedOn w:val="Standardowy"/>
    <w:uiPriority w:val="60"/>
    <w:rsid w:val="00090E05"/>
    <w:pPr>
      <w:spacing w:after="0" w:line="240" w:lineRule="auto"/>
    </w:pPr>
    <w:rPr>
      <w:rFonts w:ascii="Calibri" w:eastAsia="Calibri" w:hAnsi="Calibri" w:cs="Times New Roman"/>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9A2A0C"/>
    <w:rPr>
      <w:sz w:val="16"/>
      <w:szCs w:val="16"/>
    </w:rPr>
  </w:style>
  <w:style w:type="paragraph" w:styleId="Tekstkomentarza">
    <w:name w:val="annotation text"/>
    <w:basedOn w:val="Normalny"/>
    <w:link w:val="TekstkomentarzaZnak"/>
    <w:uiPriority w:val="99"/>
    <w:semiHidden/>
    <w:unhideWhenUsed/>
    <w:rsid w:val="009A2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2A0C"/>
    <w:rPr>
      <w:sz w:val="20"/>
      <w:szCs w:val="20"/>
    </w:rPr>
  </w:style>
  <w:style w:type="paragraph" w:styleId="Tematkomentarza">
    <w:name w:val="annotation subject"/>
    <w:basedOn w:val="Tekstkomentarza"/>
    <w:next w:val="Tekstkomentarza"/>
    <w:link w:val="TematkomentarzaZnak"/>
    <w:uiPriority w:val="99"/>
    <w:semiHidden/>
    <w:unhideWhenUsed/>
    <w:rsid w:val="009A2A0C"/>
    <w:rPr>
      <w:b/>
      <w:bCs/>
    </w:rPr>
  </w:style>
  <w:style w:type="character" w:customStyle="1" w:styleId="TematkomentarzaZnak">
    <w:name w:val="Temat komentarza Znak"/>
    <w:basedOn w:val="TekstkomentarzaZnak"/>
    <w:link w:val="Tematkomentarza"/>
    <w:uiPriority w:val="99"/>
    <w:semiHidden/>
    <w:rsid w:val="009A2A0C"/>
    <w:rPr>
      <w:b/>
      <w:bCs/>
      <w:sz w:val="20"/>
      <w:szCs w:val="20"/>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C85CE2"/>
    <w:pPr>
      <w:spacing w:after="0" w:line="240" w:lineRule="auto"/>
      <w:jc w:val="both"/>
    </w:pPr>
    <w:rPr>
      <w:rFonts w:ascii="Times New Roman" w:eastAsia="Times New Roman" w:hAnsi="Times New Roman" w:cs="Times New Roman"/>
      <w:sz w:val="24"/>
      <w:szCs w:val="24"/>
      <w:lang w:val="en-US" w:eastAsia="pl-PL"/>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basedOn w:val="Domylnaczcionkaakapitu"/>
    <w:link w:val="Tekstpodstawowy"/>
    <w:rsid w:val="00C85CE2"/>
    <w:rPr>
      <w:rFonts w:ascii="Times New Roman" w:eastAsia="Times New Roman" w:hAnsi="Times New Roman" w:cs="Times New Roman"/>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348">
      <w:bodyDiv w:val="1"/>
      <w:marLeft w:val="0"/>
      <w:marRight w:val="0"/>
      <w:marTop w:val="0"/>
      <w:marBottom w:val="0"/>
      <w:divBdr>
        <w:top w:val="none" w:sz="0" w:space="0" w:color="auto"/>
        <w:left w:val="none" w:sz="0" w:space="0" w:color="auto"/>
        <w:bottom w:val="none" w:sz="0" w:space="0" w:color="auto"/>
        <w:right w:val="none" w:sz="0" w:space="0" w:color="auto"/>
      </w:divBdr>
    </w:div>
    <w:div w:id="296183663">
      <w:bodyDiv w:val="1"/>
      <w:marLeft w:val="0"/>
      <w:marRight w:val="0"/>
      <w:marTop w:val="0"/>
      <w:marBottom w:val="0"/>
      <w:divBdr>
        <w:top w:val="none" w:sz="0" w:space="0" w:color="auto"/>
        <w:left w:val="none" w:sz="0" w:space="0" w:color="auto"/>
        <w:bottom w:val="none" w:sz="0" w:space="0" w:color="auto"/>
        <w:right w:val="none" w:sz="0" w:space="0" w:color="auto"/>
      </w:divBdr>
      <w:divsChild>
        <w:div w:id="1387529635">
          <w:marLeft w:val="0"/>
          <w:marRight w:val="0"/>
          <w:marTop w:val="0"/>
          <w:marBottom w:val="0"/>
          <w:divBdr>
            <w:top w:val="none" w:sz="0" w:space="0" w:color="auto"/>
            <w:left w:val="none" w:sz="0" w:space="0" w:color="auto"/>
            <w:bottom w:val="none" w:sz="0" w:space="0" w:color="auto"/>
            <w:right w:val="none" w:sz="0" w:space="0" w:color="auto"/>
          </w:divBdr>
        </w:div>
        <w:div w:id="1485853389">
          <w:marLeft w:val="0"/>
          <w:marRight w:val="0"/>
          <w:marTop w:val="0"/>
          <w:marBottom w:val="0"/>
          <w:divBdr>
            <w:top w:val="none" w:sz="0" w:space="0" w:color="auto"/>
            <w:left w:val="none" w:sz="0" w:space="0" w:color="auto"/>
            <w:bottom w:val="none" w:sz="0" w:space="0" w:color="auto"/>
            <w:right w:val="none" w:sz="0" w:space="0" w:color="auto"/>
          </w:divBdr>
        </w:div>
        <w:div w:id="873470666">
          <w:marLeft w:val="0"/>
          <w:marRight w:val="0"/>
          <w:marTop w:val="0"/>
          <w:marBottom w:val="0"/>
          <w:divBdr>
            <w:top w:val="none" w:sz="0" w:space="0" w:color="auto"/>
            <w:left w:val="none" w:sz="0" w:space="0" w:color="auto"/>
            <w:bottom w:val="none" w:sz="0" w:space="0" w:color="auto"/>
            <w:right w:val="none" w:sz="0" w:space="0" w:color="auto"/>
          </w:divBdr>
        </w:div>
        <w:div w:id="1507599100">
          <w:marLeft w:val="0"/>
          <w:marRight w:val="0"/>
          <w:marTop w:val="0"/>
          <w:marBottom w:val="0"/>
          <w:divBdr>
            <w:top w:val="none" w:sz="0" w:space="0" w:color="auto"/>
            <w:left w:val="none" w:sz="0" w:space="0" w:color="auto"/>
            <w:bottom w:val="none" w:sz="0" w:space="0" w:color="auto"/>
            <w:right w:val="none" w:sz="0" w:space="0" w:color="auto"/>
          </w:divBdr>
        </w:div>
        <w:div w:id="686179365">
          <w:marLeft w:val="0"/>
          <w:marRight w:val="0"/>
          <w:marTop w:val="0"/>
          <w:marBottom w:val="0"/>
          <w:divBdr>
            <w:top w:val="none" w:sz="0" w:space="0" w:color="auto"/>
            <w:left w:val="none" w:sz="0" w:space="0" w:color="auto"/>
            <w:bottom w:val="none" w:sz="0" w:space="0" w:color="auto"/>
            <w:right w:val="none" w:sz="0" w:space="0" w:color="auto"/>
          </w:divBdr>
        </w:div>
        <w:div w:id="1530490156">
          <w:marLeft w:val="0"/>
          <w:marRight w:val="0"/>
          <w:marTop w:val="0"/>
          <w:marBottom w:val="0"/>
          <w:divBdr>
            <w:top w:val="none" w:sz="0" w:space="0" w:color="auto"/>
            <w:left w:val="none" w:sz="0" w:space="0" w:color="auto"/>
            <w:bottom w:val="none" w:sz="0" w:space="0" w:color="auto"/>
            <w:right w:val="none" w:sz="0" w:space="0" w:color="auto"/>
          </w:divBdr>
        </w:div>
        <w:div w:id="1638299960">
          <w:marLeft w:val="0"/>
          <w:marRight w:val="0"/>
          <w:marTop w:val="0"/>
          <w:marBottom w:val="0"/>
          <w:divBdr>
            <w:top w:val="none" w:sz="0" w:space="0" w:color="auto"/>
            <w:left w:val="none" w:sz="0" w:space="0" w:color="auto"/>
            <w:bottom w:val="none" w:sz="0" w:space="0" w:color="auto"/>
            <w:right w:val="none" w:sz="0" w:space="0" w:color="auto"/>
          </w:divBdr>
        </w:div>
      </w:divsChild>
    </w:div>
    <w:div w:id="18362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9600-D2E6-4236-A462-05E3BDE7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1441</Words>
  <Characters>8651</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 Magdalena</dc:creator>
  <cp:lastModifiedBy>Buras Magda</cp:lastModifiedBy>
  <cp:revision>5</cp:revision>
  <cp:lastPrinted>2016-07-05T10:53:00Z</cp:lastPrinted>
  <dcterms:created xsi:type="dcterms:W3CDTF">2019-01-09T08:35:00Z</dcterms:created>
  <dcterms:modified xsi:type="dcterms:W3CDTF">2019-02-07T11:02:00Z</dcterms:modified>
</cp:coreProperties>
</file>