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CCC78" w14:textId="77777777" w:rsidR="00E4061E" w:rsidRPr="00AE4143" w:rsidRDefault="00E4061E" w:rsidP="00E74A97">
      <w:pPr>
        <w:spacing w:after="480" w:line="360" w:lineRule="auto"/>
        <w:contextualSpacing/>
        <w:rPr>
          <w:rFonts w:ascii="Arial" w:hAnsi="Arial" w:cs="Arial"/>
          <w:sz w:val="24"/>
          <w:szCs w:val="24"/>
        </w:rPr>
      </w:pPr>
    </w:p>
    <w:p w14:paraId="65DE0A52" w14:textId="4944545E" w:rsidR="00551CA4" w:rsidRPr="00AE4143" w:rsidRDefault="00551CA4" w:rsidP="00E74A97">
      <w:pPr>
        <w:pStyle w:val="Nagwek1"/>
        <w:spacing w:after="480" w:line="360" w:lineRule="auto"/>
        <w:contextualSpacing/>
        <w:rPr>
          <w:rFonts w:ascii="Arial" w:hAnsi="Arial" w:cs="Arial"/>
          <w:b w:val="0"/>
          <w:bCs w:val="0"/>
          <w:sz w:val="24"/>
          <w:szCs w:val="24"/>
        </w:rPr>
      </w:pPr>
      <w:r w:rsidRPr="00AE4143">
        <w:rPr>
          <w:rFonts w:ascii="Arial" w:hAnsi="Arial" w:cs="Arial"/>
          <w:b w:val="0"/>
          <w:bCs w:val="0"/>
          <w:sz w:val="24"/>
          <w:szCs w:val="24"/>
        </w:rPr>
        <w:t>W nagłówku znajduje się logo Komisji do spraw reprywatyzacji nieruchomości warszawskich zawierające godło państwa polskiego i podkreślenie w formie miniaturki flagi RP</w:t>
      </w:r>
    </w:p>
    <w:p w14:paraId="5D65684C" w14:textId="3B8D8EEA" w:rsidR="00551CA4" w:rsidRPr="00AE4143" w:rsidRDefault="007376A4" w:rsidP="00E74A97">
      <w:pPr>
        <w:tabs>
          <w:tab w:val="left" w:pos="6110"/>
        </w:tabs>
        <w:spacing w:after="480" w:line="360" w:lineRule="auto"/>
        <w:contextualSpacing/>
        <w:rPr>
          <w:rFonts w:ascii="Arial" w:hAnsi="Arial" w:cs="Arial"/>
          <w:sz w:val="24"/>
          <w:szCs w:val="24"/>
        </w:rPr>
      </w:pPr>
      <w:r w:rsidRPr="00AE4143">
        <w:rPr>
          <w:rFonts w:ascii="Arial" w:hAnsi="Arial" w:cs="Arial"/>
          <w:sz w:val="24"/>
          <w:szCs w:val="24"/>
        </w:rPr>
        <w:tab/>
      </w:r>
    </w:p>
    <w:p w14:paraId="2B279E0D" w14:textId="34C0DCA9" w:rsidR="00D314FD" w:rsidRPr="00AE4143" w:rsidRDefault="00D314FD" w:rsidP="00E74A97">
      <w:pPr>
        <w:spacing w:after="480" w:line="360" w:lineRule="auto"/>
        <w:contextualSpacing/>
        <w:rPr>
          <w:rFonts w:ascii="Arial" w:hAnsi="Arial" w:cs="Arial"/>
          <w:sz w:val="24"/>
          <w:szCs w:val="24"/>
        </w:rPr>
      </w:pPr>
      <w:r w:rsidRPr="00AE4143">
        <w:rPr>
          <w:rFonts w:ascii="Arial" w:hAnsi="Arial" w:cs="Arial"/>
          <w:sz w:val="24"/>
          <w:szCs w:val="24"/>
        </w:rPr>
        <w:t>Warszawa, dni</w:t>
      </w:r>
      <w:r w:rsidR="004F20AE" w:rsidRPr="00AE4143">
        <w:rPr>
          <w:rFonts w:ascii="Arial" w:hAnsi="Arial" w:cs="Arial"/>
          <w:sz w:val="24"/>
          <w:szCs w:val="24"/>
        </w:rPr>
        <w:t xml:space="preserve">a </w:t>
      </w:r>
      <w:r w:rsidR="00E11931" w:rsidRPr="00AE4143">
        <w:rPr>
          <w:rFonts w:ascii="Arial" w:hAnsi="Arial" w:cs="Arial"/>
          <w:sz w:val="24"/>
          <w:szCs w:val="24"/>
        </w:rPr>
        <w:t>14</w:t>
      </w:r>
      <w:r w:rsidR="006F2809" w:rsidRPr="00AE4143">
        <w:rPr>
          <w:rFonts w:ascii="Arial" w:hAnsi="Arial" w:cs="Arial"/>
          <w:sz w:val="24"/>
          <w:szCs w:val="24"/>
        </w:rPr>
        <w:t xml:space="preserve"> </w:t>
      </w:r>
      <w:r w:rsidR="000A68F7" w:rsidRPr="00AE4143">
        <w:rPr>
          <w:rFonts w:ascii="Arial" w:hAnsi="Arial" w:cs="Arial"/>
          <w:sz w:val="24"/>
          <w:szCs w:val="24"/>
        </w:rPr>
        <w:t>grudnia</w:t>
      </w:r>
      <w:r w:rsidR="006F2809" w:rsidRPr="00AE4143">
        <w:rPr>
          <w:rFonts w:ascii="Arial" w:hAnsi="Arial" w:cs="Arial"/>
          <w:sz w:val="24"/>
          <w:szCs w:val="24"/>
        </w:rPr>
        <w:t xml:space="preserve"> </w:t>
      </w:r>
      <w:r w:rsidRPr="00AE4143">
        <w:rPr>
          <w:rFonts w:ascii="Arial" w:hAnsi="Arial" w:cs="Arial"/>
          <w:sz w:val="24"/>
          <w:szCs w:val="24"/>
        </w:rPr>
        <w:t>202</w:t>
      </w:r>
      <w:r w:rsidR="00AE5524" w:rsidRPr="00AE4143">
        <w:rPr>
          <w:rFonts w:ascii="Arial" w:hAnsi="Arial" w:cs="Arial"/>
          <w:sz w:val="24"/>
          <w:szCs w:val="24"/>
        </w:rPr>
        <w:t>2</w:t>
      </w:r>
      <w:r w:rsidRPr="00AE4143">
        <w:rPr>
          <w:rFonts w:ascii="Arial" w:hAnsi="Arial" w:cs="Arial"/>
          <w:sz w:val="24"/>
          <w:szCs w:val="24"/>
        </w:rPr>
        <w:t xml:space="preserve"> r.</w:t>
      </w:r>
    </w:p>
    <w:p w14:paraId="29E71A83" w14:textId="77777777" w:rsidR="009F7C47" w:rsidRPr="00AE4143" w:rsidRDefault="009F7C47" w:rsidP="00E74A97">
      <w:pPr>
        <w:spacing w:after="480" w:line="360" w:lineRule="auto"/>
        <w:ind w:firstLine="426"/>
        <w:contextualSpacing/>
        <w:rPr>
          <w:rFonts w:ascii="Arial" w:hAnsi="Arial" w:cs="Arial"/>
          <w:sz w:val="24"/>
          <w:szCs w:val="24"/>
        </w:rPr>
      </w:pPr>
    </w:p>
    <w:p w14:paraId="21F0D980" w14:textId="79664BB2" w:rsidR="008E02B7" w:rsidRPr="00AE4143" w:rsidRDefault="00753DDF" w:rsidP="00E74A97">
      <w:pPr>
        <w:spacing w:after="480" w:line="360" w:lineRule="auto"/>
        <w:contextualSpacing/>
        <w:rPr>
          <w:rFonts w:ascii="Arial" w:hAnsi="Arial" w:cs="Arial"/>
          <w:sz w:val="24"/>
          <w:szCs w:val="24"/>
        </w:rPr>
      </w:pPr>
      <w:r w:rsidRPr="00AE4143">
        <w:rPr>
          <w:rFonts w:ascii="Arial" w:hAnsi="Arial" w:cs="Arial"/>
          <w:sz w:val="24"/>
          <w:szCs w:val="24"/>
        </w:rPr>
        <w:t xml:space="preserve">Sygn. akt. KR II R </w:t>
      </w:r>
      <w:r w:rsidR="000F1FD8" w:rsidRPr="00AE4143">
        <w:rPr>
          <w:rFonts w:ascii="Arial" w:hAnsi="Arial" w:cs="Arial"/>
          <w:sz w:val="24"/>
          <w:szCs w:val="24"/>
        </w:rPr>
        <w:t>63</w:t>
      </w:r>
      <w:r w:rsidRPr="00AE4143">
        <w:rPr>
          <w:rFonts w:ascii="Arial" w:hAnsi="Arial" w:cs="Arial"/>
          <w:sz w:val="24"/>
          <w:szCs w:val="24"/>
        </w:rPr>
        <w:t>/2</w:t>
      </w:r>
      <w:r w:rsidR="00C07367" w:rsidRPr="00AE4143">
        <w:rPr>
          <w:rFonts w:ascii="Arial" w:hAnsi="Arial" w:cs="Arial"/>
          <w:sz w:val="24"/>
          <w:szCs w:val="24"/>
        </w:rPr>
        <w:t>2</w:t>
      </w:r>
    </w:p>
    <w:p w14:paraId="0BE381BC" w14:textId="77777777" w:rsidR="00AF4704" w:rsidRPr="00AE4143" w:rsidRDefault="00AF4704" w:rsidP="00E74A97">
      <w:pPr>
        <w:spacing w:after="480" w:line="360" w:lineRule="auto"/>
        <w:contextualSpacing/>
        <w:rPr>
          <w:rFonts w:ascii="Arial" w:hAnsi="Arial" w:cs="Arial"/>
          <w:sz w:val="24"/>
          <w:szCs w:val="24"/>
        </w:rPr>
      </w:pPr>
    </w:p>
    <w:p w14:paraId="11312754" w14:textId="42E4B456" w:rsidR="00D314FD" w:rsidRPr="00AE4143" w:rsidRDefault="00D314FD" w:rsidP="00E74A97">
      <w:pPr>
        <w:spacing w:after="480" w:line="360" w:lineRule="auto"/>
        <w:contextualSpacing/>
        <w:rPr>
          <w:rFonts w:ascii="Arial" w:hAnsi="Arial" w:cs="Arial"/>
          <w:sz w:val="24"/>
          <w:szCs w:val="24"/>
        </w:rPr>
      </w:pPr>
      <w:r w:rsidRPr="00AE4143">
        <w:rPr>
          <w:rFonts w:ascii="Arial" w:hAnsi="Arial" w:cs="Arial"/>
          <w:sz w:val="24"/>
          <w:szCs w:val="24"/>
        </w:rPr>
        <w:t>D</w:t>
      </w:r>
      <w:r w:rsidR="003F3D1C" w:rsidRPr="00AE4143">
        <w:rPr>
          <w:rFonts w:ascii="Arial" w:hAnsi="Arial" w:cs="Arial"/>
          <w:sz w:val="24"/>
          <w:szCs w:val="24"/>
        </w:rPr>
        <w:t>ecyzja</w:t>
      </w:r>
      <w:r w:rsidRPr="00AE4143">
        <w:rPr>
          <w:rFonts w:ascii="Arial" w:hAnsi="Arial" w:cs="Arial"/>
          <w:sz w:val="24"/>
          <w:szCs w:val="24"/>
        </w:rPr>
        <w:t xml:space="preserve"> </w:t>
      </w:r>
      <w:r w:rsidR="00926837" w:rsidRPr="00AE4143">
        <w:rPr>
          <w:rFonts w:ascii="Arial" w:hAnsi="Arial" w:cs="Arial"/>
          <w:sz w:val="24"/>
          <w:szCs w:val="24"/>
        </w:rPr>
        <w:t>N</w:t>
      </w:r>
      <w:r w:rsidRPr="00AE4143">
        <w:rPr>
          <w:rFonts w:ascii="Arial" w:hAnsi="Arial" w:cs="Arial"/>
          <w:sz w:val="24"/>
          <w:szCs w:val="24"/>
        </w:rPr>
        <w:t xml:space="preserve">r KR II R </w:t>
      </w:r>
      <w:r w:rsidR="000F1FD8" w:rsidRPr="00AE4143">
        <w:rPr>
          <w:rFonts w:ascii="Arial" w:hAnsi="Arial" w:cs="Arial"/>
          <w:sz w:val="24"/>
          <w:szCs w:val="24"/>
        </w:rPr>
        <w:t>63</w:t>
      </w:r>
      <w:r w:rsidR="0083300C" w:rsidRPr="00AE4143">
        <w:rPr>
          <w:rFonts w:ascii="Arial" w:hAnsi="Arial" w:cs="Arial"/>
          <w:sz w:val="24"/>
          <w:szCs w:val="24"/>
        </w:rPr>
        <w:t>/2</w:t>
      </w:r>
      <w:r w:rsidR="00C07367" w:rsidRPr="00AE4143">
        <w:rPr>
          <w:rFonts w:ascii="Arial" w:hAnsi="Arial" w:cs="Arial"/>
          <w:sz w:val="24"/>
          <w:szCs w:val="24"/>
        </w:rPr>
        <w:t>2</w:t>
      </w:r>
    </w:p>
    <w:p w14:paraId="25BE78D1" w14:textId="77777777" w:rsidR="00846FCB" w:rsidRPr="00AE4143" w:rsidRDefault="00846FCB" w:rsidP="00E74A97">
      <w:pPr>
        <w:spacing w:after="480" w:line="360" w:lineRule="auto"/>
        <w:contextualSpacing/>
        <w:rPr>
          <w:rFonts w:ascii="Arial" w:hAnsi="Arial" w:cs="Arial"/>
          <w:sz w:val="24"/>
          <w:szCs w:val="24"/>
        </w:rPr>
      </w:pPr>
    </w:p>
    <w:p w14:paraId="172D9F5A" w14:textId="77777777" w:rsidR="00D314FD" w:rsidRPr="00AE4143" w:rsidRDefault="00D314FD" w:rsidP="00E74A97">
      <w:pPr>
        <w:spacing w:after="480" w:line="360" w:lineRule="auto"/>
        <w:contextualSpacing/>
        <w:rPr>
          <w:rFonts w:ascii="Arial" w:hAnsi="Arial" w:cs="Arial"/>
          <w:sz w:val="24"/>
          <w:szCs w:val="24"/>
        </w:rPr>
      </w:pPr>
      <w:r w:rsidRPr="00AE4143">
        <w:rPr>
          <w:rFonts w:ascii="Arial" w:hAnsi="Arial" w:cs="Arial"/>
          <w:sz w:val="24"/>
          <w:szCs w:val="24"/>
        </w:rPr>
        <w:t>Komisja do spraw reprywatyzacji nieruchomości warszawskich w składzie:</w:t>
      </w:r>
    </w:p>
    <w:p w14:paraId="4C4706BA" w14:textId="77777777" w:rsidR="0086604D" w:rsidRPr="00AE4143" w:rsidRDefault="00D314FD" w:rsidP="00E74A97">
      <w:pPr>
        <w:tabs>
          <w:tab w:val="left" w:pos="3253"/>
        </w:tabs>
        <w:spacing w:after="480" w:line="360" w:lineRule="auto"/>
        <w:contextualSpacing/>
        <w:rPr>
          <w:rFonts w:ascii="Arial" w:hAnsi="Arial" w:cs="Arial"/>
          <w:sz w:val="24"/>
          <w:szCs w:val="24"/>
        </w:rPr>
      </w:pPr>
      <w:r w:rsidRPr="00AE4143">
        <w:rPr>
          <w:rFonts w:ascii="Arial" w:hAnsi="Arial" w:cs="Arial"/>
          <w:sz w:val="24"/>
          <w:szCs w:val="24"/>
        </w:rPr>
        <w:t xml:space="preserve">Przewodniczący Komisji: </w:t>
      </w:r>
    </w:p>
    <w:p w14:paraId="5BD9EEE7" w14:textId="77777777" w:rsidR="00406E4C" w:rsidRPr="00AE4143" w:rsidRDefault="00D314FD" w:rsidP="00E74A97">
      <w:pPr>
        <w:tabs>
          <w:tab w:val="left" w:pos="3253"/>
        </w:tabs>
        <w:spacing w:after="480" w:line="360" w:lineRule="auto"/>
        <w:contextualSpacing/>
        <w:rPr>
          <w:rFonts w:ascii="Arial" w:hAnsi="Arial" w:cs="Arial"/>
          <w:sz w:val="24"/>
          <w:szCs w:val="24"/>
        </w:rPr>
      </w:pPr>
      <w:r w:rsidRPr="00AE4143">
        <w:rPr>
          <w:rFonts w:ascii="Arial" w:hAnsi="Arial" w:cs="Arial"/>
          <w:sz w:val="24"/>
          <w:szCs w:val="24"/>
        </w:rPr>
        <w:t>S</w:t>
      </w:r>
      <w:r w:rsidR="00ED4BCA" w:rsidRPr="00AE4143">
        <w:rPr>
          <w:rFonts w:ascii="Arial" w:hAnsi="Arial" w:cs="Arial"/>
          <w:sz w:val="24"/>
          <w:szCs w:val="24"/>
        </w:rPr>
        <w:t>e</w:t>
      </w:r>
      <w:r w:rsidRPr="00AE4143">
        <w:rPr>
          <w:rFonts w:ascii="Arial" w:hAnsi="Arial" w:cs="Arial"/>
          <w:sz w:val="24"/>
          <w:szCs w:val="24"/>
        </w:rPr>
        <w:t>bastian Kaleta</w:t>
      </w:r>
    </w:p>
    <w:p w14:paraId="52AEEBE2" w14:textId="524DDE16" w:rsidR="00406E4C" w:rsidRPr="00AE4143" w:rsidRDefault="00D314FD" w:rsidP="00E74A97">
      <w:pPr>
        <w:spacing w:after="480" w:line="360" w:lineRule="auto"/>
        <w:contextualSpacing/>
        <w:rPr>
          <w:rStyle w:val="FontStyle39"/>
          <w:rFonts w:ascii="Arial" w:hAnsi="Arial" w:cs="Arial"/>
          <w:sz w:val="24"/>
          <w:szCs w:val="24"/>
        </w:rPr>
      </w:pPr>
      <w:r w:rsidRPr="00AE4143">
        <w:rPr>
          <w:rFonts w:ascii="Arial" w:hAnsi="Arial" w:cs="Arial"/>
          <w:sz w:val="24"/>
          <w:szCs w:val="24"/>
        </w:rPr>
        <w:t>Członkowie Komisji:</w:t>
      </w:r>
      <w:r w:rsidR="00B4418C" w:rsidRPr="00AE4143">
        <w:rPr>
          <w:rFonts w:ascii="Arial" w:hAnsi="Arial" w:cs="Arial"/>
          <w:sz w:val="24"/>
          <w:szCs w:val="24"/>
        </w:rPr>
        <w:t xml:space="preserve"> </w:t>
      </w:r>
      <w:r w:rsidR="00BF08F1" w:rsidRPr="00AE4143">
        <w:rPr>
          <w:rStyle w:val="FontStyle39"/>
          <w:rFonts w:ascii="Arial" w:hAnsi="Arial" w:cs="Arial"/>
          <w:sz w:val="24"/>
          <w:szCs w:val="24"/>
        </w:rPr>
        <w:t xml:space="preserve">Paweł Lisiecki, </w:t>
      </w:r>
      <w:r w:rsidR="002F21D0" w:rsidRPr="00AE4143">
        <w:rPr>
          <w:rStyle w:val="FontStyle39"/>
          <w:rFonts w:ascii="Arial" w:hAnsi="Arial" w:cs="Arial"/>
          <w:sz w:val="24"/>
          <w:szCs w:val="24"/>
        </w:rPr>
        <w:t>Wiktor Klimiuk, Robert Kropiwnicki,</w:t>
      </w:r>
      <w:r w:rsidR="00BF08F1" w:rsidRPr="00AE4143">
        <w:rPr>
          <w:rStyle w:val="FontStyle39"/>
          <w:rFonts w:ascii="Arial" w:hAnsi="Arial" w:cs="Arial"/>
          <w:sz w:val="24"/>
          <w:szCs w:val="24"/>
        </w:rPr>
        <w:t xml:space="preserve"> </w:t>
      </w:r>
      <w:r w:rsidR="002F21D0" w:rsidRPr="00AE4143">
        <w:rPr>
          <w:rStyle w:val="FontStyle39"/>
          <w:rFonts w:ascii="Arial" w:hAnsi="Arial" w:cs="Arial"/>
          <w:sz w:val="24"/>
          <w:szCs w:val="24"/>
        </w:rPr>
        <w:t>Jan Mosiński</w:t>
      </w:r>
      <w:r w:rsidRPr="00AE4143">
        <w:rPr>
          <w:rStyle w:val="FontStyle39"/>
          <w:rFonts w:ascii="Arial" w:hAnsi="Arial" w:cs="Arial"/>
          <w:sz w:val="24"/>
          <w:szCs w:val="24"/>
        </w:rPr>
        <w:t>, Adam Zieliński</w:t>
      </w:r>
      <w:r w:rsidR="00C07367" w:rsidRPr="00AE4143">
        <w:rPr>
          <w:rStyle w:val="FontStyle39"/>
          <w:rFonts w:ascii="Arial" w:hAnsi="Arial" w:cs="Arial"/>
          <w:sz w:val="24"/>
          <w:szCs w:val="24"/>
        </w:rPr>
        <w:t>, Bartłomiej Opaliński</w:t>
      </w:r>
      <w:r w:rsidR="00DF5D15" w:rsidRPr="00AE4143">
        <w:rPr>
          <w:rStyle w:val="FontStyle39"/>
          <w:rFonts w:ascii="Arial" w:hAnsi="Arial" w:cs="Arial"/>
          <w:sz w:val="24"/>
          <w:szCs w:val="24"/>
        </w:rPr>
        <w:t>,</w:t>
      </w:r>
    </w:p>
    <w:p w14:paraId="4E0B6D33" w14:textId="5F6D7C19" w:rsidR="00D15F6F" w:rsidRPr="00AE4143" w:rsidRDefault="00D314FD" w:rsidP="00E74A97">
      <w:pPr>
        <w:spacing w:after="480" w:line="360" w:lineRule="auto"/>
        <w:contextualSpacing/>
        <w:rPr>
          <w:rFonts w:ascii="Arial" w:hAnsi="Arial" w:cs="Arial"/>
          <w:sz w:val="24"/>
          <w:szCs w:val="24"/>
        </w:rPr>
      </w:pPr>
      <w:r w:rsidRPr="00AE4143">
        <w:rPr>
          <w:rFonts w:ascii="Arial" w:hAnsi="Arial" w:cs="Arial"/>
          <w:sz w:val="24"/>
          <w:szCs w:val="24"/>
        </w:rPr>
        <w:t xml:space="preserve">po rozpoznaniu </w:t>
      </w:r>
      <w:r w:rsidR="00AE4318" w:rsidRPr="00AE4143">
        <w:rPr>
          <w:rFonts w:ascii="Arial" w:hAnsi="Arial" w:cs="Arial"/>
          <w:sz w:val="24"/>
          <w:szCs w:val="24"/>
        </w:rPr>
        <w:t xml:space="preserve">w dniu </w:t>
      </w:r>
      <w:r w:rsidR="00E11931" w:rsidRPr="00AE4143">
        <w:rPr>
          <w:rFonts w:ascii="Arial" w:hAnsi="Arial" w:cs="Arial"/>
          <w:sz w:val="24"/>
          <w:szCs w:val="24"/>
        </w:rPr>
        <w:t>14</w:t>
      </w:r>
      <w:r w:rsidR="00B55FE1" w:rsidRPr="00AE4143">
        <w:rPr>
          <w:rFonts w:ascii="Arial" w:hAnsi="Arial" w:cs="Arial"/>
          <w:sz w:val="24"/>
          <w:szCs w:val="24"/>
        </w:rPr>
        <w:t xml:space="preserve"> </w:t>
      </w:r>
      <w:r w:rsidR="000A68F7" w:rsidRPr="00AE4143">
        <w:rPr>
          <w:rFonts w:ascii="Arial" w:hAnsi="Arial" w:cs="Arial"/>
          <w:sz w:val="24"/>
          <w:szCs w:val="24"/>
        </w:rPr>
        <w:t>grudnia</w:t>
      </w:r>
      <w:r w:rsidR="00172186" w:rsidRPr="00AE4143">
        <w:rPr>
          <w:rFonts w:ascii="Arial" w:hAnsi="Arial" w:cs="Arial"/>
          <w:sz w:val="24"/>
          <w:szCs w:val="24"/>
        </w:rPr>
        <w:t xml:space="preserve"> </w:t>
      </w:r>
      <w:r w:rsidR="00EE6AA0" w:rsidRPr="00AE4143">
        <w:rPr>
          <w:rFonts w:ascii="Arial" w:hAnsi="Arial" w:cs="Arial"/>
          <w:sz w:val="24"/>
          <w:szCs w:val="24"/>
        </w:rPr>
        <w:t xml:space="preserve">2022 </w:t>
      </w:r>
      <w:r w:rsidR="00AE4318" w:rsidRPr="00AE4143">
        <w:rPr>
          <w:rFonts w:ascii="Arial" w:hAnsi="Arial" w:cs="Arial"/>
          <w:sz w:val="24"/>
          <w:szCs w:val="24"/>
        </w:rPr>
        <w:t>r. na posiedzeniu niejawnym</w:t>
      </w:r>
      <w:r w:rsidR="000F1FD8" w:rsidRPr="00AE4143">
        <w:rPr>
          <w:rFonts w:ascii="Arial" w:hAnsi="Arial" w:cs="Arial"/>
          <w:sz w:val="24"/>
          <w:szCs w:val="24"/>
        </w:rPr>
        <w:t xml:space="preserve">, </w:t>
      </w:r>
    </w:p>
    <w:p w14:paraId="2BF76C03"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sprawy w przedmiocie decyzji Prezydenta m.st. Warszawy z dnia 29 października 2013 r. nr 424/GK/DW/13, dotyczącej ustanowienia prawa użytkowania wieczystego do gruntu położonego w Warszawie przy ul. Olesińskiej 19, oznaczonego w ewidencji gruntów jako dz. ew. nr 34 o pow. 667 m2 z obrębu </w:t>
      </w:r>
      <w:r w:rsidRPr="00AE4143">
        <w:rPr>
          <w:rFonts w:ascii="Arial" w:hAnsi="Arial" w:cs="Arial"/>
          <w:color w:val="FFFFFF" w:themeColor="background1"/>
          <w:sz w:val="24"/>
          <w:szCs w:val="24"/>
        </w:rPr>
        <w:t>1-01-20</w:t>
      </w:r>
      <w:r w:rsidRPr="00AE4143">
        <w:rPr>
          <w:rFonts w:ascii="Arial" w:hAnsi="Arial" w:cs="Arial"/>
          <w:sz w:val="24"/>
          <w:szCs w:val="24"/>
        </w:rPr>
        <w:t xml:space="preserve">, uregulowanego w księdze wieczystej nr </w:t>
      </w:r>
      <w:r w:rsidRPr="00AE4143">
        <w:rPr>
          <w:rFonts w:ascii="Arial" w:hAnsi="Arial" w:cs="Arial"/>
          <w:color w:val="FFFFFF" w:themeColor="background1"/>
          <w:sz w:val="24"/>
          <w:szCs w:val="24"/>
        </w:rPr>
        <w:t>WA2M/00200942/8</w:t>
      </w:r>
      <w:r w:rsidRPr="00AE4143">
        <w:rPr>
          <w:rFonts w:ascii="Arial" w:hAnsi="Arial" w:cs="Arial"/>
          <w:sz w:val="24"/>
          <w:szCs w:val="24"/>
        </w:rPr>
        <w:t>,</w:t>
      </w:r>
    </w:p>
    <w:p w14:paraId="4DF78ACD" w14:textId="77777777" w:rsidR="000F1FD8" w:rsidRPr="00AE4143" w:rsidRDefault="000F1FD8" w:rsidP="00E74A97">
      <w:pPr>
        <w:spacing w:after="480" w:line="360" w:lineRule="auto"/>
        <w:contextualSpacing/>
        <w:rPr>
          <w:rFonts w:ascii="Arial" w:hAnsi="Arial" w:cs="Arial"/>
          <w:color w:val="FFFFFF" w:themeColor="background1"/>
          <w:sz w:val="24"/>
          <w:szCs w:val="24"/>
        </w:rPr>
      </w:pPr>
      <w:r w:rsidRPr="00AE4143">
        <w:rPr>
          <w:rFonts w:ascii="Arial" w:hAnsi="Arial" w:cs="Arial"/>
          <w:sz w:val="24"/>
          <w:szCs w:val="24"/>
        </w:rPr>
        <w:t>z udziałem stron: Miasta Stołecznego Warszawa oraz S</w:t>
      </w:r>
      <w:r w:rsidRPr="00AE4143">
        <w:rPr>
          <w:rFonts w:ascii="Arial" w:hAnsi="Arial" w:cs="Arial"/>
          <w:color w:val="FFFFFF" w:themeColor="background1"/>
          <w:sz w:val="24"/>
          <w:szCs w:val="24"/>
        </w:rPr>
        <w:t>półdzielni</w:t>
      </w:r>
      <w:r w:rsidRPr="00AE4143">
        <w:rPr>
          <w:rFonts w:ascii="Arial" w:hAnsi="Arial" w:cs="Arial"/>
          <w:sz w:val="24"/>
          <w:szCs w:val="24"/>
        </w:rPr>
        <w:t xml:space="preserve"> M</w:t>
      </w:r>
      <w:r w:rsidRPr="00AE4143">
        <w:rPr>
          <w:rFonts w:ascii="Arial" w:hAnsi="Arial" w:cs="Arial"/>
          <w:color w:val="FFFFFF" w:themeColor="background1"/>
          <w:sz w:val="24"/>
          <w:szCs w:val="24"/>
        </w:rPr>
        <w:t>ieszkaniowo</w:t>
      </w:r>
      <w:r w:rsidRPr="00AE4143">
        <w:rPr>
          <w:rFonts w:ascii="Arial" w:hAnsi="Arial" w:cs="Arial"/>
          <w:sz w:val="24"/>
          <w:szCs w:val="24"/>
        </w:rPr>
        <w:t>-B</w:t>
      </w:r>
      <w:r w:rsidRPr="00AE4143">
        <w:rPr>
          <w:rFonts w:ascii="Arial" w:hAnsi="Arial" w:cs="Arial"/>
          <w:color w:val="FFFFFF" w:themeColor="background1"/>
          <w:sz w:val="24"/>
          <w:szCs w:val="24"/>
        </w:rPr>
        <w:t>udowlanej „Społem”,</w:t>
      </w:r>
    </w:p>
    <w:p w14:paraId="2C94C0E7"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na podstawie art. 29 ust. 1 pkt 3a w zw. z art. 30 ust. 1 pkt 4 ustawy z dnia 9 marca 2017 r. o szczególnych zasadach usuwania skutków prawnych decyzji reprywatyzacyjnych, dotyczących nieruchomości warszawskich, wydanych z naruszeniem prawa (Dz. U. z 2021 r. poz. 795; dalej: ustawa z dnia 9 marca 2017 r.), w zw. z art. 156 § 1 pkt 2 i pkt 4 ustawy z dnia 14 czerwca 1960 r. – Kodeks postępowania administracyjnego (Dz. U. z 2022 r. poz. 2000; dalej: k.p.a.), w związku z art. 38 ust. 1 ustawy z dnia 9 marca 2017 r.,</w:t>
      </w:r>
    </w:p>
    <w:p w14:paraId="61B91D02" w14:textId="77777777" w:rsidR="000F1FD8" w:rsidRPr="00AE4143" w:rsidRDefault="000F1FD8" w:rsidP="00E74A97">
      <w:pPr>
        <w:spacing w:after="480" w:line="360" w:lineRule="auto"/>
        <w:contextualSpacing/>
        <w:rPr>
          <w:rFonts w:ascii="Arial" w:hAnsi="Arial" w:cs="Arial"/>
          <w:sz w:val="24"/>
          <w:szCs w:val="24"/>
        </w:rPr>
      </w:pPr>
    </w:p>
    <w:p w14:paraId="159AAD52"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orzeka: </w:t>
      </w:r>
    </w:p>
    <w:p w14:paraId="69F7E33A"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stwierdzić nieważność decyzji Prezydenta m.st. Warszawy z dnia 29 października 2013 r. nr 424/GK/DW/13 w całości. </w:t>
      </w:r>
    </w:p>
    <w:p w14:paraId="5879D757" w14:textId="77777777" w:rsidR="0090439E" w:rsidRPr="00AE4143" w:rsidRDefault="0090439E" w:rsidP="00E74A97">
      <w:pPr>
        <w:spacing w:after="480" w:line="360" w:lineRule="auto"/>
        <w:contextualSpacing/>
        <w:rPr>
          <w:rFonts w:ascii="Arial" w:hAnsi="Arial" w:cs="Arial"/>
          <w:sz w:val="24"/>
          <w:szCs w:val="24"/>
        </w:rPr>
      </w:pPr>
    </w:p>
    <w:p w14:paraId="65D50A00" w14:textId="425881D6"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UZASADNIENIE</w:t>
      </w:r>
    </w:p>
    <w:p w14:paraId="38ED8B5A" w14:textId="77777777" w:rsidR="000F1FD8" w:rsidRPr="00AE4143" w:rsidRDefault="000F1FD8" w:rsidP="00E74A97">
      <w:pPr>
        <w:spacing w:after="480" w:line="360" w:lineRule="auto"/>
        <w:contextualSpacing/>
        <w:rPr>
          <w:rFonts w:ascii="Arial" w:hAnsi="Arial" w:cs="Arial"/>
          <w:sz w:val="24"/>
          <w:szCs w:val="24"/>
        </w:rPr>
      </w:pPr>
    </w:p>
    <w:p w14:paraId="0C07BE03"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I.</w:t>
      </w:r>
      <w:r w:rsidRPr="00AE4143">
        <w:rPr>
          <w:rFonts w:ascii="Arial" w:hAnsi="Arial" w:cs="Arial"/>
          <w:sz w:val="24"/>
          <w:szCs w:val="24"/>
        </w:rPr>
        <w:tab/>
        <w:t>Postępowanie rozpoznawcze prowadzone przed Komisją</w:t>
      </w:r>
    </w:p>
    <w:p w14:paraId="2011230D"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Po przeprowadzeniu czynności sprawdzających, Komisja do spraw reprywatyzacji nieruchomości warszawskich (dalej: Komisja) na podstawie art. 15 ust. 2 i 3 w zw. z art. 16 ust. 1 ustawy z dnia 9 marca 2017 r. o szczególnych zasadach usuwania skutków prawnych decyzji reprywatyzacyjnych dotyczących nieruchomości warszawskich, wydanych z naruszeniem prawa (Dz. U. z 2021 r. poz. 795, dalej: ustawa), postanowieniem z dnia 5 października 2022  r. wszczęła z urzędu postępowanie rozpoznawcze w przedmiocie decyzji Prezydenta m.st. Warszawy z dnia 29 października 2013 r. nr 424/GK/DW/13, dotyczącej ustanowienia prawa użytkowania wieczystego do gruntu o pow. 667 m2 położonego w Warszawie przy ul. Olesińskiej 19, dz. ew. nr 34, obręb </w:t>
      </w:r>
      <w:r w:rsidRPr="00AE4143">
        <w:rPr>
          <w:rFonts w:ascii="Arial" w:hAnsi="Arial" w:cs="Arial"/>
          <w:color w:val="FFFFFF" w:themeColor="background1"/>
          <w:sz w:val="24"/>
          <w:szCs w:val="24"/>
        </w:rPr>
        <w:t xml:space="preserve">1-01-20 </w:t>
      </w:r>
      <w:r w:rsidRPr="00AE4143">
        <w:rPr>
          <w:rFonts w:ascii="Arial" w:hAnsi="Arial" w:cs="Arial"/>
          <w:sz w:val="24"/>
          <w:szCs w:val="24"/>
        </w:rPr>
        <w:t>(KW nr W</w:t>
      </w:r>
      <w:r w:rsidRPr="00AE4143">
        <w:rPr>
          <w:rFonts w:ascii="Arial" w:hAnsi="Arial" w:cs="Arial"/>
          <w:color w:val="FFFFFF" w:themeColor="background1"/>
          <w:sz w:val="24"/>
          <w:szCs w:val="24"/>
        </w:rPr>
        <w:t>A2M/00200942/8</w:t>
      </w:r>
      <w:r w:rsidRPr="00AE4143">
        <w:rPr>
          <w:rFonts w:ascii="Arial" w:hAnsi="Arial" w:cs="Arial"/>
          <w:sz w:val="24"/>
          <w:szCs w:val="24"/>
        </w:rPr>
        <w:t xml:space="preserve">). </w:t>
      </w:r>
    </w:p>
    <w:p w14:paraId="4C7A78C6"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Postanowieniem Komisji z dnia 5 października 2022 r., na podstawie art. 26 ust. 2 ustawy, zawiadomiono właściwe organy administracji oraz sądy o wszczęciu z urzędu postępowania rozpoznawczego. </w:t>
      </w:r>
    </w:p>
    <w:p w14:paraId="11780F9C"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Zawiadomieniem z dnia 5 października 2022 r. Przewodniczący Komisji zawiadomił strony postepowania o wszczęciu z urzędu postępowania rozpoznawczego. </w:t>
      </w:r>
    </w:p>
    <w:p w14:paraId="45FB98AE"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Postanowieniem z dnia 5 października 2022 r., doręczonym w dniu 25 października 2022  r., Komisja zwróciła się do Społecznej Rady z wnioskiem o wydanie opinii w  przedmiotowej sprawie.</w:t>
      </w:r>
    </w:p>
    <w:p w14:paraId="601D3036"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Powyższe postanowienia i zawiadomienia zostały opublikowane w Biuletynie Informacji Publicznej na stronie podmiotowej urzędu obsługującego Ministra Sprawiedliwości w dniu 21  października 2022 r. </w:t>
      </w:r>
    </w:p>
    <w:p w14:paraId="5ACF8220"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Zawiadomieniem z dnia 25 listopada 2022 r. Komisja na podstawie art. 10 § 1 k.p.a. w zw. z art. 38 ust. 1 oraz art. 16 ust. 3 i 4 ustawy zawiadomiła, poprzez ogłoszenie w Biuletynie Informacji Publicznej na stronie podmiotowej urzędu obsługującego Ministra Sprawiedliwości, o zakończeniu postępowania dowodowego oraz możliwości wypowiedzenia się co do zebranych dowodów i materiałów oraz zgłoszonych żądań. </w:t>
      </w:r>
      <w:r w:rsidRPr="00AE4143">
        <w:rPr>
          <w:rFonts w:ascii="Arial" w:hAnsi="Arial" w:cs="Arial"/>
          <w:sz w:val="24"/>
          <w:szCs w:val="24"/>
        </w:rPr>
        <w:lastRenderedPageBreak/>
        <w:t>Zawiadomienie zostało opublikowane w Biuletynie Informacji Publicznej, na stronie podmiotowej urzędu obsługującego Ministra Sprawiedliwości w dniu 28 listopada 2022 r.</w:t>
      </w:r>
    </w:p>
    <w:p w14:paraId="65BFDECA"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Stanowisko w sprawie wyraziła Społeczna Rada. W opinii nr 57/2022 z dnia 9 grudnia 2022 r. wniosła o stwierdzenie nieważności przedmiotowej decyzji Prezydenta m. st. Warszawy wskazując, że została wydana na rzecz osoby prawnej, której nie przysługiwał przymiot strony postępowania. Społeczna Rada podkreśliła, że S</w:t>
      </w:r>
      <w:r w:rsidRPr="00AE4143">
        <w:rPr>
          <w:rFonts w:ascii="Arial" w:hAnsi="Arial" w:cs="Arial"/>
          <w:color w:val="FFFFFF" w:themeColor="background1"/>
          <w:sz w:val="24"/>
          <w:szCs w:val="24"/>
        </w:rPr>
        <w:t xml:space="preserve">półdzielnia </w:t>
      </w:r>
      <w:r w:rsidRPr="00AE4143">
        <w:rPr>
          <w:rFonts w:ascii="Arial" w:hAnsi="Arial" w:cs="Arial"/>
          <w:sz w:val="24"/>
          <w:szCs w:val="24"/>
        </w:rPr>
        <w:t>M</w:t>
      </w:r>
      <w:r w:rsidRPr="00AE4143">
        <w:rPr>
          <w:rFonts w:ascii="Arial" w:hAnsi="Arial" w:cs="Arial"/>
          <w:color w:val="FFFFFF" w:themeColor="background1"/>
          <w:sz w:val="24"/>
          <w:szCs w:val="24"/>
        </w:rPr>
        <w:t>ieszkaniowo</w:t>
      </w:r>
      <w:r w:rsidRPr="00AE4143">
        <w:rPr>
          <w:rFonts w:ascii="Arial" w:hAnsi="Arial" w:cs="Arial"/>
          <w:sz w:val="24"/>
          <w:szCs w:val="24"/>
        </w:rPr>
        <w:t>-B</w:t>
      </w:r>
      <w:r w:rsidRPr="00AE4143">
        <w:rPr>
          <w:rFonts w:ascii="Arial" w:hAnsi="Arial" w:cs="Arial"/>
          <w:color w:val="FFFFFF" w:themeColor="background1"/>
          <w:sz w:val="24"/>
          <w:szCs w:val="24"/>
        </w:rPr>
        <w:t xml:space="preserve">udowlana „Społem”, </w:t>
      </w:r>
      <w:r w:rsidRPr="00AE4143">
        <w:rPr>
          <w:rFonts w:ascii="Arial" w:hAnsi="Arial" w:cs="Arial"/>
          <w:sz w:val="24"/>
          <w:szCs w:val="24"/>
        </w:rPr>
        <w:t>którą organ bezpodstawnie uznał za stronę postępowania administracyjnego, była jedyną stroną i beneficjentem przedmiotowej decyzji, co dodatkowo uzasadnia konieczność stwierdzenia jej nieważności w trybie art. 156 § 1 pkt 2 k.p.a., jako wydanej z rażącym naruszeniem prawa.</w:t>
      </w:r>
    </w:p>
    <w:p w14:paraId="0CD2CB12" w14:textId="77777777" w:rsidR="000F1FD8" w:rsidRPr="00AE4143" w:rsidRDefault="000F1FD8" w:rsidP="00E74A97">
      <w:pPr>
        <w:spacing w:after="480" w:line="360" w:lineRule="auto"/>
        <w:contextualSpacing/>
        <w:rPr>
          <w:rFonts w:ascii="Arial" w:hAnsi="Arial" w:cs="Arial"/>
          <w:sz w:val="24"/>
          <w:szCs w:val="24"/>
        </w:rPr>
      </w:pPr>
    </w:p>
    <w:p w14:paraId="0DC5234B"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II.</w:t>
      </w:r>
      <w:r w:rsidRPr="00AE4143">
        <w:rPr>
          <w:rFonts w:ascii="Arial" w:hAnsi="Arial" w:cs="Arial"/>
          <w:sz w:val="24"/>
          <w:szCs w:val="24"/>
        </w:rPr>
        <w:tab/>
        <w:t>Na podstawie zebranego materiału dowodowego Komisja ustaliła, co następuje:</w:t>
      </w:r>
    </w:p>
    <w:p w14:paraId="5EE7BF19" w14:textId="77777777" w:rsidR="000F1FD8" w:rsidRPr="00AE4143" w:rsidRDefault="000F1FD8" w:rsidP="00E74A97">
      <w:pPr>
        <w:spacing w:after="480" w:line="360" w:lineRule="auto"/>
        <w:contextualSpacing/>
        <w:rPr>
          <w:rFonts w:ascii="Arial" w:hAnsi="Arial" w:cs="Arial"/>
          <w:sz w:val="24"/>
          <w:szCs w:val="24"/>
        </w:rPr>
      </w:pPr>
    </w:p>
    <w:p w14:paraId="7B9B0D87"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1. Opis nieruchomości</w:t>
      </w:r>
    </w:p>
    <w:p w14:paraId="0662E005"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Zgodnie z zaświadczeniem Sądu Grodzkiego w Warszawie Oddział Ksiąg Wieczystych z  dnia 23 lipca 1948 r. nr 7037/48, nieruchomość nr 11851 w m.st. Warszawie położona przy ulicy Olesińskiej nr 19 stanowi działkę o pow. 6a 60,12 m2, zabudowaną domem mieszkalnym (k. 3 akt własnościowych). </w:t>
      </w:r>
    </w:p>
    <w:p w14:paraId="1A38C98E"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Dawna nieruchomość warszawska oznaczona jako hip. 11851 obejmuje obecnie działkę ewidencyjną nr 34 z </w:t>
      </w:r>
      <w:proofErr w:type="spellStart"/>
      <w:r w:rsidRPr="00AE4143">
        <w:rPr>
          <w:rFonts w:ascii="Arial" w:hAnsi="Arial" w:cs="Arial"/>
          <w:sz w:val="24"/>
          <w:szCs w:val="24"/>
        </w:rPr>
        <w:t>obr</w:t>
      </w:r>
      <w:proofErr w:type="spellEnd"/>
      <w:r w:rsidRPr="00AE4143">
        <w:rPr>
          <w:rFonts w:ascii="Arial" w:hAnsi="Arial" w:cs="Arial"/>
          <w:sz w:val="24"/>
          <w:szCs w:val="24"/>
        </w:rPr>
        <w:t>. 1-01-20 o pow. 667 m2 , skomunalizowaną decyzją Wojewody Warszawskiego nr 17964 z dn. 30 stycznia 1992 r. Dla nieruchomości tej Sąd Rejonowy dla Warszawy-Mokotowa w dniu 18 listopada 1998 r. założył księgę wieczystą nr W</w:t>
      </w:r>
      <w:r w:rsidRPr="00AE4143">
        <w:rPr>
          <w:rFonts w:ascii="Arial" w:hAnsi="Arial" w:cs="Arial"/>
          <w:color w:val="FFFFFF" w:themeColor="background1"/>
          <w:sz w:val="24"/>
          <w:szCs w:val="24"/>
        </w:rPr>
        <w:t>A2M/00200942/8</w:t>
      </w:r>
      <w:r w:rsidRPr="00AE4143">
        <w:rPr>
          <w:rFonts w:ascii="Arial" w:hAnsi="Arial" w:cs="Arial"/>
          <w:sz w:val="24"/>
          <w:szCs w:val="24"/>
        </w:rPr>
        <w:t>.</w:t>
      </w:r>
    </w:p>
    <w:p w14:paraId="0F9906BC"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Teren przedmiotowej nieruchomości został objęty działaniem Dekretu z dnia 26  października 1945 r. o własności i użytkowaniu gruntów na obszarze m.st. Warszawy. Z  dniem 21 listopada 1945 r., tj. z dniem wejścia w życie Dekretu, nieruchomości warszawskie, w tym przedmiotowa nieruchomość, na podstawie art. 1 ww. Dekretu przeszły na własność Gminy m.st. Warszawy, a od 1950 r. z chwilą likwidacji gmin, przeszły na własność Skarbu Państwa.</w:t>
      </w:r>
    </w:p>
    <w:p w14:paraId="7CA40BF9" w14:textId="77777777" w:rsidR="000F1FD8" w:rsidRPr="00AE4143" w:rsidRDefault="000F1FD8" w:rsidP="00E74A97">
      <w:pPr>
        <w:spacing w:after="480" w:line="360" w:lineRule="auto"/>
        <w:contextualSpacing/>
        <w:rPr>
          <w:rFonts w:ascii="Arial" w:hAnsi="Arial" w:cs="Arial"/>
          <w:sz w:val="24"/>
          <w:szCs w:val="24"/>
        </w:rPr>
      </w:pPr>
    </w:p>
    <w:p w14:paraId="3C6C39B5"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2. Pierwotny właściciel nieruchomości</w:t>
      </w:r>
    </w:p>
    <w:p w14:paraId="1EEE9E1C"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lastRenderedPageBreak/>
        <w:t>Nieruchomość nr hip. 11851 na mocy postanowienia z dnia 4 grudnia 1936 r. była własnością T</w:t>
      </w:r>
      <w:r w:rsidRPr="00AE4143">
        <w:rPr>
          <w:rFonts w:ascii="Arial" w:hAnsi="Arial" w:cs="Arial"/>
          <w:color w:val="FFFFFF" w:themeColor="background1"/>
          <w:sz w:val="24"/>
          <w:szCs w:val="24"/>
        </w:rPr>
        <w:t>owarzystwa</w:t>
      </w:r>
      <w:r w:rsidRPr="00AE4143">
        <w:rPr>
          <w:rFonts w:ascii="Arial" w:hAnsi="Arial" w:cs="Arial"/>
          <w:sz w:val="24"/>
          <w:szCs w:val="24"/>
        </w:rPr>
        <w:t xml:space="preserve"> O</w:t>
      </w:r>
      <w:r w:rsidRPr="00AE4143">
        <w:rPr>
          <w:rFonts w:ascii="Arial" w:hAnsi="Arial" w:cs="Arial"/>
          <w:color w:val="FFFFFF" w:themeColor="background1"/>
          <w:sz w:val="24"/>
          <w:szCs w:val="24"/>
        </w:rPr>
        <w:t>światy</w:t>
      </w:r>
      <w:r w:rsidRPr="00AE4143">
        <w:rPr>
          <w:rFonts w:ascii="Arial" w:hAnsi="Arial" w:cs="Arial"/>
          <w:sz w:val="24"/>
          <w:szCs w:val="24"/>
        </w:rPr>
        <w:t xml:space="preserve"> R</w:t>
      </w:r>
      <w:r w:rsidRPr="00AE4143">
        <w:rPr>
          <w:rFonts w:ascii="Arial" w:hAnsi="Arial" w:cs="Arial"/>
          <w:color w:val="FFFFFF" w:themeColor="background1"/>
          <w:sz w:val="24"/>
          <w:szCs w:val="24"/>
        </w:rPr>
        <w:t>olniczej</w:t>
      </w:r>
      <w:r w:rsidRPr="00AE4143">
        <w:rPr>
          <w:rFonts w:ascii="Arial" w:hAnsi="Arial" w:cs="Arial"/>
          <w:sz w:val="24"/>
          <w:szCs w:val="24"/>
        </w:rPr>
        <w:t xml:space="preserve"> – K</w:t>
      </w:r>
      <w:r w:rsidRPr="00AE4143">
        <w:rPr>
          <w:rFonts w:ascii="Arial" w:hAnsi="Arial" w:cs="Arial"/>
          <w:color w:val="FFFFFF" w:themeColor="background1"/>
          <w:sz w:val="24"/>
          <w:szCs w:val="24"/>
        </w:rPr>
        <w:t xml:space="preserve">sięgarnia </w:t>
      </w:r>
      <w:r w:rsidRPr="00AE4143">
        <w:rPr>
          <w:rFonts w:ascii="Arial" w:hAnsi="Arial" w:cs="Arial"/>
          <w:sz w:val="24"/>
          <w:szCs w:val="24"/>
        </w:rPr>
        <w:t>R</w:t>
      </w:r>
      <w:r w:rsidRPr="00AE4143">
        <w:rPr>
          <w:rFonts w:ascii="Arial" w:hAnsi="Arial" w:cs="Arial"/>
          <w:color w:val="FFFFFF" w:themeColor="background1"/>
          <w:sz w:val="24"/>
          <w:szCs w:val="24"/>
        </w:rPr>
        <w:t>olnicza</w:t>
      </w:r>
      <w:r w:rsidRPr="00AE4143">
        <w:rPr>
          <w:rFonts w:ascii="Arial" w:hAnsi="Arial" w:cs="Arial"/>
          <w:sz w:val="24"/>
          <w:szCs w:val="24"/>
        </w:rPr>
        <w:t xml:space="preserve"> spółka z ograniczoną odpowiedzialnością (k. 9 akt Samorządowego Kolegium Odwoławczego w Warszawie KOC 2803/Go/01). </w:t>
      </w:r>
    </w:p>
    <w:p w14:paraId="43346B58"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Zgodnie z zaświadczeniem Sądu Grodzkiego w Warszawie Oddział Ksiąg Wieczystych z  dnia 23 lipca 1948 r. nr 7037/48, nieruchomość nr 11851 w m.st. Warszawie położona przy ulicy Olesińskiej nr 19 zapisana jest przez zastrzeżenie na imię firmy „S</w:t>
      </w:r>
      <w:r w:rsidRPr="00AE4143">
        <w:rPr>
          <w:rFonts w:ascii="Arial" w:hAnsi="Arial" w:cs="Arial"/>
          <w:color w:val="FFFFFF" w:themeColor="background1"/>
          <w:sz w:val="24"/>
          <w:szCs w:val="24"/>
        </w:rPr>
        <w:t xml:space="preserve">połem” </w:t>
      </w:r>
      <w:r w:rsidRPr="00AE4143">
        <w:rPr>
          <w:rFonts w:ascii="Arial" w:hAnsi="Arial" w:cs="Arial"/>
          <w:sz w:val="24"/>
          <w:szCs w:val="24"/>
        </w:rPr>
        <w:t>Z</w:t>
      </w:r>
      <w:r w:rsidRPr="00AE4143">
        <w:rPr>
          <w:rFonts w:ascii="Arial" w:hAnsi="Arial" w:cs="Arial"/>
          <w:color w:val="FFFFFF" w:themeColor="background1"/>
          <w:sz w:val="24"/>
          <w:szCs w:val="24"/>
        </w:rPr>
        <w:t>wiązek</w:t>
      </w:r>
      <w:r w:rsidRPr="00AE4143">
        <w:rPr>
          <w:rFonts w:ascii="Arial" w:hAnsi="Arial" w:cs="Arial"/>
          <w:sz w:val="24"/>
          <w:szCs w:val="24"/>
        </w:rPr>
        <w:t xml:space="preserve"> G</w:t>
      </w:r>
      <w:r w:rsidRPr="00AE4143">
        <w:rPr>
          <w:rFonts w:ascii="Arial" w:hAnsi="Arial" w:cs="Arial"/>
          <w:color w:val="FFFFFF" w:themeColor="background1"/>
          <w:sz w:val="24"/>
          <w:szCs w:val="24"/>
        </w:rPr>
        <w:t>ospodarczy</w:t>
      </w:r>
      <w:r w:rsidRPr="00AE4143">
        <w:rPr>
          <w:rFonts w:ascii="Arial" w:hAnsi="Arial" w:cs="Arial"/>
          <w:sz w:val="24"/>
          <w:szCs w:val="24"/>
        </w:rPr>
        <w:t xml:space="preserve"> S</w:t>
      </w:r>
      <w:r w:rsidRPr="00AE4143">
        <w:rPr>
          <w:rFonts w:ascii="Arial" w:hAnsi="Arial" w:cs="Arial"/>
          <w:color w:val="FFFFFF" w:themeColor="background1"/>
          <w:sz w:val="24"/>
          <w:szCs w:val="24"/>
        </w:rPr>
        <w:t>półdzielni</w:t>
      </w:r>
      <w:r w:rsidRPr="00AE4143">
        <w:rPr>
          <w:rFonts w:ascii="Arial" w:hAnsi="Arial" w:cs="Arial"/>
          <w:sz w:val="24"/>
          <w:szCs w:val="24"/>
        </w:rPr>
        <w:t xml:space="preserve"> R</w:t>
      </w:r>
      <w:r w:rsidRPr="00AE4143">
        <w:rPr>
          <w:rFonts w:ascii="Arial" w:hAnsi="Arial" w:cs="Arial"/>
          <w:color w:val="FFFFFF" w:themeColor="background1"/>
          <w:sz w:val="24"/>
          <w:szCs w:val="24"/>
        </w:rPr>
        <w:t>zeczypospolitej</w:t>
      </w:r>
      <w:r w:rsidRPr="00AE4143">
        <w:rPr>
          <w:rFonts w:ascii="Arial" w:hAnsi="Arial" w:cs="Arial"/>
          <w:sz w:val="24"/>
          <w:szCs w:val="24"/>
        </w:rPr>
        <w:t xml:space="preserve"> P</w:t>
      </w:r>
      <w:r w:rsidRPr="00AE4143">
        <w:rPr>
          <w:rFonts w:ascii="Arial" w:hAnsi="Arial" w:cs="Arial"/>
          <w:color w:val="FFFFFF" w:themeColor="background1"/>
          <w:sz w:val="24"/>
          <w:szCs w:val="24"/>
        </w:rPr>
        <w:t xml:space="preserve">olskiej </w:t>
      </w:r>
      <w:r w:rsidRPr="00AE4143">
        <w:rPr>
          <w:rFonts w:ascii="Arial" w:hAnsi="Arial" w:cs="Arial"/>
          <w:sz w:val="24"/>
          <w:szCs w:val="24"/>
        </w:rPr>
        <w:t>S</w:t>
      </w:r>
      <w:r w:rsidRPr="00AE4143">
        <w:rPr>
          <w:rFonts w:ascii="Arial" w:hAnsi="Arial" w:cs="Arial"/>
          <w:color w:val="FFFFFF" w:themeColor="background1"/>
          <w:sz w:val="24"/>
          <w:szCs w:val="24"/>
        </w:rPr>
        <w:t>półdzielnia</w:t>
      </w:r>
      <w:r w:rsidRPr="00AE4143">
        <w:rPr>
          <w:rFonts w:ascii="Arial" w:hAnsi="Arial" w:cs="Arial"/>
          <w:sz w:val="24"/>
          <w:szCs w:val="24"/>
        </w:rPr>
        <w:t xml:space="preserve"> z odpowiedzialnością udziałami w Warszawie na mocy </w:t>
      </w:r>
      <w:proofErr w:type="spellStart"/>
      <w:r w:rsidRPr="00AE4143">
        <w:rPr>
          <w:rFonts w:ascii="Arial" w:hAnsi="Arial" w:cs="Arial"/>
          <w:sz w:val="24"/>
          <w:szCs w:val="24"/>
        </w:rPr>
        <w:t>protokółu</w:t>
      </w:r>
      <w:proofErr w:type="spellEnd"/>
      <w:r w:rsidRPr="00AE4143">
        <w:rPr>
          <w:rFonts w:ascii="Arial" w:hAnsi="Arial" w:cs="Arial"/>
          <w:sz w:val="24"/>
          <w:szCs w:val="24"/>
        </w:rPr>
        <w:t xml:space="preserve"> z dnia 2 czerwca 1947 nr 1459 not. K. </w:t>
      </w:r>
      <w:proofErr w:type="spellStart"/>
      <w:r w:rsidRPr="00AE4143">
        <w:rPr>
          <w:rFonts w:ascii="Arial" w:hAnsi="Arial" w:cs="Arial"/>
          <w:sz w:val="24"/>
          <w:szCs w:val="24"/>
        </w:rPr>
        <w:t>Hettlingera</w:t>
      </w:r>
      <w:proofErr w:type="spellEnd"/>
      <w:r w:rsidRPr="00AE4143">
        <w:rPr>
          <w:rFonts w:ascii="Arial" w:hAnsi="Arial" w:cs="Arial"/>
          <w:sz w:val="24"/>
          <w:szCs w:val="24"/>
        </w:rPr>
        <w:t xml:space="preserve"> oraz wniosku z dnia 29 listopada 1947 N 5550 </w:t>
      </w:r>
      <w:proofErr w:type="spellStart"/>
      <w:r w:rsidRPr="00AE4143">
        <w:rPr>
          <w:rFonts w:ascii="Arial" w:hAnsi="Arial" w:cs="Arial"/>
          <w:sz w:val="24"/>
          <w:szCs w:val="24"/>
        </w:rPr>
        <w:t>Dz.K.W</w:t>
      </w:r>
      <w:proofErr w:type="spellEnd"/>
      <w:r w:rsidRPr="00AE4143">
        <w:rPr>
          <w:rFonts w:ascii="Arial" w:hAnsi="Arial" w:cs="Arial"/>
          <w:sz w:val="24"/>
          <w:szCs w:val="24"/>
        </w:rPr>
        <w:t>. Zaświadczenie to stwierdzało stan na dzień 15 lipca 1948 r. (k. 3 akt własnościowych).</w:t>
      </w:r>
    </w:p>
    <w:p w14:paraId="4D06DA45" w14:textId="77777777" w:rsidR="000F1FD8" w:rsidRPr="00AE4143" w:rsidRDefault="000F1FD8" w:rsidP="00E74A97">
      <w:pPr>
        <w:spacing w:after="480" w:line="360" w:lineRule="auto"/>
        <w:contextualSpacing/>
        <w:rPr>
          <w:rFonts w:ascii="Arial" w:hAnsi="Arial" w:cs="Arial"/>
          <w:sz w:val="24"/>
          <w:szCs w:val="24"/>
        </w:rPr>
      </w:pPr>
    </w:p>
    <w:p w14:paraId="1AF077F6"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3. Obrót nieruchomością </w:t>
      </w:r>
    </w:p>
    <w:p w14:paraId="1636EB9E"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Umową z 24 listopada 1947 r. T</w:t>
      </w:r>
      <w:r w:rsidRPr="00AE4143">
        <w:rPr>
          <w:rFonts w:ascii="Arial" w:hAnsi="Arial" w:cs="Arial"/>
          <w:color w:val="FFFFFF" w:themeColor="background1"/>
          <w:sz w:val="24"/>
          <w:szCs w:val="24"/>
        </w:rPr>
        <w:t xml:space="preserve">owarzystwo </w:t>
      </w:r>
      <w:r w:rsidRPr="00AE4143">
        <w:rPr>
          <w:rFonts w:ascii="Arial" w:hAnsi="Arial" w:cs="Arial"/>
          <w:sz w:val="24"/>
          <w:szCs w:val="24"/>
        </w:rPr>
        <w:t>O</w:t>
      </w:r>
      <w:r w:rsidRPr="00AE4143">
        <w:rPr>
          <w:rFonts w:ascii="Arial" w:hAnsi="Arial" w:cs="Arial"/>
          <w:color w:val="FFFFFF" w:themeColor="background1"/>
          <w:sz w:val="24"/>
          <w:szCs w:val="24"/>
        </w:rPr>
        <w:t>światy</w:t>
      </w:r>
      <w:r w:rsidRPr="00AE4143">
        <w:rPr>
          <w:rFonts w:ascii="Arial" w:hAnsi="Arial" w:cs="Arial"/>
          <w:sz w:val="24"/>
          <w:szCs w:val="24"/>
        </w:rPr>
        <w:t xml:space="preserve"> R</w:t>
      </w:r>
      <w:r w:rsidRPr="00AE4143">
        <w:rPr>
          <w:rFonts w:ascii="Arial" w:hAnsi="Arial" w:cs="Arial"/>
          <w:color w:val="FFFFFF" w:themeColor="background1"/>
          <w:sz w:val="24"/>
          <w:szCs w:val="24"/>
        </w:rPr>
        <w:t>olniczej</w:t>
      </w:r>
      <w:r w:rsidRPr="00AE4143">
        <w:rPr>
          <w:rFonts w:ascii="Arial" w:hAnsi="Arial" w:cs="Arial"/>
          <w:sz w:val="24"/>
          <w:szCs w:val="24"/>
        </w:rPr>
        <w:t xml:space="preserve"> – K</w:t>
      </w:r>
      <w:r w:rsidRPr="00AE4143">
        <w:rPr>
          <w:rFonts w:ascii="Arial" w:hAnsi="Arial" w:cs="Arial"/>
          <w:color w:val="FFFFFF" w:themeColor="background1"/>
          <w:sz w:val="24"/>
          <w:szCs w:val="24"/>
        </w:rPr>
        <w:t>sięgarnia</w:t>
      </w:r>
      <w:r w:rsidRPr="00AE4143">
        <w:rPr>
          <w:rFonts w:ascii="Arial" w:hAnsi="Arial" w:cs="Arial"/>
          <w:sz w:val="24"/>
          <w:szCs w:val="24"/>
        </w:rPr>
        <w:t xml:space="preserve"> R</w:t>
      </w:r>
      <w:r w:rsidRPr="00AE4143">
        <w:rPr>
          <w:rFonts w:ascii="Arial" w:hAnsi="Arial" w:cs="Arial"/>
          <w:color w:val="FFFFFF" w:themeColor="background1"/>
          <w:sz w:val="24"/>
          <w:szCs w:val="24"/>
        </w:rPr>
        <w:t xml:space="preserve">olnicza </w:t>
      </w:r>
      <w:r w:rsidRPr="00AE4143">
        <w:rPr>
          <w:rFonts w:ascii="Arial" w:hAnsi="Arial" w:cs="Arial"/>
          <w:sz w:val="24"/>
          <w:szCs w:val="24"/>
        </w:rPr>
        <w:t>spółka z ograniczoną odpowiedzialnością w likwidacji sprzedało na rzecz „</w:t>
      </w:r>
      <w:r w:rsidRPr="00AE4143">
        <w:rPr>
          <w:rFonts w:ascii="Arial" w:hAnsi="Arial" w:cs="Arial"/>
          <w:color w:val="FFFFFF" w:themeColor="background1"/>
          <w:sz w:val="24"/>
          <w:szCs w:val="24"/>
        </w:rPr>
        <w:t xml:space="preserve">Społem” </w:t>
      </w:r>
      <w:r w:rsidRPr="00AE4143">
        <w:rPr>
          <w:rFonts w:ascii="Arial" w:hAnsi="Arial" w:cs="Arial"/>
          <w:sz w:val="24"/>
          <w:szCs w:val="24"/>
        </w:rPr>
        <w:t>Z</w:t>
      </w:r>
      <w:r w:rsidRPr="00AE4143">
        <w:rPr>
          <w:rFonts w:ascii="Arial" w:hAnsi="Arial" w:cs="Arial"/>
          <w:color w:val="FFFFFF" w:themeColor="background1"/>
          <w:sz w:val="24"/>
          <w:szCs w:val="24"/>
        </w:rPr>
        <w:t>wiązku</w:t>
      </w:r>
      <w:r w:rsidRPr="00AE4143">
        <w:rPr>
          <w:rFonts w:ascii="Arial" w:hAnsi="Arial" w:cs="Arial"/>
          <w:sz w:val="24"/>
          <w:szCs w:val="24"/>
        </w:rPr>
        <w:t xml:space="preserve"> G</w:t>
      </w:r>
      <w:r w:rsidRPr="00AE4143">
        <w:rPr>
          <w:rFonts w:ascii="Arial" w:hAnsi="Arial" w:cs="Arial"/>
          <w:color w:val="FFFFFF" w:themeColor="background1"/>
          <w:sz w:val="24"/>
          <w:szCs w:val="24"/>
        </w:rPr>
        <w:t>ospodarczego</w:t>
      </w:r>
      <w:r w:rsidRPr="00AE4143">
        <w:rPr>
          <w:rFonts w:ascii="Arial" w:hAnsi="Arial" w:cs="Arial"/>
          <w:sz w:val="24"/>
          <w:szCs w:val="24"/>
        </w:rPr>
        <w:t xml:space="preserve"> S</w:t>
      </w:r>
      <w:r w:rsidRPr="00AE4143">
        <w:rPr>
          <w:rFonts w:ascii="Arial" w:hAnsi="Arial" w:cs="Arial"/>
          <w:color w:val="FFFFFF" w:themeColor="background1"/>
          <w:sz w:val="24"/>
          <w:szCs w:val="24"/>
        </w:rPr>
        <w:t>półdzielni</w:t>
      </w:r>
      <w:r w:rsidRPr="00AE4143">
        <w:rPr>
          <w:rFonts w:ascii="Arial" w:hAnsi="Arial" w:cs="Arial"/>
          <w:sz w:val="24"/>
          <w:szCs w:val="24"/>
        </w:rPr>
        <w:t xml:space="preserve"> R</w:t>
      </w:r>
      <w:r w:rsidRPr="00AE4143">
        <w:rPr>
          <w:rFonts w:ascii="Arial" w:hAnsi="Arial" w:cs="Arial"/>
          <w:color w:val="FFFFFF" w:themeColor="background1"/>
          <w:sz w:val="24"/>
          <w:szCs w:val="24"/>
        </w:rPr>
        <w:t xml:space="preserve">zeczypospolitej </w:t>
      </w:r>
      <w:r w:rsidRPr="00AE4143">
        <w:rPr>
          <w:rFonts w:ascii="Arial" w:hAnsi="Arial" w:cs="Arial"/>
          <w:sz w:val="24"/>
          <w:szCs w:val="24"/>
        </w:rPr>
        <w:t>P</w:t>
      </w:r>
      <w:r w:rsidRPr="00AE4143">
        <w:rPr>
          <w:rFonts w:ascii="Arial" w:hAnsi="Arial" w:cs="Arial"/>
          <w:color w:val="FFFFFF" w:themeColor="background1"/>
          <w:sz w:val="24"/>
          <w:szCs w:val="24"/>
        </w:rPr>
        <w:t xml:space="preserve">olskiej </w:t>
      </w:r>
      <w:r w:rsidRPr="00AE4143">
        <w:rPr>
          <w:rFonts w:ascii="Arial" w:hAnsi="Arial" w:cs="Arial"/>
          <w:sz w:val="24"/>
          <w:szCs w:val="24"/>
        </w:rPr>
        <w:t>w Warszawie, spółdzielni z   odpowiedzialnością, za dobrowolnie umówioną cenę dwa miliony złotych, należącą do spółki nieruchomość przy ulicy Olesińskiej 19 hip. Nr 11851, 6 arów 60,12 m2 wraz ze znajdującym się na niej domem mieszkalnym w ramach uprawnień przysługujących wyżej wymienionej spółce w myśl Dekretu o własności i użytkowaniu gruntów na obszarze m.st. Warszawy ze wszelkimi prawami, jakie tejże spółce do rzeczonej nieruchomości służą (k. 23 akt własnościowych).</w:t>
      </w:r>
    </w:p>
    <w:p w14:paraId="53F9B84E"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Na podstawie art. 36 ust. 4 ustawy z 21 maja 1948 r. o C</w:t>
      </w:r>
      <w:r w:rsidRPr="00AE4143">
        <w:rPr>
          <w:rFonts w:ascii="Arial" w:hAnsi="Arial" w:cs="Arial"/>
          <w:color w:val="FFFFFF" w:themeColor="background1"/>
          <w:sz w:val="24"/>
          <w:szCs w:val="24"/>
        </w:rPr>
        <w:t>entralnym</w:t>
      </w:r>
      <w:r w:rsidRPr="00AE4143">
        <w:rPr>
          <w:rFonts w:ascii="Arial" w:hAnsi="Arial" w:cs="Arial"/>
          <w:sz w:val="24"/>
          <w:szCs w:val="24"/>
        </w:rPr>
        <w:t xml:space="preserve"> Z</w:t>
      </w:r>
      <w:r w:rsidRPr="00AE4143">
        <w:rPr>
          <w:rFonts w:ascii="Arial" w:hAnsi="Arial" w:cs="Arial"/>
          <w:color w:val="FFFFFF" w:themeColor="background1"/>
          <w:sz w:val="24"/>
          <w:szCs w:val="24"/>
        </w:rPr>
        <w:t xml:space="preserve">wiązku </w:t>
      </w:r>
      <w:r w:rsidRPr="00AE4143">
        <w:rPr>
          <w:rFonts w:ascii="Arial" w:hAnsi="Arial" w:cs="Arial"/>
          <w:sz w:val="24"/>
          <w:szCs w:val="24"/>
        </w:rPr>
        <w:t>S</w:t>
      </w:r>
      <w:r w:rsidRPr="00AE4143">
        <w:rPr>
          <w:rFonts w:ascii="Arial" w:hAnsi="Arial" w:cs="Arial"/>
          <w:color w:val="FFFFFF" w:themeColor="background1"/>
          <w:sz w:val="24"/>
          <w:szCs w:val="24"/>
        </w:rPr>
        <w:t>półdzielczym</w:t>
      </w:r>
      <w:r w:rsidRPr="00AE4143">
        <w:rPr>
          <w:rFonts w:ascii="Arial" w:hAnsi="Arial" w:cs="Arial"/>
          <w:sz w:val="24"/>
          <w:szCs w:val="24"/>
        </w:rPr>
        <w:t xml:space="preserve"> i centralach spółdzielni (Dz.U.1948.30.199) rozwiązanie dotychczasowych związków lub central gospodarczych spółdzielni miało nastąpić na podstawie uchwały N</w:t>
      </w:r>
      <w:r w:rsidRPr="00AE4143">
        <w:rPr>
          <w:rFonts w:ascii="Arial" w:hAnsi="Arial" w:cs="Arial"/>
          <w:color w:val="FFFFFF" w:themeColor="background1"/>
          <w:sz w:val="24"/>
          <w:szCs w:val="24"/>
        </w:rPr>
        <w:t xml:space="preserve">aczelnej </w:t>
      </w:r>
      <w:r w:rsidRPr="00AE4143">
        <w:rPr>
          <w:rFonts w:ascii="Arial" w:hAnsi="Arial" w:cs="Arial"/>
          <w:sz w:val="24"/>
          <w:szCs w:val="24"/>
        </w:rPr>
        <w:t>R</w:t>
      </w:r>
      <w:r w:rsidRPr="00AE4143">
        <w:rPr>
          <w:rFonts w:ascii="Arial" w:hAnsi="Arial" w:cs="Arial"/>
          <w:color w:val="FFFFFF" w:themeColor="background1"/>
          <w:sz w:val="24"/>
          <w:szCs w:val="24"/>
        </w:rPr>
        <w:t xml:space="preserve">ady </w:t>
      </w:r>
      <w:r w:rsidRPr="00AE4143">
        <w:rPr>
          <w:rFonts w:ascii="Arial" w:hAnsi="Arial" w:cs="Arial"/>
          <w:sz w:val="24"/>
          <w:szCs w:val="24"/>
        </w:rPr>
        <w:t>S</w:t>
      </w:r>
      <w:r w:rsidRPr="00AE4143">
        <w:rPr>
          <w:rFonts w:ascii="Arial" w:hAnsi="Arial" w:cs="Arial"/>
          <w:color w:val="FFFFFF" w:themeColor="background1"/>
          <w:sz w:val="24"/>
          <w:szCs w:val="24"/>
        </w:rPr>
        <w:t>półdzielczej</w:t>
      </w:r>
      <w:r w:rsidRPr="00AE4143">
        <w:rPr>
          <w:rFonts w:ascii="Arial" w:hAnsi="Arial" w:cs="Arial"/>
          <w:sz w:val="24"/>
          <w:szCs w:val="24"/>
        </w:rPr>
        <w:t>. W dniu 18 czerwca 1948 r. N</w:t>
      </w:r>
      <w:r w:rsidRPr="00AE4143">
        <w:rPr>
          <w:rFonts w:ascii="Arial" w:hAnsi="Arial" w:cs="Arial"/>
          <w:color w:val="FFFFFF" w:themeColor="background1"/>
          <w:sz w:val="24"/>
          <w:szCs w:val="24"/>
        </w:rPr>
        <w:t>aczelna</w:t>
      </w:r>
      <w:r w:rsidRPr="00AE4143">
        <w:rPr>
          <w:rFonts w:ascii="Arial" w:hAnsi="Arial" w:cs="Arial"/>
          <w:sz w:val="24"/>
          <w:szCs w:val="24"/>
        </w:rPr>
        <w:t xml:space="preserve"> R</w:t>
      </w:r>
      <w:r w:rsidRPr="00AE4143">
        <w:rPr>
          <w:rFonts w:ascii="Arial" w:hAnsi="Arial" w:cs="Arial"/>
          <w:color w:val="FFFFFF" w:themeColor="background1"/>
          <w:sz w:val="24"/>
          <w:szCs w:val="24"/>
        </w:rPr>
        <w:t>ada</w:t>
      </w:r>
      <w:r w:rsidRPr="00AE4143">
        <w:rPr>
          <w:rFonts w:ascii="Arial" w:hAnsi="Arial" w:cs="Arial"/>
          <w:sz w:val="24"/>
          <w:szCs w:val="24"/>
        </w:rPr>
        <w:t xml:space="preserve"> S</w:t>
      </w:r>
      <w:r w:rsidRPr="00AE4143">
        <w:rPr>
          <w:rFonts w:ascii="Arial" w:hAnsi="Arial" w:cs="Arial"/>
          <w:color w:val="FFFFFF" w:themeColor="background1"/>
          <w:sz w:val="24"/>
          <w:szCs w:val="24"/>
        </w:rPr>
        <w:t>półdzielni</w:t>
      </w:r>
      <w:r w:rsidRPr="00AE4143">
        <w:rPr>
          <w:rFonts w:ascii="Arial" w:hAnsi="Arial" w:cs="Arial"/>
          <w:sz w:val="24"/>
          <w:szCs w:val="24"/>
        </w:rPr>
        <w:t xml:space="preserve"> podjęła uchwałę o  rozwiązaniu „S</w:t>
      </w:r>
      <w:r w:rsidRPr="00AE4143">
        <w:rPr>
          <w:rFonts w:ascii="Arial" w:hAnsi="Arial" w:cs="Arial"/>
          <w:color w:val="FFFFFF" w:themeColor="background1"/>
          <w:sz w:val="24"/>
          <w:szCs w:val="24"/>
        </w:rPr>
        <w:t xml:space="preserve">połem” </w:t>
      </w:r>
      <w:r w:rsidRPr="00AE4143">
        <w:rPr>
          <w:rFonts w:ascii="Arial" w:hAnsi="Arial" w:cs="Arial"/>
          <w:sz w:val="24"/>
          <w:szCs w:val="24"/>
        </w:rPr>
        <w:t>Z</w:t>
      </w:r>
      <w:r w:rsidRPr="00AE4143">
        <w:rPr>
          <w:rFonts w:ascii="Arial" w:hAnsi="Arial" w:cs="Arial"/>
          <w:color w:val="FFFFFF" w:themeColor="background1"/>
          <w:sz w:val="24"/>
          <w:szCs w:val="24"/>
        </w:rPr>
        <w:t xml:space="preserve">wiązku </w:t>
      </w:r>
      <w:r w:rsidRPr="00AE4143">
        <w:rPr>
          <w:rFonts w:ascii="Arial" w:hAnsi="Arial" w:cs="Arial"/>
          <w:sz w:val="24"/>
          <w:szCs w:val="24"/>
        </w:rPr>
        <w:t>G</w:t>
      </w:r>
      <w:r w:rsidRPr="00AE4143">
        <w:rPr>
          <w:rFonts w:ascii="Arial" w:hAnsi="Arial" w:cs="Arial"/>
          <w:color w:val="FFFFFF" w:themeColor="background1"/>
          <w:sz w:val="24"/>
          <w:szCs w:val="24"/>
        </w:rPr>
        <w:t xml:space="preserve">ospodarczego </w:t>
      </w:r>
      <w:r w:rsidRPr="00AE4143">
        <w:rPr>
          <w:rFonts w:ascii="Arial" w:hAnsi="Arial" w:cs="Arial"/>
          <w:sz w:val="24"/>
          <w:szCs w:val="24"/>
        </w:rPr>
        <w:t>S</w:t>
      </w:r>
      <w:r w:rsidRPr="00AE4143">
        <w:rPr>
          <w:rFonts w:ascii="Arial" w:hAnsi="Arial" w:cs="Arial"/>
          <w:color w:val="FFFFFF" w:themeColor="background1"/>
          <w:sz w:val="24"/>
          <w:szCs w:val="24"/>
        </w:rPr>
        <w:t xml:space="preserve">półdzielni </w:t>
      </w:r>
      <w:r w:rsidRPr="00AE4143">
        <w:rPr>
          <w:rFonts w:ascii="Arial" w:hAnsi="Arial" w:cs="Arial"/>
          <w:sz w:val="24"/>
          <w:szCs w:val="24"/>
        </w:rPr>
        <w:t>RP z dniem 30 czerwca 1948 r. i powołaniu z dniem 1 lipca 1948 r. C</w:t>
      </w:r>
      <w:r w:rsidRPr="00AE4143">
        <w:rPr>
          <w:rFonts w:ascii="Arial" w:hAnsi="Arial" w:cs="Arial"/>
          <w:color w:val="FFFFFF" w:themeColor="background1"/>
          <w:sz w:val="24"/>
          <w:szCs w:val="24"/>
        </w:rPr>
        <w:t xml:space="preserve">entrali </w:t>
      </w:r>
      <w:r w:rsidRPr="00AE4143">
        <w:rPr>
          <w:rFonts w:ascii="Arial" w:hAnsi="Arial" w:cs="Arial"/>
          <w:sz w:val="24"/>
          <w:szCs w:val="24"/>
        </w:rPr>
        <w:t>S</w:t>
      </w:r>
      <w:r w:rsidRPr="00AE4143">
        <w:rPr>
          <w:rFonts w:ascii="Arial" w:hAnsi="Arial" w:cs="Arial"/>
          <w:color w:val="FFFFFF" w:themeColor="background1"/>
          <w:sz w:val="24"/>
          <w:szCs w:val="24"/>
        </w:rPr>
        <w:t xml:space="preserve">półdzielni </w:t>
      </w:r>
      <w:r w:rsidRPr="00AE4143">
        <w:rPr>
          <w:rFonts w:ascii="Arial" w:hAnsi="Arial" w:cs="Arial"/>
          <w:sz w:val="24"/>
          <w:szCs w:val="24"/>
        </w:rPr>
        <w:t>p.n. C</w:t>
      </w:r>
      <w:r w:rsidRPr="00AE4143">
        <w:rPr>
          <w:rFonts w:ascii="Arial" w:hAnsi="Arial" w:cs="Arial"/>
          <w:color w:val="FFFFFF" w:themeColor="background1"/>
          <w:sz w:val="24"/>
          <w:szCs w:val="24"/>
        </w:rPr>
        <w:t>entrala</w:t>
      </w:r>
      <w:r w:rsidRPr="00AE4143">
        <w:rPr>
          <w:rFonts w:ascii="Arial" w:hAnsi="Arial" w:cs="Arial"/>
          <w:sz w:val="24"/>
          <w:szCs w:val="24"/>
        </w:rPr>
        <w:t xml:space="preserve"> S</w:t>
      </w:r>
      <w:r w:rsidRPr="00AE4143">
        <w:rPr>
          <w:rFonts w:ascii="Arial" w:hAnsi="Arial" w:cs="Arial"/>
          <w:color w:val="FFFFFF" w:themeColor="background1"/>
          <w:sz w:val="24"/>
          <w:szCs w:val="24"/>
        </w:rPr>
        <w:t>półdzielni</w:t>
      </w:r>
      <w:r w:rsidRPr="00AE4143">
        <w:rPr>
          <w:rFonts w:ascii="Arial" w:hAnsi="Arial" w:cs="Arial"/>
          <w:sz w:val="24"/>
          <w:szCs w:val="24"/>
        </w:rPr>
        <w:t xml:space="preserve"> S</w:t>
      </w:r>
      <w:r w:rsidRPr="00AE4143">
        <w:rPr>
          <w:rFonts w:ascii="Arial" w:hAnsi="Arial" w:cs="Arial"/>
          <w:color w:val="FFFFFF" w:themeColor="background1"/>
          <w:sz w:val="24"/>
          <w:szCs w:val="24"/>
        </w:rPr>
        <w:t>pożywców</w:t>
      </w:r>
      <w:r w:rsidRPr="00AE4143">
        <w:rPr>
          <w:rFonts w:ascii="Arial" w:hAnsi="Arial" w:cs="Arial"/>
          <w:sz w:val="24"/>
          <w:szCs w:val="24"/>
        </w:rPr>
        <w:t xml:space="preserve"> „S</w:t>
      </w:r>
      <w:r w:rsidRPr="00AE4143">
        <w:rPr>
          <w:rFonts w:ascii="Arial" w:hAnsi="Arial" w:cs="Arial"/>
          <w:color w:val="FFFFFF" w:themeColor="background1"/>
          <w:sz w:val="24"/>
          <w:szCs w:val="24"/>
        </w:rPr>
        <w:t xml:space="preserve">połem” </w:t>
      </w:r>
      <w:r w:rsidRPr="00AE4143">
        <w:rPr>
          <w:rFonts w:ascii="Arial" w:hAnsi="Arial" w:cs="Arial"/>
          <w:sz w:val="24"/>
          <w:szCs w:val="24"/>
        </w:rPr>
        <w:t>w Warszawie – spółdzielnia z odpowiedzialnością udziałami. W uchwale tej wskazano, że udziały członkowskie, wpłacone przez członków „S</w:t>
      </w:r>
      <w:r w:rsidRPr="00AE4143">
        <w:rPr>
          <w:rFonts w:ascii="Arial" w:hAnsi="Arial" w:cs="Arial"/>
          <w:color w:val="FFFFFF" w:themeColor="background1"/>
          <w:sz w:val="24"/>
          <w:szCs w:val="24"/>
        </w:rPr>
        <w:t xml:space="preserve">połem” </w:t>
      </w:r>
      <w:r w:rsidRPr="00AE4143">
        <w:rPr>
          <w:rFonts w:ascii="Arial" w:hAnsi="Arial" w:cs="Arial"/>
          <w:sz w:val="24"/>
          <w:szCs w:val="24"/>
        </w:rPr>
        <w:t>Z</w:t>
      </w:r>
      <w:r w:rsidRPr="00AE4143">
        <w:rPr>
          <w:rFonts w:ascii="Arial" w:hAnsi="Arial" w:cs="Arial"/>
          <w:color w:val="FFFFFF" w:themeColor="background1"/>
          <w:sz w:val="24"/>
          <w:szCs w:val="24"/>
        </w:rPr>
        <w:t xml:space="preserve">wiązku </w:t>
      </w:r>
      <w:r w:rsidRPr="00AE4143">
        <w:rPr>
          <w:rFonts w:ascii="Arial" w:hAnsi="Arial" w:cs="Arial"/>
          <w:sz w:val="24"/>
          <w:szCs w:val="24"/>
        </w:rPr>
        <w:t>G</w:t>
      </w:r>
      <w:r w:rsidRPr="00AE4143">
        <w:rPr>
          <w:rFonts w:ascii="Arial" w:hAnsi="Arial" w:cs="Arial"/>
          <w:color w:val="FFFFFF" w:themeColor="background1"/>
          <w:sz w:val="24"/>
          <w:szCs w:val="24"/>
        </w:rPr>
        <w:t>ospodarczego</w:t>
      </w:r>
      <w:r w:rsidRPr="00AE4143">
        <w:rPr>
          <w:rFonts w:ascii="Arial" w:hAnsi="Arial" w:cs="Arial"/>
          <w:sz w:val="24"/>
          <w:szCs w:val="24"/>
        </w:rPr>
        <w:t xml:space="preserve"> S</w:t>
      </w:r>
      <w:r w:rsidRPr="00AE4143">
        <w:rPr>
          <w:rFonts w:ascii="Arial" w:hAnsi="Arial" w:cs="Arial"/>
          <w:color w:val="FFFFFF" w:themeColor="background1"/>
          <w:sz w:val="24"/>
          <w:szCs w:val="24"/>
        </w:rPr>
        <w:t xml:space="preserve">półdzielni </w:t>
      </w:r>
      <w:r w:rsidRPr="00AE4143">
        <w:rPr>
          <w:rFonts w:ascii="Arial" w:hAnsi="Arial" w:cs="Arial"/>
          <w:sz w:val="24"/>
          <w:szCs w:val="24"/>
        </w:rPr>
        <w:t>RP będą przez Komisję Likwidacyjną „</w:t>
      </w:r>
      <w:r w:rsidRPr="00AE4143">
        <w:rPr>
          <w:rFonts w:ascii="Arial" w:hAnsi="Arial" w:cs="Arial"/>
          <w:color w:val="FFFFFF" w:themeColor="background1"/>
          <w:sz w:val="24"/>
          <w:szCs w:val="24"/>
        </w:rPr>
        <w:t xml:space="preserve">Społem” </w:t>
      </w:r>
      <w:r w:rsidRPr="00AE4143">
        <w:rPr>
          <w:rFonts w:ascii="Arial" w:hAnsi="Arial" w:cs="Arial"/>
          <w:sz w:val="24"/>
          <w:szCs w:val="24"/>
        </w:rPr>
        <w:t xml:space="preserve">przekazane właściwym centralom spółdzielni, a przekazanie tych udziałów nastąpi po </w:t>
      </w:r>
      <w:r w:rsidRPr="00AE4143">
        <w:rPr>
          <w:rFonts w:ascii="Arial" w:hAnsi="Arial" w:cs="Arial"/>
          <w:sz w:val="24"/>
          <w:szCs w:val="24"/>
        </w:rPr>
        <w:lastRenderedPageBreak/>
        <w:t>zatwierdzeniu przez N</w:t>
      </w:r>
      <w:r w:rsidRPr="00AE4143">
        <w:rPr>
          <w:rFonts w:ascii="Arial" w:hAnsi="Arial" w:cs="Arial"/>
          <w:color w:val="FFFFFF" w:themeColor="background1"/>
          <w:sz w:val="24"/>
          <w:szCs w:val="24"/>
        </w:rPr>
        <w:t>aczelną</w:t>
      </w:r>
      <w:r w:rsidRPr="00AE4143">
        <w:rPr>
          <w:rFonts w:ascii="Arial" w:hAnsi="Arial" w:cs="Arial"/>
          <w:sz w:val="24"/>
          <w:szCs w:val="24"/>
        </w:rPr>
        <w:t xml:space="preserve"> R</w:t>
      </w:r>
      <w:r w:rsidRPr="00AE4143">
        <w:rPr>
          <w:rFonts w:ascii="Arial" w:hAnsi="Arial" w:cs="Arial"/>
          <w:color w:val="FFFFFF" w:themeColor="background1"/>
          <w:sz w:val="24"/>
          <w:szCs w:val="24"/>
        </w:rPr>
        <w:t>adę</w:t>
      </w:r>
      <w:r w:rsidRPr="00AE4143">
        <w:rPr>
          <w:rFonts w:ascii="Arial" w:hAnsi="Arial" w:cs="Arial"/>
          <w:sz w:val="24"/>
          <w:szCs w:val="24"/>
        </w:rPr>
        <w:t xml:space="preserve"> S</w:t>
      </w:r>
      <w:r w:rsidRPr="00AE4143">
        <w:rPr>
          <w:rFonts w:ascii="Arial" w:hAnsi="Arial" w:cs="Arial"/>
          <w:color w:val="FFFFFF" w:themeColor="background1"/>
          <w:sz w:val="24"/>
          <w:szCs w:val="24"/>
        </w:rPr>
        <w:t xml:space="preserve">półdzielczą </w:t>
      </w:r>
      <w:r w:rsidRPr="00AE4143">
        <w:rPr>
          <w:rFonts w:ascii="Arial" w:hAnsi="Arial" w:cs="Arial"/>
          <w:sz w:val="24"/>
          <w:szCs w:val="24"/>
        </w:rPr>
        <w:t>planu podziału masy majątkowej „S</w:t>
      </w:r>
      <w:r w:rsidRPr="00AE4143">
        <w:rPr>
          <w:rFonts w:ascii="Arial" w:hAnsi="Arial" w:cs="Arial"/>
          <w:color w:val="FFFFFF" w:themeColor="background1"/>
          <w:sz w:val="24"/>
          <w:szCs w:val="24"/>
        </w:rPr>
        <w:t xml:space="preserve">połem” </w:t>
      </w:r>
      <w:r w:rsidRPr="00AE4143">
        <w:rPr>
          <w:rFonts w:ascii="Arial" w:hAnsi="Arial" w:cs="Arial"/>
          <w:sz w:val="24"/>
          <w:szCs w:val="24"/>
        </w:rPr>
        <w:t>Z</w:t>
      </w:r>
      <w:r w:rsidRPr="00AE4143">
        <w:rPr>
          <w:rFonts w:ascii="Arial" w:hAnsi="Arial" w:cs="Arial"/>
          <w:color w:val="FFFFFF" w:themeColor="background1"/>
          <w:sz w:val="24"/>
          <w:szCs w:val="24"/>
        </w:rPr>
        <w:t>wiązku</w:t>
      </w:r>
      <w:r w:rsidRPr="00AE4143">
        <w:rPr>
          <w:rFonts w:ascii="Arial" w:hAnsi="Arial" w:cs="Arial"/>
          <w:sz w:val="24"/>
          <w:szCs w:val="24"/>
        </w:rPr>
        <w:t xml:space="preserve"> G</w:t>
      </w:r>
      <w:r w:rsidRPr="00AE4143">
        <w:rPr>
          <w:rFonts w:ascii="Arial" w:hAnsi="Arial" w:cs="Arial"/>
          <w:color w:val="FFFFFF" w:themeColor="background1"/>
          <w:sz w:val="24"/>
          <w:szCs w:val="24"/>
        </w:rPr>
        <w:t>ospodarczego</w:t>
      </w:r>
      <w:r w:rsidRPr="00AE4143">
        <w:rPr>
          <w:rFonts w:ascii="Arial" w:hAnsi="Arial" w:cs="Arial"/>
          <w:sz w:val="24"/>
          <w:szCs w:val="24"/>
        </w:rPr>
        <w:t xml:space="preserve"> S</w:t>
      </w:r>
      <w:r w:rsidRPr="00AE4143">
        <w:rPr>
          <w:rFonts w:ascii="Arial" w:hAnsi="Arial" w:cs="Arial"/>
          <w:color w:val="FFFFFF" w:themeColor="background1"/>
          <w:sz w:val="24"/>
          <w:szCs w:val="24"/>
        </w:rPr>
        <w:t xml:space="preserve">półdzielni </w:t>
      </w:r>
      <w:r w:rsidRPr="00AE4143">
        <w:rPr>
          <w:rFonts w:ascii="Arial" w:hAnsi="Arial" w:cs="Arial"/>
          <w:sz w:val="24"/>
          <w:szCs w:val="24"/>
        </w:rPr>
        <w:t>RP. W aktach własnościowych przedmiotowej nieruchomości brak ostatecznego planu podziału masy majątkowej po zlikwidowanym Z</w:t>
      </w:r>
      <w:r w:rsidRPr="00AE4143">
        <w:rPr>
          <w:rFonts w:ascii="Arial" w:hAnsi="Arial" w:cs="Arial"/>
          <w:color w:val="FFFFFF" w:themeColor="background1"/>
          <w:sz w:val="24"/>
          <w:szCs w:val="24"/>
        </w:rPr>
        <w:t xml:space="preserve">wiązku </w:t>
      </w:r>
      <w:r w:rsidRPr="00AE4143">
        <w:rPr>
          <w:rFonts w:ascii="Arial" w:hAnsi="Arial" w:cs="Arial"/>
          <w:sz w:val="24"/>
          <w:szCs w:val="24"/>
        </w:rPr>
        <w:t>G</w:t>
      </w:r>
      <w:r w:rsidRPr="00AE4143">
        <w:rPr>
          <w:rFonts w:ascii="Arial" w:hAnsi="Arial" w:cs="Arial"/>
          <w:color w:val="FFFFFF" w:themeColor="background1"/>
          <w:sz w:val="24"/>
          <w:szCs w:val="24"/>
        </w:rPr>
        <w:t>ospodarczym</w:t>
      </w:r>
      <w:r w:rsidRPr="00AE4143">
        <w:rPr>
          <w:rFonts w:ascii="Arial" w:hAnsi="Arial" w:cs="Arial"/>
          <w:sz w:val="24"/>
          <w:szCs w:val="24"/>
        </w:rPr>
        <w:t xml:space="preserve"> S</w:t>
      </w:r>
      <w:r w:rsidRPr="00AE4143">
        <w:rPr>
          <w:rFonts w:ascii="Arial" w:hAnsi="Arial" w:cs="Arial"/>
          <w:color w:val="FFFFFF" w:themeColor="background1"/>
          <w:sz w:val="24"/>
          <w:szCs w:val="24"/>
        </w:rPr>
        <w:t>półdzielni</w:t>
      </w:r>
      <w:r w:rsidRPr="00AE4143">
        <w:rPr>
          <w:rFonts w:ascii="Arial" w:hAnsi="Arial" w:cs="Arial"/>
          <w:sz w:val="24"/>
          <w:szCs w:val="24"/>
        </w:rPr>
        <w:t xml:space="preserve"> „</w:t>
      </w:r>
      <w:r w:rsidRPr="00AE4143">
        <w:rPr>
          <w:rFonts w:ascii="Arial" w:hAnsi="Arial" w:cs="Arial"/>
          <w:color w:val="FFFFFF" w:themeColor="background1"/>
          <w:sz w:val="24"/>
          <w:szCs w:val="24"/>
        </w:rPr>
        <w:t xml:space="preserve">Społem”, </w:t>
      </w:r>
      <w:r w:rsidRPr="00AE4143">
        <w:rPr>
          <w:rFonts w:ascii="Arial" w:hAnsi="Arial" w:cs="Arial"/>
          <w:sz w:val="24"/>
          <w:szCs w:val="24"/>
        </w:rPr>
        <w:t>świadczącego o przejściu prawa własności ze „S</w:t>
      </w:r>
      <w:r w:rsidRPr="00AE4143">
        <w:rPr>
          <w:rFonts w:ascii="Arial" w:hAnsi="Arial" w:cs="Arial"/>
          <w:color w:val="FFFFFF" w:themeColor="background1"/>
          <w:sz w:val="24"/>
          <w:szCs w:val="24"/>
        </w:rPr>
        <w:t xml:space="preserve">połem”  </w:t>
      </w:r>
      <w:r w:rsidRPr="00AE4143">
        <w:rPr>
          <w:rFonts w:ascii="Arial" w:hAnsi="Arial" w:cs="Arial"/>
          <w:sz w:val="24"/>
          <w:szCs w:val="24"/>
        </w:rPr>
        <w:t>Z</w:t>
      </w:r>
      <w:r w:rsidRPr="00AE4143">
        <w:rPr>
          <w:rFonts w:ascii="Arial" w:hAnsi="Arial" w:cs="Arial"/>
          <w:color w:val="FFFFFF" w:themeColor="background1"/>
          <w:sz w:val="24"/>
          <w:szCs w:val="24"/>
        </w:rPr>
        <w:t xml:space="preserve">wiązek </w:t>
      </w:r>
      <w:r w:rsidRPr="00AE4143">
        <w:rPr>
          <w:rFonts w:ascii="Arial" w:hAnsi="Arial" w:cs="Arial"/>
          <w:sz w:val="24"/>
          <w:szCs w:val="24"/>
        </w:rPr>
        <w:t>G</w:t>
      </w:r>
      <w:r w:rsidRPr="00AE4143">
        <w:rPr>
          <w:rFonts w:ascii="Arial" w:hAnsi="Arial" w:cs="Arial"/>
          <w:color w:val="FFFFFF" w:themeColor="background1"/>
          <w:sz w:val="24"/>
          <w:szCs w:val="24"/>
        </w:rPr>
        <w:t xml:space="preserve">ospodarczy </w:t>
      </w:r>
      <w:r w:rsidRPr="00AE4143">
        <w:rPr>
          <w:rFonts w:ascii="Arial" w:hAnsi="Arial" w:cs="Arial"/>
          <w:sz w:val="24"/>
          <w:szCs w:val="24"/>
        </w:rPr>
        <w:t>S</w:t>
      </w:r>
      <w:r w:rsidRPr="00AE4143">
        <w:rPr>
          <w:rFonts w:ascii="Arial" w:hAnsi="Arial" w:cs="Arial"/>
          <w:color w:val="FFFFFF" w:themeColor="background1"/>
          <w:sz w:val="24"/>
          <w:szCs w:val="24"/>
        </w:rPr>
        <w:t xml:space="preserve">półdzielni </w:t>
      </w:r>
      <w:r w:rsidRPr="00AE4143">
        <w:rPr>
          <w:rFonts w:ascii="Arial" w:hAnsi="Arial" w:cs="Arial"/>
          <w:sz w:val="24"/>
          <w:szCs w:val="24"/>
        </w:rPr>
        <w:t>Rzeczypospolitej Polskiej Spółdzielnia z odpowiedzialnością udziałami w Warszawie na Z</w:t>
      </w:r>
      <w:r w:rsidRPr="00AE4143">
        <w:rPr>
          <w:rFonts w:ascii="Arial" w:hAnsi="Arial" w:cs="Arial"/>
          <w:color w:val="FFFFFF" w:themeColor="background1"/>
          <w:sz w:val="24"/>
          <w:szCs w:val="24"/>
        </w:rPr>
        <w:t xml:space="preserve">wiązek </w:t>
      </w:r>
      <w:r w:rsidRPr="00AE4143">
        <w:rPr>
          <w:rFonts w:ascii="Arial" w:hAnsi="Arial" w:cs="Arial"/>
          <w:sz w:val="24"/>
          <w:szCs w:val="24"/>
        </w:rPr>
        <w:t>S</w:t>
      </w:r>
      <w:r w:rsidRPr="00AE4143">
        <w:rPr>
          <w:rFonts w:ascii="Arial" w:hAnsi="Arial" w:cs="Arial"/>
          <w:color w:val="FFFFFF" w:themeColor="background1"/>
          <w:sz w:val="24"/>
          <w:szCs w:val="24"/>
        </w:rPr>
        <w:t xml:space="preserve">półdzielni </w:t>
      </w:r>
      <w:r w:rsidRPr="00AE4143">
        <w:rPr>
          <w:rFonts w:ascii="Arial" w:hAnsi="Arial" w:cs="Arial"/>
          <w:sz w:val="24"/>
          <w:szCs w:val="24"/>
        </w:rPr>
        <w:t>S</w:t>
      </w:r>
      <w:r w:rsidRPr="00AE4143">
        <w:rPr>
          <w:rFonts w:ascii="Arial" w:hAnsi="Arial" w:cs="Arial"/>
          <w:color w:val="FFFFFF" w:themeColor="background1"/>
          <w:sz w:val="24"/>
          <w:szCs w:val="24"/>
        </w:rPr>
        <w:t>pożywców</w:t>
      </w:r>
      <w:r w:rsidRPr="00AE4143">
        <w:rPr>
          <w:rFonts w:ascii="Arial" w:hAnsi="Arial" w:cs="Arial"/>
          <w:sz w:val="24"/>
          <w:szCs w:val="24"/>
        </w:rPr>
        <w:t xml:space="preserve"> „S</w:t>
      </w:r>
      <w:r w:rsidRPr="00AE4143">
        <w:rPr>
          <w:rFonts w:ascii="Arial" w:hAnsi="Arial" w:cs="Arial"/>
          <w:color w:val="FFFFFF" w:themeColor="background1"/>
          <w:sz w:val="24"/>
          <w:szCs w:val="24"/>
        </w:rPr>
        <w:t xml:space="preserve">połem” </w:t>
      </w:r>
      <w:r w:rsidRPr="00AE4143">
        <w:rPr>
          <w:rFonts w:ascii="Arial" w:hAnsi="Arial" w:cs="Arial"/>
          <w:sz w:val="24"/>
          <w:szCs w:val="24"/>
        </w:rPr>
        <w:t>w Warszawie. Oznacza to, że w aktach sprawy brak jest dokumentów potwierdzających następstwo prawne „S</w:t>
      </w:r>
      <w:r w:rsidRPr="00AE4143">
        <w:rPr>
          <w:rFonts w:ascii="Arial" w:hAnsi="Arial" w:cs="Arial"/>
          <w:color w:val="FFFFFF" w:themeColor="background1"/>
          <w:sz w:val="24"/>
          <w:szCs w:val="24"/>
        </w:rPr>
        <w:t xml:space="preserve">połem”  </w:t>
      </w:r>
      <w:r w:rsidRPr="00AE4143">
        <w:rPr>
          <w:rFonts w:ascii="Arial" w:hAnsi="Arial" w:cs="Arial"/>
          <w:sz w:val="24"/>
          <w:szCs w:val="24"/>
        </w:rPr>
        <w:t>Z</w:t>
      </w:r>
      <w:r w:rsidRPr="00AE4143">
        <w:rPr>
          <w:rFonts w:ascii="Arial" w:hAnsi="Arial" w:cs="Arial"/>
          <w:color w:val="FFFFFF" w:themeColor="background1"/>
          <w:sz w:val="24"/>
          <w:szCs w:val="24"/>
        </w:rPr>
        <w:t xml:space="preserve">wiązku </w:t>
      </w:r>
      <w:r w:rsidRPr="00AE4143">
        <w:rPr>
          <w:rFonts w:ascii="Arial" w:hAnsi="Arial" w:cs="Arial"/>
          <w:sz w:val="24"/>
          <w:szCs w:val="24"/>
        </w:rPr>
        <w:t>S</w:t>
      </w:r>
      <w:r w:rsidRPr="00AE4143">
        <w:rPr>
          <w:rFonts w:ascii="Arial" w:hAnsi="Arial" w:cs="Arial"/>
          <w:color w:val="FFFFFF" w:themeColor="background1"/>
          <w:sz w:val="24"/>
          <w:szCs w:val="24"/>
        </w:rPr>
        <w:t xml:space="preserve">półdzielni </w:t>
      </w:r>
      <w:r w:rsidRPr="00AE4143">
        <w:rPr>
          <w:rFonts w:ascii="Arial" w:hAnsi="Arial" w:cs="Arial"/>
          <w:sz w:val="24"/>
          <w:szCs w:val="24"/>
        </w:rPr>
        <w:t>S</w:t>
      </w:r>
      <w:r w:rsidRPr="00AE4143">
        <w:rPr>
          <w:rFonts w:ascii="Arial" w:hAnsi="Arial" w:cs="Arial"/>
          <w:color w:val="FFFFFF" w:themeColor="background1"/>
          <w:sz w:val="24"/>
          <w:szCs w:val="24"/>
        </w:rPr>
        <w:t>pożywców</w:t>
      </w:r>
      <w:r w:rsidRPr="00AE4143">
        <w:rPr>
          <w:rFonts w:ascii="Arial" w:hAnsi="Arial" w:cs="Arial"/>
          <w:sz w:val="24"/>
          <w:szCs w:val="24"/>
        </w:rPr>
        <w:t xml:space="preserve"> w Warszawie po właścicielu hipotecznym (k. 210, k. 213 akt własnościowych).</w:t>
      </w:r>
    </w:p>
    <w:p w14:paraId="2E20731C"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Umową zawartą w formie pisemnej w dniu 10 grudnia 1990 r. „S</w:t>
      </w:r>
      <w:r w:rsidRPr="00AE4143">
        <w:rPr>
          <w:rFonts w:ascii="Arial" w:hAnsi="Arial" w:cs="Arial"/>
          <w:color w:val="FFFFFF" w:themeColor="background1"/>
          <w:sz w:val="24"/>
          <w:szCs w:val="24"/>
        </w:rPr>
        <w:t xml:space="preserve">połem” </w:t>
      </w:r>
      <w:r w:rsidRPr="00AE4143">
        <w:rPr>
          <w:rFonts w:ascii="Arial" w:hAnsi="Arial" w:cs="Arial"/>
          <w:sz w:val="24"/>
          <w:szCs w:val="24"/>
        </w:rPr>
        <w:t>Z</w:t>
      </w:r>
      <w:r w:rsidRPr="00AE4143">
        <w:rPr>
          <w:rFonts w:ascii="Arial" w:hAnsi="Arial" w:cs="Arial"/>
          <w:color w:val="FFFFFF" w:themeColor="background1"/>
          <w:sz w:val="24"/>
          <w:szCs w:val="24"/>
        </w:rPr>
        <w:t>wiązek</w:t>
      </w:r>
      <w:r w:rsidRPr="00AE4143">
        <w:rPr>
          <w:rFonts w:ascii="Arial" w:hAnsi="Arial" w:cs="Arial"/>
          <w:sz w:val="24"/>
          <w:szCs w:val="24"/>
        </w:rPr>
        <w:t xml:space="preserve"> S</w:t>
      </w:r>
      <w:r w:rsidRPr="00AE4143">
        <w:rPr>
          <w:rFonts w:ascii="Arial" w:hAnsi="Arial" w:cs="Arial"/>
          <w:color w:val="FFFFFF" w:themeColor="background1"/>
          <w:sz w:val="24"/>
          <w:szCs w:val="24"/>
        </w:rPr>
        <w:t xml:space="preserve">półdzielni </w:t>
      </w:r>
      <w:r w:rsidRPr="00AE4143">
        <w:rPr>
          <w:rFonts w:ascii="Arial" w:hAnsi="Arial" w:cs="Arial"/>
          <w:sz w:val="24"/>
          <w:szCs w:val="24"/>
        </w:rPr>
        <w:t>S</w:t>
      </w:r>
      <w:r w:rsidRPr="00AE4143">
        <w:rPr>
          <w:rFonts w:ascii="Arial" w:hAnsi="Arial" w:cs="Arial"/>
          <w:color w:val="FFFFFF" w:themeColor="background1"/>
          <w:sz w:val="24"/>
          <w:szCs w:val="24"/>
        </w:rPr>
        <w:t>pożywców</w:t>
      </w:r>
      <w:r w:rsidRPr="00AE4143">
        <w:rPr>
          <w:rFonts w:ascii="Arial" w:hAnsi="Arial" w:cs="Arial"/>
          <w:sz w:val="24"/>
          <w:szCs w:val="24"/>
        </w:rPr>
        <w:t xml:space="preserve"> w  likwidacji przekazał odpłatnie M</w:t>
      </w:r>
      <w:r w:rsidRPr="00AE4143">
        <w:rPr>
          <w:rFonts w:ascii="Arial" w:hAnsi="Arial" w:cs="Arial"/>
          <w:color w:val="FFFFFF" w:themeColor="background1"/>
          <w:sz w:val="24"/>
          <w:szCs w:val="24"/>
        </w:rPr>
        <w:t xml:space="preserve">iędzyzakładowej </w:t>
      </w:r>
      <w:r w:rsidRPr="00AE4143">
        <w:rPr>
          <w:rFonts w:ascii="Arial" w:hAnsi="Arial" w:cs="Arial"/>
          <w:sz w:val="24"/>
          <w:szCs w:val="24"/>
        </w:rPr>
        <w:t>S</w:t>
      </w:r>
      <w:r w:rsidRPr="00AE4143">
        <w:rPr>
          <w:rFonts w:ascii="Arial" w:hAnsi="Arial" w:cs="Arial"/>
          <w:color w:val="FFFFFF" w:themeColor="background1"/>
          <w:sz w:val="24"/>
          <w:szCs w:val="24"/>
        </w:rPr>
        <w:t>półdzielni</w:t>
      </w:r>
      <w:r w:rsidRPr="00AE4143">
        <w:rPr>
          <w:rFonts w:ascii="Arial" w:hAnsi="Arial" w:cs="Arial"/>
          <w:sz w:val="24"/>
          <w:szCs w:val="24"/>
        </w:rPr>
        <w:t xml:space="preserve"> M</w:t>
      </w:r>
      <w:r w:rsidRPr="00AE4143">
        <w:rPr>
          <w:rFonts w:ascii="Arial" w:hAnsi="Arial" w:cs="Arial"/>
          <w:color w:val="FFFFFF" w:themeColor="background1"/>
          <w:sz w:val="24"/>
          <w:szCs w:val="24"/>
        </w:rPr>
        <w:t xml:space="preserve">ieszkaniowej </w:t>
      </w:r>
      <w:r w:rsidRPr="00AE4143">
        <w:rPr>
          <w:rFonts w:ascii="Arial" w:hAnsi="Arial" w:cs="Arial"/>
          <w:sz w:val="24"/>
          <w:szCs w:val="24"/>
        </w:rPr>
        <w:t>„S</w:t>
      </w:r>
      <w:r w:rsidRPr="00AE4143">
        <w:rPr>
          <w:rFonts w:ascii="Arial" w:hAnsi="Arial" w:cs="Arial"/>
          <w:color w:val="FFFFFF" w:themeColor="background1"/>
          <w:sz w:val="24"/>
          <w:szCs w:val="24"/>
        </w:rPr>
        <w:t xml:space="preserve">połem” </w:t>
      </w:r>
      <w:r w:rsidRPr="00AE4143">
        <w:rPr>
          <w:rFonts w:ascii="Arial" w:hAnsi="Arial" w:cs="Arial"/>
          <w:sz w:val="24"/>
          <w:szCs w:val="24"/>
        </w:rPr>
        <w:t>w  Warszawie piętnaście zakładowych domów wielomieszkaniowych, w tym budynek przy ul. Olesińskiej 19 (k. 202-204 akt własnościowych).</w:t>
      </w:r>
    </w:p>
    <w:p w14:paraId="2DECCCCB"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Postanowieniem z dnia 12 października 1992 r., sygn. akt XVI Ns.Rej.S-896/92 Sąd Rejonowy dla m.st. Warszawy wpisał do rejestru działu A RS</w:t>
      </w:r>
      <w:r w:rsidRPr="00AE4143">
        <w:rPr>
          <w:rFonts w:ascii="Arial" w:hAnsi="Arial" w:cs="Arial"/>
          <w:color w:val="FFFFFF" w:themeColor="background1"/>
          <w:sz w:val="24"/>
          <w:szCs w:val="24"/>
        </w:rPr>
        <w:t xml:space="preserve"> 2085 </w:t>
      </w:r>
      <w:r w:rsidRPr="00AE4143">
        <w:rPr>
          <w:rFonts w:ascii="Arial" w:hAnsi="Arial" w:cs="Arial"/>
          <w:sz w:val="24"/>
          <w:szCs w:val="24"/>
        </w:rPr>
        <w:t>nową nazwę M</w:t>
      </w:r>
      <w:r w:rsidRPr="00AE4143">
        <w:rPr>
          <w:rFonts w:ascii="Arial" w:hAnsi="Arial" w:cs="Arial"/>
          <w:color w:val="FFFFFF" w:themeColor="background1"/>
          <w:sz w:val="24"/>
          <w:szCs w:val="24"/>
        </w:rPr>
        <w:t>iędzyzakładowej</w:t>
      </w:r>
      <w:r w:rsidRPr="00AE4143">
        <w:rPr>
          <w:rFonts w:ascii="Arial" w:hAnsi="Arial" w:cs="Arial"/>
          <w:sz w:val="24"/>
          <w:szCs w:val="24"/>
        </w:rPr>
        <w:t xml:space="preserve"> S</w:t>
      </w:r>
      <w:r w:rsidRPr="00AE4143">
        <w:rPr>
          <w:rFonts w:ascii="Arial" w:hAnsi="Arial" w:cs="Arial"/>
          <w:color w:val="FFFFFF" w:themeColor="background1"/>
          <w:sz w:val="24"/>
          <w:szCs w:val="24"/>
        </w:rPr>
        <w:t xml:space="preserve">półdzielni </w:t>
      </w:r>
      <w:r w:rsidRPr="00AE4143">
        <w:rPr>
          <w:rFonts w:ascii="Arial" w:hAnsi="Arial" w:cs="Arial"/>
          <w:sz w:val="24"/>
          <w:szCs w:val="24"/>
        </w:rPr>
        <w:t>M</w:t>
      </w:r>
      <w:r w:rsidRPr="00AE4143">
        <w:rPr>
          <w:rFonts w:ascii="Arial" w:hAnsi="Arial" w:cs="Arial"/>
          <w:color w:val="FFFFFF" w:themeColor="background1"/>
          <w:sz w:val="24"/>
          <w:szCs w:val="24"/>
        </w:rPr>
        <w:t>ieszkaniowej</w:t>
      </w:r>
      <w:r w:rsidRPr="00AE4143">
        <w:rPr>
          <w:rFonts w:ascii="Arial" w:hAnsi="Arial" w:cs="Arial"/>
          <w:sz w:val="24"/>
          <w:szCs w:val="24"/>
        </w:rPr>
        <w:t xml:space="preserve"> „S</w:t>
      </w:r>
      <w:r w:rsidRPr="00AE4143">
        <w:rPr>
          <w:rFonts w:ascii="Arial" w:hAnsi="Arial" w:cs="Arial"/>
          <w:color w:val="FFFFFF" w:themeColor="background1"/>
          <w:sz w:val="24"/>
          <w:szCs w:val="24"/>
        </w:rPr>
        <w:t xml:space="preserve">połem” </w:t>
      </w:r>
      <w:r w:rsidRPr="00AE4143">
        <w:rPr>
          <w:rFonts w:ascii="Arial" w:hAnsi="Arial" w:cs="Arial"/>
          <w:sz w:val="24"/>
          <w:szCs w:val="24"/>
        </w:rPr>
        <w:t>w Warszawie, tj. S</w:t>
      </w:r>
      <w:r w:rsidRPr="00AE4143">
        <w:rPr>
          <w:rFonts w:ascii="Arial" w:hAnsi="Arial" w:cs="Arial"/>
          <w:color w:val="FFFFFF" w:themeColor="background1"/>
          <w:sz w:val="24"/>
          <w:szCs w:val="24"/>
        </w:rPr>
        <w:t xml:space="preserve">półdzielnia </w:t>
      </w:r>
      <w:r w:rsidRPr="00AE4143">
        <w:rPr>
          <w:rFonts w:ascii="Arial" w:hAnsi="Arial" w:cs="Arial"/>
          <w:sz w:val="24"/>
          <w:szCs w:val="24"/>
        </w:rPr>
        <w:t>M</w:t>
      </w:r>
      <w:r w:rsidRPr="00AE4143">
        <w:rPr>
          <w:rFonts w:ascii="Arial" w:hAnsi="Arial" w:cs="Arial"/>
          <w:color w:val="FFFFFF" w:themeColor="background1"/>
          <w:sz w:val="24"/>
          <w:szCs w:val="24"/>
        </w:rPr>
        <w:t>ieszkaniowo</w:t>
      </w:r>
      <w:r w:rsidRPr="00AE4143">
        <w:rPr>
          <w:rFonts w:ascii="Arial" w:hAnsi="Arial" w:cs="Arial"/>
          <w:sz w:val="24"/>
          <w:szCs w:val="24"/>
        </w:rPr>
        <w:t>-B</w:t>
      </w:r>
      <w:r w:rsidRPr="00AE4143">
        <w:rPr>
          <w:rFonts w:ascii="Arial" w:hAnsi="Arial" w:cs="Arial"/>
          <w:color w:val="FFFFFF" w:themeColor="background1"/>
          <w:sz w:val="24"/>
          <w:szCs w:val="24"/>
        </w:rPr>
        <w:t>udowlana</w:t>
      </w:r>
      <w:r w:rsidRPr="00AE4143">
        <w:rPr>
          <w:rFonts w:ascii="Arial" w:hAnsi="Arial" w:cs="Arial"/>
          <w:sz w:val="24"/>
          <w:szCs w:val="24"/>
        </w:rPr>
        <w:t xml:space="preserve"> „S</w:t>
      </w:r>
      <w:r w:rsidRPr="00AE4143">
        <w:rPr>
          <w:rFonts w:ascii="Arial" w:hAnsi="Arial" w:cs="Arial"/>
          <w:color w:val="FFFFFF" w:themeColor="background1"/>
          <w:sz w:val="24"/>
          <w:szCs w:val="24"/>
        </w:rPr>
        <w:t xml:space="preserve">połem”.  </w:t>
      </w:r>
    </w:p>
    <w:p w14:paraId="7079567E"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Umową zawartą w formie pisemnej w dniu 12 września 2016 r. K</w:t>
      </w:r>
      <w:r w:rsidRPr="00AE4143">
        <w:rPr>
          <w:rFonts w:ascii="Arial" w:hAnsi="Arial" w:cs="Arial"/>
          <w:color w:val="FFFFFF" w:themeColor="background1"/>
          <w:sz w:val="24"/>
          <w:szCs w:val="24"/>
        </w:rPr>
        <w:t>rajowa</w:t>
      </w:r>
      <w:r w:rsidRPr="00AE4143">
        <w:rPr>
          <w:rFonts w:ascii="Arial" w:hAnsi="Arial" w:cs="Arial"/>
          <w:sz w:val="24"/>
          <w:szCs w:val="24"/>
        </w:rPr>
        <w:t xml:space="preserve"> R</w:t>
      </w:r>
      <w:r w:rsidRPr="00AE4143">
        <w:rPr>
          <w:rFonts w:ascii="Arial" w:hAnsi="Arial" w:cs="Arial"/>
          <w:color w:val="FFFFFF" w:themeColor="background1"/>
          <w:sz w:val="24"/>
          <w:szCs w:val="24"/>
        </w:rPr>
        <w:t xml:space="preserve">ada </w:t>
      </w:r>
      <w:r w:rsidRPr="00AE4143">
        <w:rPr>
          <w:rFonts w:ascii="Arial" w:hAnsi="Arial" w:cs="Arial"/>
          <w:sz w:val="24"/>
          <w:szCs w:val="24"/>
        </w:rPr>
        <w:t>S</w:t>
      </w:r>
      <w:r w:rsidRPr="00AE4143">
        <w:rPr>
          <w:rFonts w:ascii="Arial" w:hAnsi="Arial" w:cs="Arial"/>
          <w:color w:val="FFFFFF" w:themeColor="background1"/>
          <w:sz w:val="24"/>
          <w:szCs w:val="24"/>
        </w:rPr>
        <w:t>półdzielcza</w:t>
      </w:r>
      <w:r w:rsidRPr="00AE4143">
        <w:rPr>
          <w:rFonts w:ascii="Arial" w:hAnsi="Arial" w:cs="Arial"/>
          <w:sz w:val="24"/>
          <w:szCs w:val="24"/>
        </w:rPr>
        <w:t xml:space="preserve"> (jako następca prawny N</w:t>
      </w:r>
      <w:r w:rsidRPr="00AE4143">
        <w:rPr>
          <w:rFonts w:ascii="Arial" w:hAnsi="Arial" w:cs="Arial"/>
          <w:color w:val="FFFFFF" w:themeColor="background1"/>
          <w:sz w:val="24"/>
          <w:szCs w:val="24"/>
        </w:rPr>
        <w:t>aczelnej</w:t>
      </w:r>
      <w:r w:rsidRPr="00AE4143">
        <w:rPr>
          <w:rFonts w:ascii="Arial" w:hAnsi="Arial" w:cs="Arial"/>
          <w:sz w:val="24"/>
          <w:szCs w:val="24"/>
        </w:rPr>
        <w:t xml:space="preserve"> R</w:t>
      </w:r>
      <w:r w:rsidRPr="00AE4143">
        <w:rPr>
          <w:rFonts w:ascii="Arial" w:hAnsi="Arial" w:cs="Arial"/>
          <w:color w:val="FFFFFF" w:themeColor="background1"/>
          <w:sz w:val="24"/>
          <w:szCs w:val="24"/>
        </w:rPr>
        <w:t xml:space="preserve">ady </w:t>
      </w:r>
      <w:r w:rsidRPr="00AE4143">
        <w:rPr>
          <w:rFonts w:ascii="Arial" w:hAnsi="Arial" w:cs="Arial"/>
          <w:sz w:val="24"/>
          <w:szCs w:val="24"/>
        </w:rPr>
        <w:t>S</w:t>
      </w:r>
      <w:r w:rsidRPr="00AE4143">
        <w:rPr>
          <w:rFonts w:ascii="Arial" w:hAnsi="Arial" w:cs="Arial"/>
          <w:color w:val="FFFFFF" w:themeColor="background1"/>
          <w:sz w:val="24"/>
          <w:szCs w:val="24"/>
        </w:rPr>
        <w:t>półdzielczej</w:t>
      </w:r>
      <w:r w:rsidRPr="00AE4143">
        <w:rPr>
          <w:rFonts w:ascii="Arial" w:hAnsi="Arial" w:cs="Arial"/>
          <w:sz w:val="24"/>
          <w:szCs w:val="24"/>
        </w:rPr>
        <w:t>) oświadczyła, że przenosi na S</w:t>
      </w:r>
      <w:r w:rsidRPr="00AE4143">
        <w:rPr>
          <w:rFonts w:ascii="Arial" w:hAnsi="Arial" w:cs="Arial"/>
          <w:color w:val="FFFFFF" w:themeColor="background1"/>
          <w:sz w:val="24"/>
          <w:szCs w:val="24"/>
        </w:rPr>
        <w:t>półdzielnię</w:t>
      </w:r>
      <w:r w:rsidRPr="00AE4143">
        <w:rPr>
          <w:rFonts w:ascii="Arial" w:hAnsi="Arial" w:cs="Arial"/>
          <w:sz w:val="24"/>
          <w:szCs w:val="24"/>
        </w:rPr>
        <w:t xml:space="preserve"> M</w:t>
      </w:r>
      <w:r w:rsidRPr="00AE4143">
        <w:rPr>
          <w:rFonts w:ascii="Arial" w:hAnsi="Arial" w:cs="Arial"/>
          <w:color w:val="FFFFFF" w:themeColor="background1"/>
          <w:sz w:val="24"/>
          <w:szCs w:val="24"/>
        </w:rPr>
        <w:t>ieszkaniowo</w:t>
      </w:r>
      <w:r w:rsidRPr="00AE4143">
        <w:rPr>
          <w:rFonts w:ascii="Arial" w:hAnsi="Arial" w:cs="Arial"/>
          <w:sz w:val="24"/>
          <w:szCs w:val="24"/>
        </w:rPr>
        <w:t>-B</w:t>
      </w:r>
      <w:r w:rsidRPr="00AE4143">
        <w:rPr>
          <w:rFonts w:ascii="Arial" w:hAnsi="Arial" w:cs="Arial"/>
          <w:color w:val="FFFFFF" w:themeColor="background1"/>
          <w:sz w:val="24"/>
          <w:szCs w:val="24"/>
        </w:rPr>
        <w:t>udowlaną</w:t>
      </w:r>
      <w:r w:rsidRPr="00AE4143">
        <w:rPr>
          <w:rFonts w:ascii="Arial" w:hAnsi="Arial" w:cs="Arial"/>
          <w:sz w:val="24"/>
          <w:szCs w:val="24"/>
        </w:rPr>
        <w:t xml:space="preserve"> „S</w:t>
      </w:r>
      <w:r w:rsidRPr="00AE4143">
        <w:rPr>
          <w:rFonts w:ascii="Arial" w:hAnsi="Arial" w:cs="Arial"/>
          <w:color w:val="FFFFFF" w:themeColor="background1"/>
          <w:sz w:val="24"/>
          <w:szCs w:val="24"/>
        </w:rPr>
        <w:t xml:space="preserve">połem” </w:t>
      </w:r>
      <w:r w:rsidRPr="00AE4143">
        <w:rPr>
          <w:rFonts w:ascii="Arial" w:hAnsi="Arial" w:cs="Arial"/>
          <w:sz w:val="24"/>
          <w:szCs w:val="24"/>
        </w:rPr>
        <w:t>z siedzibą w Warszawie wszystkie roszczenia wynikające z Dekretu z dnia 26 października 1945 r. o własności i użytkowaniu gruntów na obszarze m.st. Warszawy związane z zabudowaną nieruchomością warszawską położoną przy ul. Olesińskiej 19 w Warszawie, nr hip. 11851.</w:t>
      </w:r>
    </w:p>
    <w:p w14:paraId="79F81C4D" w14:textId="77777777" w:rsidR="000F1FD8" w:rsidRPr="00AE4143" w:rsidRDefault="000F1FD8" w:rsidP="00E74A97">
      <w:pPr>
        <w:spacing w:after="480" w:line="360" w:lineRule="auto"/>
        <w:contextualSpacing/>
        <w:rPr>
          <w:rFonts w:ascii="Arial" w:hAnsi="Arial" w:cs="Arial"/>
          <w:sz w:val="24"/>
          <w:szCs w:val="24"/>
        </w:rPr>
      </w:pPr>
    </w:p>
    <w:p w14:paraId="3E62B1FB"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4. Ogłoszenie o objęciu gruntu w posiadanie przez gminę m.st. Warszawy</w:t>
      </w:r>
    </w:p>
    <w:p w14:paraId="6B52B556"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Objęcie przedmiotowego gruntu w posiadanie przez gminę m.st. Warszawy nastąpiło na podstawie rozporządzenia Ministra Odbudowy z dnia 27 stycznia 1948 r., wydanego w porozumieniu z Ministrem Administracji Publicznej w sprawie obejmowania w posiadanie gruntów przez Gminę m.st. Warszawy (Dz. U. z 1948 r. Nr 6, poz. 43; dalej: rozporządzenie) w dniu 16 sierpnia 1948 r. – tj. z dniem </w:t>
      </w:r>
      <w:r w:rsidRPr="00AE4143">
        <w:rPr>
          <w:rFonts w:ascii="Arial" w:hAnsi="Arial" w:cs="Arial"/>
          <w:sz w:val="24"/>
          <w:szCs w:val="24"/>
        </w:rPr>
        <w:lastRenderedPageBreak/>
        <w:t>ogłoszenia w Dzienniku Urzędowym nr 20 Rady Narodowej i Zarządu Miejskiego m.st. Warszawy. Termin złożenia wniosku upłynął 16 lutego 1949 r.</w:t>
      </w:r>
    </w:p>
    <w:p w14:paraId="5F038533" w14:textId="77777777" w:rsidR="000F1FD8" w:rsidRPr="00AE4143" w:rsidRDefault="000F1FD8" w:rsidP="00E74A97">
      <w:pPr>
        <w:spacing w:after="480" w:line="360" w:lineRule="auto"/>
        <w:contextualSpacing/>
        <w:rPr>
          <w:rFonts w:ascii="Arial" w:hAnsi="Arial" w:cs="Arial"/>
          <w:sz w:val="24"/>
          <w:szCs w:val="24"/>
        </w:rPr>
      </w:pPr>
    </w:p>
    <w:p w14:paraId="2519D12B"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5. Postępowanie w sprawie wniosku zgłoszonego w trybie art. 7 Dekretu z dnia 26 października 1945 r. o własności i użytkowaniu gruntów na obszarze m.st. Warszawy</w:t>
      </w:r>
    </w:p>
    <w:p w14:paraId="6A7A17B7"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W dniu 13 października 1948 r. „S</w:t>
      </w:r>
      <w:r w:rsidRPr="00AE4143">
        <w:rPr>
          <w:rFonts w:ascii="Arial" w:hAnsi="Arial" w:cs="Arial"/>
          <w:color w:val="FFFFFF" w:themeColor="background1"/>
          <w:sz w:val="24"/>
          <w:szCs w:val="24"/>
        </w:rPr>
        <w:t xml:space="preserve">połem” </w:t>
      </w:r>
      <w:r w:rsidRPr="00AE4143">
        <w:rPr>
          <w:rFonts w:ascii="Arial" w:hAnsi="Arial" w:cs="Arial"/>
          <w:sz w:val="24"/>
          <w:szCs w:val="24"/>
        </w:rPr>
        <w:t>Z</w:t>
      </w:r>
      <w:r w:rsidRPr="00AE4143">
        <w:rPr>
          <w:rFonts w:ascii="Arial" w:hAnsi="Arial" w:cs="Arial"/>
          <w:color w:val="FFFFFF" w:themeColor="background1"/>
          <w:sz w:val="24"/>
          <w:szCs w:val="24"/>
        </w:rPr>
        <w:t xml:space="preserve">wiązek </w:t>
      </w:r>
      <w:r w:rsidRPr="00AE4143">
        <w:rPr>
          <w:rFonts w:ascii="Arial" w:hAnsi="Arial" w:cs="Arial"/>
          <w:sz w:val="24"/>
          <w:szCs w:val="24"/>
        </w:rPr>
        <w:t>G</w:t>
      </w:r>
      <w:r w:rsidRPr="00AE4143">
        <w:rPr>
          <w:rFonts w:ascii="Arial" w:hAnsi="Arial" w:cs="Arial"/>
          <w:color w:val="FFFFFF" w:themeColor="background1"/>
          <w:sz w:val="24"/>
          <w:szCs w:val="24"/>
        </w:rPr>
        <w:t>ospodarczy</w:t>
      </w:r>
      <w:r w:rsidRPr="00AE4143">
        <w:rPr>
          <w:rFonts w:ascii="Arial" w:hAnsi="Arial" w:cs="Arial"/>
          <w:sz w:val="24"/>
          <w:szCs w:val="24"/>
        </w:rPr>
        <w:t xml:space="preserve"> S</w:t>
      </w:r>
      <w:r w:rsidRPr="00AE4143">
        <w:rPr>
          <w:rFonts w:ascii="Arial" w:hAnsi="Arial" w:cs="Arial"/>
          <w:color w:val="FFFFFF" w:themeColor="background1"/>
          <w:sz w:val="24"/>
          <w:szCs w:val="24"/>
        </w:rPr>
        <w:t xml:space="preserve">półdzielni </w:t>
      </w:r>
      <w:r w:rsidRPr="00AE4143">
        <w:rPr>
          <w:rFonts w:ascii="Arial" w:hAnsi="Arial" w:cs="Arial"/>
          <w:sz w:val="24"/>
          <w:szCs w:val="24"/>
        </w:rPr>
        <w:t>R</w:t>
      </w:r>
      <w:r w:rsidRPr="00AE4143">
        <w:rPr>
          <w:rFonts w:ascii="Arial" w:hAnsi="Arial" w:cs="Arial"/>
          <w:color w:val="FFFFFF" w:themeColor="background1"/>
          <w:sz w:val="24"/>
          <w:szCs w:val="24"/>
        </w:rPr>
        <w:t xml:space="preserve">zeczypospolitej </w:t>
      </w:r>
      <w:r w:rsidRPr="00AE4143">
        <w:rPr>
          <w:rFonts w:ascii="Arial" w:hAnsi="Arial" w:cs="Arial"/>
          <w:sz w:val="24"/>
          <w:szCs w:val="24"/>
        </w:rPr>
        <w:t>P</w:t>
      </w:r>
      <w:r w:rsidRPr="00AE4143">
        <w:rPr>
          <w:rFonts w:ascii="Arial" w:hAnsi="Arial" w:cs="Arial"/>
          <w:color w:val="FFFFFF" w:themeColor="background1"/>
          <w:sz w:val="24"/>
          <w:szCs w:val="24"/>
        </w:rPr>
        <w:t xml:space="preserve">olskiej </w:t>
      </w:r>
      <w:r w:rsidRPr="00AE4143">
        <w:rPr>
          <w:rFonts w:ascii="Arial" w:hAnsi="Arial" w:cs="Arial"/>
          <w:sz w:val="24"/>
          <w:szCs w:val="24"/>
        </w:rPr>
        <w:t>S</w:t>
      </w:r>
      <w:r w:rsidRPr="00AE4143">
        <w:rPr>
          <w:rFonts w:ascii="Arial" w:hAnsi="Arial" w:cs="Arial"/>
          <w:color w:val="FFFFFF" w:themeColor="background1"/>
          <w:sz w:val="24"/>
          <w:szCs w:val="24"/>
        </w:rPr>
        <w:t>półdzielnia</w:t>
      </w:r>
      <w:r w:rsidRPr="00AE4143">
        <w:rPr>
          <w:rFonts w:ascii="Arial" w:hAnsi="Arial" w:cs="Arial"/>
          <w:sz w:val="24"/>
          <w:szCs w:val="24"/>
        </w:rPr>
        <w:t xml:space="preserve"> z odpowiedzialnością z udziałami w Warszawie w  likwidacji z siedzibą w Warszawie przy ul. G</w:t>
      </w:r>
      <w:r w:rsidRPr="00AE4143">
        <w:rPr>
          <w:rFonts w:ascii="Arial" w:hAnsi="Arial" w:cs="Arial"/>
          <w:color w:val="FFFFFF" w:themeColor="background1"/>
          <w:sz w:val="24"/>
          <w:szCs w:val="24"/>
        </w:rPr>
        <w:t xml:space="preserve">rażyny 13 </w:t>
      </w:r>
      <w:r w:rsidRPr="00AE4143">
        <w:rPr>
          <w:rFonts w:ascii="Arial" w:hAnsi="Arial" w:cs="Arial"/>
          <w:sz w:val="24"/>
          <w:szCs w:val="24"/>
        </w:rPr>
        <w:t>złożył do Zarządu Miejskiego m.st. Warszawa wniosek o przyznanie prawa własności czasowej do gruntu ww. nieruchomości (k.  4  akt własnościowych).</w:t>
      </w:r>
    </w:p>
    <w:p w14:paraId="68ECB10D"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Prezydium Rady Narodowej m.st. Warszawy orzeczeniem administracyjnym ST/TN-150/41/56 z dnia 9 lipca 1956 r. odmówiło Z</w:t>
      </w:r>
      <w:r w:rsidRPr="00AE4143">
        <w:rPr>
          <w:rFonts w:ascii="Arial" w:hAnsi="Arial" w:cs="Arial"/>
          <w:color w:val="FFFFFF" w:themeColor="background1"/>
          <w:sz w:val="24"/>
          <w:szCs w:val="24"/>
        </w:rPr>
        <w:t>wiązkowi</w:t>
      </w:r>
      <w:r w:rsidRPr="00AE4143">
        <w:rPr>
          <w:rFonts w:ascii="Arial" w:hAnsi="Arial" w:cs="Arial"/>
          <w:sz w:val="24"/>
          <w:szCs w:val="24"/>
        </w:rPr>
        <w:t xml:space="preserve"> S</w:t>
      </w:r>
      <w:r w:rsidRPr="00AE4143">
        <w:rPr>
          <w:rFonts w:ascii="Arial" w:hAnsi="Arial" w:cs="Arial"/>
          <w:color w:val="FFFFFF" w:themeColor="background1"/>
          <w:sz w:val="24"/>
          <w:szCs w:val="24"/>
        </w:rPr>
        <w:t>półdzielni</w:t>
      </w:r>
      <w:r w:rsidRPr="00AE4143">
        <w:rPr>
          <w:rFonts w:ascii="Arial" w:hAnsi="Arial" w:cs="Arial"/>
          <w:sz w:val="24"/>
          <w:szCs w:val="24"/>
        </w:rPr>
        <w:t xml:space="preserve"> S</w:t>
      </w:r>
      <w:r w:rsidRPr="00AE4143">
        <w:rPr>
          <w:rFonts w:ascii="Arial" w:hAnsi="Arial" w:cs="Arial"/>
          <w:color w:val="FFFFFF" w:themeColor="background1"/>
          <w:sz w:val="24"/>
          <w:szCs w:val="24"/>
        </w:rPr>
        <w:t xml:space="preserve">pożywców </w:t>
      </w:r>
      <w:r w:rsidRPr="00AE4143">
        <w:rPr>
          <w:rFonts w:ascii="Arial" w:hAnsi="Arial" w:cs="Arial"/>
          <w:sz w:val="24"/>
          <w:szCs w:val="24"/>
        </w:rPr>
        <w:t xml:space="preserve"> przyznania prawa użytkowania wieczystego do gruntu przedmiotowej nieruchomości (k. 8 akt własnościowych).</w:t>
      </w:r>
    </w:p>
    <w:p w14:paraId="5B513D4D"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Decyzją z dnia 8 stycznia 2002 r. KOC 2803/Go/01 Samorządowe Kolegium Odwoławcze w Warszawie, po rozpoznaniu wniosku S</w:t>
      </w:r>
      <w:r w:rsidRPr="00AE4143">
        <w:rPr>
          <w:rFonts w:ascii="Arial" w:hAnsi="Arial" w:cs="Arial"/>
          <w:color w:val="FFFFFF" w:themeColor="background1"/>
          <w:sz w:val="24"/>
          <w:szCs w:val="24"/>
        </w:rPr>
        <w:t xml:space="preserve">półdzielni </w:t>
      </w:r>
      <w:r w:rsidRPr="00AE4143">
        <w:rPr>
          <w:rFonts w:ascii="Arial" w:hAnsi="Arial" w:cs="Arial"/>
          <w:sz w:val="24"/>
          <w:szCs w:val="24"/>
        </w:rPr>
        <w:t>M</w:t>
      </w:r>
      <w:r w:rsidRPr="00AE4143">
        <w:rPr>
          <w:rFonts w:ascii="Arial" w:hAnsi="Arial" w:cs="Arial"/>
          <w:color w:val="FFFFFF" w:themeColor="background1"/>
          <w:sz w:val="24"/>
          <w:szCs w:val="24"/>
        </w:rPr>
        <w:t>ieszkaniowo</w:t>
      </w:r>
      <w:r w:rsidRPr="00AE4143">
        <w:rPr>
          <w:rFonts w:ascii="Arial" w:hAnsi="Arial" w:cs="Arial"/>
          <w:sz w:val="24"/>
          <w:szCs w:val="24"/>
        </w:rPr>
        <w:t>-B</w:t>
      </w:r>
      <w:r w:rsidRPr="00AE4143">
        <w:rPr>
          <w:rFonts w:ascii="Arial" w:hAnsi="Arial" w:cs="Arial"/>
          <w:color w:val="FFFFFF" w:themeColor="background1"/>
          <w:sz w:val="24"/>
          <w:szCs w:val="24"/>
        </w:rPr>
        <w:t>udowlanej</w:t>
      </w:r>
      <w:r w:rsidRPr="00AE4143">
        <w:rPr>
          <w:rFonts w:ascii="Arial" w:hAnsi="Arial" w:cs="Arial"/>
          <w:sz w:val="24"/>
          <w:szCs w:val="24"/>
        </w:rPr>
        <w:t xml:space="preserve"> „S</w:t>
      </w:r>
      <w:r w:rsidRPr="00AE4143">
        <w:rPr>
          <w:rFonts w:ascii="Arial" w:hAnsi="Arial" w:cs="Arial"/>
          <w:color w:val="FFFFFF" w:themeColor="background1"/>
          <w:sz w:val="24"/>
          <w:szCs w:val="24"/>
        </w:rPr>
        <w:t xml:space="preserve">połem” </w:t>
      </w:r>
      <w:r w:rsidRPr="00AE4143">
        <w:rPr>
          <w:rFonts w:ascii="Arial" w:hAnsi="Arial" w:cs="Arial"/>
          <w:sz w:val="24"/>
          <w:szCs w:val="24"/>
        </w:rPr>
        <w:t>z  dnia 28 stycznia 2001 r., na podstawie art. 156 § 1 pkt 2 k.p.a. stwierdziło nieważność ww. orzeczenia administracyjnego z dnia 9 lipca 1956 r. jako wydanego z rażącym naruszeniem art. 7 ust. 2 Dekretu o własności i użytkowaniu gruntów na obszarze m.st. Warszawy (k. 104-105 akt własnościowych; k. 8-9 akt Samorządowego Kolegium Odwoławczego w Warszawie KOC 2803/Go/01).</w:t>
      </w:r>
    </w:p>
    <w:p w14:paraId="56A99D4B" w14:textId="77777777" w:rsidR="000F1FD8" w:rsidRPr="00AE4143" w:rsidRDefault="000F1FD8" w:rsidP="00E74A97">
      <w:pPr>
        <w:spacing w:after="480" w:line="360" w:lineRule="auto"/>
        <w:contextualSpacing/>
        <w:rPr>
          <w:rFonts w:ascii="Arial" w:hAnsi="Arial" w:cs="Arial"/>
          <w:sz w:val="24"/>
          <w:szCs w:val="24"/>
        </w:rPr>
      </w:pPr>
    </w:p>
    <w:p w14:paraId="44043CC8"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6. Postępowanie reprywatyzacyjne</w:t>
      </w:r>
    </w:p>
    <w:p w14:paraId="719CAC21"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Decyzją Nr 424/GK/DW/13 z dnia 29 października 2013 r., Prezydent m.st. Warszawy po rozpatrzeniu wniosku z dnia 4 października 1948 r. (data wpływu 13 października 1948 r.) złożonego przez „</w:t>
      </w:r>
      <w:r w:rsidRPr="00AE4143">
        <w:rPr>
          <w:rFonts w:ascii="Arial" w:hAnsi="Arial" w:cs="Arial"/>
          <w:color w:val="FFFFFF" w:themeColor="background1"/>
          <w:sz w:val="24"/>
          <w:szCs w:val="24"/>
        </w:rPr>
        <w:t xml:space="preserve">Społem” </w:t>
      </w:r>
      <w:r w:rsidRPr="00AE4143">
        <w:rPr>
          <w:rFonts w:ascii="Arial" w:hAnsi="Arial" w:cs="Arial"/>
          <w:sz w:val="24"/>
          <w:szCs w:val="24"/>
        </w:rPr>
        <w:t>Z</w:t>
      </w:r>
      <w:r w:rsidRPr="00AE4143">
        <w:rPr>
          <w:rFonts w:ascii="Arial" w:hAnsi="Arial" w:cs="Arial"/>
          <w:color w:val="FFFFFF" w:themeColor="background1"/>
          <w:sz w:val="24"/>
          <w:szCs w:val="24"/>
        </w:rPr>
        <w:t xml:space="preserve">wiązek </w:t>
      </w:r>
      <w:r w:rsidRPr="00AE4143">
        <w:rPr>
          <w:rFonts w:ascii="Arial" w:hAnsi="Arial" w:cs="Arial"/>
          <w:sz w:val="24"/>
          <w:szCs w:val="24"/>
        </w:rPr>
        <w:t>G</w:t>
      </w:r>
      <w:r w:rsidRPr="00AE4143">
        <w:rPr>
          <w:rFonts w:ascii="Arial" w:hAnsi="Arial" w:cs="Arial"/>
          <w:color w:val="FFFFFF" w:themeColor="background1"/>
          <w:sz w:val="24"/>
          <w:szCs w:val="24"/>
        </w:rPr>
        <w:t>ospodarczy</w:t>
      </w:r>
      <w:r w:rsidRPr="00AE4143">
        <w:rPr>
          <w:rFonts w:ascii="Arial" w:hAnsi="Arial" w:cs="Arial"/>
          <w:sz w:val="24"/>
          <w:szCs w:val="24"/>
        </w:rPr>
        <w:t xml:space="preserve"> S</w:t>
      </w:r>
      <w:r w:rsidRPr="00AE4143">
        <w:rPr>
          <w:rFonts w:ascii="Arial" w:hAnsi="Arial" w:cs="Arial"/>
          <w:color w:val="FFFFFF" w:themeColor="background1"/>
          <w:sz w:val="24"/>
          <w:szCs w:val="24"/>
        </w:rPr>
        <w:t xml:space="preserve">półdzielni </w:t>
      </w:r>
      <w:r w:rsidRPr="00AE4143">
        <w:rPr>
          <w:rFonts w:ascii="Arial" w:hAnsi="Arial" w:cs="Arial"/>
          <w:sz w:val="24"/>
          <w:szCs w:val="24"/>
        </w:rPr>
        <w:t xml:space="preserve">R.P. spółdzielni z  odpowiedzialnością udziałami w likwidacji z siedzibą w Warszawie, dawnego właściciela hipotecznego o przyznanie prawa własności czasowej do gruntu położonego w Warszawie przy ul. Olesińskiej 19, nr hip. 11851, ustanowił w punkcie I na lat 99 użytkowanie wieczyste do gruntu o powierzchni 667 m2 oznaczonego jako działka ewidencyjna nr 34 w obrębie 1-01-20 położonego w Warszawie przy ul. Olesińskiej uregulowanego w księdze wieczystej nr </w:t>
      </w:r>
      <w:r w:rsidRPr="00AE4143">
        <w:rPr>
          <w:rFonts w:ascii="Arial" w:hAnsi="Arial" w:cs="Arial"/>
          <w:color w:val="FFFFFF" w:themeColor="background1"/>
          <w:sz w:val="24"/>
          <w:szCs w:val="24"/>
        </w:rPr>
        <w:t xml:space="preserve">WA2M/00200942/8 </w:t>
      </w:r>
      <w:r w:rsidRPr="00AE4143">
        <w:rPr>
          <w:rFonts w:ascii="Arial" w:hAnsi="Arial" w:cs="Arial"/>
          <w:sz w:val="24"/>
          <w:szCs w:val="24"/>
        </w:rPr>
        <w:t>na rzecz S</w:t>
      </w:r>
      <w:r w:rsidRPr="00AE4143">
        <w:rPr>
          <w:rFonts w:ascii="Arial" w:hAnsi="Arial" w:cs="Arial"/>
          <w:color w:val="FFFFFF" w:themeColor="background1"/>
          <w:sz w:val="24"/>
          <w:szCs w:val="24"/>
        </w:rPr>
        <w:t>półdzielni</w:t>
      </w:r>
      <w:r w:rsidRPr="00AE4143">
        <w:rPr>
          <w:rFonts w:ascii="Arial" w:hAnsi="Arial" w:cs="Arial"/>
          <w:sz w:val="24"/>
          <w:szCs w:val="24"/>
        </w:rPr>
        <w:t xml:space="preserve"> M</w:t>
      </w:r>
      <w:r w:rsidRPr="00AE4143">
        <w:rPr>
          <w:rFonts w:ascii="Arial" w:hAnsi="Arial" w:cs="Arial"/>
          <w:color w:val="FFFFFF" w:themeColor="background1"/>
          <w:sz w:val="24"/>
          <w:szCs w:val="24"/>
        </w:rPr>
        <w:t>ieszkaniowo</w:t>
      </w:r>
      <w:r w:rsidRPr="00AE4143">
        <w:rPr>
          <w:rFonts w:ascii="Arial" w:hAnsi="Arial" w:cs="Arial"/>
          <w:sz w:val="24"/>
          <w:szCs w:val="24"/>
        </w:rPr>
        <w:t>-B</w:t>
      </w:r>
      <w:r w:rsidRPr="00AE4143">
        <w:rPr>
          <w:rFonts w:ascii="Arial" w:hAnsi="Arial" w:cs="Arial"/>
          <w:color w:val="FFFFFF" w:themeColor="background1"/>
          <w:sz w:val="24"/>
          <w:szCs w:val="24"/>
        </w:rPr>
        <w:t>udowlanej</w:t>
      </w:r>
      <w:r w:rsidRPr="00AE4143">
        <w:rPr>
          <w:rFonts w:ascii="Arial" w:hAnsi="Arial" w:cs="Arial"/>
          <w:sz w:val="24"/>
          <w:szCs w:val="24"/>
        </w:rPr>
        <w:t xml:space="preserve"> „S</w:t>
      </w:r>
      <w:r w:rsidRPr="00AE4143">
        <w:rPr>
          <w:rFonts w:ascii="Arial" w:hAnsi="Arial" w:cs="Arial"/>
          <w:color w:val="FFFFFF" w:themeColor="background1"/>
          <w:sz w:val="24"/>
          <w:szCs w:val="24"/>
        </w:rPr>
        <w:t xml:space="preserve">połem” </w:t>
      </w:r>
      <w:r w:rsidRPr="00AE4143">
        <w:rPr>
          <w:rFonts w:ascii="Arial" w:hAnsi="Arial" w:cs="Arial"/>
          <w:sz w:val="24"/>
          <w:szCs w:val="24"/>
        </w:rPr>
        <w:t xml:space="preserve">wpisanej do Rejestru </w:t>
      </w:r>
      <w:r w:rsidRPr="00AE4143">
        <w:rPr>
          <w:rFonts w:ascii="Arial" w:hAnsi="Arial" w:cs="Arial"/>
          <w:sz w:val="24"/>
          <w:szCs w:val="24"/>
        </w:rPr>
        <w:lastRenderedPageBreak/>
        <w:t xml:space="preserve">Przedsiębiorców pod nr KRS </w:t>
      </w:r>
      <w:r w:rsidRPr="00AE4143">
        <w:rPr>
          <w:rFonts w:ascii="Arial" w:hAnsi="Arial" w:cs="Arial"/>
          <w:color w:val="FFFFFF" w:themeColor="background1"/>
          <w:sz w:val="24"/>
          <w:szCs w:val="24"/>
        </w:rPr>
        <w:t>24541</w:t>
      </w:r>
      <w:r w:rsidRPr="00AE4143">
        <w:rPr>
          <w:rFonts w:ascii="Arial" w:hAnsi="Arial" w:cs="Arial"/>
          <w:sz w:val="24"/>
          <w:szCs w:val="24"/>
        </w:rPr>
        <w:t>, a w punkcie II ustalił „czynsz symboliczny” z  tytułu ustanowienia prawa użytkowania wieczystego do ww. gruntu w wysokości 667 zł netto (k. 271-274 akt własnościowych).</w:t>
      </w:r>
    </w:p>
    <w:p w14:paraId="22846846"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W ww. decyzji wskazano, że różnica między powierzchnią hipoteczną gruntu a obecną wynika z odnowienia ewidencji gruntów. W aktach sprawy brak jednak dokumentu urzędowego, w rozumieniu art. 76 k.p.a., stanowiącego dowód wzmiankowanego odnowienia ewidencji gruntów i różnicy w powierzchni przedmiotowego gruntu. </w:t>
      </w:r>
    </w:p>
    <w:p w14:paraId="4CA109B0" w14:textId="77777777" w:rsidR="000F1FD8" w:rsidRPr="00AE4143" w:rsidRDefault="000F1FD8" w:rsidP="00E74A97">
      <w:pPr>
        <w:spacing w:after="480" w:line="360" w:lineRule="auto"/>
        <w:contextualSpacing/>
        <w:rPr>
          <w:rFonts w:ascii="Arial" w:hAnsi="Arial" w:cs="Arial"/>
          <w:sz w:val="24"/>
          <w:szCs w:val="24"/>
        </w:rPr>
      </w:pPr>
    </w:p>
    <w:p w14:paraId="58FD90FC"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7. Oddalenie powództwa S</w:t>
      </w:r>
      <w:r w:rsidRPr="00AE4143">
        <w:rPr>
          <w:rFonts w:ascii="Arial" w:hAnsi="Arial" w:cs="Arial"/>
          <w:color w:val="FFFFFF" w:themeColor="background1"/>
          <w:sz w:val="24"/>
          <w:szCs w:val="24"/>
        </w:rPr>
        <w:t>półdzielni</w:t>
      </w:r>
      <w:r w:rsidRPr="00AE4143">
        <w:rPr>
          <w:rFonts w:ascii="Arial" w:hAnsi="Arial" w:cs="Arial"/>
          <w:sz w:val="24"/>
          <w:szCs w:val="24"/>
        </w:rPr>
        <w:t xml:space="preserve"> M</w:t>
      </w:r>
      <w:r w:rsidRPr="00AE4143">
        <w:rPr>
          <w:rFonts w:ascii="Arial" w:hAnsi="Arial" w:cs="Arial"/>
          <w:color w:val="FFFFFF" w:themeColor="background1"/>
          <w:sz w:val="24"/>
          <w:szCs w:val="24"/>
        </w:rPr>
        <w:t>ieszkaniowo</w:t>
      </w:r>
      <w:r w:rsidRPr="00AE4143">
        <w:rPr>
          <w:rFonts w:ascii="Arial" w:hAnsi="Arial" w:cs="Arial"/>
          <w:sz w:val="24"/>
          <w:szCs w:val="24"/>
        </w:rPr>
        <w:t>-B</w:t>
      </w:r>
      <w:r w:rsidRPr="00AE4143">
        <w:rPr>
          <w:rFonts w:ascii="Arial" w:hAnsi="Arial" w:cs="Arial"/>
          <w:color w:val="FFFFFF" w:themeColor="background1"/>
          <w:sz w:val="24"/>
          <w:szCs w:val="24"/>
        </w:rPr>
        <w:t>udowlanej</w:t>
      </w:r>
      <w:r w:rsidRPr="00AE4143">
        <w:rPr>
          <w:rFonts w:ascii="Arial" w:hAnsi="Arial" w:cs="Arial"/>
          <w:sz w:val="24"/>
          <w:szCs w:val="24"/>
        </w:rPr>
        <w:t xml:space="preserve"> „S</w:t>
      </w:r>
      <w:r w:rsidRPr="00AE4143">
        <w:rPr>
          <w:rFonts w:ascii="Arial" w:hAnsi="Arial" w:cs="Arial"/>
          <w:color w:val="FFFFFF" w:themeColor="background1"/>
          <w:sz w:val="24"/>
          <w:szCs w:val="24"/>
        </w:rPr>
        <w:t xml:space="preserve">połem” </w:t>
      </w:r>
      <w:r w:rsidRPr="00AE4143">
        <w:rPr>
          <w:rFonts w:ascii="Arial" w:hAnsi="Arial" w:cs="Arial"/>
          <w:sz w:val="24"/>
          <w:szCs w:val="24"/>
        </w:rPr>
        <w:t>z siedzibą w Warszawie przeciwko Miastu Stołecznemu Warszawie o ustalenie następstwa prawnego po „S</w:t>
      </w:r>
      <w:r w:rsidRPr="00AE4143">
        <w:rPr>
          <w:rFonts w:ascii="Arial" w:hAnsi="Arial" w:cs="Arial"/>
          <w:color w:val="FFFFFF" w:themeColor="background1"/>
          <w:sz w:val="24"/>
          <w:szCs w:val="24"/>
        </w:rPr>
        <w:t xml:space="preserve">połem” </w:t>
      </w:r>
      <w:r w:rsidRPr="00AE4143">
        <w:rPr>
          <w:rFonts w:ascii="Arial" w:hAnsi="Arial" w:cs="Arial"/>
          <w:sz w:val="24"/>
          <w:szCs w:val="24"/>
        </w:rPr>
        <w:t>Z</w:t>
      </w:r>
      <w:r w:rsidRPr="00AE4143">
        <w:rPr>
          <w:rFonts w:ascii="Arial" w:hAnsi="Arial" w:cs="Arial"/>
          <w:color w:val="FFFFFF" w:themeColor="background1"/>
          <w:sz w:val="24"/>
          <w:szCs w:val="24"/>
        </w:rPr>
        <w:t>wiązku</w:t>
      </w:r>
      <w:r w:rsidRPr="00AE4143">
        <w:rPr>
          <w:rFonts w:ascii="Arial" w:hAnsi="Arial" w:cs="Arial"/>
          <w:sz w:val="24"/>
          <w:szCs w:val="24"/>
        </w:rPr>
        <w:t xml:space="preserve"> G</w:t>
      </w:r>
      <w:r w:rsidRPr="00AE4143">
        <w:rPr>
          <w:rFonts w:ascii="Arial" w:hAnsi="Arial" w:cs="Arial"/>
          <w:color w:val="FFFFFF" w:themeColor="background1"/>
          <w:sz w:val="24"/>
          <w:szCs w:val="24"/>
        </w:rPr>
        <w:t xml:space="preserve">ospodarczym </w:t>
      </w:r>
      <w:r w:rsidRPr="00AE4143">
        <w:rPr>
          <w:rFonts w:ascii="Arial" w:hAnsi="Arial" w:cs="Arial"/>
          <w:sz w:val="24"/>
          <w:szCs w:val="24"/>
        </w:rPr>
        <w:t>S</w:t>
      </w:r>
      <w:r w:rsidRPr="00AE4143">
        <w:rPr>
          <w:rFonts w:ascii="Arial" w:hAnsi="Arial" w:cs="Arial"/>
          <w:color w:val="FFFFFF" w:themeColor="background1"/>
          <w:sz w:val="24"/>
          <w:szCs w:val="24"/>
        </w:rPr>
        <w:t xml:space="preserve">półdzielni RP </w:t>
      </w:r>
      <w:r w:rsidRPr="00AE4143">
        <w:rPr>
          <w:rFonts w:ascii="Arial" w:hAnsi="Arial" w:cs="Arial"/>
          <w:sz w:val="24"/>
          <w:szCs w:val="24"/>
        </w:rPr>
        <w:t>w likwidacji w  Warszawie w zakresie roszczeń wynikających z art. 7 ust. 1 Dekretu z dnia 26 października 1945 r. o własności i użytkowaniu gruntów na obszarze m.st. Warszawy</w:t>
      </w:r>
    </w:p>
    <w:p w14:paraId="12AFEA8B"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W dniu 11 stycznia 2016 roku Sąd Rejonowy dla Warszawy-Mokotowa w Warszawie wydał wyrok w sprawie sygn. akt </w:t>
      </w:r>
      <w:r w:rsidRPr="00AE4143">
        <w:rPr>
          <w:rFonts w:ascii="Arial" w:hAnsi="Arial" w:cs="Arial"/>
          <w:color w:val="FFFFFF" w:themeColor="background1"/>
          <w:sz w:val="24"/>
          <w:szCs w:val="24"/>
        </w:rPr>
        <w:t>I C 2211/15</w:t>
      </w:r>
      <w:r w:rsidRPr="00AE4143">
        <w:rPr>
          <w:rFonts w:ascii="Arial" w:hAnsi="Arial" w:cs="Arial"/>
          <w:sz w:val="24"/>
          <w:szCs w:val="24"/>
        </w:rPr>
        <w:t>, w którym oddalił powództwo S</w:t>
      </w:r>
      <w:r w:rsidRPr="00AE4143">
        <w:rPr>
          <w:rFonts w:ascii="Arial" w:hAnsi="Arial" w:cs="Arial"/>
          <w:color w:val="FFFFFF" w:themeColor="background1"/>
          <w:sz w:val="24"/>
          <w:szCs w:val="24"/>
        </w:rPr>
        <w:t>półdzielni</w:t>
      </w:r>
      <w:r w:rsidRPr="00AE4143">
        <w:rPr>
          <w:rFonts w:ascii="Arial" w:hAnsi="Arial" w:cs="Arial"/>
          <w:sz w:val="24"/>
          <w:szCs w:val="24"/>
        </w:rPr>
        <w:t xml:space="preserve"> M</w:t>
      </w:r>
      <w:r w:rsidRPr="00AE4143">
        <w:rPr>
          <w:rFonts w:ascii="Arial" w:hAnsi="Arial" w:cs="Arial"/>
          <w:color w:val="FFFFFF" w:themeColor="background1"/>
          <w:sz w:val="24"/>
          <w:szCs w:val="24"/>
        </w:rPr>
        <w:t>ieszkaniowo</w:t>
      </w:r>
      <w:r w:rsidRPr="00AE4143">
        <w:rPr>
          <w:rFonts w:ascii="Arial" w:hAnsi="Arial" w:cs="Arial"/>
          <w:sz w:val="24"/>
          <w:szCs w:val="24"/>
        </w:rPr>
        <w:t>-B</w:t>
      </w:r>
      <w:r w:rsidRPr="00AE4143">
        <w:rPr>
          <w:rFonts w:ascii="Arial" w:hAnsi="Arial" w:cs="Arial"/>
          <w:color w:val="FFFFFF" w:themeColor="background1"/>
          <w:sz w:val="24"/>
          <w:szCs w:val="24"/>
        </w:rPr>
        <w:t xml:space="preserve">udowlanej </w:t>
      </w:r>
      <w:r w:rsidRPr="00AE4143">
        <w:rPr>
          <w:rFonts w:ascii="Arial" w:hAnsi="Arial" w:cs="Arial"/>
          <w:sz w:val="24"/>
          <w:szCs w:val="24"/>
        </w:rPr>
        <w:t>„S</w:t>
      </w:r>
      <w:r w:rsidRPr="00AE4143">
        <w:rPr>
          <w:rFonts w:ascii="Arial" w:hAnsi="Arial" w:cs="Arial"/>
          <w:color w:val="FFFFFF" w:themeColor="background1"/>
          <w:sz w:val="24"/>
          <w:szCs w:val="24"/>
        </w:rPr>
        <w:t xml:space="preserve">połem” </w:t>
      </w:r>
      <w:r w:rsidRPr="00AE4143">
        <w:rPr>
          <w:rFonts w:ascii="Arial" w:hAnsi="Arial" w:cs="Arial"/>
          <w:sz w:val="24"/>
          <w:szCs w:val="24"/>
        </w:rPr>
        <w:t>z siedzibą w Warszawie przeciwko Miastu Stołecznemu Warszawie o ustalenie, że jest następcą prawnym „S</w:t>
      </w:r>
      <w:r w:rsidRPr="00AE4143">
        <w:rPr>
          <w:rFonts w:ascii="Arial" w:hAnsi="Arial" w:cs="Arial"/>
          <w:color w:val="FFFFFF" w:themeColor="background1"/>
          <w:sz w:val="24"/>
          <w:szCs w:val="24"/>
        </w:rPr>
        <w:t xml:space="preserve">połem” </w:t>
      </w:r>
      <w:r w:rsidRPr="00AE4143">
        <w:rPr>
          <w:rFonts w:ascii="Arial" w:hAnsi="Arial" w:cs="Arial"/>
          <w:sz w:val="24"/>
          <w:szCs w:val="24"/>
        </w:rPr>
        <w:t>Z</w:t>
      </w:r>
      <w:r w:rsidRPr="00AE4143">
        <w:rPr>
          <w:rFonts w:ascii="Arial" w:hAnsi="Arial" w:cs="Arial"/>
          <w:color w:val="FFFFFF" w:themeColor="background1"/>
          <w:sz w:val="24"/>
          <w:szCs w:val="24"/>
        </w:rPr>
        <w:t>wiązku</w:t>
      </w:r>
      <w:r w:rsidRPr="00AE4143">
        <w:rPr>
          <w:rFonts w:ascii="Arial" w:hAnsi="Arial" w:cs="Arial"/>
          <w:sz w:val="24"/>
          <w:szCs w:val="24"/>
        </w:rPr>
        <w:t xml:space="preserve"> G</w:t>
      </w:r>
      <w:r w:rsidRPr="00AE4143">
        <w:rPr>
          <w:rFonts w:ascii="Arial" w:hAnsi="Arial" w:cs="Arial"/>
          <w:color w:val="FFFFFF" w:themeColor="background1"/>
          <w:sz w:val="24"/>
          <w:szCs w:val="24"/>
        </w:rPr>
        <w:t>ospodarczego</w:t>
      </w:r>
      <w:r w:rsidRPr="00AE4143">
        <w:rPr>
          <w:rFonts w:ascii="Arial" w:hAnsi="Arial" w:cs="Arial"/>
          <w:sz w:val="24"/>
          <w:szCs w:val="24"/>
        </w:rPr>
        <w:t xml:space="preserve"> S</w:t>
      </w:r>
      <w:r w:rsidRPr="00AE4143">
        <w:rPr>
          <w:rFonts w:ascii="Arial" w:hAnsi="Arial" w:cs="Arial"/>
          <w:color w:val="FFFFFF" w:themeColor="background1"/>
          <w:sz w:val="24"/>
          <w:szCs w:val="24"/>
        </w:rPr>
        <w:t>półdzielni RP</w:t>
      </w:r>
      <w:r w:rsidRPr="00AE4143">
        <w:rPr>
          <w:rFonts w:ascii="Arial" w:hAnsi="Arial" w:cs="Arial"/>
          <w:sz w:val="24"/>
          <w:szCs w:val="24"/>
        </w:rPr>
        <w:t xml:space="preserve"> w likwidacji w Warszawie w zakresie roszczeń wynikających z art. 7 ust. 1 Dekretu o własności i użytkowaniu gruntów na obszarze m.st. Warszawy. Sprawa ta dotyczyła innej nieruchomości, tj. położonej przy ul. Z</w:t>
      </w:r>
      <w:r w:rsidRPr="00AE4143">
        <w:rPr>
          <w:rFonts w:ascii="Arial" w:hAnsi="Arial" w:cs="Arial"/>
          <w:color w:val="FFFFFF" w:themeColor="background1"/>
          <w:sz w:val="24"/>
          <w:szCs w:val="24"/>
        </w:rPr>
        <w:t xml:space="preserve">acisznej 2/Jodłowej </w:t>
      </w:r>
      <w:r w:rsidRPr="00AE4143">
        <w:rPr>
          <w:rFonts w:ascii="Arial" w:hAnsi="Arial" w:cs="Arial"/>
          <w:sz w:val="24"/>
          <w:szCs w:val="24"/>
        </w:rPr>
        <w:t>w Warszawie, ale jej właścicielem także był „S</w:t>
      </w:r>
      <w:r w:rsidRPr="00AE4143">
        <w:rPr>
          <w:rFonts w:ascii="Arial" w:hAnsi="Arial" w:cs="Arial"/>
          <w:color w:val="FFFFFF" w:themeColor="background1"/>
          <w:sz w:val="24"/>
          <w:szCs w:val="24"/>
        </w:rPr>
        <w:t xml:space="preserve">połem” </w:t>
      </w:r>
      <w:r w:rsidRPr="00AE4143">
        <w:rPr>
          <w:rFonts w:ascii="Arial" w:hAnsi="Arial" w:cs="Arial"/>
          <w:sz w:val="24"/>
          <w:szCs w:val="24"/>
        </w:rPr>
        <w:t>Z</w:t>
      </w:r>
      <w:r w:rsidRPr="00AE4143">
        <w:rPr>
          <w:rFonts w:ascii="Arial" w:hAnsi="Arial" w:cs="Arial"/>
          <w:color w:val="FFFFFF" w:themeColor="background1"/>
          <w:sz w:val="24"/>
          <w:szCs w:val="24"/>
        </w:rPr>
        <w:t xml:space="preserve">wiązek </w:t>
      </w:r>
      <w:r w:rsidRPr="00AE4143">
        <w:rPr>
          <w:rFonts w:ascii="Arial" w:hAnsi="Arial" w:cs="Arial"/>
          <w:sz w:val="24"/>
          <w:szCs w:val="24"/>
        </w:rPr>
        <w:t>G</w:t>
      </w:r>
      <w:r w:rsidRPr="00AE4143">
        <w:rPr>
          <w:rFonts w:ascii="Arial" w:hAnsi="Arial" w:cs="Arial"/>
          <w:color w:val="FFFFFF" w:themeColor="background1"/>
          <w:sz w:val="24"/>
          <w:szCs w:val="24"/>
        </w:rPr>
        <w:t>ospodarczy</w:t>
      </w:r>
      <w:r w:rsidRPr="00AE4143">
        <w:rPr>
          <w:rFonts w:ascii="Arial" w:hAnsi="Arial" w:cs="Arial"/>
          <w:sz w:val="24"/>
          <w:szCs w:val="24"/>
        </w:rPr>
        <w:t xml:space="preserve"> S</w:t>
      </w:r>
      <w:r w:rsidRPr="00AE4143">
        <w:rPr>
          <w:rFonts w:ascii="Arial" w:hAnsi="Arial" w:cs="Arial"/>
          <w:color w:val="FFFFFF" w:themeColor="background1"/>
          <w:sz w:val="24"/>
          <w:szCs w:val="24"/>
        </w:rPr>
        <w:t>półdzielni</w:t>
      </w:r>
      <w:r w:rsidRPr="00AE4143">
        <w:rPr>
          <w:rFonts w:ascii="Arial" w:hAnsi="Arial" w:cs="Arial"/>
          <w:sz w:val="24"/>
          <w:szCs w:val="24"/>
        </w:rPr>
        <w:t xml:space="preserve"> </w:t>
      </w:r>
      <w:r w:rsidRPr="00AE4143">
        <w:rPr>
          <w:rFonts w:ascii="Arial" w:hAnsi="Arial" w:cs="Arial"/>
          <w:color w:val="FFFFFF" w:themeColor="background1"/>
          <w:sz w:val="24"/>
          <w:szCs w:val="24"/>
        </w:rPr>
        <w:t xml:space="preserve">RP </w:t>
      </w:r>
      <w:r w:rsidRPr="00AE4143">
        <w:rPr>
          <w:rFonts w:ascii="Arial" w:hAnsi="Arial" w:cs="Arial"/>
          <w:sz w:val="24"/>
          <w:szCs w:val="24"/>
        </w:rPr>
        <w:t>w likwidacji w  Warszawie, a w odniesieniu do ww. nieruchomości zostały zawarte umowy z dnia 10  grudnia 1990 r. i z dnia 12 września 2016 r. pomiędzy tymi samymi podmiotami i o treści identycznej, jak w przypadku nieruchomości przy ul. Olesińskiej 19.</w:t>
      </w:r>
    </w:p>
    <w:p w14:paraId="01C5858E" w14:textId="1CE979BB"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Sąd Rejonowy w uzasadnieniu wskazał m.in., że rozpoznanie roszczeń dekretowych, jakkolwiek z natury cywilnoprawnych, należy do drogi administracyjnej (art. 2 § 3 k.p.c. w zw. z art. 7 ust. 1 Dekretu), przeto organy administracyjne mają wyłączną kompetencję do zbadania wszelkich kwestii związanych z jego zasadnością, w tym następstwa prawnego podmiotu, który w tym postępowaniu będzie twierdził, że roszczenia te mu przysługują. Interes prawny w  wytoczeniu powództwa o ustalenie nie występuje, w ocenie Sądu, gdy wyjaśnienie nurtującej powoda (a beneficjentkę przedmiotowej decyzji) kwestii może być dokonane w  innym postępowaniu. Wskazał </w:t>
      </w:r>
      <w:r w:rsidRPr="00AE4143">
        <w:rPr>
          <w:rFonts w:ascii="Arial" w:hAnsi="Arial" w:cs="Arial"/>
          <w:sz w:val="24"/>
          <w:szCs w:val="24"/>
        </w:rPr>
        <w:lastRenderedPageBreak/>
        <w:t>ponadto Sąd, że organy administracji oraz sąd administracyjny uznały, że S</w:t>
      </w:r>
      <w:r w:rsidRPr="00AE4143">
        <w:rPr>
          <w:rFonts w:ascii="Arial" w:hAnsi="Arial" w:cs="Arial"/>
          <w:color w:val="FFFFFF" w:themeColor="background1"/>
          <w:sz w:val="24"/>
          <w:szCs w:val="24"/>
        </w:rPr>
        <w:t>półdzielnia</w:t>
      </w:r>
      <w:r w:rsidRPr="00AE4143">
        <w:rPr>
          <w:rFonts w:ascii="Arial" w:hAnsi="Arial" w:cs="Arial"/>
          <w:sz w:val="24"/>
          <w:szCs w:val="24"/>
        </w:rPr>
        <w:t xml:space="preserve"> nie wykazała następstwa prawnego w zakresie roszczeń dekretowych, nie ma przeto interesu prawnego we wszczęciu postępowania o  stwierdzenie nieważności decyzji. Jak wynika z uzasadnień decyzji SKO oraz wyroku WSA z 3 lipca 2015 r., </w:t>
      </w:r>
      <w:r w:rsidR="007C32C1" w:rsidRPr="00AE4143">
        <w:rPr>
          <w:rFonts w:ascii="Arial" w:hAnsi="Arial" w:cs="Arial"/>
          <w:sz w:val="24"/>
          <w:szCs w:val="24"/>
        </w:rPr>
        <w:t xml:space="preserve">sygn. akt </w:t>
      </w:r>
      <w:r w:rsidR="007C32C1" w:rsidRPr="00AE4143">
        <w:rPr>
          <w:rFonts w:ascii="Arial" w:hAnsi="Arial" w:cs="Arial"/>
          <w:color w:val="FFFFFF" w:themeColor="background1"/>
          <w:sz w:val="24"/>
          <w:szCs w:val="24"/>
        </w:rPr>
        <w:t>I SA/</w:t>
      </w:r>
      <w:proofErr w:type="spellStart"/>
      <w:r w:rsidR="007C32C1" w:rsidRPr="00AE4143">
        <w:rPr>
          <w:rFonts w:ascii="Arial" w:hAnsi="Arial" w:cs="Arial"/>
          <w:color w:val="FFFFFF" w:themeColor="background1"/>
          <w:sz w:val="24"/>
          <w:szCs w:val="24"/>
        </w:rPr>
        <w:t>Wa</w:t>
      </w:r>
      <w:proofErr w:type="spellEnd"/>
      <w:r w:rsidR="007C32C1" w:rsidRPr="00AE4143">
        <w:rPr>
          <w:rFonts w:ascii="Arial" w:hAnsi="Arial" w:cs="Arial"/>
          <w:color w:val="FFFFFF" w:themeColor="background1"/>
          <w:sz w:val="24"/>
          <w:szCs w:val="24"/>
        </w:rPr>
        <w:t>/336/15</w:t>
      </w:r>
      <w:r w:rsidR="007C32C1" w:rsidRPr="00AE4143">
        <w:rPr>
          <w:rFonts w:ascii="Arial" w:hAnsi="Arial" w:cs="Arial"/>
          <w:sz w:val="24"/>
          <w:szCs w:val="24"/>
        </w:rPr>
        <w:t xml:space="preserve">, </w:t>
      </w:r>
      <w:r w:rsidRPr="00AE4143">
        <w:rPr>
          <w:rFonts w:ascii="Arial" w:hAnsi="Arial" w:cs="Arial"/>
          <w:sz w:val="24"/>
          <w:szCs w:val="24"/>
        </w:rPr>
        <w:t>następstwo prawne S</w:t>
      </w:r>
      <w:r w:rsidRPr="00AE4143">
        <w:rPr>
          <w:rFonts w:ascii="Arial" w:hAnsi="Arial" w:cs="Arial"/>
          <w:color w:val="FFFFFF" w:themeColor="background1"/>
          <w:sz w:val="24"/>
          <w:szCs w:val="24"/>
        </w:rPr>
        <w:t>półdzielni</w:t>
      </w:r>
      <w:r w:rsidRPr="00AE4143">
        <w:rPr>
          <w:rFonts w:ascii="Arial" w:hAnsi="Arial" w:cs="Arial"/>
          <w:sz w:val="24"/>
          <w:szCs w:val="24"/>
        </w:rPr>
        <w:t xml:space="preserve"> w zakresie roszczeń dekretowych w  odniesieniu do działki numer 256 (będącej przedmiotem ww. postępowania przed Sądem) zostało zbadane w aspekcie przesłanki interesu prawnego we wszczęciu postępowania administracyjnego określonej w art. 28 k.p.a. Badanie to, polegające na analizie umowy z dnia 10 grudnia 1990 r., doprowadziło tak organy administracji, jak i WSA do wniosku, że umowa ta nie stanowiła tytułu przeniesienia roszczeń dekretowych na powoda, w związku z czym nie ma on interesu w występowaniu z wnioskiem o stwierdzenie nieważności decyzji. Z tego zaś wynika, że problem następstwa prawnego nie tylko może stać się, ale wręcz stał się przedmiotem rozstrzygnięcia w toku postępowania administracyjnego. Z tej okoliczności powód nie może zatem, w ocenie Sądu Rejonowego, wywodzić potrzeby ustalenia kwestii legitymacji w zakresie roszczeń dekretowych w drodze powództwa przed sądem powszechnym, a brak interesu prawnego wynikający z przytoczonych rozważań uprawnia do uznania roszczenia za bezzasadne na gruncie przesłanek z art. 189 k.p.c.</w:t>
      </w:r>
    </w:p>
    <w:p w14:paraId="11A14EC3"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Celem jednak ostatecznego rozwiania wątpliwości powoda – będącego zarazem beneficjentem weryfikowanej w niniejszej sprawie decyzji - w zakresie następstwa prawnego, Sąd Rejonowy w uzasadnieniu wyroku w sprawie sygn. akt </w:t>
      </w:r>
      <w:r w:rsidRPr="00AE4143">
        <w:rPr>
          <w:rFonts w:ascii="Arial" w:hAnsi="Arial" w:cs="Arial"/>
          <w:color w:val="FFFFFF" w:themeColor="background1"/>
          <w:sz w:val="24"/>
          <w:szCs w:val="24"/>
        </w:rPr>
        <w:t xml:space="preserve">I C 2211/15 </w:t>
      </w:r>
      <w:r w:rsidRPr="00AE4143">
        <w:rPr>
          <w:rFonts w:ascii="Arial" w:hAnsi="Arial" w:cs="Arial"/>
          <w:sz w:val="24"/>
          <w:szCs w:val="24"/>
        </w:rPr>
        <w:t>stwierdził, że w  sprawie nie zachodzi przypadek następstwa prawnego powodowej S</w:t>
      </w:r>
      <w:r w:rsidRPr="00AE4143">
        <w:rPr>
          <w:rFonts w:ascii="Arial" w:hAnsi="Arial" w:cs="Arial"/>
          <w:color w:val="FFFFFF" w:themeColor="background1"/>
          <w:sz w:val="24"/>
          <w:szCs w:val="24"/>
        </w:rPr>
        <w:t>półdzielni</w:t>
      </w:r>
      <w:r w:rsidRPr="00AE4143">
        <w:rPr>
          <w:rFonts w:ascii="Arial" w:hAnsi="Arial" w:cs="Arial"/>
          <w:sz w:val="24"/>
          <w:szCs w:val="24"/>
        </w:rPr>
        <w:t xml:space="preserve"> po Z</w:t>
      </w:r>
      <w:r w:rsidRPr="00AE4143">
        <w:rPr>
          <w:rFonts w:ascii="Arial" w:hAnsi="Arial" w:cs="Arial"/>
          <w:color w:val="FFFFFF" w:themeColor="background1"/>
          <w:sz w:val="24"/>
          <w:szCs w:val="24"/>
        </w:rPr>
        <w:t>wiązku</w:t>
      </w:r>
      <w:r w:rsidRPr="00AE4143">
        <w:rPr>
          <w:rFonts w:ascii="Arial" w:hAnsi="Arial" w:cs="Arial"/>
          <w:sz w:val="24"/>
          <w:szCs w:val="24"/>
        </w:rPr>
        <w:t xml:space="preserve"> S</w:t>
      </w:r>
      <w:r w:rsidRPr="00AE4143">
        <w:rPr>
          <w:rFonts w:ascii="Arial" w:hAnsi="Arial" w:cs="Arial"/>
          <w:color w:val="FFFFFF" w:themeColor="background1"/>
          <w:sz w:val="24"/>
          <w:szCs w:val="24"/>
        </w:rPr>
        <w:t>półdzielni</w:t>
      </w:r>
      <w:r w:rsidRPr="00AE4143">
        <w:rPr>
          <w:rFonts w:ascii="Arial" w:hAnsi="Arial" w:cs="Arial"/>
          <w:sz w:val="24"/>
          <w:szCs w:val="24"/>
        </w:rPr>
        <w:t xml:space="preserve"> S</w:t>
      </w:r>
      <w:r w:rsidRPr="00AE4143">
        <w:rPr>
          <w:rFonts w:ascii="Arial" w:hAnsi="Arial" w:cs="Arial"/>
          <w:color w:val="FFFFFF" w:themeColor="background1"/>
          <w:sz w:val="24"/>
          <w:szCs w:val="24"/>
        </w:rPr>
        <w:t>pożywców</w:t>
      </w:r>
      <w:r w:rsidRPr="00AE4143">
        <w:rPr>
          <w:rFonts w:ascii="Arial" w:hAnsi="Arial" w:cs="Arial"/>
          <w:sz w:val="24"/>
          <w:szCs w:val="24"/>
        </w:rPr>
        <w:t xml:space="preserve"> pod tytułem ogólnym. Źródłem bowiem tego następstwa miała być, zgodnie z twierdzeniami pozwu, czynność prawna w postaci umowy mającej przenosić roszczenia dekretowe przysługujące Z</w:t>
      </w:r>
      <w:r w:rsidRPr="00AE4143">
        <w:rPr>
          <w:rFonts w:ascii="Arial" w:hAnsi="Arial" w:cs="Arial"/>
          <w:color w:val="FFFFFF" w:themeColor="background1"/>
          <w:sz w:val="24"/>
          <w:szCs w:val="24"/>
        </w:rPr>
        <w:t xml:space="preserve">wiązkowi </w:t>
      </w:r>
      <w:r w:rsidRPr="00AE4143">
        <w:rPr>
          <w:rFonts w:ascii="Arial" w:hAnsi="Arial" w:cs="Arial"/>
          <w:sz w:val="24"/>
          <w:szCs w:val="24"/>
        </w:rPr>
        <w:t xml:space="preserve">na powoda. Brak podstaw zatem do formułowania tezy o przejściu na powoda omawianych uprawnień w drodze </w:t>
      </w:r>
      <w:proofErr w:type="spellStart"/>
      <w:r w:rsidRPr="00AE4143">
        <w:rPr>
          <w:rFonts w:ascii="Arial" w:hAnsi="Arial" w:cs="Arial"/>
          <w:sz w:val="24"/>
          <w:szCs w:val="24"/>
        </w:rPr>
        <w:t>succesio</w:t>
      </w:r>
      <w:proofErr w:type="spellEnd"/>
      <w:r w:rsidRPr="00AE4143">
        <w:rPr>
          <w:rFonts w:ascii="Arial" w:hAnsi="Arial" w:cs="Arial"/>
          <w:sz w:val="24"/>
          <w:szCs w:val="24"/>
        </w:rPr>
        <w:t xml:space="preserve"> </w:t>
      </w:r>
      <w:proofErr w:type="spellStart"/>
      <w:r w:rsidRPr="00AE4143">
        <w:rPr>
          <w:rFonts w:ascii="Arial" w:hAnsi="Arial" w:cs="Arial"/>
          <w:sz w:val="24"/>
          <w:szCs w:val="24"/>
        </w:rPr>
        <w:t>generalis</w:t>
      </w:r>
      <w:proofErr w:type="spellEnd"/>
      <w:r w:rsidRPr="00AE4143">
        <w:rPr>
          <w:rFonts w:ascii="Arial" w:hAnsi="Arial" w:cs="Arial"/>
          <w:sz w:val="24"/>
          <w:szCs w:val="24"/>
        </w:rPr>
        <w:t xml:space="preserve">. Zasadnicze znaczenie dla określenia losów prawnych roszczeń dekretowych ma analiza umowy z dnia 10 grudnia 1990 r. Jej treść, co było nie tylko przedmiotem rozważań organów administracji i sądu administracyjnego, ale również sądu powszechnego w sprawie </w:t>
      </w:r>
      <w:r w:rsidRPr="00AE4143">
        <w:rPr>
          <w:rFonts w:ascii="Arial" w:hAnsi="Arial" w:cs="Arial"/>
          <w:color w:val="FFFFFF" w:themeColor="background1"/>
          <w:sz w:val="24"/>
          <w:szCs w:val="24"/>
        </w:rPr>
        <w:t>III C 837/92</w:t>
      </w:r>
      <w:r w:rsidRPr="00AE4143">
        <w:rPr>
          <w:rFonts w:ascii="Arial" w:hAnsi="Arial" w:cs="Arial"/>
          <w:sz w:val="24"/>
          <w:szCs w:val="24"/>
        </w:rPr>
        <w:t xml:space="preserve">, nie pozwala na stwierdzenie, że obejmowała ona roszczenia dekretowe do gruntu. W  kontekście normatywnym, jaki towarzyszył jej zawarciu, kwestia formy umowy nie ma w  ocenie Sądu zasadniczego znaczenia dla oceny przejścia </w:t>
      </w:r>
      <w:r w:rsidRPr="00AE4143">
        <w:rPr>
          <w:rFonts w:ascii="Arial" w:hAnsi="Arial" w:cs="Arial"/>
          <w:sz w:val="24"/>
          <w:szCs w:val="24"/>
        </w:rPr>
        <w:lastRenderedPageBreak/>
        <w:t>analizowanych uprawnień. Przedmiotem tej umowy była czynność przeniesienia, w rozumieniu art. 3 ust. 6 Ustawy o  zmianach w  organizacji i działalności spółdzielczości, składników mienia Z</w:t>
      </w:r>
      <w:r w:rsidRPr="00AE4143">
        <w:rPr>
          <w:rFonts w:ascii="Arial" w:hAnsi="Arial" w:cs="Arial"/>
          <w:color w:val="FFFFFF" w:themeColor="background1"/>
          <w:sz w:val="24"/>
          <w:szCs w:val="24"/>
        </w:rPr>
        <w:t xml:space="preserve">wiązku </w:t>
      </w:r>
      <w:r w:rsidRPr="00AE4143">
        <w:rPr>
          <w:rFonts w:ascii="Arial" w:hAnsi="Arial" w:cs="Arial"/>
          <w:sz w:val="24"/>
          <w:szCs w:val="24"/>
        </w:rPr>
        <w:t>na S</w:t>
      </w:r>
      <w:r w:rsidRPr="00AE4143">
        <w:rPr>
          <w:rFonts w:ascii="Arial" w:hAnsi="Arial" w:cs="Arial"/>
          <w:color w:val="FFFFFF" w:themeColor="background1"/>
          <w:sz w:val="24"/>
          <w:szCs w:val="24"/>
        </w:rPr>
        <w:t>półdzielnię</w:t>
      </w:r>
      <w:r w:rsidRPr="00AE4143">
        <w:rPr>
          <w:rFonts w:ascii="Arial" w:hAnsi="Arial" w:cs="Arial"/>
          <w:sz w:val="24"/>
          <w:szCs w:val="24"/>
        </w:rPr>
        <w:t>. W  orzecznictwie Sądu Najwyższego sformułowano tezę, że przekazanie na własność nieruchomości na podstawie art. 3 ust. 6 ustawy z dnia 20 stycznia 1990 r. o zmianach w  organizacji i działalności spółdzielczości (Dz. U. Nr 6, poz. 36) nie wymaga zachowania formy aktu notarialnego (uchwała z dnia 22 listopada 1991 r., III CZP 120/91). Konkluzję tę, jak wskazał Sąd, należałoby odnieść również do roszczeń dekretowych. Nie brak wymaganej formy zatem, lecz sama treść porozumienia dostarcza argumentów na rzecz tezy o braku następstwa prawnego powoda w odniesieniu do roszczeń dekretowych do działki. Przeniesienie składników mienia dotyczyło ściśle określonego majątku Z</w:t>
      </w:r>
      <w:r w:rsidRPr="00AE4143">
        <w:rPr>
          <w:rFonts w:ascii="Arial" w:hAnsi="Arial" w:cs="Arial"/>
          <w:color w:val="FFFFFF" w:themeColor="background1"/>
          <w:sz w:val="24"/>
          <w:szCs w:val="24"/>
        </w:rPr>
        <w:t>wiązku</w:t>
      </w:r>
      <w:r w:rsidRPr="00AE4143">
        <w:rPr>
          <w:rFonts w:ascii="Arial" w:hAnsi="Arial" w:cs="Arial"/>
          <w:sz w:val="24"/>
          <w:szCs w:val="24"/>
        </w:rPr>
        <w:t xml:space="preserve"> - budynków mieszkalnych opisanych w załączniku do umowy, co wprost wynika z § 1 i 2 umowy. Paragraf 7 porozumienia dotyczył obciążeń wynikających ze stosunków prawnych mających za przedmiot lokale w tych budynkach. Paragraf 9 umowy dotyczył zaś, zgodnie z jego brzmieniem, obowiązku Z</w:t>
      </w:r>
      <w:r w:rsidRPr="00AE4143">
        <w:rPr>
          <w:rFonts w:ascii="Arial" w:hAnsi="Arial" w:cs="Arial"/>
          <w:color w:val="FFFFFF" w:themeColor="background1"/>
          <w:sz w:val="24"/>
          <w:szCs w:val="24"/>
        </w:rPr>
        <w:t>wiązku</w:t>
      </w:r>
      <w:r w:rsidRPr="00AE4143">
        <w:rPr>
          <w:rFonts w:ascii="Arial" w:hAnsi="Arial" w:cs="Arial"/>
          <w:sz w:val="24"/>
          <w:szCs w:val="24"/>
        </w:rPr>
        <w:t xml:space="preserve"> uregulowania stanu prawnego innych, niewymienionych w załączniku budynków. Z brzmienia tego paragrafu nie da się wyprowadzić wniosku o objęciu rozporządzeniem również roszczeń dekretowych. Zapis ten ustanawiał zobowiązanie Związku do podjęcia czynności w celu uregulowania stanu prawnego budynków i po osiągnięciu tego rezultatu, do przeniesienia ich własności na powoda. Zobowiązaniu temu nie da się przypisać również skutku rozporządzającego, dlatego, że zostało ograniczone warunkiem w postaci uregulowania stanu prawnego nieruchomości, co wyklucza, w świetle art. 157 § 1 i 2 k.c., skutek rozporządzenia takim składnikiem mienia. Analiza tego postanowienia pod względem zgodnego zamiaru stron umowy (art. 65 § 2 k.c.) również nie dostarcza, w ocenie Sądu Rejonowego, argumentów na rzecz tezy, że doszło do skutku rozporządzającego. Z zeznań pełnomocnika likwidatora wynikało, że postanowienie to odsuwało w czasie przeniesienie roszczeń, założeniem towarzyszącym zawieraniu umowy było bowiem uregulowanie stanu prawnego do gruntów w  przyszłości, lecz przed zakończeniem likwidacji.  </w:t>
      </w:r>
    </w:p>
    <w:p w14:paraId="74574ED4"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Podsumowując powyższe rozważania Sąd stwierdził, że z tych uwarunkowań zawarcia umowy nie da się wyprowadzić tezy o zgodnym zamiarze stron rozporządzenia mieniem w  postaci roszczeń dekretowych na rzecz powoda (a beneficjenta decyzji Prezydenta m. st. Warszawy z dnia 29 października 2013  r. nr 424/GK/DW/13). Nawet zatem gdyby przyjąć, że postanowienie to swym zakresem </w:t>
      </w:r>
      <w:r w:rsidRPr="00AE4143">
        <w:rPr>
          <w:rFonts w:ascii="Arial" w:hAnsi="Arial" w:cs="Arial"/>
          <w:sz w:val="24"/>
          <w:szCs w:val="24"/>
        </w:rPr>
        <w:lastRenderedPageBreak/>
        <w:t>przedmiotowym obejmowało rozpoznane już w 1990 r. roszczenia dekretowe, a regulacja stanu prawnego oznaczała zamiar wszczęcia postępowań o  stwierdzenie nieważności decyzji odmawiających prawa do własności czasowej, to brak skutku rozporządzającego uniemożliwia ustalenie następstwa prawnego Spółdzielni w zakresie tych roszczeń po Z</w:t>
      </w:r>
      <w:r w:rsidRPr="00AE4143">
        <w:rPr>
          <w:rFonts w:ascii="Arial" w:hAnsi="Arial" w:cs="Arial"/>
          <w:color w:val="FFFFFF" w:themeColor="background1"/>
          <w:sz w:val="24"/>
          <w:szCs w:val="24"/>
        </w:rPr>
        <w:t>wiązku</w:t>
      </w:r>
      <w:r w:rsidRPr="00AE4143">
        <w:rPr>
          <w:rFonts w:ascii="Arial" w:hAnsi="Arial" w:cs="Arial"/>
          <w:sz w:val="24"/>
          <w:szCs w:val="24"/>
        </w:rPr>
        <w:t>.</w:t>
      </w:r>
    </w:p>
    <w:p w14:paraId="54781081"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 </w:t>
      </w:r>
    </w:p>
    <w:p w14:paraId="1D1DF783"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8. Wniosek m. st. Warszawy o stwierdzenie nieważności decyzji</w:t>
      </w:r>
    </w:p>
    <w:p w14:paraId="21AD1D7B"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Pismem z dnia 2 lutego 2017 r. Biuro Spraw Dekretowych Urzędu m.st. Warszawy zwróciło się z wnioskiem do Samorządowego Kolegium Odwoławczego w Warszawie o  stwierdzenie nieważności decyzji Prezydenta m.st. Warszawy nr 424/GK/DW/13 z dnia 29  października 2013 r., z uwagi na skierowanie tej decyzji do osoby niebędącej stroną w  sprawie. W uzasadnieniu tego wniosku powołano się na ww. wyrok Sądu Rejonowego dla Warszawy-Mokotowa w Warszawie z dnia 11 stycznia 2016 r., sygn. akt I C 2211/15.</w:t>
      </w:r>
    </w:p>
    <w:p w14:paraId="0950B6B4"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Postanowieniem z dnia 15 listopada 2022 r. Samorządowe Kolegium Odwoławcze w  Warszawie na podstawie art. 26 ust. 1 ustawy z dnia 9 marca 2017 r. zawiesiło postępowanie zarejestrowane pod sygn. KOC/996/Go/17 w sprawie stwierdzenia nieważności decyzji Prezydenta m.st. Warszawy nr 424/GK/DW/13 z dnia 29  października 2013 r.</w:t>
      </w:r>
    </w:p>
    <w:p w14:paraId="787DC1A6"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W dniu 7 września 2022 r. do Komisji do spraw reprywatyzacji nieruchomości Warszawskich wpłynęło pismo z Urzędu Miasta Stołecznego Warszawy, Biura Spraw Dekretowych, zawierające wykaz decyzji, na mocy których zostało ustanowione prawo użytkowania wieczystego do nieruchomości gruntowych oraz w których doszło do przeniesienia praw i roszczeń wynikających z dekretu o własności i użytkowaniu gruntów na terenie m. st. Warszawy. W piśmie tym Urząd m. st. Warszawy zwrócił się z prośbą o wszczęcie postępowań w tych sprawach, bądź o uwzględnienie przy ich rozpatrywaniu stanowiska Naczelnego Sądu Administracyjnego wyrażonego w wyrokach z 29 sierpnia 2022 r., sygn. akt I OSK 2034/20, sygn. akt I OSK 2875/20 sygn. akt, I OSK 707/20 oraz sygn.. akt I OSK 1717/20. W wykazie tym znajduje się decyzja Prezydenta m.st. Warszawy z dnia 29 października 2013 r. nr 424/GK/DW/13. </w:t>
      </w:r>
    </w:p>
    <w:p w14:paraId="0B7AE83B" w14:textId="77777777" w:rsidR="000F1FD8" w:rsidRPr="00AE4143" w:rsidRDefault="000F1FD8" w:rsidP="00E74A97">
      <w:pPr>
        <w:spacing w:after="480" w:line="360" w:lineRule="auto"/>
        <w:contextualSpacing/>
        <w:rPr>
          <w:rFonts w:ascii="Arial" w:hAnsi="Arial" w:cs="Arial"/>
          <w:sz w:val="24"/>
          <w:szCs w:val="24"/>
        </w:rPr>
      </w:pPr>
    </w:p>
    <w:p w14:paraId="052BDAB5"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9. Materiał dowodowy zgromadzony przez Komisję</w:t>
      </w:r>
    </w:p>
    <w:p w14:paraId="7E71F8DD"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lastRenderedPageBreak/>
        <w:t>Powyższy stan faktyczny Komisja ustaliła na podstawie dokumentów zgromadzonych w  toku postępowania rozpoznawczego oraz poprzedzających go czynności sprawdzających (KR II S 75/21), akt własnościowych nieruchomości Olesińska 19 otrzymanych z Urzędu Miasta Stołecznego Warszawy oraz akt otrzymanych z Samorządowego Kolegium Odwoławczego w Warszawie.</w:t>
      </w:r>
    </w:p>
    <w:p w14:paraId="75652F71" w14:textId="77777777" w:rsidR="000F1FD8" w:rsidRPr="00AE4143" w:rsidRDefault="000F1FD8" w:rsidP="00E74A97">
      <w:pPr>
        <w:spacing w:after="480" w:line="360" w:lineRule="auto"/>
        <w:contextualSpacing/>
        <w:rPr>
          <w:rFonts w:ascii="Arial" w:hAnsi="Arial" w:cs="Arial"/>
          <w:sz w:val="24"/>
          <w:szCs w:val="24"/>
        </w:rPr>
      </w:pPr>
    </w:p>
    <w:p w14:paraId="45D9F750"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III.</w:t>
      </w:r>
      <w:r w:rsidRPr="00AE4143">
        <w:rPr>
          <w:rFonts w:ascii="Arial" w:hAnsi="Arial" w:cs="Arial"/>
          <w:sz w:val="24"/>
          <w:szCs w:val="24"/>
        </w:rPr>
        <w:tab/>
        <w:t>Po rozpatrzeniu zebranego materiału dowodowego Komisja zważyła, co następuje:</w:t>
      </w:r>
    </w:p>
    <w:p w14:paraId="55F19C3E"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1. Na podstawie art. 29 ust. 1 pkt 3a ustawy z dnia 9 marca 2017 r. przysługują Komisji- w przypadku stwierdzenia, że zachodzą przesłanki określone w art. 156 k.p.a. lub w przepisach szczególnych – uprawnienia do stwierdzenia nieważności decyzji reprywatyzacyjnej.</w:t>
      </w:r>
    </w:p>
    <w:p w14:paraId="3103CABE"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Jak wskazał Naczelny Sąd Administracyjny w wyroku z 16 grudnia 2010 r. (sygn. akt I OSK 1706/10; http://orzeczenia.nsa.gov.pl) postępowanie o stwierdzenie nieważności decyzji jest odrębnym postępowaniem, którego przedmiotem jest zbadanie, czy wystąpiły przesłanki określone w art. 156 § 1 k.p.a. oraz że przepis ten zawiera zamknięty katalog takich przesłanek. Zdaniem Sądu wyrażonym w ww. wyroku, organ orzekając nie rozstrzyga sprawy zakończonej kontrolowaną decyzją co do jej istoty, ponieważ postępowanie dotyczące stwierdzenia nieważności decyzji nie może zastępować postępowania odwoławczego lub go powtarzać.</w:t>
      </w:r>
    </w:p>
    <w:p w14:paraId="7985BB27"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Powszechnie przyjmuje się, że przesłanki stwierdzenia nieważności wymienione są enumeratywnie w art. 156 § 1 k.p.a. Nie są one oparte na uznaniu, a ich ustalenie musi pociągać za sobą stwierdzenie nieważności. Wyjątkiem są okoliczności wystąpienia przesłanki z art. 156 § 2 k.p.a., czyli gdy doręczenia lub ogłoszenia decyzji upłynęło dziesięć lat, a także gdy decyzja wywołała nieodwracalne skutki prawne (M. Jaśkowska [w:] M. </w:t>
      </w:r>
      <w:proofErr w:type="spellStart"/>
      <w:r w:rsidRPr="00AE4143">
        <w:rPr>
          <w:rFonts w:ascii="Arial" w:hAnsi="Arial" w:cs="Arial"/>
          <w:sz w:val="24"/>
          <w:szCs w:val="24"/>
        </w:rPr>
        <w:t>Wilbrandt-Gotowicz</w:t>
      </w:r>
      <w:proofErr w:type="spellEnd"/>
      <w:r w:rsidRPr="00AE4143">
        <w:rPr>
          <w:rFonts w:ascii="Arial" w:hAnsi="Arial" w:cs="Arial"/>
          <w:sz w:val="24"/>
          <w:szCs w:val="24"/>
        </w:rPr>
        <w:t xml:space="preserve">, A. Wróbel, M. Jaśkowska, Komentarz aktualizowany do Kodeksu postępowania administracyjnego, LEX/el. 2022, art. 156). O ile oczywiście z przepisów szczególnych nie wynika, że przepisu art. 156 § 2 k.p.a. nie stosuje się, jak to ma miejsce w art. 38 ust. 1 ustawy z dnia 9 marca 2017 r. </w:t>
      </w:r>
    </w:p>
    <w:p w14:paraId="1A69C919"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Zatem możliwość podważenia zapadłego rozstrzygnięcia organu administracji publicznej jest dopuszczalne jedynie w przypadku zaistnienia jednej z kwalifikowanych wad określonych w art. 156 § 1 k.p.a. Usunięcie kwalifikowanych nieprawidłowości, które mogły wystąpić w  trakcie trwania procesu </w:t>
      </w:r>
      <w:r w:rsidRPr="00AE4143">
        <w:rPr>
          <w:rFonts w:ascii="Arial" w:hAnsi="Arial" w:cs="Arial"/>
          <w:sz w:val="24"/>
          <w:szCs w:val="24"/>
        </w:rPr>
        <w:lastRenderedPageBreak/>
        <w:t>administracyjnego, stanowi nadrzędny cel postępowania w przedmiocie stwierdzenia nieważności decyzji i usprawiedliwia podważenie ogólnej zasady trwałości decyzji administracyjnych zawartej w art. 16 k.p.a.</w:t>
      </w:r>
    </w:p>
    <w:p w14:paraId="6754765B"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Zgodnie z art. 156 § 1 pkt 2 k.p.a. organ administracji publicznej stwierdza nieważność decyzji, która wydana została z rażącym naruszeniem prawa. Pojęcie prawa w zwrocie „rażące naruszenie prawa” powinno być rozumiane szeroko, obejmując swoim zakresem przepisy prawa materialnego, procesowego oraz przepisy o charakterze ustrojowym (zob. J. Borkowski, w: B. Adamiak, J. Borkowski, Kodeks postępowania administracyjnego. Komentarz, 2009, s. 599). W orzecznictwie </w:t>
      </w:r>
      <w:proofErr w:type="spellStart"/>
      <w:r w:rsidRPr="00AE4143">
        <w:rPr>
          <w:rFonts w:ascii="Arial" w:hAnsi="Arial" w:cs="Arial"/>
          <w:sz w:val="24"/>
          <w:szCs w:val="24"/>
        </w:rPr>
        <w:t>sądowoadministracyjnym</w:t>
      </w:r>
      <w:proofErr w:type="spellEnd"/>
      <w:r w:rsidRPr="00AE4143">
        <w:rPr>
          <w:rFonts w:ascii="Arial" w:hAnsi="Arial" w:cs="Arial"/>
          <w:sz w:val="24"/>
          <w:szCs w:val="24"/>
        </w:rPr>
        <w:t xml:space="preserve"> przyjmuje się, że zakresem pojęcia „rażącego naruszenia prawa” obejmuje się zarówno naruszenie norm prawa materialnego, jak i naruszenie norm prawa procesowego (vide wyrok NSA z 1 lipca 2011 r., sygn. akt I OSK 1258/10; wyrok NSA z 12 grudnia 2014 r., sygn. akt II OSK 1257/13; http://orzeczenia.nsa.gov.pl).</w:t>
      </w:r>
    </w:p>
    <w:p w14:paraId="2E4D7CB1"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Rażące naruszenie prawa w rozumieniu art. 156 § 1 pkt 2 k.p.a. zachodzi wtedy, gdy treść decyzji pozostaje w wyraźnej i oczywistej sprzeczności z treścią prawa i gdy charakter tego naruszenia powoduje, że owa decyzja nie może być akceptowana jako akt wydany przez organ praworządnego państwa. Nie chodzi tu o błędy w wykładni prawa, ale o niedopuszczalne przekroczenie prawa, w sposób jasny i niedwuznaczny. Rażące naruszenie prawa stanowi zatem kwalifikowaną formę naruszenia prawa. Utożsamianie tego pojęcia z każdym naruszeniem prawa nie jest słuszne.</w:t>
      </w:r>
    </w:p>
    <w:p w14:paraId="6DB560E6"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Zgodnie z art. 156 § 1 punkt 4 k.p.a., organ administracji publicznej stwierdza nieważność decyzji, która została skierowana do osoby niebędącej stroną w sprawie.</w:t>
      </w:r>
    </w:p>
    <w:p w14:paraId="62534626"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Przyczyna nieważności uregulowana w art. 156 § 1 punkt 4 k.p.a. nie dotyczy przy tym omyłki w doręczeniu decyzji, lecz zwrócenia się do adresata decyzji z zamiarem ukształtowania przez organ jego sytuacji prawnej (zob. M. Jaśkowska, Komentarz aktualizowany do art. 156 k.p.a., LEX 2021). Adresat decyzji musi być stroną postępowania, a decyzja ma dotyczyć jego interesu prawnego lub obowiązku. Jest zatem konieczne skierowanie decyzji do wszystkich stron postępowania oraz wyłącznie do nich (zob. wyrok Naczelnego Sądu Administracyjnego z 6 lutego 2001 r., IV SA 2450/98, „Wspólnota" 2001, nr 8, s. 50 i wyrok tego Sądu z 20 sierpnia 1999 r., IV SA 1217/97, LEX nr 47879). Skierowanie decyzji administracyjnej do osoby niebędącej stroną należy rozumieć jako równoważne ze zwróceniem się z decyzją do </w:t>
      </w:r>
      <w:r w:rsidRPr="00AE4143">
        <w:rPr>
          <w:rFonts w:ascii="Arial" w:hAnsi="Arial" w:cs="Arial"/>
          <w:sz w:val="24"/>
          <w:szCs w:val="24"/>
        </w:rPr>
        <w:lastRenderedPageBreak/>
        <w:t xml:space="preserve">osoby, dla której nie była ona przeznaczona (zob. wyrok Naczelnego Sądu Administracyjnego z 5 marca 2013 r., sygn. akt II OSK 2079/11). Zatem kwalifikowana wada prawna decyzji, o   której mowa w art. 156 § 1 punkt 4 k.p.a., przesądzająca o nieprawidłowym ukształtowaniu stosunku prawnego, będzie zachodzić wówczas, gdy podmiot, do którego skierowano decyzję, nie miał przymiotu strony postępowania w rozumieniu art. 28 k.p.a., a mimo to został przez organ administracji publicznej potraktowany jako strona tegoż postępowania (zob. też wyrok NSA z 24 maja 2007 r., II GSK 400/06). Innymi słowy, użyte w art. 156 § 1 punkt 4 k.p.a.  sformułowanie „osoba niebędąca stroną" powinno być interpretowane zgodnie z artykułami 28 k.p.a. oraz 107 § 1 k.p.a., wskazującym, że elementem obligatoryjnym decyzji jest oznaczenie strony lub stron (zob. M. Jaśkowska, Komentarz aktualizowany do artykuł 156 k.p.a., LEX 2021). </w:t>
      </w:r>
    </w:p>
    <w:p w14:paraId="2FB6FD8B"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Przyczyna nieważności uregulowana w art. 156 § 1 punkt 4 k.p.a. znajduje zastosowanie m.in. wówczas, gdy wobec danej osoby można było wydać tego typu decyzję wcześniej, np. do byłego użytkownika, byłego właściciela, bądź gdy organ mylnie ustalił stosunki między podmiotami pewnych czynności (na przykład pełnomocnictwo czy przypadek użytkownika niebędącego zarządcą ani inwestorem, zob. M. Jaśkowska, Komentarz aktualizowany do art. 156 k.p.a., LEX 2021). Potwierdził to Naczelny Sąd Administracyjny, który w wyroku z dnia 26 stycznia 1995 r., sygn. akt I SA 1909/93 wskazał, że w postępowaniu o stwierdzenie nieważności decyzji o oddaniu w  użytkowanie wieczyste gruntu, wszczętym po przeniesieniu przez użytkownika wieczystego swych praw na inną osobę, stroną postępowania prowadzonego w trybie art. 157 § 2 jest ta osoba. Prowadzenie postępowania w tej sytuacji z udziałem użytkownika wieczystego wskazanego w decyzji o oddaniu działki w użytkowanie, a następnie skierowanie do niego decyzji wydanej na podstawie art. 157 § 1 i 2 k.p.a. wyczerpuje przesłankę nieważności decyzji określoną w art. 156 § 1 punkt 4 k.p.a.</w:t>
      </w:r>
    </w:p>
    <w:p w14:paraId="1A2979E4" w14:textId="77777777" w:rsidR="000F1FD8" w:rsidRPr="00AE4143" w:rsidRDefault="000F1FD8" w:rsidP="00E74A97">
      <w:pPr>
        <w:spacing w:after="480" w:line="360" w:lineRule="auto"/>
        <w:contextualSpacing/>
        <w:rPr>
          <w:rFonts w:ascii="Arial" w:hAnsi="Arial" w:cs="Arial"/>
          <w:sz w:val="24"/>
          <w:szCs w:val="24"/>
        </w:rPr>
      </w:pPr>
    </w:p>
    <w:p w14:paraId="4435E2BD"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2.</w:t>
      </w:r>
      <w:r w:rsidRPr="00AE4143">
        <w:rPr>
          <w:rFonts w:ascii="Arial" w:hAnsi="Arial" w:cs="Arial"/>
          <w:sz w:val="24"/>
          <w:szCs w:val="24"/>
        </w:rPr>
        <w:tab/>
        <w:t>Rażące naruszenie art. 7 ust. 1 Dekretu z dnia 26 października 1945 r. w zw. z art. 28 k.p.a.</w:t>
      </w:r>
    </w:p>
    <w:p w14:paraId="62484E5D"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Przepisem definiującym pojęcie strony postępowania administracyjnego, w tym również strony postępowania o przyznanie prawa użytkowania wieczystego na podstawie przepisów dekretu z dnia 26 października 1945 r. o własności i użytkowaniu gruntów na obszarze m.st. Warszawy (Dz. U. poz. 279 oraz z 1985 r. </w:t>
      </w:r>
      <w:r w:rsidRPr="00AE4143">
        <w:rPr>
          <w:rFonts w:ascii="Arial" w:hAnsi="Arial" w:cs="Arial"/>
          <w:sz w:val="24"/>
          <w:szCs w:val="24"/>
        </w:rPr>
        <w:lastRenderedPageBreak/>
        <w:t xml:space="preserve">poz. 99; dalej: dekret warszawski) jest art. 28 k.p.a. Zgodnie z jego treścią stroną jest każdy, czyjego interesu prawnego lub obowiązku dotyczy postępowanie albo kto żąda czynności organu ze względu na swój interes prawny lub obowiązek. </w:t>
      </w:r>
    </w:p>
    <w:p w14:paraId="0AF34099"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Jak przyjęto w orzecznictwie, pojęcie strony, jakim posługuje się art. 28 k.p.a., może być wyprowadzone tylko z przepisów prawa materialnego, czyli z normy prawnej, która stanowi podstawę ustalenia uprawnienia lub obowiązku (por. wyrok NSA z 19 stycznia 1995 r., sygn. akt I SA 1326/93). W przypadku spraw dekretowych tego rodzaju regulacją jest art. 7 ust. 1 dekretu warszawskiego. Stosownie do jego treści: dotychczasowy właściciel gruntu, prawni następcy właściciela, będący w posiadaniu gruntu, lub osoby prawa jego reprezentujące, a jeżeli chodzi o grunty oddane na podstawie obowiązujących przepisów w zarząd i użytkowanie – użytkownicy gruntu mogą w ciągu 6 miesięcy od dnia objęcia w posiadanie gruntu przez gminę zgłosić wniosek o przyznanie na tym gruncie jego dotychczasowemu właścicielowi prawa wieczystej dzierżawy z czynszem symbolicznym lub prawa zabudowy za opłatą symboliczną.</w:t>
      </w:r>
    </w:p>
    <w:p w14:paraId="3101D5E5"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Art. 28 k.p.a. nie wypowiada się przy tym wprost na temat skutków różnego rodzaju zdarzeń o charakterze cywilnoprawnym, w tym umów na możliwość przypisania danemu podmiotowi statutu strony postępowania administracyjnego. W ocenie Komisji Naczelny Sąd Administracyjny wydał uchwałę z 30 czerwca 2022 r. (sygn. akt I OPS 1/22), ostatecznie rozstrzygającą to zagadnienie. W orzeczeniu tym wskazano, że ,,W przestrzeni prawa administracyjnego (…), normy prawne mają charakter bezwzględnie wiążący. Stosunki administracyjnoprawne mają natomiast charakter jednostronny ściśle powiązany z władczymi kompetencjami organów administrujących. W konsekwencji nie może być tu mowy o swobodzie podejmowania czynności prawnych na wzór swobody właściwej prawu prywatnemu. Konsekwencją bezwzględnego wiązania norm prawa administracyjnego jest to, że żadna ze stron stosunku administracyjnoprawnego nie może nigdy modyfikować ani tym bardziej wyłączać normy tego prawa i zachowywać się nawet niesprzecznie z tą normą, ale w sposób ustalony przez samą tę stronę. Strona, jaką jest podmiot usytuowany na zewnątrz systemu administracji publicznej, nie może sama ustalać treści i sposobu swojego zachowania, a powinna się w całości podporządkować prawu (…). Aksjologia prawa administracyjnego potwierdza (..), że źródłem sytuacji prawnych w prawie administracyjnym mogą być wyłącznie normy prawne i jedynie bezpośredni związek interesu indywidualnego z tymi normami pozwala kwalifikować </w:t>
      </w:r>
      <w:r w:rsidRPr="00AE4143">
        <w:rPr>
          <w:rFonts w:ascii="Arial" w:hAnsi="Arial" w:cs="Arial"/>
          <w:sz w:val="24"/>
          <w:szCs w:val="24"/>
        </w:rPr>
        <w:lastRenderedPageBreak/>
        <w:t>go jako interes prawny. (…) Skutki czynności prawnej dokonanej przez podmioty prawa cywilnego samoistnie nie stanowią źródła interesu prawnego w przestrzeni prawa administracyjnego. Jeśli ustawodawca widzi potrzebę ścisłego związania w przestrzeni prawa administracyjnego sytuacji prawnej określonego podmiotu z aktami i czynnościami z zakresu prawa cywilnego, to ustanawia odrębną normę prawną, w której treści bezpośrednio nawiązuje do tych aktów lub czynności.”</w:t>
      </w:r>
    </w:p>
    <w:p w14:paraId="2E778164"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W konsekwencji Naczelny Sąd Administracyjny wywodził, że ,,z samej umowy przelewu, ujętej w art. 509 k.c., której przedmiotem jest wierzytelność odszkodowawcza za odjęcie prawa własności nieruchomości w wyniku zdarzenia lub aktu ze sfery prawa publicznego, nabywcy tej wierzytelności w sprawie o ustalenie odszkodowania, o którym mowa w art. 128 ust. 1 </w:t>
      </w:r>
      <w:proofErr w:type="spellStart"/>
      <w:r w:rsidRPr="00AE4143">
        <w:rPr>
          <w:rFonts w:ascii="Arial" w:hAnsi="Arial" w:cs="Arial"/>
          <w:sz w:val="24"/>
          <w:szCs w:val="24"/>
        </w:rPr>
        <w:t>u.g.n</w:t>
      </w:r>
      <w:proofErr w:type="spellEnd"/>
      <w:r w:rsidRPr="00AE4143">
        <w:rPr>
          <w:rFonts w:ascii="Arial" w:hAnsi="Arial" w:cs="Arial"/>
          <w:sz w:val="24"/>
          <w:szCs w:val="24"/>
        </w:rPr>
        <w:t xml:space="preserve">., nie przysługuje przymiot strony w rozumieniu art. 28 k.p.a. Dla uzyskania przymiotu strony, w rozumieniu art. 28 k.p.a., konieczne jest istnienie normy prawa materialnego, która łączyłaby z faktem zawarcia umowy przelewu wierzytelności skutek w postaci przypisania nabywcy wierzytelności interesu prawnego”. W orzecznictwie wskazywano również, że nie można wywieść interesu prawnego ze skutków: umowy o wykonanie robót budowlanych związanych z realizacją decyzji o pozwoleniu na budowę (por. wyrok NSA z 25 lutego 1999 r., sygn. akt IV SA 345/97), umowy najmu lokalu mieszkalnego (por. wyrok NSA z 20 września 2006 r., sygn. akt II OSK 837/05) lub innego tytułu obligacyjnego do nieruchomości (por. wyrok NSA z 25 lutego 1999 r., sygn. akt IV SA 345/97). Podkreślono również, że interes prawny charakteryzuje się bezpośredniością, tzn. że jeżeli sprawa dotyczy dwóch lub więcej podmiotów, to interes prawny mają tylko te z nich, których sytuacja prawna wynika wprost z  normy prawa materialnego, a nie powstaje za pośrednictwem drugiego podmiotu (por. wyrok NSA z 19 marca 2002 r., sygn. akt IV SA 1132/00 i z 2 kwietnia 2009 r., sygn. akt I OSK 518/08). Nadto w doktrynie stwierdzono, że podstawę interesu prawnego na gruncie prawa administracyjnego nie mogą stanowić: roszczenia cywilnoprawne, statuty, regulaminy, przepisy wewnętrzne i korporacyjne (por. P. Gołaszewski, w: R. Hauser, M. Wierzbowski (red.), Kodeks postępowania administracyjnego. Komentarz, Warszawa 2017, s. 221). </w:t>
      </w:r>
    </w:p>
    <w:p w14:paraId="39ABB2F1"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Wyżej opisane poglądy nie znalazły jednak swego odzwierciedlenia przy rozstrzyganiu wniosków o przyznanie prawa użytkowania wieczystego w stosunku do gruntów warszawskich. Przyjęto bowiem, że w omawianym zakresie nie występują jakikolwiek ograniczenia, a więc prawa przyznane przez dekret warszawski mogą być </w:t>
      </w:r>
      <w:r w:rsidRPr="00AE4143">
        <w:rPr>
          <w:rFonts w:ascii="Arial" w:hAnsi="Arial" w:cs="Arial"/>
          <w:sz w:val="24"/>
          <w:szCs w:val="24"/>
        </w:rPr>
        <w:lastRenderedPageBreak/>
        <w:t xml:space="preserve">zbywane jak typowe roszczenia cywilnoprawne o charakterze majątkowym. Prezydent uznawał nabywców tego rodzaju ,,roszczeń” za strony postępowania dekretowego w rozumieniu art. 28 k.p.a. w zw. z  art. 7 ust. 1 dekretu warszawskiego, tj. za następców prawnych dotychczasowych właścicieli gruntu. W efekcie tego wydawano liczne decyzje zwrotowe na rzecz podmiotów, które nie były bezpośrednio pokrzywdzone nacjonalizacją gruntów warszawskich. Jednocześnie proces ten wiązał się z dodatkowymi negatywnymi konsekwencjami społecznymi i ekonomicznymi. Z  jednej bowiem strony doszło do znacznego uszczuplenia mienia publicznego pozostającego w dyspozycji Skarbu Państwa i m.st. Warszawa, w szczególności do zmniejszenia liczby posiadanych lokali socjalnych. Z drugiej zaś strony, omawiany proceder często prowadził do: nadmiernych podwyżek czynszów lokatorskich w reprywatyzowanych nieruchomościach, eksmisji lokatorów, a nawet stosowania w stosunku do nich aktów przemocy. Nie jest więc zaskakującym fakt, iż uznawanie praw wynikających z art. 7 ust. 1 dekretu warszawskiego za rodzaj roszczeń cywilnoprawnych spotykał się z surową krytyką, zwłaszcza ze strony organizacji społecznych broniących praw lokatorów. </w:t>
      </w:r>
    </w:p>
    <w:p w14:paraId="0AFCAAAF"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Niemniej jednak należy wskazać, że Prezydent m.st. Warszawy w opinii z 14 września 2015  r., odpowiadając na pismo Trybunału Konstytucyjnego z 5 sierpnia 2015 r. w sprawie przed Trybunałem Konstytucyjnym sygn. akt </w:t>
      </w:r>
      <w:proofErr w:type="spellStart"/>
      <w:r w:rsidRPr="00AE4143">
        <w:rPr>
          <w:rFonts w:ascii="Arial" w:hAnsi="Arial" w:cs="Arial"/>
          <w:sz w:val="24"/>
          <w:szCs w:val="24"/>
        </w:rPr>
        <w:t>Kp</w:t>
      </w:r>
      <w:proofErr w:type="spellEnd"/>
      <w:r w:rsidRPr="00AE4143">
        <w:rPr>
          <w:rFonts w:ascii="Arial" w:hAnsi="Arial" w:cs="Arial"/>
          <w:sz w:val="24"/>
          <w:szCs w:val="24"/>
        </w:rPr>
        <w:t xml:space="preserve"> 3/15, rozróżniał następców prawnych dawnych właścicieli (spadkobierców) od nabywców roszczeń, ponieważ w swojej opinii wskazał „że obecny stan służy jedynie wąskiej grupie osób zawodowo zajmujących się skupowaniem, odsprzedażą i egzekwowaniem roszczeń. W postępowaniach dekretowych coraz częściej zgłaszają się kuratorzy ustanowieni przez sądy dla osób nieznanych z miejsca pobytu, o których istnieniu świadczą jedynie dokumenty pochodzące sprzed 1939 r. lub nabywcy roszczeń dekretowych od pełnomocników osób zamieszkałych od lat za granicą, przez co zwiększa się ryzyko dostania się nieruchomości w ręce osób niebędących następcami prawnymi dawnych właścicieli.” (wyrok TK z dnia 19 lipca 2016 r. sygn. Akt </w:t>
      </w:r>
      <w:proofErr w:type="spellStart"/>
      <w:r w:rsidRPr="00AE4143">
        <w:rPr>
          <w:rFonts w:ascii="Arial" w:hAnsi="Arial" w:cs="Arial"/>
          <w:sz w:val="24"/>
          <w:szCs w:val="24"/>
        </w:rPr>
        <w:t>Kp</w:t>
      </w:r>
      <w:proofErr w:type="spellEnd"/>
      <w:r w:rsidRPr="00AE4143">
        <w:rPr>
          <w:rFonts w:ascii="Arial" w:hAnsi="Arial" w:cs="Arial"/>
          <w:sz w:val="24"/>
          <w:szCs w:val="24"/>
        </w:rPr>
        <w:t xml:space="preserve"> 3/15, k. 12 uzasadnienia). </w:t>
      </w:r>
    </w:p>
    <w:p w14:paraId="1A2CBAF7"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Na dzień wydawania niniejszej decyzji, w tym zakresie wypowiedział się Naczelny Sąd Administracyjny w wyrokach z dnia 29 sierpnia 2022 r. w sprawie sygn. I OSK 2034/20 i  </w:t>
      </w:r>
      <w:proofErr w:type="spellStart"/>
      <w:r w:rsidRPr="00AE4143">
        <w:rPr>
          <w:rFonts w:ascii="Arial" w:hAnsi="Arial" w:cs="Arial"/>
          <w:sz w:val="24"/>
          <w:szCs w:val="24"/>
        </w:rPr>
        <w:t>I</w:t>
      </w:r>
      <w:proofErr w:type="spellEnd"/>
      <w:r w:rsidRPr="00AE4143">
        <w:rPr>
          <w:rFonts w:ascii="Arial" w:hAnsi="Arial" w:cs="Arial"/>
          <w:sz w:val="24"/>
          <w:szCs w:val="24"/>
        </w:rPr>
        <w:t xml:space="preserve">  OSK 2875/20. W ocenie Naczelnego Sądu Administracyjnego ,,Przepisy dekretu warszawskiego nie normują (…) skutków prawnych nabycia praw określonych w tym dekrecie przez osoby, które zawarły takie umowy (dopisek: </w:t>
      </w:r>
      <w:r w:rsidRPr="00AE4143">
        <w:rPr>
          <w:rFonts w:ascii="Arial" w:hAnsi="Arial" w:cs="Arial"/>
          <w:sz w:val="24"/>
          <w:szCs w:val="24"/>
        </w:rPr>
        <w:lastRenderedPageBreak/>
        <w:t xml:space="preserve">umowy nabycia udziałów w prawach i roszczeniach wynikających z art. 7 ust. 1 dekretu warszawskiego). Przedmiotem tych umów nie jest bowiem prawo własności gruntu nieruchomości warszawskiej, skoro według art. 1 powołanego dekretu, wszelkie grunty na obszarze m.st. Warszawy przeszły na własność gminy m.st. Warszawy (…). Skutki prawne wspomnianych wyżej umów w sferze podmiotowej dla wydania decyzji na podstawie dekretu warszawskiego o przyznaniu praw określonych w tym dekrecie należy zatem ocenić przez pryzmat przepisów kodeksu postępowania administracyjnego, tj. przez pryzmat art. 28, w którym przymiot strony postępowania administracyjnego został oparty przez ustawodawcę na przysługiwaniu interesu prawnego lub obowiązku, którego dotyczy to postępowanie. Należy przy tym odróżnić skutki prawne czynności cywilnoprawnej od podmiotowości w prawie administracyjnym. Nie zawsze bowiem skutki czynności cywilnoprawnej powodują powstanie praw podmiotowych w sferze prawa administracyjnego. Dzieje się tak tylko wtedy, gdy ustawodawca wyraźnie to unormował. (…). Stosunki administracyjnoprawne mają przy tym charakter jednostronny ściśle związany z władczymi kompetencjami organów sprawujących administrację, co w konsekwencji wyklucza swobodę dokonywania czynności prawnych na wzór swobody właściwej prawu cywilnemu. Wyklucza to także możliwość modyfikowania przez strony stosunku administracyjnoprawnego norm kształtujących treść tego stosunku (…). W stosunku administracyjnoprawnym żadna z jego stron nie może więc nie tylko modyfikować norm prawnych kształtujących ten stosunek, ale tym bardziej nie może ich wyłączać lub uzależniać ich stosowania od własnej woli. Kształt i skutki prawne stosowania norm prawa administracyjnego nie zależą także od zgodnej woli stron i adresatów tych norm (…). Strony umowy cywilnoprawnej nie mogą oczekiwać, że swoboda zawierania umów i wyrażania w nich swojej woli w sferze prawa cywilnego wywoła takie same skutki prawne w sferze prawa administracyjnego. Prawo administracyjne nie poddaje się bowiem takiej samej modyfikacji w zakresie norm materialnoprawnych, jakim może być poddawane prawo cywilne (…). Źródłem interesu prawnego w prawie administracyjnym nie mogą być zatem różnego rodzaju zdarzenia prawne mieszczące się w sferze stosowania prawa, w konsekwencji czego nie można go wywieść (…) ze skutków czynności prawnych prawa cywilnego, (…) szczególnie w postaci umowy zobowiązaniowej. W przeciwnym razie, bezwzględnie wiążąca norma materialna prawa administracyjnego i jej stosowanie byłoby kształtowane wolą stron (…), co jest nie do pogodzenia z charakterem stosunku </w:t>
      </w:r>
      <w:r w:rsidRPr="00AE4143">
        <w:rPr>
          <w:rFonts w:ascii="Arial" w:hAnsi="Arial" w:cs="Arial"/>
          <w:sz w:val="24"/>
          <w:szCs w:val="24"/>
        </w:rPr>
        <w:lastRenderedPageBreak/>
        <w:t>administracyjnoprawnego (…). Źródłem sytuacji prawnych w prawie administracyjnym mogą być zatem wyłącznie normy prawne i jedynie bezpośredni związek interesu indywidualnego z tymi normami pozwala kwalifikować go jako interes prawny”.</w:t>
      </w:r>
    </w:p>
    <w:p w14:paraId="410D62D5"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Naczelny Sąd Administracyjny podkreślił, że „przepisy dekretu warszawskiego nie kreują normy materialnoprawnej przypisującej stronom umowy nabycia praw i roszczeń interesu prawnego w postępowaniu administracyjnym prowadzonym na podstawie tego dekretu w celu przyznania praw określonych w tym dekrecie. Takiej normy materialnoprawnej, mającej zastosowanie do dekretu warszawskiego, nie kreują także inne akty prawne. Norma taka nie wynika również z przepisów prawa cywilnego. Sama bowiem podstawa cywilnoprawna zawarcia takiej umowy – w kontekście przedstawionej powyżej analizy – nie tworzy interesu prawnego w procedurze administracyjnej prowadzonej na podstawie dekretu warszawskiego. Umowa taka nie może bowiem modyfikować ustawowo określonego podmiotowego zakresu uprawnień unormowanych w dekrecie warszawskim, skoro zakres tych uprawnień nie może być wynikiem zgodnych oświadczeń woli stron tej umowy. Przedmiot omawianej umowy nie mieści się również w wartościach chronionych dekretem warszawskim i w celu, któremu ten dekret służył. Skoro bowiem ustawodawca zadeklarował w dekrecie zrekompensowanie właścicielom gruntów warszawskich pozbawienie ich prawa własności przyznaniem praw określonych w  powołanym dekrecie, to podmioty tego uprawnienia nie mogą w wyniku własnej woli zmienić woli prawodawcy i wskazać innego adresata tego uprawnienia”.</w:t>
      </w:r>
    </w:p>
    <w:p w14:paraId="39955BB2"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W rezultacie Sąd ten stwierdził, że ,,Uznanie tych umów za skuteczną podstawę, w  rozumieniu prawa administracyjnego, do przyznania praw powołaną decyzją osobom wskazanym w tych umowach, jako nabywcom praw i roszczeń, stanowiło zatem rażące naruszenie art. 7 ust. 1 dekretu warszawskiego, określającego podmiotowy zakres przyznania prawa do gruntu nieruchomości warszawskiej, co wyczerpuje przesłankę nieważności określoną w art. 156 § 1 pkt 2 k.p.a. także w powiązaniu z art. 30 ust. 1 pkt 4 ustawy z 9 marca 2017 r.”. </w:t>
      </w:r>
    </w:p>
    <w:p w14:paraId="31EB9F18"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Analizując wyżej opisane wyroki, Komisja doszła do przekonania, iż przedstawione w nich wywody są stanowcze, logiczne i wewnętrznie niesprzeczne. Korespondują one z  dotychczasowym ogólnym dorobkiem doktryny i orzecznictwa, co potwierdza chociażby odwołanie się do przywołanej już uchwały NSA z 30 czerwca 2022 r. (sygn. akt I OPS 1/22). Znajdują swe potwierdzenie zarówno w literalnej wykładni art. </w:t>
      </w:r>
      <w:r w:rsidRPr="00AE4143">
        <w:rPr>
          <w:rFonts w:ascii="Arial" w:hAnsi="Arial" w:cs="Arial"/>
          <w:sz w:val="24"/>
          <w:szCs w:val="24"/>
        </w:rPr>
        <w:lastRenderedPageBreak/>
        <w:t>7 dekretu warszawskiego, który wprost wskazuje, że osobą, na rzecz której można ustanowić prawo użytkowania wieczystego, jest dotychczasowy właściciel gruntu lub jego następcy prawni posiadający grunt. Te grupy podmiotów otrzymały prawo do zgłoszenia wniosku o przyznanie prawa wieczystej dzierżawy z czynszem symbolicznym (emfiteuza) lub prawa zabudowy z opłatą symboliczną. Ponieważ celem ustanowienia prawa użytkowania wieczystego jest bowiem wynagrodzenie uprawnionemu, nie zaś osobie trzeciej, negatywnych skutków nacjonalizacji należącej do niego nieruchomości warszawskiej.</w:t>
      </w:r>
    </w:p>
    <w:p w14:paraId="374336FB"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Nadto zawarte w tych orzeczeniach wywody odpowiadają charakterowi dekretu warszawskiego. W doktrynie i w orzecznictwie powszechnie się bowiem wskazuje, że jest on aktem prawnym z zakresu prawa publicznego. Logicznym, a wręcz dorozumianym jest więc przyjęcie, że jego art. 7 kreuje prawo podmiotowe o charakterze administracyjnoprawnym, nie zaś roszczenie cywilnoprawne typowe dla aktu prawnego z zakresu prawa prywatnego. </w:t>
      </w:r>
    </w:p>
    <w:p w14:paraId="28A11E2A"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 Należy również podkreślić, że analogiczne stanowisko Naczelny Sąd Administracyjny zajął w orzeczeniach z dnia 29 sierpnia 2022 r., sygn. akt I OSK 707/20 i </w:t>
      </w:r>
      <w:proofErr w:type="spellStart"/>
      <w:r w:rsidRPr="00AE4143">
        <w:rPr>
          <w:rFonts w:ascii="Arial" w:hAnsi="Arial" w:cs="Arial"/>
          <w:sz w:val="24"/>
          <w:szCs w:val="24"/>
        </w:rPr>
        <w:t>I</w:t>
      </w:r>
      <w:proofErr w:type="spellEnd"/>
      <w:r w:rsidRPr="00AE4143">
        <w:rPr>
          <w:rFonts w:ascii="Arial" w:hAnsi="Arial" w:cs="Arial"/>
          <w:sz w:val="24"/>
          <w:szCs w:val="24"/>
        </w:rPr>
        <w:t xml:space="preserve"> OSK 1717/20. Wyrażony w nich tok rozumowania nie pozostaje również w sprzeczności z konstytucyjnymi zasadami demokratycznego państwa prawnego (art. 2 Konstytucji), ochrony mienia (art. 64 Konstytucji) i praw słusznie nabytych. Reguły te nie chronią bowiem przypadków, gdy osoba domaga się wobec organów państwowych realizacji korzyści majątkowej, którą uzyskała w  sposób sprzeczny z obowiązującym porządkiem prawnym. Co jednak najistotniejsze, wychodzą one naprzeciw oczekiwaniom osób pokrzywdzonych procesem reprywatyzacyjnym oraz tworzą przeszkodę do dalszego ,,handlu roszczeniami” i uszczuplania mienia publicznego. Z tych też powodów, Komisja w pełni podziela wyrażone w nich stanowisko.</w:t>
      </w:r>
    </w:p>
    <w:p w14:paraId="480F0913"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W okolicznościach niniejszej sprawy Komisja ustaliła, że umową zawartą w zwykłej formie pisemnej w dniu 10  grudnia 1990 r., „S</w:t>
      </w:r>
      <w:r w:rsidRPr="00AE4143">
        <w:rPr>
          <w:rFonts w:ascii="Arial" w:hAnsi="Arial" w:cs="Arial"/>
          <w:color w:val="FFFFFF" w:themeColor="background1"/>
          <w:sz w:val="24"/>
          <w:szCs w:val="24"/>
        </w:rPr>
        <w:t xml:space="preserve">połem” </w:t>
      </w:r>
      <w:r w:rsidRPr="00AE4143">
        <w:rPr>
          <w:rFonts w:ascii="Arial" w:hAnsi="Arial" w:cs="Arial"/>
          <w:sz w:val="24"/>
          <w:szCs w:val="24"/>
        </w:rPr>
        <w:t>Z</w:t>
      </w:r>
      <w:r w:rsidRPr="00AE4143">
        <w:rPr>
          <w:rFonts w:ascii="Arial" w:hAnsi="Arial" w:cs="Arial"/>
          <w:color w:val="FFFFFF" w:themeColor="background1"/>
          <w:sz w:val="24"/>
          <w:szCs w:val="24"/>
        </w:rPr>
        <w:t xml:space="preserve">wiązek </w:t>
      </w:r>
      <w:r w:rsidRPr="00AE4143">
        <w:rPr>
          <w:rFonts w:ascii="Arial" w:hAnsi="Arial" w:cs="Arial"/>
          <w:sz w:val="24"/>
          <w:szCs w:val="24"/>
        </w:rPr>
        <w:t>S</w:t>
      </w:r>
      <w:r w:rsidRPr="00AE4143">
        <w:rPr>
          <w:rFonts w:ascii="Arial" w:hAnsi="Arial" w:cs="Arial"/>
          <w:color w:val="FFFFFF" w:themeColor="background1"/>
          <w:sz w:val="24"/>
          <w:szCs w:val="24"/>
        </w:rPr>
        <w:t>półdzielni</w:t>
      </w:r>
      <w:r w:rsidRPr="00AE4143">
        <w:rPr>
          <w:rFonts w:ascii="Arial" w:hAnsi="Arial" w:cs="Arial"/>
          <w:sz w:val="24"/>
          <w:szCs w:val="24"/>
        </w:rPr>
        <w:t xml:space="preserve"> S</w:t>
      </w:r>
      <w:r w:rsidRPr="00AE4143">
        <w:rPr>
          <w:rFonts w:ascii="Arial" w:hAnsi="Arial" w:cs="Arial"/>
          <w:color w:val="FFFFFF" w:themeColor="background1"/>
          <w:sz w:val="24"/>
          <w:szCs w:val="24"/>
        </w:rPr>
        <w:t>pożywców</w:t>
      </w:r>
      <w:r w:rsidRPr="00AE4143">
        <w:rPr>
          <w:rFonts w:ascii="Arial" w:hAnsi="Arial" w:cs="Arial"/>
          <w:sz w:val="24"/>
          <w:szCs w:val="24"/>
        </w:rPr>
        <w:t xml:space="preserve"> w  likwidacji przekazał odpłatnie M</w:t>
      </w:r>
      <w:r w:rsidRPr="00AE4143">
        <w:rPr>
          <w:rFonts w:ascii="Arial" w:hAnsi="Arial" w:cs="Arial"/>
          <w:color w:val="FFFFFF" w:themeColor="background1"/>
          <w:sz w:val="24"/>
          <w:szCs w:val="24"/>
        </w:rPr>
        <w:t xml:space="preserve">iędzyzakładowej </w:t>
      </w:r>
      <w:r w:rsidRPr="00AE4143">
        <w:rPr>
          <w:rFonts w:ascii="Arial" w:hAnsi="Arial" w:cs="Arial"/>
          <w:sz w:val="24"/>
          <w:szCs w:val="24"/>
        </w:rPr>
        <w:t>S</w:t>
      </w:r>
      <w:r w:rsidRPr="00AE4143">
        <w:rPr>
          <w:rFonts w:ascii="Arial" w:hAnsi="Arial" w:cs="Arial"/>
          <w:color w:val="FFFFFF" w:themeColor="background1"/>
          <w:sz w:val="24"/>
          <w:szCs w:val="24"/>
        </w:rPr>
        <w:t xml:space="preserve">półdzielni </w:t>
      </w:r>
      <w:r w:rsidRPr="00AE4143">
        <w:rPr>
          <w:rFonts w:ascii="Arial" w:hAnsi="Arial" w:cs="Arial"/>
          <w:sz w:val="24"/>
          <w:szCs w:val="24"/>
        </w:rPr>
        <w:t>M</w:t>
      </w:r>
      <w:r w:rsidRPr="00AE4143">
        <w:rPr>
          <w:rFonts w:ascii="Arial" w:hAnsi="Arial" w:cs="Arial"/>
          <w:color w:val="FFFFFF" w:themeColor="background1"/>
          <w:sz w:val="24"/>
          <w:szCs w:val="24"/>
        </w:rPr>
        <w:t>ieszkaniowej</w:t>
      </w:r>
      <w:r w:rsidRPr="00AE4143">
        <w:rPr>
          <w:rFonts w:ascii="Arial" w:hAnsi="Arial" w:cs="Arial"/>
          <w:sz w:val="24"/>
          <w:szCs w:val="24"/>
        </w:rPr>
        <w:t xml:space="preserve"> „S</w:t>
      </w:r>
      <w:r w:rsidRPr="00AE4143">
        <w:rPr>
          <w:rFonts w:ascii="Arial" w:hAnsi="Arial" w:cs="Arial"/>
          <w:color w:val="FFFFFF" w:themeColor="background1"/>
          <w:sz w:val="24"/>
          <w:szCs w:val="24"/>
        </w:rPr>
        <w:t xml:space="preserve">połem” </w:t>
      </w:r>
      <w:r w:rsidRPr="00AE4143">
        <w:rPr>
          <w:rFonts w:ascii="Arial" w:hAnsi="Arial" w:cs="Arial"/>
          <w:sz w:val="24"/>
          <w:szCs w:val="24"/>
        </w:rPr>
        <w:t xml:space="preserve">w  Warszawie piętnaście zakładowych domów wielomieszkaniowych, w tym budynek przy ul. Olesińskiej 19 (k. 202-204 akt własnościowych). W ocenie Komisji trzeba jednak podkreślić, że umowa ta nie stanowiła tytułu przeniesienia roszczeń dekretowych na nabywcę. Przede wszystkim, co stwierdził Sąd Rejonowy dla Warszawy-Mokotowa w Warszawie w  uzasadnieniu </w:t>
      </w:r>
      <w:r w:rsidRPr="00AE4143">
        <w:rPr>
          <w:rFonts w:ascii="Arial" w:hAnsi="Arial" w:cs="Arial"/>
          <w:sz w:val="24"/>
          <w:szCs w:val="24"/>
        </w:rPr>
        <w:lastRenderedPageBreak/>
        <w:t>wyroku z  dnia 11 stycznia 2016 r., sygn. akt I C 2211/15 (w którym analizował umowę z dnia 10  grudnia 1990 r. zawartą pomiędzy tymi samymi podmiotami i o treści identycznej, jak w niniejszej sprawie. Przedmiotem tej umowy była bowiem czynność przeniesienia, w  rozumieniu art. 3 ust. 6 ustawy z dnia 20 stycznia 1990 r. o zmianach w  organizacji i  działalności spółdzielczości (Dz. U. Nr 6, poz. 36), składników mienia Z</w:t>
      </w:r>
      <w:r w:rsidRPr="00AE4143">
        <w:rPr>
          <w:rFonts w:ascii="Arial" w:hAnsi="Arial" w:cs="Arial"/>
          <w:color w:val="FFFFFF" w:themeColor="background1"/>
          <w:sz w:val="24"/>
          <w:szCs w:val="24"/>
        </w:rPr>
        <w:t>wiązku</w:t>
      </w:r>
      <w:r w:rsidRPr="00AE4143">
        <w:rPr>
          <w:rFonts w:ascii="Arial" w:hAnsi="Arial" w:cs="Arial"/>
          <w:sz w:val="24"/>
          <w:szCs w:val="24"/>
        </w:rPr>
        <w:t xml:space="preserve"> na S</w:t>
      </w:r>
      <w:r w:rsidRPr="00AE4143">
        <w:rPr>
          <w:rFonts w:ascii="Arial" w:hAnsi="Arial" w:cs="Arial"/>
          <w:color w:val="FFFFFF" w:themeColor="background1"/>
          <w:sz w:val="24"/>
          <w:szCs w:val="24"/>
        </w:rPr>
        <w:t>półdzielnię</w:t>
      </w:r>
      <w:r w:rsidRPr="00AE4143">
        <w:rPr>
          <w:rFonts w:ascii="Arial" w:hAnsi="Arial" w:cs="Arial"/>
          <w:sz w:val="24"/>
          <w:szCs w:val="24"/>
        </w:rPr>
        <w:t>. Przeniesienie to dotyczyło ściśle określonego majątku Z</w:t>
      </w:r>
      <w:r w:rsidRPr="00AE4143">
        <w:rPr>
          <w:rFonts w:ascii="Arial" w:hAnsi="Arial" w:cs="Arial"/>
          <w:color w:val="FFFFFF" w:themeColor="background1"/>
          <w:sz w:val="24"/>
          <w:szCs w:val="24"/>
        </w:rPr>
        <w:t>wiązku</w:t>
      </w:r>
      <w:r w:rsidRPr="00AE4143">
        <w:rPr>
          <w:rFonts w:ascii="Arial" w:hAnsi="Arial" w:cs="Arial"/>
          <w:sz w:val="24"/>
          <w:szCs w:val="24"/>
        </w:rPr>
        <w:t>, tj. wyłącznie budynków mieszkalnych opisanych w  załączniku do umowy, co wprost wynika z § 1 i § 2 tej umowy. Z jej brzmienia nie da się natomiast wyprowadzić wniosku o objęciu rozporządzeniem również roszczeń dekretowych. Treść zawartego porozumienia przemawia zatem za stwierdzeniem, że M</w:t>
      </w:r>
      <w:r w:rsidRPr="00AE4143">
        <w:rPr>
          <w:rFonts w:ascii="Arial" w:hAnsi="Arial" w:cs="Arial"/>
          <w:color w:val="FFFFFF" w:themeColor="background1"/>
          <w:sz w:val="24"/>
          <w:szCs w:val="24"/>
        </w:rPr>
        <w:t>iędzyzakładowa</w:t>
      </w:r>
      <w:r w:rsidRPr="00AE4143">
        <w:rPr>
          <w:rFonts w:ascii="Arial" w:hAnsi="Arial" w:cs="Arial"/>
          <w:sz w:val="24"/>
          <w:szCs w:val="24"/>
        </w:rPr>
        <w:t xml:space="preserve"> S</w:t>
      </w:r>
      <w:r w:rsidRPr="00AE4143">
        <w:rPr>
          <w:rFonts w:ascii="Arial" w:hAnsi="Arial" w:cs="Arial"/>
          <w:color w:val="FFFFFF" w:themeColor="background1"/>
          <w:sz w:val="24"/>
          <w:szCs w:val="24"/>
        </w:rPr>
        <w:t>półdzielnia</w:t>
      </w:r>
      <w:r w:rsidRPr="00AE4143">
        <w:rPr>
          <w:rFonts w:ascii="Arial" w:hAnsi="Arial" w:cs="Arial"/>
          <w:sz w:val="24"/>
          <w:szCs w:val="24"/>
        </w:rPr>
        <w:t xml:space="preserve"> M</w:t>
      </w:r>
      <w:r w:rsidRPr="00AE4143">
        <w:rPr>
          <w:rFonts w:ascii="Arial" w:hAnsi="Arial" w:cs="Arial"/>
          <w:color w:val="FFFFFF" w:themeColor="background1"/>
          <w:sz w:val="24"/>
          <w:szCs w:val="24"/>
        </w:rPr>
        <w:t>ieszkaniowa</w:t>
      </w:r>
      <w:r w:rsidRPr="00AE4143">
        <w:rPr>
          <w:rFonts w:ascii="Arial" w:hAnsi="Arial" w:cs="Arial"/>
          <w:sz w:val="24"/>
          <w:szCs w:val="24"/>
        </w:rPr>
        <w:t xml:space="preserve"> „S</w:t>
      </w:r>
      <w:r w:rsidRPr="00AE4143">
        <w:rPr>
          <w:rFonts w:ascii="Arial" w:hAnsi="Arial" w:cs="Arial"/>
          <w:color w:val="FFFFFF" w:themeColor="background1"/>
          <w:sz w:val="24"/>
          <w:szCs w:val="24"/>
        </w:rPr>
        <w:t xml:space="preserve">połem” </w:t>
      </w:r>
      <w:r w:rsidRPr="00AE4143">
        <w:rPr>
          <w:rFonts w:ascii="Arial" w:hAnsi="Arial" w:cs="Arial"/>
          <w:sz w:val="24"/>
          <w:szCs w:val="24"/>
        </w:rPr>
        <w:t>w   Warszawie nie nabyła skutecznie od „S</w:t>
      </w:r>
      <w:r w:rsidRPr="00AE4143">
        <w:rPr>
          <w:rFonts w:ascii="Arial" w:hAnsi="Arial" w:cs="Arial"/>
          <w:color w:val="FFFFFF" w:themeColor="background1"/>
          <w:sz w:val="24"/>
          <w:szCs w:val="24"/>
        </w:rPr>
        <w:t xml:space="preserve">połem” </w:t>
      </w:r>
      <w:r w:rsidRPr="00AE4143">
        <w:rPr>
          <w:rFonts w:ascii="Arial" w:hAnsi="Arial" w:cs="Arial"/>
          <w:sz w:val="24"/>
          <w:szCs w:val="24"/>
        </w:rPr>
        <w:t>Z</w:t>
      </w:r>
      <w:r w:rsidRPr="00AE4143">
        <w:rPr>
          <w:rFonts w:ascii="Arial" w:hAnsi="Arial" w:cs="Arial"/>
          <w:color w:val="FFFFFF" w:themeColor="background1"/>
          <w:sz w:val="24"/>
          <w:szCs w:val="24"/>
        </w:rPr>
        <w:t>wiązku</w:t>
      </w:r>
      <w:r w:rsidRPr="00AE4143">
        <w:rPr>
          <w:rFonts w:ascii="Arial" w:hAnsi="Arial" w:cs="Arial"/>
          <w:sz w:val="24"/>
          <w:szCs w:val="24"/>
        </w:rPr>
        <w:t xml:space="preserve"> S</w:t>
      </w:r>
      <w:r w:rsidRPr="00AE4143">
        <w:rPr>
          <w:rFonts w:ascii="Arial" w:hAnsi="Arial" w:cs="Arial"/>
          <w:color w:val="FFFFFF" w:themeColor="background1"/>
          <w:sz w:val="24"/>
          <w:szCs w:val="24"/>
        </w:rPr>
        <w:t xml:space="preserve">półdzielni </w:t>
      </w:r>
      <w:r w:rsidRPr="00AE4143">
        <w:rPr>
          <w:rFonts w:ascii="Arial" w:hAnsi="Arial" w:cs="Arial"/>
          <w:sz w:val="24"/>
          <w:szCs w:val="24"/>
        </w:rPr>
        <w:t>S</w:t>
      </w:r>
      <w:r w:rsidRPr="00AE4143">
        <w:rPr>
          <w:rFonts w:ascii="Arial" w:hAnsi="Arial" w:cs="Arial"/>
          <w:color w:val="FFFFFF" w:themeColor="background1"/>
          <w:sz w:val="24"/>
          <w:szCs w:val="24"/>
        </w:rPr>
        <w:t>pożywców</w:t>
      </w:r>
      <w:r w:rsidRPr="00AE4143">
        <w:rPr>
          <w:rFonts w:ascii="Arial" w:hAnsi="Arial" w:cs="Arial"/>
          <w:sz w:val="24"/>
          <w:szCs w:val="24"/>
        </w:rPr>
        <w:t xml:space="preserve"> w  likwidacji praw do gruntów pod budynkami, w tym roszczeń z dekretu z dnia 26  października 1945 r., w wyniku czego beneficjentka decyzji reprywatyzacyjnej nie wykazała następstwa prawnego po Z</w:t>
      </w:r>
      <w:r w:rsidRPr="00AE4143">
        <w:rPr>
          <w:rFonts w:ascii="Arial" w:hAnsi="Arial" w:cs="Arial"/>
          <w:color w:val="FFFFFF" w:themeColor="background1"/>
          <w:sz w:val="24"/>
          <w:szCs w:val="24"/>
        </w:rPr>
        <w:t xml:space="preserve">wiązku </w:t>
      </w:r>
      <w:r w:rsidRPr="00AE4143">
        <w:rPr>
          <w:rFonts w:ascii="Arial" w:hAnsi="Arial" w:cs="Arial"/>
          <w:sz w:val="24"/>
          <w:szCs w:val="24"/>
        </w:rPr>
        <w:t>S</w:t>
      </w:r>
      <w:r w:rsidRPr="00AE4143">
        <w:rPr>
          <w:rFonts w:ascii="Arial" w:hAnsi="Arial" w:cs="Arial"/>
          <w:color w:val="FFFFFF" w:themeColor="background1"/>
          <w:sz w:val="24"/>
          <w:szCs w:val="24"/>
        </w:rPr>
        <w:t xml:space="preserve">półdzielni </w:t>
      </w:r>
      <w:r w:rsidRPr="00AE4143">
        <w:rPr>
          <w:rFonts w:ascii="Arial" w:hAnsi="Arial" w:cs="Arial"/>
          <w:sz w:val="24"/>
          <w:szCs w:val="24"/>
        </w:rPr>
        <w:t>S</w:t>
      </w:r>
      <w:r w:rsidRPr="00AE4143">
        <w:rPr>
          <w:rFonts w:ascii="Arial" w:hAnsi="Arial" w:cs="Arial"/>
          <w:color w:val="FFFFFF" w:themeColor="background1"/>
          <w:sz w:val="24"/>
          <w:szCs w:val="24"/>
        </w:rPr>
        <w:t xml:space="preserve">pożywców </w:t>
      </w:r>
      <w:r w:rsidRPr="00AE4143">
        <w:rPr>
          <w:rFonts w:ascii="Arial" w:hAnsi="Arial" w:cs="Arial"/>
          <w:sz w:val="24"/>
          <w:szCs w:val="24"/>
        </w:rPr>
        <w:t>w  likwidacji w zakresie roszczeń dekretowych do działki stanowiącej przedmiot tego postępowania.</w:t>
      </w:r>
    </w:p>
    <w:p w14:paraId="03DBF340"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W oparciu zatem o treść art. 28 k.p.a. i art. 7 ust. 1 Dekretu z dnia 26 października 1945 roku, niemożliwym było przypisanie ww. S</w:t>
      </w:r>
      <w:r w:rsidRPr="00AE4143">
        <w:rPr>
          <w:rFonts w:ascii="Arial" w:hAnsi="Arial" w:cs="Arial"/>
          <w:color w:val="FFFFFF" w:themeColor="background1"/>
          <w:sz w:val="24"/>
          <w:szCs w:val="24"/>
        </w:rPr>
        <w:t>półdzielni</w:t>
      </w:r>
      <w:r w:rsidRPr="00AE4143">
        <w:rPr>
          <w:rFonts w:ascii="Arial" w:hAnsi="Arial" w:cs="Arial"/>
          <w:sz w:val="24"/>
          <w:szCs w:val="24"/>
        </w:rPr>
        <w:t xml:space="preserve"> statusu strony omawianego postępowania reprywatyzacyjnego. Tym samym, Prezydent m.st. Warszawy, wydając weryfikowaną decyzję reprywatyzacyjną, zmierzał do ukształtowania praw ww. Spółdzielni w sytuacji, gdy prawa te jej nie przysługiwały, oraz do uksztaltowania obowiązków, które na niej nie spoczywały. Nadto skierował decyzję do osoby, która nie była stroną postępowania w sprawie. </w:t>
      </w:r>
    </w:p>
    <w:p w14:paraId="280F8D75"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Na tej podstawie Prezydent m.st. Warszawy niesłusznie uznał nabywcę za następcę prawnego właściciela hipotecznego, a więc za stronę postępowania dekretowego, pomimo że nie posiadał on w tym zakresie interesu prawnego. W  konsekwencji, decyzją nr 424/GK/DW/13 z dnia 29 października 2013 r. ustanowiono użytkowanie wieczyste przedmiotowej nieruchomości. Ten stan rzeczy wskazywał zaś jednoznacznie, że w niniejszej sprawie doszło do rażącego naruszenia art. 7 ust. 1 Dekretu, co wyczerpuje przesłankę nieważności określoną w art. 156 § 1 pkt 2 i pkt 4 k.p.a. w zw. z art. 30 ust. 1 pkt 4 ustawy z 9 marca 2017 r.</w:t>
      </w:r>
    </w:p>
    <w:p w14:paraId="77B2859C" w14:textId="77777777" w:rsidR="000F1FD8" w:rsidRPr="00AE4143" w:rsidRDefault="000F1FD8" w:rsidP="00E74A97">
      <w:pPr>
        <w:spacing w:after="480" w:line="360" w:lineRule="auto"/>
        <w:contextualSpacing/>
        <w:rPr>
          <w:rFonts w:ascii="Arial" w:hAnsi="Arial" w:cs="Arial"/>
          <w:sz w:val="24"/>
          <w:szCs w:val="24"/>
        </w:rPr>
      </w:pPr>
    </w:p>
    <w:p w14:paraId="16BCB626"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3.</w:t>
      </w:r>
      <w:r w:rsidRPr="00AE4143">
        <w:rPr>
          <w:rFonts w:ascii="Arial" w:hAnsi="Arial" w:cs="Arial"/>
          <w:sz w:val="24"/>
          <w:szCs w:val="24"/>
        </w:rPr>
        <w:tab/>
        <w:t>Brak nieodwracalnych skutków prawnych decyzji reprywatyzacyjnej</w:t>
      </w:r>
    </w:p>
    <w:p w14:paraId="60A488AC"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lastRenderedPageBreak/>
        <w:t>Kontrolowana decyzja reprywatyzacyjna nie wywołała nieodwracalnych skutków prawnych w rozumieniu art. 2 pkt 4 ustawy z 9 marca 2017 r.</w:t>
      </w:r>
    </w:p>
    <w:p w14:paraId="231C2985"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W myśl powołanego przepisu,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 6 </w:t>
      </w:r>
      <w:proofErr w:type="spellStart"/>
      <w:r w:rsidRPr="00AE4143">
        <w:rPr>
          <w:rFonts w:ascii="Arial" w:hAnsi="Arial" w:cs="Arial"/>
          <w:sz w:val="24"/>
          <w:szCs w:val="24"/>
        </w:rPr>
        <w:t>u.g.n</w:t>
      </w:r>
      <w:proofErr w:type="spellEnd"/>
      <w:r w:rsidRPr="00AE4143">
        <w:rPr>
          <w:rFonts w:ascii="Arial" w:hAnsi="Arial" w:cs="Arial"/>
          <w:sz w:val="24"/>
          <w:szCs w:val="24"/>
        </w:rPr>
        <w:t>.</w:t>
      </w:r>
    </w:p>
    <w:p w14:paraId="0A719089"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Na płaszczyźnie prawa administracyjnego pojęcie „nieodwracalności skutku prawnego” odnosi się do takich następstw decyzji administracyjnej (reprywatyzacyjnej), w których brak jest możliwości odmiennego ukształtowania sytuacji prawnej jednostki od tej, będącej następstwem decyzji administracyjnej, co wyklucza powrót do stanu poprzedniego (B. Adamiak, Glosa do uchwały Sądu Najwyższego z dnia 28 maja 1992 r., III AZP 4/92, OSP 1993, nr 5, poz. 104, P. Przybysz, Kodeks postępowania administracyjnego, Warszawa 2017). </w:t>
      </w:r>
    </w:p>
    <w:p w14:paraId="41C29A9B"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Definicja zawarta w art. 2 pkt 4 ustawy z 9 marca 2017 r.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61B2070C"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Po dokonaniu analizy stanu faktycznego i prawnego, Komisja doszła do przekonania, że w  niniejszej sprawie nie zaistniały nieodwracalne skutki prawne, o których mowa w art. 2 pkt 4 ustawy z 9 marca 2017 r. Decyzja Prezydenta m.st. Warszawy z dnia 29 października 2013 r. nr 424/GK/DW/13 o  ustanowieniu prawa użytkowania wieczystego do przedmiotowego gruntu nie została wykonana, nie zawarto umowy w formie aktu notarialnego o oddaniu tego gruntu w  użytkowanie wieczyste, a w dziale II księgi wieczystej prowadzonej dla ww. nieruchomości prawo własności wpisane jest na rzecz Gminy Warszawa-Centrum. </w:t>
      </w:r>
    </w:p>
    <w:p w14:paraId="05C52FEE"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Wobec powyższego, w  przedmiotowej sprawie zaistniały podstawy do stwierdzenia nieważności kontrolowanej decyzji Prezydenta m. st. Warszawy. </w:t>
      </w:r>
    </w:p>
    <w:p w14:paraId="78CC6565" w14:textId="77777777" w:rsidR="000F1FD8" w:rsidRPr="00AE4143" w:rsidRDefault="000F1FD8" w:rsidP="00E74A97">
      <w:pPr>
        <w:spacing w:after="480" w:line="360" w:lineRule="auto"/>
        <w:contextualSpacing/>
        <w:rPr>
          <w:rFonts w:ascii="Arial" w:hAnsi="Arial" w:cs="Arial"/>
          <w:sz w:val="24"/>
          <w:szCs w:val="24"/>
        </w:rPr>
      </w:pPr>
    </w:p>
    <w:p w14:paraId="545ACCC6"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lastRenderedPageBreak/>
        <w:t>4.</w:t>
      </w:r>
      <w:r w:rsidRPr="00AE4143">
        <w:rPr>
          <w:rFonts w:ascii="Arial" w:hAnsi="Arial" w:cs="Arial"/>
          <w:sz w:val="24"/>
          <w:szCs w:val="24"/>
        </w:rPr>
        <w:tab/>
        <w:t>Strony w postępowaniu przed Komisją</w:t>
      </w:r>
    </w:p>
    <w:p w14:paraId="3A6EB626"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Zgodnie z art. 16 ust. 2 ustawy z dnia 9 marca 2017 r., o wszczęciu postępowania rozpoznawczego Komisja zawiadamia m.st. Warszawę oraz pozostałe strony postępowania. Jeżeli decyzja reprywatyzacyjna została wydana przez inny organ, stroną postępowania przed Komisją jest ten organ albo inny organ właściwy do rozpoznania sprawy. Z treści cytowanego przepisu wynika, że stroną postępowania rozpoznawczego przed Komisją jest m.st. Warszawa reprezentowane przez Prezydenta m.st. Warszawy. </w:t>
      </w:r>
    </w:p>
    <w:p w14:paraId="444EB110"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Stronami postępowania rozpoznawczego prowadzonego przez Komisję są oczywiście również beneficjenci decyzji reprywatyzacyjnej, tj. S</w:t>
      </w:r>
      <w:r w:rsidRPr="00AE4143">
        <w:rPr>
          <w:rFonts w:ascii="Arial" w:hAnsi="Arial" w:cs="Arial"/>
          <w:color w:val="FFFFFF" w:themeColor="background1"/>
          <w:sz w:val="24"/>
          <w:szCs w:val="24"/>
        </w:rPr>
        <w:t xml:space="preserve">półdzielnia </w:t>
      </w:r>
      <w:r w:rsidRPr="00AE4143">
        <w:rPr>
          <w:rFonts w:ascii="Arial" w:hAnsi="Arial" w:cs="Arial"/>
          <w:sz w:val="24"/>
          <w:szCs w:val="24"/>
        </w:rPr>
        <w:t>M</w:t>
      </w:r>
      <w:r w:rsidRPr="00AE4143">
        <w:rPr>
          <w:rFonts w:ascii="Arial" w:hAnsi="Arial" w:cs="Arial"/>
          <w:color w:val="FFFFFF" w:themeColor="background1"/>
          <w:sz w:val="24"/>
          <w:szCs w:val="24"/>
        </w:rPr>
        <w:t>ieszkaniowo</w:t>
      </w:r>
      <w:r w:rsidRPr="00AE4143">
        <w:rPr>
          <w:rFonts w:ascii="Arial" w:hAnsi="Arial" w:cs="Arial"/>
          <w:sz w:val="24"/>
          <w:szCs w:val="24"/>
        </w:rPr>
        <w:t>-B</w:t>
      </w:r>
      <w:r w:rsidRPr="00AE4143">
        <w:rPr>
          <w:rFonts w:ascii="Arial" w:hAnsi="Arial" w:cs="Arial"/>
          <w:color w:val="FFFFFF" w:themeColor="background1"/>
          <w:sz w:val="24"/>
          <w:szCs w:val="24"/>
        </w:rPr>
        <w:t>udowlana</w:t>
      </w:r>
      <w:r w:rsidRPr="00AE4143">
        <w:rPr>
          <w:rFonts w:ascii="Arial" w:hAnsi="Arial" w:cs="Arial"/>
          <w:sz w:val="24"/>
          <w:szCs w:val="24"/>
        </w:rPr>
        <w:t xml:space="preserve"> „S</w:t>
      </w:r>
      <w:r w:rsidRPr="00AE4143">
        <w:rPr>
          <w:rFonts w:ascii="Arial" w:hAnsi="Arial" w:cs="Arial"/>
          <w:color w:val="FFFFFF" w:themeColor="background1"/>
          <w:sz w:val="24"/>
          <w:szCs w:val="24"/>
        </w:rPr>
        <w:t xml:space="preserve">połem”, </w:t>
      </w:r>
      <w:r w:rsidRPr="00AE4143">
        <w:rPr>
          <w:rFonts w:ascii="Arial" w:hAnsi="Arial" w:cs="Arial"/>
          <w:sz w:val="24"/>
          <w:szCs w:val="24"/>
        </w:rPr>
        <w:t>jako strony decyzji wydanej przez Prezydenta m.st. Warszawy.</w:t>
      </w:r>
    </w:p>
    <w:p w14:paraId="19EB83D0" w14:textId="77777777" w:rsidR="000F1FD8" w:rsidRPr="00AE4143" w:rsidRDefault="000F1FD8" w:rsidP="00E74A97">
      <w:pPr>
        <w:spacing w:after="480" w:line="360" w:lineRule="auto"/>
        <w:contextualSpacing/>
        <w:rPr>
          <w:rFonts w:ascii="Arial" w:hAnsi="Arial" w:cs="Arial"/>
          <w:sz w:val="24"/>
          <w:szCs w:val="24"/>
        </w:rPr>
      </w:pPr>
    </w:p>
    <w:p w14:paraId="7B2C8399"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5.</w:t>
      </w:r>
      <w:r w:rsidRPr="00AE4143">
        <w:rPr>
          <w:rFonts w:ascii="Arial" w:hAnsi="Arial" w:cs="Arial"/>
          <w:sz w:val="24"/>
          <w:szCs w:val="24"/>
        </w:rPr>
        <w:tab/>
        <w:t>Konkluzja</w:t>
      </w:r>
    </w:p>
    <w:p w14:paraId="75C177E5"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W rozpatrywanej sprawie zaistniały przesłanki określone w art. 30 ust. 1 pkt 4 w związku z art. 29 ust 1 pkt 3a ustawy. Kontrola prawidłowości poczynionych przez Prezydenta m.st. Warszawy ustaleń mających wpływ na wynik sprawy wskazuje, że decyzja z dnia 29  października 2013 r. nr 424/GK/DW/13 obarczona jest wadami kwalifikowanymi, wyrażonymi w art. 156 § 1 pkt 2 i pkt 4 k.p.a. Konieczne jest zatem stwierdzenie jej nieważności i  wyeliminowanie z obrotu prawnego. </w:t>
      </w:r>
    </w:p>
    <w:p w14:paraId="1A217B03"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 xml:space="preserve">W związku z powyższym, Komisja na podstawie powyżej powołanych przepisów, orzekła jak na wstępie. </w:t>
      </w:r>
    </w:p>
    <w:p w14:paraId="1178EE72" w14:textId="77777777" w:rsidR="000F1FD8" w:rsidRPr="00AE4143" w:rsidRDefault="000F1FD8" w:rsidP="00E74A97">
      <w:pPr>
        <w:spacing w:after="480" w:line="360" w:lineRule="auto"/>
        <w:contextualSpacing/>
        <w:rPr>
          <w:rFonts w:ascii="Arial" w:hAnsi="Arial" w:cs="Arial"/>
          <w:sz w:val="24"/>
          <w:szCs w:val="24"/>
        </w:rPr>
      </w:pPr>
    </w:p>
    <w:p w14:paraId="67604269"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Przewodniczący Komisji</w:t>
      </w:r>
    </w:p>
    <w:p w14:paraId="72E09C6B"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Sebastian Kaleta</w:t>
      </w:r>
    </w:p>
    <w:p w14:paraId="2DDDB2C1" w14:textId="77777777" w:rsidR="000F1FD8" w:rsidRPr="00AE4143" w:rsidRDefault="000F1FD8" w:rsidP="00E74A97">
      <w:pPr>
        <w:spacing w:after="480" w:line="360" w:lineRule="auto"/>
        <w:contextualSpacing/>
        <w:rPr>
          <w:rFonts w:ascii="Arial" w:hAnsi="Arial" w:cs="Arial"/>
          <w:sz w:val="24"/>
          <w:szCs w:val="24"/>
        </w:rPr>
      </w:pPr>
    </w:p>
    <w:p w14:paraId="2D1F4F96" w14:textId="77777777" w:rsidR="000F1FD8" w:rsidRPr="00AE4143" w:rsidRDefault="000F1FD8" w:rsidP="00E74A97">
      <w:pPr>
        <w:spacing w:after="480" w:line="360" w:lineRule="auto"/>
        <w:contextualSpacing/>
        <w:rPr>
          <w:rFonts w:ascii="Arial" w:hAnsi="Arial" w:cs="Arial"/>
          <w:sz w:val="24"/>
          <w:szCs w:val="24"/>
        </w:rPr>
      </w:pPr>
    </w:p>
    <w:p w14:paraId="253CED2F"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Pouczenie:</w:t>
      </w:r>
    </w:p>
    <w:p w14:paraId="2D63E6B0" w14:textId="77777777" w:rsidR="000F1FD8" w:rsidRPr="00AE4143" w:rsidRDefault="000F1FD8" w:rsidP="00E74A97">
      <w:pPr>
        <w:spacing w:after="480" w:line="360" w:lineRule="auto"/>
        <w:contextualSpacing/>
        <w:rPr>
          <w:rFonts w:ascii="Arial" w:hAnsi="Arial" w:cs="Arial"/>
          <w:sz w:val="24"/>
          <w:szCs w:val="24"/>
        </w:rPr>
      </w:pPr>
    </w:p>
    <w:p w14:paraId="6C95B3C5"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1.</w:t>
      </w:r>
      <w:r w:rsidRPr="00AE4143">
        <w:rPr>
          <w:rFonts w:ascii="Arial" w:hAnsi="Arial" w:cs="Arial"/>
          <w:sz w:val="24"/>
          <w:szCs w:val="24"/>
        </w:rPr>
        <w:tab/>
        <w:t xml:space="preserve">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 1 </w:t>
      </w:r>
      <w:proofErr w:type="spellStart"/>
      <w:r w:rsidRPr="00AE4143">
        <w:rPr>
          <w:rFonts w:ascii="Arial" w:hAnsi="Arial" w:cs="Arial"/>
          <w:sz w:val="24"/>
          <w:szCs w:val="24"/>
        </w:rPr>
        <w:t>p.p.s.a</w:t>
      </w:r>
      <w:proofErr w:type="spellEnd"/>
      <w:r w:rsidRPr="00AE4143">
        <w:rPr>
          <w:rFonts w:ascii="Arial" w:hAnsi="Arial" w:cs="Arial"/>
          <w:sz w:val="24"/>
          <w:szCs w:val="24"/>
        </w:rPr>
        <w:t xml:space="preserve">., art. 53 § 1 </w:t>
      </w:r>
      <w:proofErr w:type="spellStart"/>
      <w:r w:rsidRPr="00AE4143">
        <w:rPr>
          <w:rFonts w:ascii="Arial" w:hAnsi="Arial" w:cs="Arial"/>
          <w:sz w:val="24"/>
          <w:szCs w:val="24"/>
        </w:rPr>
        <w:t>p.p.s.a</w:t>
      </w:r>
      <w:proofErr w:type="spellEnd"/>
      <w:r w:rsidRPr="00AE4143">
        <w:rPr>
          <w:rFonts w:ascii="Arial" w:hAnsi="Arial" w:cs="Arial"/>
          <w:sz w:val="24"/>
          <w:szCs w:val="24"/>
        </w:rPr>
        <w:t xml:space="preserve">. oraz art. 54 § 1 </w:t>
      </w:r>
      <w:proofErr w:type="spellStart"/>
      <w:r w:rsidRPr="00AE4143">
        <w:rPr>
          <w:rFonts w:ascii="Arial" w:hAnsi="Arial" w:cs="Arial"/>
          <w:sz w:val="24"/>
          <w:szCs w:val="24"/>
        </w:rPr>
        <w:t>p.p.s.a</w:t>
      </w:r>
      <w:proofErr w:type="spellEnd"/>
      <w:r w:rsidRPr="00AE4143">
        <w:rPr>
          <w:rFonts w:ascii="Arial" w:hAnsi="Arial" w:cs="Arial"/>
          <w:sz w:val="24"/>
          <w:szCs w:val="24"/>
        </w:rPr>
        <w:t xml:space="preserve">.). Skarga powinna czynić zadość wymogom </w:t>
      </w:r>
      <w:r w:rsidRPr="00AE4143">
        <w:rPr>
          <w:rFonts w:ascii="Arial" w:hAnsi="Arial" w:cs="Arial"/>
          <w:sz w:val="24"/>
          <w:szCs w:val="24"/>
        </w:rPr>
        <w:lastRenderedPageBreak/>
        <w:t xml:space="preserve">określonym w art. 57 </w:t>
      </w:r>
      <w:proofErr w:type="spellStart"/>
      <w:r w:rsidRPr="00AE4143">
        <w:rPr>
          <w:rFonts w:ascii="Arial" w:hAnsi="Arial" w:cs="Arial"/>
          <w:sz w:val="24"/>
          <w:szCs w:val="24"/>
        </w:rPr>
        <w:t>p.p.s.a</w:t>
      </w:r>
      <w:proofErr w:type="spellEnd"/>
      <w:r w:rsidRPr="00AE4143">
        <w:rPr>
          <w:rFonts w:ascii="Arial" w:hAnsi="Arial" w:cs="Arial"/>
          <w:sz w:val="24"/>
          <w:szCs w:val="24"/>
        </w:rPr>
        <w:t xml:space="preserve">.. Do skargi należy dołączyć jej odpisy i odpisy załączników dla doręczenia ich stronom (w tym dla tut. organu), a ponadto jeżeli w Sądzie nie złożono załączników w oryginale po jednym odpisie każdego załącznika do akt sądowych (art. 47 § 1 </w:t>
      </w:r>
      <w:proofErr w:type="spellStart"/>
      <w:r w:rsidRPr="00AE4143">
        <w:rPr>
          <w:rFonts w:ascii="Arial" w:hAnsi="Arial" w:cs="Arial"/>
          <w:sz w:val="24"/>
          <w:szCs w:val="24"/>
        </w:rPr>
        <w:t>p.p.s.a</w:t>
      </w:r>
      <w:proofErr w:type="spellEnd"/>
      <w:r w:rsidRPr="00AE4143">
        <w:rPr>
          <w:rFonts w:ascii="Arial" w:hAnsi="Arial" w:cs="Arial"/>
          <w:sz w:val="24"/>
          <w:szCs w:val="24"/>
        </w:rPr>
        <w:t>.)</w:t>
      </w:r>
    </w:p>
    <w:p w14:paraId="461E717F"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2.</w:t>
      </w:r>
      <w:r w:rsidRPr="00AE4143">
        <w:rPr>
          <w:rFonts w:ascii="Arial" w:hAnsi="Arial" w:cs="Arial"/>
          <w:sz w:val="24"/>
          <w:szCs w:val="24"/>
        </w:rPr>
        <w:tab/>
        <w:t xml:space="preserve">Wpis od skargi do sądu administracyjnego ma charakter stały i wynosi 200 (dwieście) zł, zgodnie z § 2 ust. 3 pkt 5 rozporządzenia rady Ministrów z dnia 16.12.2003 r. w sprawie wysokości oraz szczegółowych zasad pobierania wpisu w postępowaniu przed sądami administracyjnymi (Dz. U. 2021 poz. 535, z </w:t>
      </w:r>
      <w:proofErr w:type="spellStart"/>
      <w:r w:rsidRPr="00AE4143">
        <w:rPr>
          <w:rFonts w:ascii="Arial" w:hAnsi="Arial" w:cs="Arial"/>
          <w:sz w:val="24"/>
          <w:szCs w:val="24"/>
        </w:rPr>
        <w:t>późn</w:t>
      </w:r>
      <w:proofErr w:type="spellEnd"/>
      <w:r w:rsidRPr="00AE4143">
        <w:rPr>
          <w:rFonts w:ascii="Arial" w:hAnsi="Arial" w:cs="Arial"/>
          <w:sz w:val="24"/>
          <w:szCs w:val="24"/>
        </w:rPr>
        <w:t>. zm.).</w:t>
      </w:r>
    </w:p>
    <w:p w14:paraId="18F4E264"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3.</w:t>
      </w:r>
      <w:r w:rsidRPr="00AE4143">
        <w:rPr>
          <w:rFonts w:ascii="Arial" w:hAnsi="Arial" w:cs="Arial"/>
          <w:sz w:val="24"/>
          <w:szCs w:val="24"/>
        </w:rPr>
        <w:tab/>
        <w:t xml:space="preserve">W myśl zaś art. 243 § 1 </w:t>
      </w:r>
      <w:proofErr w:type="spellStart"/>
      <w:r w:rsidRPr="00AE4143">
        <w:rPr>
          <w:rFonts w:ascii="Arial" w:hAnsi="Arial" w:cs="Arial"/>
          <w:sz w:val="24"/>
          <w:szCs w:val="24"/>
        </w:rPr>
        <w:t>p.p.s.a</w:t>
      </w:r>
      <w:proofErr w:type="spellEnd"/>
      <w:r w:rsidRPr="00AE4143">
        <w:rPr>
          <w:rFonts w:ascii="Arial" w:hAnsi="Arial" w:cs="Arial"/>
          <w:sz w:val="24"/>
          <w:szCs w:val="24"/>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w:t>
      </w:r>
      <w:proofErr w:type="spellStart"/>
      <w:r w:rsidRPr="00AE4143">
        <w:rPr>
          <w:rFonts w:ascii="Arial" w:hAnsi="Arial" w:cs="Arial"/>
          <w:sz w:val="24"/>
          <w:szCs w:val="24"/>
        </w:rPr>
        <w:t>p.p.s.a</w:t>
      </w:r>
      <w:proofErr w:type="spellEnd"/>
      <w:r w:rsidRPr="00AE4143">
        <w:rPr>
          <w:rFonts w:ascii="Arial" w:hAnsi="Arial" w:cs="Arial"/>
          <w:sz w:val="24"/>
          <w:szCs w:val="24"/>
        </w:rPr>
        <w:t xml:space="preserve">.). Zgodnie zaś z art. 244 § 1 </w:t>
      </w:r>
      <w:proofErr w:type="spellStart"/>
      <w:r w:rsidRPr="00AE4143">
        <w:rPr>
          <w:rFonts w:ascii="Arial" w:hAnsi="Arial" w:cs="Arial"/>
          <w:sz w:val="24"/>
          <w:szCs w:val="24"/>
        </w:rPr>
        <w:t>p.p.s.a</w:t>
      </w:r>
      <w:proofErr w:type="spellEnd"/>
      <w:r w:rsidRPr="00AE4143">
        <w:rPr>
          <w:rFonts w:ascii="Arial" w:hAnsi="Arial" w:cs="Arial"/>
          <w:sz w:val="24"/>
          <w:szCs w:val="24"/>
        </w:rPr>
        <w:t>. prawo pomocy obejmuje zwolnienie od kosztów sądowych oraz ustanowienie adwokata, radcy prawnego, doradcy podatkowego lub rzecznika patentowego.</w:t>
      </w:r>
    </w:p>
    <w:p w14:paraId="059DD439" w14:textId="77777777"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4.</w:t>
      </w:r>
      <w:r w:rsidRPr="00AE4143">
        <w:rPr>
          <w:rFonts w:ascii="Arial" w:hAnsi="Arial" w:cs="Arial"/>
          <w:sz w:val="24"/>
          <w:szCs w:val="24"/>
        </w:rPr>
        <w:tab/>
        <w:t>Z uwagi na to, że doręczenie decyzji następuje w formie publicznego ogłoszenia na podstawie art. 16 ust. 3 ustawy z dnia 9.03.2017 r. w zw. z art. 49 § 1 k.p.a., Komisja informuje, że z treścią decyzji strony mogą zapoznać się w urzędzie zapewniającym obsługę administracyjno-biurową Komisji w dniach i godzinach pracy tego urzędu.</w:t>
      </w:r>
    </w:p>
    <w:p w14:paraId="063EA334" w14:textId="12E34389" w:rsidR="000F1FD8" w:rsidRPr="00AE4143" w:rsidRDefault="000F1FD8" w:rsidP="00E74A97">
      <w:pPr>
        <w:spacing w:after="480" w:line="360" w:lineRule="auto"/>
        <w:contextualSpacing/>
        <w:rPr>
          <w:rFonts w:ascii="Arial" w:hAnsi="Arial" w:cs="Arial"/>
          <w:sz w:val="24"/>
          <w:szCs w:val="24"/>
        </w:rPr>
      </w:pPr>
      <w:r w:rsidRPr="00AE4143">
        <w:rPr>
          <w:rFonts w:ascii="Arial" w:hAnsi="Arial" w:cs="Arial"/>
          <w:sz w:val="24"/>
          <w:szCs w:val="24"/>
        </w:rPr>
        <w:t>5.</w:t>
      </w:r>
      <w:r w:rsidRPr="00AE4143">
        <w:rPr>
          <w:rFonts w:ascii="Arial" w:hAnsi="Arial" w:cs="Arial"/>
          <w:sz w:val="24"/>
          <w:szCs w:val="24"/>
        </w:rPr>
        <w:tab/>
        <w:t>W myśl zaś art. 16 ust. 3 ustawy z dnia 9.03.2017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sectPr w:rsidR="000F1FD8" w:rsidRPr="00AE4143" w:rsidSect="00712D4E">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CA063" w14:textId="77777777" w:rsidR="00924713" w:rsidRDefault="00924713" w:rsidP="0083300C">
      <w:pPr>
        <w:spacing w:after="0" w:line="240" w:lineRule="auto"/>
      </w:pPr>
      <w:r>
        <w:separator/>
      </w:r>
    </w:p>
  </w:endnote>
  <w:endnote w:type="continuationSeparator" w:id="0">
    <w:p w14:paraId="64359083" w14:textId="77777777" w:rsidR="00924713" w:rsidRDefault="00924713" w:rsidP="00833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2D3E3" w14:textId="77777777" w:rsidR="00D63A8C" w:rsidRPr="00B6110C" w:rsidRDefault="00D63A8C" w:rsidP="003C20B9">
    <w:pPr>
      <w:pStyle w:val="Stopka"/>
      <w:jc w:val="center"/>
      <w:rPr>
        <w:rFonts w:ascii="Times New Roman" w:hAnsi="Times New Roman"/>
      </w:rPr>
    </w:pPr>
    <w:r w:rsidRPr="00B6110C">
      <w:rPr>
        <w:rFonts w:ascii="Times New Roman" w:hAnsi="Times New Roman"/>
      </w:rPr>
      <w:fldChar w:fldCharType="begin"/>
    </w:r>
    <w:r w:rsidRPr="00B6110C">
      <w:rPr>
        <w:rFonts w:ascii="Times New Roman" w:hAnsi="Times New Roman"/>
      </w:rPr>
      <w:instrText>PAGE   \* MERGEFORMAT</w:instrText>
    </w:r>
    <w:r w:rsidRPr="00B6110C">
      <w:rPr>
        <w:rFonts w:ascii="Times New Roman" w:hAnsi="Times New Roman"/>
      </w:rPr>
      <w:fldChar w:fldCharType="separate"/>
    </w:r>
    <w:r w:rsidRPr="00B6110C">
      <w:rPr>
        <w:rFonts w:ascii="Times New Roman" w:hAnsi="Times New Roman"/>
      </w:rPr>
      <w:t>2</w:t>
    </w:r>
    <w:r w:rsidRPr="00B6110C">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045F1" w14:textId="77777777" w:rsidR="00924713" w:rsidRDefault="00924713" w:rsidP="0083300C">
      <w:pPr>
        <w:spacing w:after="0" w:line="240" w:lineRule="auto"/>
      </w:pPr>
      <w:r>
        <w:separator/>
      </w:r>
    </w:p>
  </w:footnote>
  <w:footnote w:type="continuationSeparator" w:id="0">
    <w:p w14:paraId="499E56C7" w14:textId="77777777" w:rsidR="00924713" w:rsidRDefault="00924713" w:rsidP="00833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9EBD7" w14:textId="215FE9D3" w:rsidR="00D63A8C" w:rsidRDefault="00AF01DF">
    <w:pPr>
      <w:pStyle w:val="Nagwek"/>
    </w:pPr>
    <w:r>
      <w:rPr>
        <w:noProof/>
      </w:rPr>
      <w:drawing>
        <wp:inline distT="0" distB="0" distL="0" distR="0" wp14:anchorId="1958FE88" wp14:editId="338948F6">
          <wp:extent cx="2591435" cy="623570"/>
          <wp:effectExtent l="0" t="0" r="0" b="5080"/>
          <wp:docPr id="1" name="Obraz 2" descr="W nagłówku znajduje się logo Komisji do spraw reprywatyzacji nieruchomości warszawskich zawierające godło państwa polskiego i podkreślenie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W nagłówku znajduje się logo Komisji do spraw reprywatyzacji nieruchomości warszawskich zawierające godło państwa polskiego i podkreślenie w formie miniaturki flagi R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1435" cy="623570"/>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C3348"/>
    <w:multiLevelType w:val="hybridMultilevel"/>
    <w:tmpl w:val="815ABF0C"/>
    <w:lvl w:ilvl="0" w:tplc="D5DC16B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4E3269"/>
    <w:multiLevelType w:val="multilevel"/>
    <w:tmpl w:val="4DC4BE1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C6457A"/>
    <w:multiLevelType w:val="multilevel"/>
    <w:tmpl w:val="7B18EE54"/>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8F7DA9"/>
    <w:multiLevelType w:val="multilevel"/>
    <w:tmpl w:val="872C424C"/>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D96410"/>
    <w:multiLevelType w:val="multilevel"/>
    <w:tmpl w:val="7F10F0C4"/>
    <w:lvl w:ilvl="0">
      <w:start w:val="1"/>
      <w:numFmt w:val="decimal"/>
      <w:lvlText w:val="%1."/>
      <w:lvlJc w:val="left"/>
      <w:pPr>
        <w:ind w:left="114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5" w15:restartNumberingAfterBreak="0">
    <w:nsid w:val="17794333"/>
    <w:multiLevelType w:val="hybridMultilevel"/>
    <w:tmpl w:val="308E44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F4726FF"/>
    <w:multiLevelType w:val="hybridMultilevel"/>
    <w:tmpl w:val="A0E019CE"/>
    <w:lvl w:ilvl="0" w:tplc="39EC6240">
      <w:start w:val="1"/>
      <w:numFmt w:val="upperRoman"/>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20B8715D"/>
    <w:multiLevelType w:val="singleLevel"/>
    <w:tmpl w:val="97B8EF7C"/>
    <w:lvl w:ilvl="0">
      <w:start w:val="8"/>
      <w:numFmt w:val="decimal"/>
      <w:lvlText w:val="2.%1."/>
      <w:legacy w:legacy="1" w:legacySpace="0" w:legacyIndent="454"/>
      <w:lvlJc w:val="left"/>
      <w:rPr>
        <w:rFonts w:ascii="Times New Roman" w:hAnsi="Times New Roman" w:cs="Times New Roman" w:hint="default"/>
      </w:rPr>
    </w:lvl>
  </w:abstractNum>
  <w:abstractNum w:abstractNumId="8" w15:restartNumberingAfterBreak="0">
    <w:nsid w:val="22DB6870"/>
    <w:multiLevelType w:val="hybridMultilevel"/>
    <w:tmpl w:val="9082604E"/>
    <w:lvl w:ilvl="0" w:tplc="27AE878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92312E"/>
    <w:multiLevelType w:val="multilevel"/>
    <w:tmpl w:val="E60052E0"/>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5E2047E"/>
    <w:multiLevelType w:val="multilevel"/>
    <w:tmpl w:val="C84A55DE"/>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C46E77"/>
    <w:multiLevelType w:val="hybridMultilevel"/>
    <w:tmpl w:val="22E85F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561A58"/>
    <w:multiLevelType w:val="hybridMultilevel"/>
    <w:tmpl w:val="A9CA53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B069E5"/>
    <w:multiLevelType w:val="multilevel"/>
    <w:tmpl w:val="6F02FB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D8728D"/>
    <w:multiLevelType w:val="singleLevel"/>
    <w:tmpl w:val="9528CDE8"/>
    <w:lvl w:ilvl="0">
      <w:start w:val="5"/>
      <w:numFmt w:val="decimal"/>
      <w:lvlText w:val="2.%1."/>
      <w:legacy w:legacy="1" w:legacySpace="0" w:legacyIndent="425"/>
      <w:lvlJc w:val="left"/>
      <w:rPr>
        <w:rFonts w:ascii="Times New Roman" w:hAnsi="Times New Roman" w:cs="Times New Roman" w:hint="default"/>
      </w:rPr>
    </w:lvl>
  </w:abstractNum>
  <w:abstractNum w:abstractNumId="15" w15:restartNumberingAfterBreak="0">
    <w:nsid w:val="334E78AF"/>
    <w:multiLevelType w:val="singleLevel"/>
    <w:tmpl w:val="49768AFE"/>
    <w:lvl w:ilvl="0">
      <w:start w:val="1"/>
      <w:numFmt w:val="decimal"/>
      <w:lvlText w:val="2.%1."/>
      <w:legacy w:legacy="1" w:legacySpace="0" w:legacyIndent="404"/>
      <w:lvlJc w:val="left"/>
      <w:rPr>
        <w:rFonts w:ascii="Times New Roman" w:hAnsi="Times New Roman" w:cs="Times New Roman" w:hint="default"/>
      </w:rPr>
    </w:lvl>
  </w:abstractNum>
  <w:abstractNum w:abstractNumId="16" w15:restartNumberingAfterBreak="0">
    <w:nsid w:val="33921BB9"/>
    <w:multiLevelType w:val="multilevel"/>
    <w:tmpl w:val="985C8F6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DE3458"/>
    <w:multiLevelType w:val="hybridMultilevel"/>
    <w:tmpl w:val="AF8C11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E57457"/>
    <w:multiLevelType w:val="hybridMultilevel"/>
    <w:tmpl w:val="E50EDCF0"/>
    <w:lvl w:ilvl="0" w:tplc="75F82ED2">
      <w:start w:val="1"/>
      <w:numFmt w:val="bullet"/>
      <w:lvlText w:val="-"/>
      <w:lvlJc w:val="left"/>
      <w:pPr>
        <w:tabs>
          <w:tab w:val="num" w:pos="720"/>
        </w:tabs>
        <w:ind w:left="720" w:hanging="360"/>
      </w:pPr>
      <w:rPr>
        <w:rFonts w:ascii="Times New Roman" w:hAnsi="Times New Roman" w:hint="default"/>
      </w:rPr>
    </w:lvl>
    <w:lvl w:ilvl="1" w:tplc="81E23AD8" w:tentative="1">
      <w:start w:val="1"/>
      <w:numFmt w:val="bullet"/>
      <w:lvlText w:val="-"/>
      <w:lvlJc w:val="left"/>
      <w:pPr>
        <w:tabs>
          <w:tab w:val="num" w:pos="1440"/>
        </w:tabs>
        <w:ind w:left="1440" w:hanging="360"/>
      </w:pPr>
      <w:rPr>
        <w:rFonts w:ascii="Times New Roman" w:hAnsi="Times New Roman" w:hint="default"/>
      </w:rPr>
    </w:lvl>
    <w:lvl w:ilvl="2" w:tplc="C902C984" w:tentative="1">
      <w:start w:val="1"/>
      <w:numFmt w:val="bullet"/>
      <w:lvlText w:val="-"/>
      <w:lvlJc w:val="left"/>
      <w:pPr>
        <w:tabs>
          <w:tab w:val="num" w:pos="2160"/>
        </w:tabs>
        <w:ind w:left="2160" w:hanging="360"/>
      </w:pPr>
      <w:rPr>
        <w:rFonts w:ascii="Times New Roman" w:hAnsi="Times New Roman" w:hint="default"/>
      </w:rPr>
    </w:lvl>
    <w:lvl w:ilvl="3" w:tplc="422C16AC" w:tentative="1">
      <w:start w:val="1"/>
      <w:numFmt w:val="bullet"/>
      <w:lvlText w:val="-"/>
      <w:lvlJc w:val="left"/>
      <w:pPr>
        <w:tabs>
          <w:tab w:val="num" w:pos="2880"/>
        </w:tabs>
        <w:ind w:left="2880" w:hanging="360"/>
      </w:pPr>
      <w:rPr>
        <w:rFonts w:ascii="Times New Roman" w:hAnsi="Times New Roman" w:hint="default"/>
      </w:rPr>
    </w:lvl>
    <w:lvl w:ilvl="4" w:tplc="0664783E" w:tentative="1">
      <w:start w:val="1"/>
      <w:numFmt w:val="bullet"/>
      <w:lvlText w:val="-"/>
      <w:lvlJc w:val="left"/>
      <w:pPr>
        <w:tabs>
          <w:tab w:val="num" w:pos="3600"/>
        </w:tabs>
        <w:ind w:left="3600" w:hanging="360"/>
      </w:pPr>
      <w:rPr>
        <w:rFonts w:ascii="Times New Roman" w:hAnsi="Times New Roman" w:hint="default"/>
      </w:rPr>
    </w:lvl>
    <w:lvl w:ilvl="5" w:tplc="3CEED008" w:tentative="1">
      <w:start w:val="1"/>
      <w:numFmt w:val="bullet"/>
      <w:lvlText w:val="-"/>
      <w:lvlJc w:val="left"/>
      <w:pPr>
        <w:tabs>
          <w:tab w:val="num" w:pos="4320"/>
        </w:tabs>
        <w:ind w:left="4320" w:hanging="360"/>
      </w:pPr>
      <w:rPr>
        <w:rFonts w:ascii="Times New Roman" w:hAnsi="Times New Roman" w:hint="default"/>
      </w:rPr>
    </w:lvl>
    <w:lvl w:ilvl="6" w:tplc="5F001338" w:tentative="1">
      <w:start w:val="1"/>
      <w:numFmt w:val="bullet"/>
      <w:lvlText w:val="-"/>
      <w:lvlJc w:val="left"/>
      <w:pPr>
        <w:tabs>
          <w:tab w:val="num" w:pos="5040"/>
        </w:tabs>
        <w:ind w:left="5040" w:hanging="360"/>
      </w:pPr>
      <w:rPr>
        <w:rFonts w:ascii="Times New Roman" w:hAnsi="Times New Roman" w:hint="default"/>
      </w:rPr>
    </w:lvl>
    <w:lvl w:ilvl="7" w:tplc="B86CBB88" w:tentative="1">
      <w:start w:val="1"/>
      <w:numFmt w:val="bullet"/>
      <w:lvlText w:val="-"/>
      <w:lvlJc w:val="left"/>
      <w:pPr>
        <w:tabs>
          <w:tab w:val="num" w:pos="5760"/>
        </w:tabs>
        <w:ind w:left="5760" w:hanging="360"/>
      </w:pPr>
      <w:rPr>
        <w:rFonts w:ascii="Times New Roman" w:hAnsi="Times New Roman" w:hint="default"/>
      </w:rPr>
    </w:lvl>
    <w:lvl w:ilvl="8" w:tplc="088AD0D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C571CF1"/>
    <w:multiLevelType w:val="hybridMultilevel"/>
    <w:tmpl w:val="951004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5D3C10"/>
    <w:multiLevelType w:val="hybridMultilevel"/>
    <w:tmpl w:val="8842F00C"/>
    <w:lvl w:ilvl="0" w:tplc="45DC845E">
      <w:start w:val="2"/>
      <w:numFmt w:val="upperRoman"/>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43C178E8"/>
    <w:multiLevelType w:val="hybridMultilevel"/>
    <w:tmpl w:val="62E463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427109"/>
    <w:multiLevelType w:val="hybridMultilevel"/>
    <w:tmpl w:val="2CAE99DE"/>
    <w:lvl w:ilvl="0" w:tplc="49B61CF6">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DE7FA2"/>
    <w:multiLevelType w:val="multilevel"/>
    <w:tmpl w:val="6E18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694525"/>
    <w:multiLevelType w:val="multilevel"/>
    <w:tmpl w:val="B5DEBAC6"/>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0F0537C"/>
    <w:multiLevelType w:val="hybridMultilevel"/>
    <w:tmpl w:val="A5F682E0"/>
    <w:lvl w:ilvl="0" w:tplc="51C8B4DA">
      <w:start w:val="1"/>
      <w:numFmt w:val="decimal"/>
      <w:lvlText w:val="%1."/>
      <w:lvlJc w:val="left"/>
      <w:pPr>
        <w:ind w:left="720" w:hanging="360"/>
      </w:pPr>
      <w:rPr>
        <w:rFonts w:ascii="Times New Roman" w:hAnsi="Times New Roman" w:cs="Times New Roman"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4A8774F"/>
    <w:multiLevelType w:val="hybridMultilevel"/>
    <w:tmpl w:val="C12E84DA"/>
    <w:lvl w:ilvl="0" w:tplc="C6566E8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E861D3"/>
    <w:multiLevelType w:val="hybridMultilevel"/>
    <w:tmpl w:val="4BAEE852"/>
    <w:lvl w:ilvl="0" w:tplc="3DC4092C">
      <w:start w:val="1"/>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55F60E4C"/>
    <w:multiLevelType w:val="multilevel"/>
    <w:tmpl w:val="C84A55DE"/>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9B82660"/>
    <w:multiLevelType w:val="hybridMultilevel"/>
    <w:tmpl w:val="83E8E858"/>
    <w:lvl w:ilvl="0" w:tplc="313AC4B8">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B7E47BF"/>
    <w:multiLevelType w:val="singleLevel"/>
    <w:tmpl w:val="5D7E3FB4"/>
    <w:lvl w:ilvl="0">
      <w:start w:val="4"/>
      <w:numFmt w:val="decimal"/>
      <w:lvlText w:val="2.%1."/>
      <w:legacy w:legacy="1" w:legacySpace="0" w:legacyIndent="425"/>
      <w:lvlJc w:val="left"/>
      <w:rPr>
        <w:rFonts w:ascii="Times New Roman" w:hAnsi="Times New Roman" w:cs="Times New Roman" w:hint="default"/>
      </w:rPr>
    </w:lvl>
  </w:abstractNum>
  <w:abstractNum w:abstractNumId="31" w15:restartNumberingAfterBreak="0">
    <w:nsid w:val="5B836DE7"/>
    <w:multiLevelType w:val="singleLevel"/>
    <w:tmpl w:val="193A2406"/>
    <w:lvl w:ilvl="0">
      <w:start w:val="7"/>
      <w:numFmt w:val="decimal"/>
      <w:lvlText w:val="2.%1."/>
      <w:legacy w:legacy="1" w:legacySpace="0" w:legacyIndent="454"/>
      <w:lvlJc w:val="left"/>
      <w:rPr>
        <w:rFonts w:ascii="Times New Roman" w:hAnsi="Times New Roman" w:cs="Times New Roman" w:hint="default"/>
      </w:rPr>
    </w:lvl>
  </w:abstractNum>
  <w:abstractNum w:abstractNumId="32" w15:restartNumberingAfterBreak="0">
    <w:nsid w:val="5C2C47AA"/>
    <w:multiLevelType w:val="multilevel"/>
    <w:tmpl w:val="0D3C164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E3D1FA5"/>
    <w:multiLevelType w:val="multilevel"/>
    <w:tmpl w:val="70341136"/>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47560F"/>
    <w:multiLevelType w:val="hybridMultilevel"/>
    <w:tmpl w:val="8E76B7B0"/>
    <w:lvl w:ilvl="0" w:tplc="A8C040F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67323F42"/>
    <w:multiLevelType w:val="multilevel"/>
    <w:tmpl w:val="FB5C944A"/>
    <w:lvl w:ilvl="0">
      <w:start w:val="1"/>
      <w:numFmt w:val="decimal"/>
      <w:lvlText w:val="%1."/>
      <w:lvlJc w:val="left"/>
      <w:pPr>
        <w:ind w:left="1068" w:hanging="360"/>
      </w:pPr>
      <w:rPr>
        <w:rFonts w:hint="default"/>
      </w:rPr>
    </w:lvl>
    <w:lvl w:ilvl="1">
      <w:start w:val="4"/>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6" w15:restartNumberingAfterBreak="0">
    <w:nsid w:val="69B46C5D"/>
    <w:multiLevelType w:val="hybridMultilevel"/>
    <w:tmpl w:val="6810C6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DD3B6E"/>
    <w:multiLevelType w:val="hybridMultilevel"/>
    <w:tmpl w:val="F170EE86"/>
    <w:lvl w:ilvl="0" w:tplc="155839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F85537"/>
    <w:multiLevelType w:val="hybridMultilevel"/>
    <w:tmpl w:val="D9C2A6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0611BE4"/>
    <w:multiLevelType w:val="hybridMultilevel"/>
    <w:tmpl w:val="C7D4829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721438"/>
    <w:multiLevelType w:val="hybridMultilevel"/>
    <w:tmpl w:val="127C9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287B6E"/>
    <w:multiLevelType w:val="hybridMultilevel"/>
    <w:tmpl w:val="1D2A507E"/>
    <w:lvl w:ilvl="0" w:tplc="875693FE">
      <w:start w:val="1"/>
      <w:numFmt w:val="bullet"/>
      <w:lvlText w:val="•"/>
      <w:lvlJc w:val="left"/>
      <w:pPr>
        <w:tabs>
          <w:tab w:val="num" w:pos="720"/>
        </w:tabs>
        <w:ind w:left="720" w:hanging="360"/>
      </w:pPr>
      <w:rPr>
        <w:rFonts w:ascii="Arial" w:hAnsi="Arial" w:hint="default"/>
      </w:rPr>
    </w:lvl>
    <w:lvl w:ilvl="1" w:tplc="FD1CCD8E" w:tentative="1">
      <w:start w:val="1"/>
      <w:numFmt w:val="bullet"/>
      <w:lvlText w:val="•"/>
      <w:lvlJc w:val="left"/>
      <w:pPr>
        <w:tabs>
          <w:tab w:val="num" w:pos="1440"/>
        </w:tabs>
        <w:ind w:left="1440" w:hanging="360"/>
      </w:pPr>
      <w:rPr>
        <w:rFonts w:ascii="Arial" w:hAnsi="Arial" w:hint="default"/>
      </w:rPr>
    </w:lvl>
    <w:lvl w:ilvl="2" w:tplc="3E548206" w:tentative="1">
      <w:start w:val="1"/>
      <w:numFmt w:val="bullet"/>
      <w:lvlText w:val="•"/>
      <w:lvlJc w:val="left"/>
      <w:pPr>
        <w:tabs>
          <w:tab w:val="num" w:pos="2160"/>
        </w:tabs>
        <w:ind w:left="2160" w:hanging="360"/>
      </w:pPr>
      <w:rPr>
        <w:rFonts w:ascii="Arial" w:hAnsi="Arial" w:hint="default"/>
      </w:rPr>
    </w:lvl>
    <w:lvl w:ilvl="3" w:tplc="C3288DF8" w:tentative="1">
      <w:start w:val="1"/>
      <w:numFmt w:val="bullet"/>
      <w:lvlText w:val="•"/>
      <w:lvlJc w:val="left"/>
      <w:pPr>
        <w:tabs>
          <w:tab w:val="num" w:pos="2880"/>
        </w:tabs>
        <w:ind w:left="2880" w:hanging="360"/>
      </w:pPr>
      <w:rPr>
        <w:rFonts w:ascii="Arial" w:hAnsi="Arial" w:hint="default"/>
      </w:rPr>
    </w:lvl>
    <w:lvl w:ilvl="4" w:tplc="F606E35A" w:tentative="1">
      <w:start w:val="1"/>
      <w:numFmt w:val="bullet"/>
      <w:lvlText w:val="•"/>
      <w:lvlJc w:val="left"/>
      <w:pPr>
        <w:tabs>
          <w:tab w:val="num" w:pos="3600"/>
        </w:tabs>
        <w:ind w:left="3600" w:hanging="360"/>
      </w:pPr>
      <w:rPr>
        <w:rFonts w:ascii="Arial" w:hAnsi="Arial" w:hint="default"/>
      </w:rPr>
    </w:lvl>
    <w:lvl w:ilvl="5" w:tplc="ADF64124" w:tentative="1">
      <w:start w:val="1"/>
      <w:numFmt w:val="bullet"/>
      <w:lvlText w:val="•"/>
      <w:lvlJc w:val="left"/>
      <w:pPr>
        <w:tabs>
          <w:tab w:val="num" w:pos="4320"/>
        </w:tabs>
        <w:ind w:left="4320" w:hanging="360"/>
      </w:pPr>
      <w:rPr>
        <w:rFonts w:ascii="Arial" w:hAnsi="Arial" w:hint="default"/>
      </w:rPr>
    </w:lvl>
    <w:lvl w:ilvl="6" w:tplc="6208695A" w:tentative="1">
      <w:start w:val="1"/>
      <w:numFmt w:val="bullet"/>
      <w:lvlText w:val="•"/>
      <w:lvlJc w:val="left"/>
      <w:pPr>
        <w:tabs>
          <w:tab w:val="num" w:pos="5040"/>
        </w:tabs>
        <w:ind w:left="5040" w:hanging="360"/>
      </w:pPr>
      <w:rPr>
        <w:rFonts w:ascii="Arial" w:hAnsi="Arial" w:hint="default"/>
      </w:rPr>
    </w:lvl>
    <w:lvl w:ilvl="7" w:tplc="1388A35C" w:tentative="1">
      <w:start w:val="1"/>
      <w:numFmt w:val="bullet"/>
      <w:lvlText w:val="•"/>
      <w:lvlJc w:val="left"/>
      <w:pPr>
        <w:tabs>
          <w:tab w:val="num" w:pos="5760"/>
        </w:tabs>
        <w:ind w:left="5760" w:hanging="360"/>
      </w:pPr>
      <w:rPr>
        <w:rFonts w:ascii="Arial" w:hAnsi="Arial" w:hint="default"/>
      </w:rPr>
    </w:lvl>
    <w:lvl w:ilvl="8" w:tplc="9278B0A6"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9410382"/>
    <w:multiLevelType w:val="multilevel"/>
    <w:tmpl w:val="A42EF044"/>
    <w:lvl w:ilvl="0">
      <w:start w:val="2"/>
      <w:numFmt w:val="decimal"/>
      <w:lvlText w:val="%1"/>
      <w:lvlJc w:val="left"/>
      <w:pPr>
        <w:ind w:left="360" w:hanging="360"/>
      </w:pPr>
      <w:rPr>
        <w:rFonts w:hint="default"/>
        <w:color w:val="7030A0"/>
      </w:rPr>
    </w:lvl>
    <w:lvl w:ilvl="1">
      <w:start w:val="9"/>
      <w:numFmt w:val="decimal"/>
      <w:lvlText w:val="%1.%2"/>
      <w:lvlJc w:val="left"/>
      <w:rPr>
        <w:rFonts w:hint="default"/>
        <w:color w:val="auto"/>
      </w:rPr>
    </w:lvl>
    <w:lvl w:ilvl="2">
      <w:start w:val="1"/>
      <w:numFmt w:val="decimal"/>
      <w:lvlText w:val="%1.%2.%3"/>
      <w:lvlJc w:val="left"/>
      <w:pPr>
        <w:ind w:left="720" w:hanging="720"/>
      </w:pPr>
      <w:rPr>
        <w:rFonts w:hint="default"/>
        <w:color w:val="7030A0"/>
      </w:rPr>
    </w:lvl>
    <w:lvl w:ilvl="3">
      <w:start w:val="1"/>
      <w:numFmt w:val="decimal"/>
      <w:lvlText w:val="%1.%2.%3.%4"/>
      <w:lvlJc w:val="left"/>
      <w:pPr>
        <w:ind w:left="720" w:hanging="720"/>
      </w:pPr>
      <w:rPr>
        <w:rFonts w:hint="default"/>
        <w:color w:val="7030A0"/>
      </w:rPr>
    </w:lvl>
    <w:lvl w:ilvl="4">
      <w:start w:val="1"/>
      <w:numFmt w:val="decimal"/>
      <w:lvlText w:val="%1.%2.%3.%4.%5"/>
      <w:lvlJc w:val="left"/>
      <w:pPr>
        <w:ind w:left="1080" w:hanging="1080"/>
      </w:pPr>
      <w:rPr>
        <w:rFonts w:hint="default"/>
        <w:color w:val="7030A0"/>
      </w:rPr>
    </w:lvl>
    <w:lvl w:ilvl="5">
      <w:start w:val="1"/>
      <w:numFmt w:val="decimal"/>
      <w:lvlText w:val="%1.%2.%3.%4.%5.%6"/>
      <w:lvlJc w:val="left"/>
      <w:pPr>
        <w:ind w:left="1080" w:hanging="1080"/>
      </w:pPr>
      <w:rPr>
        <w:rFonts w:hint="default"/>
        <w:color w:val="7030A0"/>
      </w:rPr>
    </w:lvl>
    <w:lvl w:ilvl="6">
      <w:start w:val="1"/>
      <w:numFmt w:val="decimal"/>
      <w:lvlText w:val="%1.%2.%3.%4.%5.%6.%7"/>
      <w:lvlJc w:val="left"/>
      <w:pPr>
        <w:ind w:left="1440" w:hanging="1440"/>
      </w:pPr>
      <w:rPr>
        <w:rFonts w:hint="default"/>
        <w:color w:val="7030A0"/>
      </w:rPr>
    </w:lvl>
    <w:lvl w:ilvl="7">
      <w:start w:val="1"/>
      <w:numFmt w:val="decimal"/>
      <w:lvlText w:val="%1.%2.%3.%4.%5.%6.%7.%8"/>
      <w:lvlJc w:val="left"/>
      <w:pPr>
        <w:ind w:left="1440" w:hanging="1440"/>
      </w:pPr>
      <w:rPr>
        <w:rFonts w:hint="default"/>
        <w:color w:val="7030A0"/>
      </w:rPr>
    </w:lvl>
    <w:lvl w:ilvl="8">
      <w:start w:val="1"/>
      <w:numFmt w:val="decimal"/>
      <w:lvlText w:val="%1.%2.%3.%4.%5.%6.%7.%8.%9"/>
      <w:lvlJc w:val="left"/>
      <w:pPr>
        <w:ind w:left="1800" w:hanging="1800"/>
      </w:pPr>
      <w:rPr>
        <w:rFonts w:hint="default"/>
        <w:color w:val="7030A0"/>
      </w:rPr>
    </w:lvl>
  </w:abstractNum>
  <w:abstractNum w:abstractNumId="43" w15:restartNumberingAfterBreak="0">
    <w:nsid w:val="7C866270"/>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9"/>
  </w:num>
  <w:num w:numId="2">
    <w:abstractNumId w:val="22"/>
  </w:num>
  <w:num w:numId="3">
    <w:abstractNumId w:val="34"/>
  </w:num>
  <w:num w:numId="4">
    <w:abstractNumId w:val="41"/>
  </w:num>
  <w:num w:numId="5">
    <w:abstractNumId w:val="15"/>
  </w:num>
  <w:num w:numId="6">
    <w:abstractNumId w:val="30"/>
  </w:num>
  <w:num w:numId="7">
    <w:abstractNumId w:val="14"/>
  </w:num>
  <w:num w:numId="8">
    <w:abstractNumId w:val="31"/>
  </w:num>
  <w:num w:numId="9">
    <w:abstractNumId w:val="7"/>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1"/>
  </w:num>
  <w:num w:numId="13">
    <w:abstractNumId w:val="17"/>
  </w:num>
  <w:num w:numId="14">
    <w:abstractNumId w:val="38"/>
  </w:num>
  <w:num w:numId="15">
    <w:abstractNumId w:val="27"/>
  </w:num>
  <w:num w:numId="16">
    <w:abstractNumId w:val="21"/>
  </w:num>
  <w:num w:numId="17">
    <w:abstractNumId w:val="4"/>
  </w:num>
  <w:num w:numId="18">
    <w:abstractNumId w:val="40"/>
  </w:num>
  <w:num w:numId="19">
    <w:abstractNumId w:val="23"/>
  </w:num>
  <w:num w:numId="20">
    <w:abstractNumId w:val="13"/>
  </w:num>
  <w:num w:numId="21">
    <w:abstractNumId w:val="5"/>
  </w:num>
  <w:num w:numId="22">
    <w:abstractNumId w:val="3"/>
  </w:num>
  <w:num w:numId="23">
    <w:abstractNumId w:val="33"/>
  </w:num>
  <w:num w:numId="24">
    <w:abstractNumId w:val="36"/>
  </w:num>
  <w:num w:numId="25">
    <w:abstractNumId w:val="8"/>
  </w:num>
  <w:num w:numId="26">
    <w:abstractNumId w:val="39"/>
  </w:num>
  <w:num w:numId="27">
    <w:abstractNumId w:val="35"/>
  </w:num>
  <w:num w:numId="28">
    <w:abstractNumId w:val="2"/>
  </w:num>
  <w:num w:numId="29">
    <w:abstractNumId w:val="10"/>
  </w:num>
  <w:num w:numId="30">
    <w:abstractNumId w:val="28"/>
  </w:num>
  <w:num w:numId="31">
    <w:abstractNumId w:val="24"/>
  </w:num>
  <w:num w:numId="32">
    <w:abstractNumId w:val="32"/>
  </w:num>
  <w:num w:numId="33">
    <w:abstractNumId w:val="16"/>
  </w:num>
  <w:num w:numId="34">
    <w:abstractNumId w:val="42"/>
  </w:num>
  <w:num w:numId="35">
    <w:abstractNumId w:val="1"/>
  </w:num>
  <w:num w:numId="36">
    <w:abstractNumId w:val="37"/>
  </w:num>
  <w:num w:numId="37">
    <w:abstractNumId w:val="12"/>
  </w:num>
  <w:num w:numId="38">
    <w:abstractNumId w:val="9"/>
  </w:num>
  <w:num w:numId="39">
    <w:abstractNumId w:val="0"/>
  </w:num>
  <w:num w:numId="40">
    <w:abstractNumId w:val="26"/>
  </w:num>
  <w:num w:numId="41">
    <w:abstractNumId w:val="29"/>
  </w:num>
  <w:num w:numId="42">
    <w:abstractNumId w:val="20"/>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379"/>
    <w:rsid w:val="000004FB"/>
    <w:rsid w:val="00001052"/>
    <w:rsid w:val="00001326"/>
    <w:rsid w:val="000016E9"/>
    <w:rsid w:val="00002657"/>
    <w:rsid w:val="000035C1"/>
    <w:rsid w:val="00004904"/>
    <w:rsid w:val="00004EE5"/>
    <w:rsid w:val="00004FAA"/>
    <w:rsid w:val="0000514F"/>
    <w:rsid w:val="00005769"/>
    <w:rsid w:val="0000579C"/>
    <w:rsid w:val="00005C49"/>
    <w:rsid w:val="000100F2"/>
    <w:rsid w:val="00010826"/>
    <w:rsid w:val="00010A5E"/>
    <w:rsid w:val="00010A77"/>
    <w:rsid w:val="00010B89"/>
    <w:rsid w:val="00011A42"/>
    <w:rsid w:val="00011E41"/>
    <w:rsid w:val="00012119"/>
    <w:rsid w:val="00012127"/>
    <w:rsid w:val="000132BB"/>
    <w:rsid w:val="00013C87"/>
    <w:rsid w:val="00013E95"/>
    <w:rsid w:val="00014A47"/>
    <w:rsid w:val="00014AFB"/>
    <w:rsid w:val="00014DAE"/>
    <w:rsid w:val="000150D8"/>
    <w:rsid w:val="00015310"/>
    <w:rsid w:val="000164EC"/>
    <w:rsid w:val="00016550"/>
    <w:rsid w:val="000169E5"/>
    <w:rsid w:val="00020826"/>
    <w:rsid w:val="000214DD"/>
    <w:rsid w:val="00021DCB"/>
    <w:rsid w:val="0002206B"/>
    <w:rsid w:val="000221D7"/>
    <w:rsid w:val="00022E3B"/>
    <w:rsid w:val="000234E4"/>
    <w:rsid w:val="000241FD"/>
    <w:rsid w:val="00024349"/>
    <w:rsid w:val="0002538D"/>
    <w:rsid w:val="00025F37"/>
    <w:rsid w:val="0002603E"/>
    <w:rsid w:val="000262B2"/>
    <w:rsid w:val="00027051"/>
    <w:rsid w:val="000275F2"/>
    <w:rsid w:val="00027FA4"/>
    <w:rsid w:val="00030422"/>
    <w:rsid w:val="000304F4"/>
    <w:rsid w:val="00030944"/>
    <w:rsid w:val="000315D4"/>
    <w:rsid w:val="00031A1E"/>
    <w:rsid w:val="00031D2B"/>
    <w:rsid w:val="00032455"/>
    <w:rsid w:val="00032F27"/>
    <w:rsid w:val="000338B4"/>
    <w:rsid w:val="00033FE4"/>
    <w:rsid w:val="00034E7C"/>
    <w:rsid w:val="00035684"/>
    <w:rsid w:val="00036A60"/>
    <w:rsid w:val="00040080"/>
    <w:rsid w:val="000405AF"/>
    <w:rsid w:val="00040D7E"/>
    <w:rsid w:val="00041E68"/>
    <w:rsid w:val="000420C9"/>
    <w:rsid w:val="00042556"/>
    <w:rsid w:val="00042708"/>
    <w:rsid w:val="00042FAD"/>
    <w:rsid w:val="00044394"/>
    <w:rsid w:val="0004572A"/>
    <w:rsid w:val="00045871"/>
    <w:rsid w:val="00046963"/>
    <w:rsid w:val="00046D90"/>
    <w:rsid w:val="00047A4B"/>
    <w:rsid w:val="0005074C"/>
    <w:rsid w:val="000508EA"/>
    <w:rsid w:val="00050A24"/>
    <w:rsid w:val="00051F14"/>
    <w:rsid w:val="00052531"/>
    <w:rsid w:val="0005276D"/>
    <w:rsid w:val="00052EAC"/>
    <w:rsid w:val="00052FA0"/>
    <w:rsid w:val="00053317"/>
    <w:rsid w:val="00053E34"/>
    <w:rsid w:val="00055B45"/>
    <w:rsid w:val="00055D30"/>
    <w:rsid w:val="00055D5E"/>
    <w:rsid w:val="000564C4"/>
    <w:rsid w:val="00061D5A"/>
    <w:rsid w:val="00064D78"/>
    <w:rsid w:val="00064DCE"/>
    <w:rsid w:val="000652C3"/>
    <w:rsid w:val="00066FCA"/>
    <w:rsid w:val="00067275"/>
    <w:rsid w:val="000728F5"/>
    <w:rsid w:val="00072BC2"/>
    <w:rsid w:val="00074246"/>
    <w:rsid w:val="000747C0"/>
    <w:rsid w:val="0007492E"/>
    <w:rsid w:val="00074D58"/>
    <w:rsid w:val="0007590E"/>
    <w:rsid w:val="00076B27"/>
    <w:rsid w:val="00076BCD"/>
    <w:rsid w:val="00076E37"/>
    <w:rsid w:val="00080539"/>
    <w:rsid w:val="00080B06"/>
    <w:rsid w:val="00080C7F"/>
    <w:rsid w:val="00082149"/>
    <w:rsid w:val="00082523"/>
    <w:rsid w:val="00083FE1"/>
    <w:rsid w:val="00084304"/>
    <w:rsid w:val="000845DB"/>
    <w:rsid w:val="00084E2B"/>
    <w:rsid w:val="00085554"/>
    <w:rsid w:val="0008632A"/>
    <w:rsid w:val="00087F08"/>
    <w:rsid w:val="000911B9"/>
    <w:rsid w:val="00091876"/>
    <w:rsid w:val="00091FA4"/>
    <w:rsid w:val="00092522"/>
    <w:rsid w:val="0009276C"/>
    <w:rsid w:val="00092A2E"/>
    <w:rsid w:val="00092B1C"/>
    <w:rsid w:val="00092E99"/>
    <w:rsid w:val="00092F62"/>
    <w:rsid w:val="00093B94"/>
    <w:rsid w:val="00094267"/>
    <w:rsid w:val="000947B1"/>
    <w:rsid w:val="00095199"/>
    <w:rsid w:val="00095692"/>
    <w:rsid w:val="000959F9"/>
    <w:rsid w:val="00095A17"/>
    <w:rsid w:val="00095C34"/>
    <w:rsid w:val="00095CA6"/>
    <w:rsid w:val="00096D98"/>
    <w:rsid w:val="000970D1"/>
    <w:rsid w:val="00097BC9"/>
    <w:rsid w:val="00097ECA"/>
    <w:rsid w:val="000A02A4"/>
    <w:rsid w:val="000A0455"/>
    <w:rsid w:val="000A24FA"/>
    <w:rsid w:val="000A3B1B"/>
    <w:rsid w:val="000A467A"/>
    <w:rsid w:val="000A4955"/>
    <w:rsid w:val="000A5242"/>
    <w:rsid w:val="000A56AC"/>
    <w:rsid w:val="000A5ABE"/>
    <w:rsid w:val="000A5B2E"/>
    <w:rsid w:val="000A5E5E"/>
    <w:rsid w:val="000A62CE"/>
    <w:rsid w:val="000A68F7"/>
    <w:rsid w:val="000A714E"/>
    <w:rsid w:val="000A74F1"/>
    <w:rsid w:val="000B125C"/>
    <w:rsid w:val="000B1518"/>
    <w:rsid w:val="000B1692"/>
    <w:rsid w:val="000B1947"/>
    <w:rsid w:val="000B19A8"/>
    <w:rsid w:val="000B2822"/>
    <w:rsid w:val="000B2FE9"/>
    <w:rsid w:val="000B3196"/>
    <w:rsid w:val="000B328D"/>
    <w:rsid w:val="000B3426"/>
    <w:rsid w:val="000B3555"/>
    <w:rsid w:val="000B3F37"/>
    <w:rsid w:val="000B42EA"/>
    <w:rsid w:val="000B4340"/>
    <w:rsid w:val="000B4580"/>
    <w:rsid w:val="000B461D"/>
    <w:rsid w:val="000B46F8"/>
    <w:rsid w:val="000B65D9"/>
    <w:rsid w:val="000B6E41"/>
    <w:rsid w:val="000B7591"/>
    <w:rsid w:val="000B7673"/>
    <w:rsid w:val="000B7B8C"/>
    <w:rsid w:val="000C075A"/>
    <w:rsid w:val="000C0F6D"/>
    <w:rsid w:val="000C20DF"/>
    <w:rsid w:val="000C4114"/>
    <w:rsid w:val="000C49E3"/>
    <w:rsid w:val="000C4AAE"/>
    <w:rsid w:val="000C4B77"/>
    <w:rsid w:val="000C5102"/>
    <w:rsid w:val="000C63DC"/>
    <w:rsid w:val="000D0C6E"/>
    <w:rsid w:val="000D0FF1"/>
    <w:rsid w:val="000D1187"/>
    <w:rsid w:val="000D1AF8"/>
    <w:rsid w:val="000D1DEC"/>
    <w:rsid w:val="000D1FE1"/>
    <w:rsid w:val="000D290F"/>
    <w:rsid w:val="000D36FE"/>
    <w:rsid w:val="000D441B"/>
    <w:rsid w:val="000D49E3"/>
    <w:rsid w:val="000D4F6F"/>
    <w:rsid w:val="000D57EA"/>
    <w:rsid w:val="000D5FF1"/>
    <w:rsid w:val="000D6899"/>
    <w:rsid w:val="000D6B56"/>
    <w:rsid w:val="000D6F7E"/>
    <w:rsid w:val="000E094C"/>
    <w:rsid w:val="000E1245"/>
    <w:rsid w:val="000E17B4"/>
    <w:rsid w:val="000E23E5"/>
    <w:rsid w:val="000E285E"/>
    <w:rsid w:val="000E2C26"/>
    <w:rsid w:val="000E2DB0"/>
    <w:rsid w:val="000E2DFD"/>
    <w:rsid w:val="000E2F5C"/>
    <w:rsid w:val="000E3556"/>
    <w:rsid w:val="000E3C11"/>
    <w:rsid w:val="000E3F2A"/>
    <w:rsid w:val="000E4846"/>
    <w:rsid w:val="000E4ED2"/>
    <w:rsid w:val="000E5037"/>
    <w:rsid w:val="000E5333"/>
    <w:rsid w:val="000E5C2A"/>
    <w:rsid w:val="000E6B48"/>
    <w:rsid w:val="000E6CC3"/>
    <w:rsid w:val="000E702F"/>
    <w:rsid w:val="000E7109"/>
    <w:rsid w:val="000E7128"/>
    <w:rsid w:val="000E7134"/>
    <w:rsid w:val="000E7508"/>
    <w:rsid w:val="000E7AE5"/>
    <w:rsid w:val="000E7CFB"/>
    <w:rsid w:val="000F0338"/>
    <w:rsid w:val="000F058E"/>
    <w:rsid w:val="000F086B"/>
    <w:rsid w:val="000F0E39"/>
    <w:rsid w:val="000F1BDD"/>
    <w:rsid w:val="000F1FD8"/>
    <w:rsid w:val="000F2502"/>
    <w:rsid w:val="000F2B80"/>
    <w:rsid w:val="000F3232"/>
    <w:rsid w:val="000F33B4"/>
    <w:rsid w:val="000F4A91"/>
    <w:rsid w:val="000F4C26"/>
    <w:rsid w:val="000F4C90"/>
    <w:rsid w:val="000F56F8"/>
    <w:rsid w:val="000F685D"/>
    <w:rsid w:val="000F7394"/>
    <w:rsid w:val="001004EC"/>
    <w:rsid w:val="00101001"/>
    <w:rsid w:val="00101097"/>
    <w:rsid w:val="001011E5"/>
    <w:rsid w:val="001013BB"/>
    <w:rsid w:val="0010188D"/>
    <w:rsid w:val="0010195D"/>
    <w:rsid w:val="001019AE"/>
    <w:rsid w:val="00102CBC"/>
    <w:rsid w:val="00103B81"/>
    <w:rsid w:val="00103C23"/>
    <w:rsid w:val="00103D4F"/>
    <w:rsid w:val="0010451C"/>
    <w:rsid w:val="00104F23"/>
    <w:rsid w:val="001053B0"/>
    <w:rsid w:val="00105C8A"/>
    <w:rsid w:val="0010628B"/>
    <w:rsid w:val="00106A8E"/>
    <w:rsid w:val="00106C34"/>
    <w:rsid w:val="001071D9"/>
    <w:rsid w:val="0010768C"/>
    <w:rsid w:val="00107FA3"/>
    <w:rsid w:val="00110DFE"/>
    <w:rsid w:val="00110E29"/>
    <w:rsid w:val="00111580"/>
    <w:rsid w:val="00112C24"/>
    <w:rsid w:val="00113E4C"/>
    <w:rsid w:val="001144FC"/>
    <w:rsid w:val="00114BE9"/>
    <w:rsid w:val="00115088"/>
    <w:rsid w:val="001174B3"/>
    <w:rsid w:val="00117744"/>
    <w:rsid w:val="00117F96"/>
    <w:rsid w:val="00120015"/>
    <w:rsid w:val="0012045B"/>
    <w:rsid w:val="00120C5A"/>
    <w:rsid w:val="001217D8"/>
    <w:rsid w:val="00122EEE"/>
    <w:rsid w:val="00122F3D"/>
    <w:rsid w:val="00122FF7"/>
    <w:rsid w:val="00123733"/>
    <w:rsid w:val="00123BE9"/>
    <w:rsid w:val="001240BC"/>
    <w:rsid w:val="0012456B"/>
    <w:rsid w:val="00124BC0"/>
    <w:rsid w:val="00125E19"/>
    <w:rsid w:val="0012602E"/>
    <w:rsid w:val="00126D98"/>
    <w:rsid w:val="001270AD"/>
    <w:rsid w:val="00127D2A"/>
    <w:rsid w:val="0013021A"/>
    <w:rsid w:val="001312BC"/>
    <w:rsid w:val="00131329"/>
    <w:rsid w:val="001315C4"/>
    <w:rsid w:val="00132180"/>
    <w:rsid w:val="00132D0F"/>
    <w:rsid w:val="001336F1"/>
    <w:rsid w:val="00133ABA"/>
    <w:rsid w:val="00133D79"/>
    <w:rsid w:val="00133E39"/>
    <w:rsid w:val="0013473F"/>
    <w:rsid w:val="001349DE"/>
    <w:rsid w:val="00134A51"/>
    <w:rsid w:val="00134D8B"/>
    <w:rsid w:val="00134FBE"/>
    <w:rsid w:val="0013557F"/>
    <w:rsid w:val="001356AC"/>
    <w:rsid w:val="00135732"/>
    <w:rsid w:val="00135A68"/>
    <w:rsid w:val="001362D3"/>
    <w:rsid w:val="0013669D"/>
    <w:rsid w:val="001368AF"/>
    <w:rsid w:val="00136F8C"/>
    <w:rsid w:val="00137C05"/>
    <w:rsid w:val="00137F8E"/>
    <w:rsid w:val="0014005E"/>
    <w:rsid w:val="001401A7"/>
    <w:rsid w:val="001401E4"/>
    <w:rsid w:val="00140F88"/>
    <w:rsid w:val="00141742"/>
    <w:rsid w:val="001422B8"/>
    <w:rsid w:val="00142402"/>
    <w:rsid w:val="0014270B"/>
    <w:rsid w:val="00142980"/>
    <w:rsid w:val="00142F39"/>
    <w:rsid w:val="00143617"/>
    <w:rsid w:val="00143C06"/>
    <w:rsid w:val="00144C02"/>
    <w:rsid w:val="00144C84"/>
    <w:rsid w:val="001454B1"/>
    <w:rsid w:val="00145530"/>
    <w:rsid w:val="00145AA1"/>
    <w:rsid w:val="00146287"/>
    <w:rsid w:val="00146324"/>
    <w:rsid w:val="00146C05"/>
    <w:rsid w:val="00147AF3"/>
    <w:rsid w:val="001507CA"/>
    <w:rsid w:val="00150A27"/>
    <w:rsid w:val="00150EA7"/>
    <w:rsid w:val="0015124A"/>
    <w:rsid w:val="00151680"/>
    <w:rsid w:val="001522F6"/>
    <w:rsid w:val="0015279D"/>
    <w:rsid w:val="00152ED9"/>
    <w:rsid w:val="00152FED"/>
    <w:rsid w:val="00154C23"/>
    <w:rsid w:val="00155038"/>
    <w:rsid w:val="0015552A"/>
    <w:rsid w:val="00155807"/>
    <w:rsid w:val="0015655C"/>
    <w:rsid w:val="00157420"/>
    <w:rsid w:val="001575AA"/>
    <w:rsid w:val="001575AD"/>
    <w:rsid w:val="00157BD1"/>
    <w:rsid w:val="0016058D"/>
    <w:rsid w:val="001606E8"/>
    <w:rsid w:val="001612AD"/>
    <w:rsid w:val="0016187C"/>
    <w:rsid w:val="001619A0"/>
    <w:rsid w:val="00162237"/>
    <w:rsid w:val="001626A4"/>
    <w:rsid w:val="00162BFE"/>
    <w:rsid w:val="0016350C"/>
    <w:rsid w:val="001641A2"/>
    <w:rsid w:val="00164E02"/>
    <w:rsid w:val="001659F8"/>
    <w:rsid w:val="001665F7"/>
    <w:rsid w:val="00166B36"/>
    <w:rsid w:val="0016714B"/>
    <w:rsid w:val="001703B7"/>
    <w:rsid w:val="00172186"/>
    <w:rsid w:val="00175AEC"/>
    <w:rsid w:val="00176745"/>
    <w:rsid w:val="00177167"/>
    <w:rsid w:val="00177766"/>
    <w:rsid w:val="00177801"/>
    <w:rsid w:val="00180491"/>
    <w:rsid w:val="00180D54"/>
    <w:rsid w:val="00181F89"/>
    <w:rsid w:val="00182904"/>
    <w:rsid w:val="00182BCD"/>
    <w:rsid w:val="00183421"/>
    <w:rsid w:val="0018357C"/>
    <w:rsid w:val="00184123"/>
    <w:rsid w:val="00184186"/>
    <w:rsid w:val="001841EB"/>
    <w:rsid w:val="0018454F"/>
    <w:rsid w:val="0018528E"/>
    <w:rsid w:val="00185565"/>
    <w:rsid w:val="0018578F"/>
    <w:rsid w:val="00187118"/>
    <w:rsid w:val="0018757B"/>
    <w:rsid w:val="00187859"/>
    <w:rsid w:val="00187BD7"/>
    <w:rsid w:val="001904A6"/>
    <w:rsid w:val="001906AA"/>
    <w:rsid w:val="001906EB"/>
    <w:rsid w:val="00192026"/>
    <w:rsid w:val="0019251E"/>
    <w:rsid w:val="00193BF7"/>
    <w:rsid w:val="0019455C"/>
    <w:rsid w:val="00194C12"/>
    <w:rsid w:val="00195EBC"/>
    <w:rsid w:val="00197237"/>
    <w:rsid w:val="00197D31"/>
    <w:rsid w:val="001A150B"/>
    <w:rsid w:val="001A3939"/>
    <w:rsid w:val="001A3E94"/>
    <w:rsid w:val="001A4252"/>
    <w:rsid w:val="001A4728"/>
    <w:rsid w:val="001A55B3"/>
    <w:rsid w:val="001A569E"/>
    <w:rsid w:val="001A5DDC"/>
    <w:rsid w:val="001A791E"/>
    <w:rsid w:val="001A79BB"/>
    <w:rsid w:val="001B0824"/>
    <w:rsid w:val="001B09A1"/>
    <w:rsid w:val="001B1114"/>
    <w:rsid w:val="001B18C5"/>
    <w:rsid w:val="001B1AE8"/>
    <w:rsid w:val="001B20CA"/>
    <w:rsid w:val="001B2642"/>
    <w:rsid w:val="001B27E1"/>
    <w:rsid w:val="001B30A9"/>
    <w:rsid w:val="001B383D"/>
    <w:rsid w:val="001B3A81"/>
    <w:rsid w:val="001B41DA"/>
    <w:rsid w:val="001B42E6"/>
    <w:rsid w:val="001B4607"/>
    <w:rsid w:val="001B54CC"/>
    <w:rsid w:val="001B74D4"/>
    <w:rsid w:val="001B7790"/>
    <w:rsid w:val="001B77F1"/>
    <w:rsid w:val="001B7D20"/>
    <w:rsid w:val="001C1369"/>
    <w:rsid w:val="001C2156"/>
    <w:rsid w:val="001C2468"/>
    <w:rsid w:val="001C2BE3"/>
    <w:rsid w:val="001C2ED6"/>
    <w:rsid w:val="001C4411"/>
    <w:rsid w:val="001C49C6"/>
    <w:rsid w:val="001C4E82"/>
    <w:rsid w:val="001C4F3D"/>
    <w:rsid w:val="001C56AA"/>
    <w:rsid w:val="001C5817"/>
    <w:rsid w:val="001C5B11"/>
    <w:rsid w:val="001C62D8"/>
    <w:rsid w:val="001C654B"/>
    <w:rsid w:val="001C7202"/>
    <w:rsid w:val="001C75EE"/>
    <w:rsid w:val="001C7D6C"/>
    <w:rsid w:val="001C7E40"/>
    <w:rsid w:val="001D0E8F"/>
    <w:rsid w:val="001D1178"/>
    <w:rsid w:val="001D147F"/>
    <w:rsid w:val="001D1813"/>
    <w:rsid w:val="001D2351"/>
    <w:rsid w:val="001D2363"/>
    <w:rsid w:val="001D2858"/>
    <w:rsid w:val="001D2CA2"/>
    <w:rsid w:val="001D3471"/>
    <w:rsid w:val="001D393F"/>
    <w:rsid w:val="001D5FAA"/>
    <w:rsid w:val="001D62D3"/>
    <w:rsid w:val="001D784C"/>
    <w:rsid w:val="001E026B"/>
    <w:rsid w:val="001E162F"/>
    <w:rsid w:val="001E19B4"/>
    <w:rsid w:val="001E2385"/>
    <w:rsid w:val="001E2841"/>
    <w:rsid w:val="001E2A2F"/>
    <w:rsid w:val="001E351A"/>
    <w:rsid w:val="001E56D2"/>
    <w:rsid w:val="001E588A"/>
    <w:rsid w:val="001E7334"/>
    <w:rsid w:val="001E7FFE"/>
    <w:rsid w:val="001F0174"/>
    <w:rsid w:val="001F08D3"/>
    <w:rsid w:val="001F0C02"/>
    <w:rsid w:val="001F0CB8"/>
    <w:rsid w:val="001F0CB9"/>
    <w:rsid w:val="001F1540"/>
    <w:rsid w:val="001F1CD0"/>
    <w:rsid w:val="001F1F13"/>
    <w:rsid w:val="001F23A0"/>
    <w:rsid w:val="001F258F"/>
    <w:rsid w:val="001F259D"/>
    <w:rsid w:val="001F2E92"/>
    <w:rsid w:val="001F39AF"/>
    <w:rsid w:val="001F4180"/>
    <w:rsid w:val="001F4236"/>
    <w:rsid w:val="001F481D"/>
    <w:rsid w:val="001F4F21"/>
    <w:rsid w:val="001F5B1D"/>
    <w:rsid w:val="001F6650"/>
    <w:rsid w:val="001F6A7F"/>
    <w:rsid w:val="001F7CF6"/>
    <w:rsid w:val="00201534"/>
    <w:rsid w:val="0020272C"/>
    <w:rsid w:val="00202D14"/>
    <w:rsid w:val="0020384E"/>
    <w:rsid w:val="00203CF4"/>
    <w:rsid w:val="00203F3F"/>
    <w:rsid w:val="002047E2"/>
    <w:rsid w:val="00204DBE"/>
    <w:rsid w:val="00204F72"/>
    <w:rsid w:val="002054EC"/>
    <w:rsid w:val="00205C0B"/>
    <w:rsid w:val="00206D8A"/>
    <w:rsid w:val="00206DFB"/>
    <w:rsid w:val="00207288"/>
    <w:rsid w:val="00207E93"/>
    <w:rsid w:val="002101D4"/>
    <w:rsid w:val="00210253"/>
    <w:rsid w:val="002109C4"/>
    <w:rsid w:val="0021131C"/>
    <w:rsid w:val="00211821"/>
    <w:rsid w:val="002125E4"/>
    <w:rsid w:val="0021269B"/>
    <w:rsid w:val="00212F8E"/>
    <w:rsid w:val="00213015"/>
    <w:rsid w:val="00213911"/>
    <w:rsid w:val="00213BF6"/>
    <w:rsid w:val="002142F7"/>
    <w:rsid w:val="00214479"/>
    <w:rsid w:val="002144BC"/>
    <w:rsid w:val="00214CF9"/>
    <w:rsid w:val="00215D57"/>
    <w:rsid w:val="00216114"/>
    <w:rsid w:val="00220867"/>
    <w:rsid w:val="00220B48"/>
    <w:rsid w:val="00221606"/>
    <w:rsid w:val="00222301"/>
    <w:rsid w:val="00222C05"/>
    <w:rsid w:val="00222D2C"/>
    <w:rsid w:val="00222F10"/>
    <w:rsid w:val="002230E2"/>
    <w:rsid w:val="002245E1"/>
    <w:rsid w:val="00225B10"/>
    <w:rsid w:val="00225F3A"/>
    <w:rsid w:val="002260B6"/>
    <w:rsid w:val="0022674D"/>
    <w:rsid w:val="00226F9E"/>
    <w:rsid w:val="002273A9"/>
    <w:rsid w:val="00227480"/>
    <w:rsid w:val="0023013A"/>
    <w:rsid w:val="00230475"/>
    <w:rsid w:val="00231044"/>
    <w:rsid w:val="00231ECA"/>
    <w:rsid w:val="00231F72"/>
    <w:rsid w:val="002324F9"/>
    <w:rsid w:val="002325C0"/>
    <w:rsid w:val="00232823"/>
    <w:rsid w:val="00232FA5"/>
    <w:rsid w:val="00233300"/>
    <w:rsid w:val="00233785"/>
    <w:rsid w:val="00234788"/>
    <w:rsid w:val="0023480D"/>
    <w:rsid w:val="00236D79"/>
    <w:rsid w:val="00237929"/>
    <w:rsid w:val="00237D0A"/>
    <w:rsid w:val="0024149B"/>
    <w:rsid w:val="00241630"/>
    <w:rsid w:val="002426C2"/>
    <w:rsid w:val="00242D51"/>
    <w:rsid w:val="00242EDA"/>
    <w:rsid w:val="002432F2"/>
    <w:rsid w:val="002438E5"/>
    <w:rsid w:val="00243921"/>
    <w:rsid w:val="002447A1"/>
    <w:rsid w:val="00244C03"/>
    <w:rsid w:val="002456FA"/>
    <w:rsid w:val="00245B92"/>
    <w:rsid w:val="00245EDF"/>
    <w:rsid w:val="0024653B"/>
    <w:rsid w:val="0024686D"/>
    <w:rsid w:val="00246C8A"/>
    <w:rsid w:val="00247901"/>
    <w:rsid w:val="00250ECB"/>
    <w:rsid w:val="00251A01"/>
    <w:rsid w:val="00251D69"/>
    <w:rsid w:val="00251DA0"/>
    <w:rsid w:val="002529FD"/>
    <w:rsid w:val="00252B92"/>
    <w:rsid w:val="00253844"/>
    <w:rsid w:val="00254488"/>
    <w:rsid w:val="002546BE"/>
    <w:rsid w:val="00254AA3"/>
    <w:rsid w:val="00254B61"/>
    <w:rsid w:val="00254BCE"/>
    <w:rsid w:val="0025526F"/>
    <w:rsid w:val="0025714D"/>
    <w:rsid w:val="002578E9"/>
    <w:rsid w:val="002579A6"/>
    <w:rsid w:val="00257F8D"/>
    <w:rsid w:val="00260DE0"/>
    <w:rsid w:val="00260F87"/>
    <w:rsid w:val="0026113F"/>
    <w:rsid w:val="002620A9"/>
    <w:rsid w:val="00262C09"/>
    <w:rsid w:val="00262E4A"/>
    <w:rsid w:val="002653C3"/>
    <w:rsid w:val="00265F8F"/>
    <w:rsid w:val="00266719"/>
    <w:rsid w:val="00266754"/>
    <w:rsid w:val="00266D14"/>
    <w:rsid w:val="0026772B"/>
    <w:rsid w:val="0027003B"/>
    <w:rsid w:val="0027051C"/>
    <w:rsid w:val="00270A5B"/>
    <w:rsid w:val="00271213"/>
    <w:rsid w:val="00272392"/>
    <w:rsid w:val="00272479"/>
    <w:rsid w:val="002727FE"/>
    <w:rsid w:val="00272E30"/>
    <w:rsid w:val="00273AA1"/>
    <w:rsid w:val="00274798"/>
    <w:rsid w:val="00275628"/>
    <w:rsid w:val="00275AEC"/>
    <w:rsid w:val="00276396"/>
    <w:rsid w:val="002763D8"/>
    <w:rsid w:val="00276911"/>
    <w:rsid w:val="002769B7"/>
    <w:rsid w:val="002778E6"/>
    <w:rsid w:val="00277D78"/>
    <w:rsid w:val="0028143B"/>
    <w:rsid w:val="00281528"/>
    <w:rsid w:val="0028185C"/>
    <w:rsid w:val="00281B00"/>
    <w:rsid w:val="002826C9"/>
    <w:rsid w:val="00282D56"/>
    <w:rsid w:val="00282FE8"/>
    <w:rsid w:val="00283A7B"/>
    <w:rsid w:val="002845AD"/>
    <w:rsid w:val="0028482D"/>
    <w:rsid w:val="0028565A"/>
    <w:rsid w:val="002856EF"/>
    <w:rsid w:val="0028659D"/>
    <w:rsid w:val="00286862"/>
    <w:rsid w:val="00286929"/>
    <w:rsid w:val="00286D87"/>
    <w:rsid w:val="00286EC3"/>
    <w:rsid w:val="00286ECF"/>
    <w:rsid w:val="00287A15"/>
    <w:rsid w:val="00287A88"/>
    <w:rsid w:val="00287D29"/>
    <w:rsid w:val="0029019D"/>
    <w:rsid w:val="00290965"/>
    <w:rsid w:val="002909A3"/>
    <w:rsid w:val="00290EB1"/>
    <w:rsid w:val="00291264"/>
    <w:rsid w:val="0029172A"/>
    <w:rsid w:val="00291B6E"/>
    <w:rsid w:val="00291BB4"/>
    <w:rsid w:val="002924B9"/>
    <w:rsid w:val="00293011"/>
    <w:rsid w:val="00293204"/>
    <w:rsid w:val="00293EBB"/>
    <w:rsid w:val="00294450"/>
    <w:rsid w:val="00294911"/>
    <w:rsid w:val="00294DA5"/>
    <w:rsid w:val="002953BE"/>
    <w:rsid w:val="00295C1B"/>
    <w:rsid w:val="002967E7"/>
    <w:rsid w:val="00296B77"/>
    <w:rsid w:val="002977BC"/>
    <w:rsid w:val="00297DC4"/>
    <w:rsid w:val="002A03BB"/>
    <w:rsid w:val="002A17AD"/>
    <w:rsid w:val="002A25B9"/>
    <w:rsid w:val="002A3686"/>
    <w:rsid w:val="002A36A4"/>
    <w:rsid w:val="002A3BF4"/>
    <w:rsid w:val="002A428E"/>
    <w:rsid w:val="002A42D3"/>
    <w:rsid w:val="002A5413"/>
    <w:rsid w:val="002A58EF"/>
    <w:rsid w:val="002A5C4D"/>
    <w:rsid w:val="002A66E5"/>
    <w:rsid w:val="002B0B04"/>
    <w:rsid w:val="002B0F0F"/>
    <w:rsid w:val="002B18F4"/>
    <w:rsid w:val="002B1C64"/>
    <w:rsid w:val="002B2ADF"/>
    <w:rsid w:val="002B32C0"/>
    <w:rsid w:val="002B5F15"/>
    <w:rsid w:val="002B71F2"/>
    <w:rsid w:val="002C1497"/>
    <w:rsid w:val="002C175A"/>
    <w:rsid w:val="002C1E98"/>
    <w:rsid w:val="002C386E"/>
    <w:rsid w:val="002C4F94"/>
    <w:rsid w:val="002C623A"/>
    <w:rsid w:val="002D002B"/>
    <w:rsid w:val="002D0DE9"/>
    <w:rsid w:val="002D1823"/>
    <w:rsid w:val="002D1BE4"/>
    <w:rsid w:val="002D2202"/>
    <w:rsid w:val="002D271D"/>
    <w:rsid w:val="002D2C45"/>
    <w:rsid w:val="002D326D"/>
    <w:rsid w:val="002D3410"/>
    <w:rsid w:val="002D3A3C"/>
    <w:rsid w:val="002D4087"/>
    <w:rsid w:val="002D58C6"/>
    <w:rsid w:val="002D5C41"/>
    <w:rsid w:val="002D659A"/>
    <w:rsid w:val="002D65EA"/>
    <w:rsid w:val="002D6A92"/>
    <w:rsid w:val="002D7AC7"/>
    <w:rsid w:val="002D7FB5"/>
    <w:rsid w:val="002E1044"/>
    <w:rsid w:val="002E2483"/>
    <w:rsid w:val="002E2C88"/>
    <w:rsid w:val="002E3399"/>
    <w:rsid w:val="002E40C9"/>
    <w:rsid w:val="002E5F6F"/>
    <w:rsid w:val="002E7094"/>
    <w:rsid w:val="002E7F53"/>
    <w:rsid w:val="002F07BE"/>
    <w:rsid w:val="002F0D21"/>
    <w:rsid w:val="002F0D60"/>
    <w:rsid w:val="002F0FFB"/>
    <w:rsid w:val="002F19A5"/>
    <w:rsid w:val="002F1A45"/>
    <w:rsid w:val="002F21D0"/>
    <w:rsid w:val="002F243F"/>
    <w:rsid w:val="002F27BC"/>
    <w:rsid w:val="002F2D89"/>
    <w:rsid w:val="002F2FB6"/>
    <w:rsid w:val="002F3CAE"/>
    <w:rsid w:val="002F3FD8"/>
    <w:rsid w:val="002F48D5"/>
    <w:rsid w:val="002F4C06"/>
    <w:rsid w:val="002F4C9F"/>
    <w:rsid w:val="002F5958"/>
    <w:rsid w:val="002F5DC8"/>
    <w:rsid w:val="002F5E82"/>
    <w:rsid w:val="002F6FC5"/>
    <w:rsid w:val="002F7D71"/>
    <w:rsid w:val="00300D15"/>
    <w:rsid w:val="00300D77"/>
    <w:rsid w:val="00300EBF"/>
    <w:rsid w:val="00301C2C"/>
    <w:rsid w:val="00301D0F"/>
    <w:rsid w:val="00301F98"/>
    <w:rsid w:val="0030200E"/>
    <w:rsid w:val="0030285A"/>
    <w:rsid w:val="00302C01"/>
    <w:rsid w:val="0030324D"/>
    <w:rsid w:val="00303462"/>
    <w:rsid w:val="00304499"/>
    <w:rsid w:val="0030455C"/>
    <w:rsid w:val="003056B5"/>
    <w:rsid w:val="003059F0"/>
    <w:rsid w:val="0030788D"/>
    <w:rsid w:val="00310159"/>
    <w:rsid w:val="003104AE"/>
    <w:rsid w:val="003108D0"/>
    <w:rsid w:val="003110F4"/>
    <w:rsid w:val="00311463"/>
    <w:rsid w:val="00311469"/>
    <w:rsid w:val="00311B4D"/>
    <w:rsid w:val="00311EFF"/>
    <w:rsid w:val="003125C8"/>
    <w:rsid w:val="0031297E"/>
    <w:rsid w:val="00313702"/>
    <w:rsid w:val="00313EC6"/>
    <w:rsid w:val="00313EED"/>
    <w:rsid w:val="0031406C"/>
    <w:rsid w:val="00315258"/>
    <w:rsid w:val="00315A21"/>
    <w:rsid w:val="00315A7D"/>
    <w:rsid w:val="0031607E"/>
    <w:rsid w:val="003163F6"/>
    <w:rsid w:val="0031668D"/>
    <w:rsid w:val="00316709"/>
    <w:rsid w:val="00316D04"/>
    <w:rsid w:val="003176AA"/>
    <w:rsid w:val="0032102D"/>
    <w:rsid w:val="003212B5"/>
    <w:rsid w:val="00322514"/>
    <w:rsid w:val="0032325A"/>
    <w:rsid w:val="00323969"/>
    <w:rsid w:val="003239F7"/>
    <w:rsid w:val="00323D95"/>
    <w:rsid w:val="00325006"/>
    <w:rsid w:val="0032534A"/>
    <w:rsid w:val="00325839"/>
    <w:rsid w:val="00325978"/>
    <w:rsid w:val="00326517"/>
    <w:rsid w:val="0032674A"/>
    <w:rsid w:val="00327E19"/>
    <w:rsid w:val="00330319"/>
    <w:rsid w:val="003308E0"/>
    <w:rsid w:val="0033095A"/>
    <w:rsid w:val="00330E32"/>
    <w:rsid w:val="0033136F"/>
    <w:rsid w:val="003326C8"/>
    <w:rsid w:val="00332DCF"/>
    <w:rsid w:val="003343F3"/>
    <w:rsid w:val="00335849"/>
    <w:rsid w:val="00335C6D"/>
    <w:rsid w:val="0033626E"/>
    <w:rsid w:val="003362A1"/>
    <w:rsid w:val="00336754"/>
    <w:rsid w:val="00337FA0"/>
    <w:rsid w:val="00337FBE"/>
    <w:rsid w:val="003400F0"/>
    <w:rsid w:val="00340150"/>
    <w:rsid w:val="00340A0B"/>
    <w:rsid w:val="0034129B"/>
    <w:rsid w:val="003418E0"/>
    <w:rsid w:val="00341F77"/>
    <w:rsid w:val="00342B0B"/>
    <w:rsid w:val="00343208"/>
    <w:rsid w:val="003438DA"/>
    <w:rsid w:val="00343C42"/>
    <w:rsid w:val="00343DCB"/>
    <w:rsid w:val="00344FC5"/>
    <w:rsid w:val="003468EE"/>
    <w:rsid w:val="003472BF"/>
    <w:rsid w:val="00347496"/>
    <w:rsid w:val="00347654"/>
    <w:rsid w:val="00347BAC"/>
    <w:rsid w:val="00347CB4"/>
    <w:rsid w:val="00347D57"/>
    <w:rsid w:val="00350F03"/>
    <w:rsid w:val="0035125C"/>
    <w:rsid w:val="00352307"/>
    <w:rsid w:val="0035246F"/>
    <w:rsid w:val="00352D31"/>
    <w:rsid w:val="00352E46"/>
    <w:rsid w:val="00352FBC"/>
    <w:rsid w:val="0035361F"/>
    <w:rsid w:val="00353FCA"/>
    <w:rsid w:val="003540BE"/>
    <w:rsid w:val="003542DE"/>
    <w:rsid w:val="00354A5D"/>
    <w:rsid w:val="00354C24"/>
    <w:rsid w:val="00354CCF"/>
    <w:rsid w:val="00357ECD"/>
    <w:rsid w:val="00360293"/>
    <w:rsid w:val="00360437"/>
    <w:rsid w:val="00360824"/>
    <w:rsid w:val="00360995"/>
    <w:rsid w:val="00361260"/>
    <w:rsid w:val="00361A98"/>
    <w:rsid w:val="0036225E"/>
    <w:rsid w:val="003623FD"/>
    <w:rsid w:val="00362A2A"/>
    <w:rsid w:val="003632AD"/>
    <w:rsid w:val="00363C5E"/>
    <w:rsid w:val="00364060"/>
    <w:rsid w:val="0036480B"/>
    <w:rsid w:val="00364CA3"/>
    <w:rsid w:val="003650EA"/>
    <w:rsid w:val="00365F61"/>
    <w:rsid w:val="00366232"/>
    <w:rsid w:val="003707A3"/>
    <w:rsid w:val="00370A7A"/>
    <w:rsid w:val="00370AFF"/>
    <w:rsid w:val="0037190C"/>
    <w:rsid w:val="00372154"/>
    <w:rsid w:val="0037230A"/>
    <w:rsid w:val="0037341F"/>
    <w:rsid w:val="00373A27"/>
    <w:rsid w:val="00373F4B"/>
    <w:rsid w:val="003741CF"/>
    <w:rsid w:val="003744E4"/>
    <w:rsid w:val="00374697"/>
    <w:rsid w:val="00374E7E"/>
    <w:rsid w:val="0037585B"/>
    <w:rsid w:val="00376E48"/>
    <w:rsid w:val="0038091F"/>
    <w:rsid w:val="00380C69"/>
    <w:rsid w:val="00381BDB"/>
    <w:rsid w:val="00382F26"/>
    <w:rsid w:val="00383BBE"/>
    <w:rsid w:val="0038461B"/>
    <w:rsid w:val="00384F77"/>
    <w:rsid w:val="00384F90"/>
    <w:rsid w:val="00385291"/>
    <w:rsid w:val="00385E65"/>
    <w:rsid w:val="003871FA"/>
    <w:rsid w:val="00390A83"/>
    <w:rsid w:val="003912C2"/>
    <w:rsid w:val="003914DB"/>
    <w:rsid w:val="003920D6"/>
    <w:rsid w:val="00392D73"/>
    <w:rsid w:val="0039413A"/>
    <w:rsid w:val="003945F1"/>
    <w:rsid w:val="003948B6"/>
    <w:rsid w:val="00394FA1"/>
    <w:rsid w:val="00395184"/>
    <w:rsid w:val="00395AE0"/>
    <w:rsid w:val="00395C43"/>
    <w:rsid w:val="0039631F"/>
    <w:rsid w:val="0039689E"/>
    <w:rsid w:val="00396EF5"/>
    <w:rsid w:val="00397017"/>
    <w:rsid w:val="003A0638"/>
    <w:rsid w:val="003A0B4E"/>
    <w:rsid w:val="003A18B0"/>
    <w:rsid w:val="003A1AFA"/>
    <w:rsid w:val="003A1B60"/>
    <w:rsid w:val="003A24F0"/>
    <w:rsid w:val="003A3087"/>
    <w:rsid w:val="003A38AA"/>
    <w:rsid w:val="003A4694"/>
    <w:rsid w:val="003A47A7"/>
    <w:rsid w:val="003A4D27"/>
    <w:rsid w:val="003A5AC7"/>
    <w:rsid w:val="003A5D30"/>
    <w:rsid w:val="003A5F45"/>
    <w:rsid w:val="003A672D"/>
    <w:rsid w:val="003B0043"/>
    <w:rsid w:val="003B0A68"/>
    <w:rsid w:val="003B10B9"/>
    <w:rsid w:val="003B15D1"/>
    <w:rsid w:val="003B351B"/>
    <w:rsid w:val="003B388F"/>
    <w:rsid w:val="003B3CD5"/>
    <w:rsid w:val="003B3FEA"/>
    <w:rsid w:val="003B5304"/>
    <w:rsid w:val="003B5A16"/>
    <w:rsid w:val="003B5B19"/>
    <w:rsid w:val="003B60FA"/>
    <w:rsid w:val="003B6BE4"/>
    <w:rsid w:val="003B7AA4"/>
    <w:rsid w:val="003B7E01"/>
    <w:rsid w:val="003C1E58"/>
    <w:rsid w:val="003C20B9"/>
    <w:rsid w:val="003C2F00"/>
    <w:rsid w:val="003C4C84"/>
    <w:rsid w:val="003C548F"/>
    <w:rsid w:val="003C5D11"/>
    <w:rsid w:val="003C63B0"/>
    <w:rsid w:val="003C6E39"/>
    <w:rsid w:val="003C7EA0"/>
    <w:rsid w:val="003D0AB3"/>
    <w:rsid w:val="003D155C"/>
    <w:rsid w:val="003D15DB"/>
    <w:rsid w:val="003D1FBC"/>
    <w:rsid w:val="003D22BF"/>
    <w:rsid w:val="003D274B"/>
    <w:rsid w:val="003D280C"/>
    <w:rsid w:val="003D2C62"/>
    <w:rsid w:val="003D426B"/>
    <w:rsid w:val="003D4AC7"/>
    <w:rsid w:val="003D4CA4"/>
    <w:rsid w:val="003D5826"/>
    <w:rsid w:val="003D5988"/>
    <w:rsid w:val="003D5DB2"/>
    <w:rsid w:val="003D7D25"/>
    <w:rsid w:val="003D7F0D"/>
    <w:rsid w:val="003E122E"/>
    <w:rsid w:val="003E22A9"/>
    <w:rsid w:val="003E3895"/>
    <w:rsid w:val="003E3C9D"/>
    <w:rsid w:val="003E4582"/>
    <w:rsid w:val="003E5200"/>
    <w:rsid w:val="003E7435"/>
    <w:rsid w:val="003E7671"/>
    <w:rsid w:val="003E7678"/>
    <w:rsid w:val="003E7A06"/>
    <w:rsid w:val="003F10B5"/>
    <w:rsid w:val="003F1136"/>
    <w:rsid w:val="003F1DD3"/>
    <w:rsid w:val="003F1E2E"/>
    <w:rsid w:val="003F2274"/>
    <w:rsid w:val="003F2278"/>
    <w:rsid w:val="003F27C0"/>
    <w:rsid w:val="003F2EB8"/>
    <w:rsid w:val="003F2FC7"/>
    <w:rsid w:val="003F36E0"/>
    <w:rsid w:val="003F3D1C"/>
    <w:rsid w:val="003F45BF"/>
    <w:rsid w:val="003F4DA8"/>
    <w:rsid w:val="003F5683"/>
    <w:rsid w:val="003F5739"/>
    <w:rsid w:val="003F5A83"/>
    <w:rsid w:val="003F5CCE"/>
    <w:rsid w:val="003F6FF2"/>
    <w:rsid w:val="003F73B5"/>
    <w:rsid w:val="003F7DC4"/>
    <w:rsid w:val="003F7EB0"/>
    <w:rsid w:val="004005DB"/>
    <w:rsid w:val="00400847"/>
    <w:rsid w:val="004013D0"/>
    <w:rsid w:val="0040193A"/>
    <w:rsid w:val="0040196B"/>
    <w:rsid w:val="004019A9"/>
    <w:rsid w:val="004019E4"/>
    <w:rsid w:val="00401EC3"/>
    <w:rsid w:val="0040225C"/>
    <w:rsid w:val="0040257D"/>
    <w:rsid w:val="00402633"/>
    <w:rsid w:val="004028F9"/>
    <w:rsid w:val="00403190"/>
    <w:rsid w:val="004040FC"/>
    <w:rsid w:val="0040439C"/>
    <w:rsid w:val="00404FED"/>
    <w:rsid w:val="004059C3"/>
    <w:rsid w:val="00405E39"/>
    <w:rsid w:val="00406C92"/>
    <w:rsid w:val="00406DB4"/>
    <w:rsid w:val="00406E4C"/>
    <w:rsid w:val="00407832"/>
    <w:rsid w:val="00410BBD"/>
    <w:rsid w:val="00410C3F"/>
    <w:rsid w:val="00410D20"/>
    <w:rsid w:val="0041148F"/>
    <w:rsid w:val="00413866"/>
    <w:rsid w:val="00413A2A"/>
    <w:rsid w:val="00414568"/>
    <w:rsid w:val="004146ED"/>
    <w:rsid w:val="00414C75"/>
    <w:rsid w:val="00414D9C"/>
    <w:rsid w:val="0041510B"/>
    <w:rsid w:val="00415EEB"/>
    <w:rsid w:val="00415F42"/>
    <w:rsid w:val="004161D2"/>
    <w:rsid w:val="00416334"/>
    <w:rsid w:val="00416791"/>
    <w:rsid w:val="004175DF"/>
    <w:rsid w:val="0042018D"/>
    <w:rsid w:val="00421A4A"/>
    <w:rsid w:val="00422099"/>
    <w:rsid w:val="00422B89"/>
    <w:rsid w:val="004233E6"/>
    <w:rsid w:val="00423742"/>
    <w:rsid w:val="00424C4A"/>
    <w:rsid w:val="004255BA"/>
    <w:rsid w:val="004256B3"/>
    <w:rsid w:val="00425A80"/>
    <w:rsid w:val="00425B8C"/>
    <w:rsid w:val="0042663C"/>
    <w:rsid w:val="00426C85"/>
    <w:rsid w:val="00426E08"/>
    <w:rsid w:val="0042723D"/>
    <w:rsid w:val="004274EE"/>
    <w:rsid w:val="004276F1"/>
    <w:rsid w:val="0043291C"/>
    <w:rsid w:val="00433336"/>
    <w:rsid w:val="00434AD4"/>
    <w:rsid w:val="004369B0"/>
    <w:rsid w:val="00436B11"/>
    <w:rsid w:val="004374FD"/>
    <w:rsid w:val="00437838"/>
    <w:rsid w:val="00437A6B"/>
    <w:rsid w:val="0044132F"/>
    <w:rsid w:val="00442294"/>
    <w:rsid w:val="004426D2"/>
    <w:rsid w:val="00442B4B"/>
    <w:rsid w:val="004437A1"/>
    <w:rsid w:val="00443D0D"/>
    <w:rsid w:val="0044449D"/>
    <w:rsid w:val="0044483C"/>
    <w:rsid w:val="004459EB"/>
    <w:rsid w:val="00445A13"/>
    <w:rsid w:val="00445C39"/>
    <w:rsid w:val="004464EF"/>
    <w:rsid w:val="00446820"/>
    <w:rsid w:val="004471C0"/>
    <w:rsid w:val="00447C0E"/>
    <w:rsid w:val="0045001B"/>
    <w:rsid w:val="00450314"/>
    <w:rsid w:val="0045066E"/>
    <w:rsid w:val="00450AE0"/>
    <w:rsid w:val="00450B43"/>
    <w:rsid w:val="00450FB2"/>
    <w:rsid w:val="004523E6"/>
    <w:rsid w:val="00452F62"/>
    <w:rsid w:val="0045345C"/>
    <w:rsid w:val="00454A1E"/>
    <w:rsid w:val="004550DF"/>
    <w:rsid w:val="00455861"/>
    <w:rsid w:val="00456189"/>
    <w:rsid w:val="00456512"/>
    <w:rsid w:val="00457A42"/>
    <w:rsid w:val="0046039B"/>
    <w:rsid w:val="00461170"/>
    <w:rsid w:val="0046118A"/>
    <w:rsid w:val="00461320"/>
    <w:rsid w:val="00462BC3"/>
    <w:rsid w:val="004646D5"/>
    <w:rsid w:val="00464803"/>
    <w:rsid w:val="00464F4A"/>
    <w:rsid w:val="00464F4D"/>
    <w:rsid w:val="004665E0"/>
    <w:rsid w:val="00466FDE"/>
    <w:rsid w:val="00467307"/>
    <w:rsid w:val="00467418"/>
    <w:rsid w:val="004679A3"/>
    <w:rsid w:val="00467B92"/>
    <w:rsid w:val="00467EA9"/>
    <w:rsid w:val="00470014"/>
    <w:rsid w:val="00470411"/>
    <w:rsid w:val="0047086E"/>
    <w:rsid w:val="004711BD"/>
    <w:rsid w:val="00471549"/>
    <w:rsid w:val="00471A28"/>
    <w:rsid w:val="00472572"/>
    <w:rsid w:val="004726C7"/>
    <w:rsid w:val="00472ABF"/>
    <w:rsid w:val="0047344E"/>
    <w:rsid w:val="004757C8"/>
    <w:rsid w:val="00477C8C"/>
    <w:rsid w:val="004800D2"/>
    <w:rsid w:val="00480BE4"/>
    <w:rsid w:val="00481537"/>
    <w:rsid w:val="004821E9"/>
    <w:rsid w:val="0048257C"/>
    <w:rsid w:val="0048286B"/>
    <w:rsid w:val="00482AEC"/>
    <w:rsid w:val="00482BEA"/>
    <w:rsid w:val="004841EE"/>
    <w:rsid w:val="00484FDB"/>
    <w:rsid w:val="004851F1"/>
    <w:rsid w:val="00490178"/>
    <w:rsid w:val="00490E02"/>
    <w:rsid w:val="0049110C"/>
    <w:rsid w:val="00491148"/>
    <w:rsid w:val="00492847"/>
    <w:rsid w:val="00492A69"/>
    <w:rsid w:val="00492CDD"/>
    <w:rsid w:val="0049301D"/>
    <w:rsid w:val="004931A2"/>
    <w:rsid w:val="004931EF"/>
    <w:rsid w:val="00493490"/>
    <w:rsid w:val="00495017"/>
    <w:rsid w:val="0049692F"/>
    <w:rsid w:val="0049729E"/>
    <w:rsid w:val="004A15F4"/>
    <w:rsid w:val="004A3E74"/>
    <w:rsid w:val="004A40B1"/>
    <w:rsid w:val="004A4B29"/>
    <w:rsid w:val="004A5CFC"/>
    <w:rsid w:val="004A6F28"/>
    <w:rsid w:val="004A78D8"/>
    <w:rsid w:val="004A7D46"/>
    <w:rsid w:val="004B0347"/>
    <w:rsid w:val="004B0977"/>
    <w:rsid w:val="004B09D4"/>
    <w:rsid w:val="004B1E95"/>
    <w:rsid w:val="004B2349"/>
    <w:rsid w:val="004B3187"/>
    <w:rsid w:val="004B3538"/>
    <w:rsid w:val="004B3A64"/>
    <w:rsid w:val="004B3E10"/>
    <w:rsid w:val="004B3FD6"/>
    <w:rsid w:val="004B423B"/>
    <w:rsid w:val="004B4518"/>
    <w:rsid w:val="004B4779"/>
    <w:rsid w:val="004B47CE"/>
    <w:rsid w:val="004B4FBE"/>
    <w:rsid w:val="004B52A3"/>
    <w:rsid w:val="004B5655"/>
    <w:rsid w:val="004B5656"/>
    <w:rsid w:val="004B5CC2"/>
    <w:rsid w:val="004B5CD8"/>
    <w:rsid w:val="004B6104"/>
    <w:rsid w:val="004B674D"/>
    <w:rsid w:val="004B6F74"/>
    <w:rsid w:val="004B7B9C"/>
    <w:rsid w:val="004C00C9"/>
    <w:rsid w:val="004C029C"/>
    <w:rsid w:val="004C0C08"/>
    <w:rsid w:val="004C1341"/>
    <w:rsid w:val="004C2655"/>
    <w:rsid w:val="004C2CED"/>
    <w:rsid w:val="004C2FB1"/>
    <w:rsid w:val="004C4397"/>
    <w:rsid w:val="004C4FE9"/>
    <w:rsid w:val="004C595A"/>
    <w:rsid w:val="004C6C46"/>
    <w:rsid w:val="004C6DB1"/>
    <w:rsid w:val="004C70EE"/>
    <w:rsid w:val="004C74BD"/>
    <w:rsid w:val="004C7A84"/>
    <w:rsid w:val="004D074D"/>
    <w:rsid w:val="004D15F0"/>
    <w:rsid w:val="004D1E76"/>
    <w:rsid w:val="004D230D"/>
    <w:rsid w:val="004D28DD"/>
    <w:rsid w:val="004D2DD0"/>
    <w:rsid w:val="004D32FD"/>
    <w:rsid w:val="004D397B"/>
    <w:rsid w:val="004D4B90"/>
    <w:rsid w:val="004D4EB1"/>
    <w:rsid w:val="004D5305"/>
    <w:rsid w:val="004D5853"/>
    <w:rsid w:val="004D5B7B"/>
    <w:rsid w:val="004D5CD9"/>
    <w:rsid w:val="004D6031"/>
    <w:rsid w:val="004D668F"/>
    <w:rsid w:val="004D6CB4"/>
    <w:rsid w:val="004D7C7B"/>
    <w:rsid w:val="004E0CA1"/>
    <w:rsid w:val="004E102C"/>
    <w:rsid w:val="004E104B"/>
    <w:rsid w:val="004E12DA"/>
    <w:rsid w:val="004E140C"/>
    <w:rsid w:val="004E2DB7"/>
    <w:rsid w:val="004E2FB4"/>
    <w:rsid w:val="004E3DDD"/>
    <w:rsid w:val="004E413E"/>
    <w:rsid w:val="004E4DE7"/>
    <w:rsid w:val="004E576B"/>
    <w:rsid w:val="004E663D"/>
    <w:rsid w:val="004E75A7"/>
    <w:rsid w:val="004E7C40"/>
    <w:rsid w:val="004F0024"/>
    <w:rsid w:val="004F0325"/>
    <w:rsid w:val="004F04F3"/>
    <w:rsid w:val="004F062F"/>
    <w:rsid w:val="004F0C47"/>
    <w:rsid w:val="004F0C6B"/>
    <w:rsid w:val="004F1F50"/>
    <w:rsid w:val="004F20AE"/>
    <w:rsid w:val="004F263F"/>
    <w:rsid w:val="004F2DCB"/>
    <w:rsid w:val="004F357C"/>
    <w:rsid w:val="004F4E55"/>
    <w:rsid w:val="004F5372"/>
    <w:rsid w:val="004F6D32"/>
    <w:rsid w:val="004F6F9F"/>
    <w:rsid w:val="004F71F3"/>
    <w:rsid w:val="004F75AC"/>
    <w:rsid w:val="004F7C85"/>
    <w:rsid w:val="005000B0"/>
    <w:rsid w:val="00500556"/>
    <w:rsid w:val="00500640"/>
    <w:rsid w:val="00501FB5"/>
    <w:rsid w:val="00502957"/>
    <w:rsid w:val="0050315D"/>
    <w:rsid w:val="00503C06"/>
    <w:rsid w:val="00504986"/>
    <w:rsid w:val="00504AE6"/>
    <w:rsid w:val="00505423"/>
    <w:rsid w:val="00506325"/>
    <w:rsid w:val="00506DEF"/>
    <w:rsid w:val="00507886"/>
    <w:rsid w:val="0051057C"/>
    <w:rsid w:val="00510626"/>
    <w:rsid w:val="00510BA8"/>
    <w:rsid w:val="005120F8"/>
    <w:rsid w:val="005130B4"/>
    <w:rsid w:val="0051337C"/>
    <w:rsid w:val="005133FF"/>
    <w:rsid w:val="00513420"/>
    <w:rsid w:val="00513B8B"/>
    <w:rsid w:val="00513C8E"/>
    <w:rsid w:val="0051429D"/>
    <w:rsid w:val="00514375"/>
    <w:rsid w:val="005149D1"/>
    <w:rsid w:val="005156BA"/>
    <w:rsid w:val="00516336"/>
    <w:rsid w:val="0051661D"/>
    <w:rsid w:val="00520CA8"/>
    <w:rsid w:val="0052155C"/>
    <w:rsid w:val="005216EF"/>
    <w:rsid w:val="00521B0D"/>
    <w:rsid w:val="00522AC8"/>
    <w:rsid w:val="0052384B"/>
    <w:rsid w:val="00524082"/>
    <w:rsid w:val="00524E9D"/>
    <w:rsid w:val="00525149"/>
    <w:rsid w:val="00525BFD"/>
    <w:rsid w:val="0052663A"/>
    <w:rsid w:val="0052672E"/>
    <w:rsid w:val="00527138"/>
    <w:rsid w:val="00527907"/>
    <w:rsid w:val="00531614"/>
    <w:rsid w:val="005316E1"/>
    <w:rsid w:val="0053183A"/>
    <w:rsid w:val="00531C20"/>
    <w:rsid w:val="00532122"/>
    <w:rsid w:val="0053221C"/>
    <w:rsid w:val="005327EA"/>
    <w:rsid w:val="00534005"/>
    <w:rsid w:val="00534023"/>
    <w:rsid w:val="005340B7"/>
    <w:rsid w:val="00534FF5"/>
    <w:rsid w:val="0053558B"/>
    <w:rsid w:val="00535966"/>
    <w:rsid w:val="005366BA"/>
    <w:rsid w:val="00537377"/>
    <w:rsid w:val="0054002E"/>
    <w:rsid w:val="00540420"/>
    <w:rsid w:val="00540D57"/>
    <w:rsid w:val="0054112C"/>
    <w:rsid w:val="00541665"/>
    <w:rsid w:val="00541B3B"/>
    <w:rsid w:val="00541CC5"/>
    <w:rsid w:val="00542DB7"/>
    <w:rsid w:val="0054461D"/>
    <w:rsid w:val="00544A7A"/>
    <w:rsid w:val="00544F59"/>
    <w:rsid w:val="0054515E"/>
    <w:rsid w:val="00545F1D"/>
    <w:rsid w:val="0054689B"/>
    <w:rsid w:val="00546A70"/>
    <w:rsid w:val="00546B59"/>
    <w:rsid w:val="00546BA4"/>
    <w:rsid w:val="00546E1F"/>
    <w:rsid w:val="00546FCC"/>
    <w:rsid w:val="005503A8"/>
    <w:rsid w:val="00550DC9"/>
    <w:rsid w:val="00551CA4"/>
    <w:rsid w:val="00552645"/>
    <w:rsid w:val="00552BAC"/>
    <w:rsid w:val="00552E2F"/>
    <w:rsid w:val="00552F72"/>
    <w:rsid w:val="005533B7"/>
    <w:rsid w:val="0055459B"/>
    <w:rsid w:val="00554633"/>
    <w:rsid w:val="00554ACB"/>
    <w:rsid w:val="005550A4"/>
    <w:rsid w:val="00555BC3"/>
    <w:rsid w:val="00555E74"/>
    <w:rsid w:val="00555E7A"/>
    <w:rsid w:val="0055607B"/>
    <w:rsid w:val="00556A21"/>
    <w:rsid w:val="005618F6"/>
    <w:rsid w:val="005625CF"/>
    <w:rsid w:val="005629B8"/>
    <w:rsid w:val="00562D2B"/>
    <w:rsid w:val="00562DE0"/>
    <w:rsid w:val="00563071"/>
    <w:rsid w:val="00563ACD"/>
    <w:rsid w:val="0056527A"/>
    <w:rsid w:val="005652C9"/>
    <w:rsid w:val="005653AB"/>
    <w:rsid w:val="0056591A"/>
    <w:rsid w:val="005659BE"/>
    <w:rsid w:val="00565C6F"/>
    <w:rsid w:val="00566F46"/>
    <w:rsid w:val="00566FFB"/>
    <w:rsid w:val="005673D1"/>
    <w:rsid w:val="00567DF1"/>
    <w:rsid w:val="005709AB"/>
    <w:rsid w:val="00570AAF"/>
    <w:rsid w:val="00570D0C"/>
    <w:rsid w:val="00570D1E"/>
    <w:rsid w:val="0057149F"/>
    <w:rsid w:val="0057256E"/>
    <w:rsid w:val="005727F8"/>
    <w:rsid w:val="005731A0"/>
    <w:rsid w:val="00574008"/>
    <w:rsid w:val="00574B96"/>
    <w:rsid w:val="00574F2C"/>
    <w:rsid w:val="005754F5"/>
    <w:rsid w:val="005761DB"/>
    <w:rsid w:val="00576B70"/>
    <w:rsid w:val="00577A06"/>
    <w:rsid w:val="00577FF3"/>
    <w:rsid w:val="00580634"/>
    <w:rsid w:val="005808CD"/>
    <w:rsid w:val="00580ACE"/>
    <w:rsid w:val="0058128F"/>
    <w:rsid w:val="005816AA"/>
    <w:rsid w:val="00581FBC"/>
    <w:rsid w:val="00582D57"/>
    <w:rsid w:val="0058336B"/>
    <w:rsid w:val="005838F7"/>
    <w:rsid w:val="00583B3D"/>
    <w:rsid w:val="005843A8"/>
    <w:rsid w:val="00584815"/>
    <w:rsid w:val="005849B2"/>
    <w:rsid w:val="0058793E"/>
    <w:rsid w:val="005915C1"/>
    <w:rsid w:val="005919C0"/>
    <w:rsid w:val="0059255E"/>
    <w:rsid w:val="00593418"/>
    <w:rsid w:val="0059372A"/>
    <w:rsid w:val="00594103"/>
    <w:rsid w:val="0059643A"/>
    <w:rsid w:val="00596AA5"/>
    <w:rsid w:val="00596C2D"/>
    <w:rsid w:val="005970DE"/>
    <w:rsid w:val="005A046C"/>
    <w:rsid w:val="005A1586"/>
    <w:rsid w:val="005A1AC0"/>
    <w:rsid w:val="005A1B99"/>
    <w:rsid w:val="005A1BCE"/>
    <w:rsid w:val="005A1DFE"/>
    <w:rsid w:val="005A34A0"/>
    <w:rsid w:val="005A34D2"/>
    <w:rsid w:val="005A3BDE"/>
    <w:rsid w:val="005B0433"/>
    <w:rsid w:val="005B205D"/>
    <w:rsid w:val="005B25E1"/>
    <w:rsid w:val="005B2890"/>
    <w:rsid w:val="005B4887"/>
    <w:rsid w:val="005B4A92"/>
    <w:rsid w:val="005B6605"/>
    <w:rsid w:val="005B6D97"/>
    <w:rsid w:val="005B7159"/>
    <w:rsid w:val="005B7CE9"/>
    <w:rsid w:val="005C04EC"/>
    <w:rsid w:val="005C068B"/>
    <w:rsid w:val="005C07DD"/>
    <w:rsid w:val="005C23C4"/>
    <w:rsid w:val="005C2841"/>
    <w:rsid w:val="005C3A5B"/>
    <w:rsid w:val="005C3AB9"/>
    <w:rsid w:val="005C3BEA"/>
    <w:rsid w:val="005C4AA7"/>
    <w:rsid w:val="005C4B93"/>
    <w:rsid w:val="005C4DCD"/>
    <w:rsid w:val="005C5673"/>
    <w:rsid w:val="005C58AB"/>
    <w:rsid w:val="005C5EE2"/>
    <w:rsid w:val="005C6832"/>
    <w:rsid w:val="005C71B8"/>
    <w:rsid w:val="005C7332"/>
    <w:rsid w:val="005C7496"/>
    <w:rsid w:val="005D0A21"/>
    <w:rsid w:val="005D0DF8"/>
    <w:rsid w:val="005D1089"/>
    <w:rsid w:val="005D1471"/>
    <w:rsid w:val="005D3CB2"/>
    <w:rsid w:val="005D4F8A"/>
    <w:rsid w:val="005D67FF"/>
    <w:rsid w:val="005D70C3"/>
    <w:rsid w:val="005D792F"/>
    <w:rsid w:val="005E054F"/>
    <w:rsid w:val="005E0551"/>
    <w:rsid w:val="005E0A3D"/>
    <w:rsid w:val="005E10D3"/>
    <w:rsid w:val="005E147A"/>
    <w:rsid w:val="005E1CF7"/>
    <w:rsid w:val="005E25A4"/>
    <w:rsid w:val="005E291C"/>
    <w:rsid w:val="005E3243"/>
    <w:rsid w:val="005E3AA9"/>
    <w:rsid w:val="005E3C78"/>
    <w:rsid w:val="005E4238"/>
    <w:rsid w:val="005E470B"/>
    <w:rsid w:val="005E536A"/>
    <w:rsid w:val="005E5B0E"/>
    <w:rsid w:val="005E692C"/>
    <w:rsid w:val="005E6A42"/>
    <w:rsid w:val="005E7517"/>
    <w:rsid w:val="005E7B87"/>
    <w:rsid w:val="005F0375"/>
    <w:rsid w:val="005F05C0"/>
    <w:rsid w:val="005F07AE"/>
    <w:rsid w:val="005F17CA"/>
    <w:rsid w:val="005F1C89"/>
    <w:rsid w:val="005F1EE9"/>
    <w:rsid w:val="005F207B"/>
    <w:rsid w:val="005F3191"/>
    <w:rsid w:val="005F6462"/>
    <w:rsid w:val="005F692B"/>
    <w:rsid w:val="005F7B3B"/>
    <w:rsid w:val="005F7DE8"/>
    <w:rsid w:val="005F7FA7"/>
    <w:rsid w:val="00600336"/>
    <w:rsid w:val="00600394"/>
    <w:rsid w:val="00600FC1"/>
    <w:rsid w:val="006023D9"/>
    <w:rsid w:val="00602926"/>
    <w:rsid w:val="0060316B"/>
    <w:rsid w:val="0060322E"/>
    <w:rsid w:val="00603A5B"/>
    <w:rsid w:val="00603C2C"/>
    <w:rsid w:val="00603C60"/>
    <w:rsid w:val="006042B6"/>
    <w:rsid w:val="006046FC"/>
    <w:rsid w:val="0060499A"/>
    <w:rsid w:val="00604EC1"/>
    <w:rsid w:val="00604F6B"/>
    <w:rsid w:val="00605A24"/>
    <w:rsid w:val="00605AB8"/>
    <w:rsid w:val="00606156"/>
    <w:rsid w:val="006069B3"/>
    <w:rsid w:val="00606F35"/>
    <w:rsid w:val="00606F45"/>
    <w:rsid w:val="0060768C"/>
    <w:rsid w:val="00610CCB"/>
    <w:rsid w:val="00610F44"/>
    <w:rsid w:val="006116C7"/>
    <w:rsid w:val="00611CF5"/>
    <w:rsid w:val="00612124"/>
    <w:rsid w:val="00612809"/>
    <w:rsid w:val="00612A03"/>
    <w:rsid w:val="00612A36"/>
    <w:rsid w:val="00612D20"/>
    <w:rsid w:val="0061340F"/>
    <w:rsid w:val="006144AC"/>
    <w:rsid w:val="0061487C"/>
    <w:rsid w:val="00615A4D"/>
    <w:rsid w:val="00616C21"/>
    <w:rsid w:val="00616D28"/>
    <w:rsid w:val="00616E98"/>
    <w:rsid w:val="0061704B"/>
    <w:rsid w:val="0061712E"/>
    <w:rsid w:val="00617276"/>
    <w:rsid w:val="00617950"/>
    <w:rsid w:val="00622695"/>
    <w:rsid w:val="006229D7"/>
    <w:rsid w:val="00622A1B"/>
    <w:rsid w:val="00622F3B"/>
    <w:rsid w:val="006234FF"/>
    <w:rsid w:val="0062469A"/>
    <w:rsid w:val="00624705"/>
    <w:rsid w:val="00624758"/>
    <w:rsid w:val="00625133"/>
    <w:rsid w:val="0062541D"/>
    <w:rsid w:val="00625AB3"/>
    <w:rsid w:val="006262DA"/>
    <w:rsid w:val="00626639"/>
    <w:rsid w:val="006272B8"/>
    <w:rsid w:val="0062790F"/>
    <w:rsid w:val="00627B0C"/>
    <w:rsid w:val="00633947"/>
    <w:rsid w:val="00633EC3"/>
    <w:rsid w:val="0063427D"/>
    <w:rsid w:val="006346AD"/>
    <w:rsid w:val="006347F5"/>
    <w:rsid w:val="00635C5F"/>
    <w:rsid w:val="00635D6E"/>
    <w:rsid w:val="006370E6"/>
    <w:rsid w:val="006374EF"/>
    <w:rsid w:val="00640272"/>
    <w:rsid w:val="00640987"/>
    <w:rsid w:val="00641086"/>
    <w:rsid w:val="006415CD"/>
    <w:rsid w:val="006421E8"/>
    <w:rsid w:val="006421F0"/>
    <w:rsid w:val="00642836"/>
    <w:rsid w:val="00642FEE"/>
    <w:rsid w:val="006442E2"/>
    <w:rsid w:val="006447A3"/>
    <w:rsid w:val="00644B9A"/>
    <w:rsid w:val="006452BF"/>
    <w:rsid w:val="0064555A"/>
    <w:rsid w:val="00645696"/>
    <w:rsid w:val="00646C82"/>
    <w:rsid w:val="00650A6A"/>
    <w:rsid w:val="00650F7F"/>
    <w:rsid w:val="00651AD6"/>
    <w:rsid w:val="00651CA4"/>
    <w:rsid w:val="00652106"/>
    <w:rsid w:val="006523F8"/>
    <w:rsid w:val="0065257A"/>
    <w:rsid w:val="006527C3"/>
    <w:rsid w:val="00653DC5"/>
    <w:rsid w:val="006541FC"/>
    <w:rsid w:val="006548B6"/>
    <w:rsid w:val="00654F72"/>
    <w:rsid w:val="00655913"/>
    <w:rsid w:val="00655B69"/>
    <w:rsid w:val="0065634B"/>
    <w:rsid w:val="0065721F"/>
    <w:rsid w:val="006610CB"/>
    <w:rsid w:val="0066123D"/>
    <w:rsid w:val="00662614"/>
    <w:rsid w:val="006627AC"/>
    <w:rsid w:val="00662C4C"/>
    <w:rsid w:val="00663417"/>
    <w:rsid w:val="00663BFD"/>
    <w:rsid w:val="00663E9D"/>
    <w:rsid w:val="006641EF"/>
    <w:rsid w:val="0066441A"/>
    <w:rsid w:val="00664CC1"/>
    <w:rsid w:val="00664CE3"/>
    <w:rsid w:val="00664FCC"/>
    <w:rsid w:val="006657AD"/>
    <w:rsid w:val="0066639C"/>
    <w:rsid w:val="006667A2"/>
    <w:rsid w:val="00666CC4"/>
    <w:rsid w:val="00667298"/>
    <w:rsid w:val="0066754C"/>
    <w:rsid w:val="00667859"/>
    <w:rsid w:val="006678BA"/>
    <w:rsid w:val="00667AF1"/>
    <w:rsid w:val="006701A1"/>
    <w:rsid w:val="006705D4"/>
    <w:rsid w:val="006709EE"/>
    <w:rsid w:val="00670F54"/>
    <w:rsid w:val="006722A2"/>
    <w:rsid w:val="00673BC9"/>
    <w:rsid w:val="00673DB5"/>
    <w:rsid w:val="00673F4C"/>
    <w:rsid w:val="0067434D"/>
    <w:rsid w:val="006749F0"/>
    <w:rsid w:val="00674D94"/>
    <w:rsid w:val="0067621B"/>
    <w:rsid w:val="00676511"/>
    <w:rsid w:val="006773CA"/>
    <w:rsid w:val="006773D3"/>
    <w:rsid w:val="00677700"/>
    <w:rsid w:val="00677DC3"/>
    <w:rsid w:val="00681D25"/>
    <w:rsid w:val="00681FF8"/>
    <w:rsid w:val="00682DFC"/>
    <w:rsid w:val="00683FA9"/>
    <w:rsid w:val="006844E2"/>
    <w:rsid w:val="00685754"/>
    <w:rsid w:val="0068623A"/>
    <w:rsid w:val="00686438"/>
    <w:rsid w:val="006865FF"/>
    <w:rsid w:val="00687B8A"/>
    <w:rsid w:val="00687B98"/>
    <w:rsid w:val="00687C4B"/>
    <w:rsid w:val="00691FBA"/>
    <w:rsid w:val="00693820"/>
    <w:rsid w:val="00694123"/>
    <w:rsid w:val="006949CF"/>
    <w:rsid w:val="00694BF7"/>
    <w:rsid w:val="00694F6C"/>
    <w:rsid w:val="00695007"/>
    <w:rsid w:val="0069572A"/>
    <w:rsid w:val="00695899"/>
    <w:rsid w:val="00695B4D"/>
    <w:rsid w:val="006966CB"/>
    <w:rsid w:val="0069748D"/>
    <w:rsid w:val="006A0D6F"/>
    <w:rsid w:val="006A0E44"/>
    <w:rsid w:val="006A13BF"/>
    <w:rsid w:val="006A20AB"/>
    <w:rsid w:val="006A22F5"/>
    <w:rsid w:val="006A2E69"/>
    <w:rsid w:val="006A2F65"/>
    <w:rsid w:val="006A318B"/>
    <w:rsid w:val="006A3253"/>
    <w:rsid w:val="006A37DF"/>
    <w:rsid w:val="006A39A7"/>
    <w:rsid w:val="006A3DBD"/>
    <w:rsid w:val="006A5E8C"/>
    <w:rsid w:val="006A64A9"/>
    <w:rsid w:val="006A70C0"/>
    <w:rsid w:val="006A7406"/>
    <w:rsid w:val="006A76C5"/>
    <w:rsid w:val="006B0809"/>
    <w:rsid w:val="006B0D85"/>
    <w:rsid w:val="006B0F80"/>
    <w:rsid w:val="006B1397"/>
    <w:rsid w:val="006B1D34"/>
    <w:rsid w:val="006B514A"/>
    <w:rsid w:val="006B5258"/>
    <w:rsid w:val="006B52D1"/>
    <w:rsid w:val="006B543A"/>
    <w:rsid w:val="006B6060"/>
    <w:rsid w:val="006B6134"/>
    <w:rsid w:val="006B7624"/>
    <w:rsid w:val="006B7F3C"/>
    <w:rsid w:val="006C156D"/>
    <w:rsid w:val="006C167F"/>
    <w:rsid w:val="006C2896"/>
    <w:rsid w:val="006C36DC"/>
    <w:rsid w:val="006C38C3"/>
    <w:rsid w:val="006C5805"/>
    <w:rsid w:val="006C6A32"/>
    <w:rsid w:val="006C7FD7"/>
    <w:rsid w:val="006D0EAC"/>
    <w:rsid w:val="006D1B52"/>
    <w:rsid w:val="006D2253"/>
    <w:rsid w:val="006D2B6A"/>
    <w:rsid w:val="006D2DEC"/>
    <w:rsid w:val="006D3390"/>
    <w:rsid w:val="006D3420"/>
    <w:rsid w:val="006D3894"/>
    <w:rsid w:val="006D463A"/>
    <w:rsid w:val="006D4D67"/>
    <w:rsid w:val="006D5071"/>
    <w:rsid w:val="006D510D"/>
    <w:rsid w:val="006D52B3"/>
    <w:rsid w:val="006D55C2"/>
    <w:rsid w:val="006D6BB6"/>
    <w:rsid w:val="006D6C91"/>
    <w:rsid w:val="006D6EFA"/>
    <w:rsid w:val="006D72A8"/>
    <w:rsid w:val="006D753E"/>
    <w:rsid w:val="006E00F3"/>
    <w:rsid w:val="006E1850"/>
    <w:rsid w:val="006E1B5D"/>
    <w:rsid w:val="006E1D1F"/>
    <w:rsid w:val="006E2197"/>
    <w:rsid w:val="006E4AF1"/>
    <w:rsid w:val="006E599C"/>
    <w:rsid w:val="006E6CCE"/>
    <w:rsid w:val="006E6F75"/>
    <w:rsid w:val="006E7075"/>
    <w:rsid w:val="006F0CDB"/>
    <w:rsid w:val="006F11DC"/>
    <w:rsid w:val="006F1EF7"/>
    <w:rsid w:val="006F2809"/>
    <w:rsid w:val="006F2CDD"/>
    <w:rsid w:val="006F3FA2"/>
    <w:rsid w:val="006F47AE"/>
    <w:rsid w:val="006F4FE3"/>
    <w:rsid w:val="006F58DB"/>
    <w:rsid w:val="006F6475"/>
    <w:rsid w:val="006F69B2"/>
    <w:rsid w:val="006F6D9A"/>
    <w:rsid w:val="006F7772"/>
    <w:rsid w:val="006F7DC7"/>
    <w:rsid w:val="00700772"/>
    <w:rsid w:val="00700793"/>
    <w:rsid w:val="0070089A"/>
    <w:rsid w:val="00700A8F"/>
    <w:rsid w:val="00700BB2"/>
    <w:rsid w:val="00702322"/>
    <w:rsid w:val="00702CDF"/>
    <w:rsid w:val="00702DB9"/>
    <w:rsid w:val="00703638"/>
    <w:rsid w:val="00703905"/>
    <w:rsid w:val="00703E3E"/>
    <w:rsid w:val="007044CE"/>
    <w:rsid w:val="00704A3B"/>
    <w:rsid w:val="00704BAC"/>
    <w:rsid w:val="00706037"/>
    <w:rsid w:val="00706126"/>
    <w:rsid w:val="0070724B"/>
    <w:rsid w:val="00710184"/>
    <w:rsid w:val="007104E6"/>
    <w:rsid w:val="00710A53"/>
    <w:rsid w:val="00710BB4"/>
    <w:rsid w:val="00711405"/>
    <w:rsid w:val="00711509"/>
    <w:rsid w:val="00712100"/>
    <w:rsid w:val="007122D8"/>
    <w:rsid w:val="007127F3"/>
    <w:rsid w:val="00712D28"/>
    <w:rsid w:val="00712D4E"/>
    <w:rsid w:val="00712FA5"/>
    <w:rsid w:val="00713336"/>
    <w:rsid w:val="00713BC4"/>
    <w:rsid w:val="00713CA7"/>
    <w:rsid w:val="00714A67"/>
    <w:rsid w:val="00716CE6"/>
    <w:rsid w:val="00717AC2"/>
    <w:rsid w:val="00720F9F"/>
    <w:rsid w:val="007225F8"/>
    <w:rsid w:val="00722649"/>
    <w:rsid w:val="007236B3"/>
    <w:rsid w:val="00723789"/>
    <w:rsid w:val="007239EA"/>
    <w:rsid w:val="007248EB"/>
    <w:rsid w:val="0072507A"/>
    <w:rsid w:val="00726003"/>
    <w:rsid w:val="007267B7"/>
    <w:rsid w:val="007276C7"/>
    <w:rsid w:val="007277CD"/>
    <w:rsid w:val="00727D24"/>
    <w:rsid w:val="00730B2C"/>
    <w:rsid w:val="00733AAF"/>
    <w:rsid w:val="007341E7"/>
    <w:rsid w:val="00735B04"/>
    <w:rsid w:val="00735FD7"/>
    <w:rsid w:val="00736427"/>
    <w:rsid w:val="00737068"/>
    <w:rsid w:val="007376A4"/>
    <w:rsid w:val="00740518"/>
    <w:rsid w:val="007412DB"/>
    <w:rsid w:val="00741593"/>
    <w:rsid w:val="00741F27"/>
    <w:rsid w:val="00742818"/>
    <w:rsid w:val="0074343E"/>
    <w:rsid w:val="00743958"/>
    <w:rsid w:val="00743BD1"/>
    <w:rsid w:val="007456B1"/>
    <w:rsid w:val="0074585B"/>
    <w:rsid w:val="00746AE6"/>
    <w:rsid w:val="00747F37"/>
    <w:rsid w:val="0075041F"/>
    <w:rsid w:val="00750A5B"/>
    <w:rsid w:val="00750F6A"/>
    <w:rsid w:val="007516E5"/>
    <w:rsid w:val="00751AA7"/>
    <w:rsid w:val="00752219"/>
    <w:rsid w:val="007536B2"/>
    <w:rsid w:val="00753A80"/>
    <w:rsid w:val="00753DDF"/>
    <w:rsid w:val="00754865"/>
    <w:rsid w:val="00754F63"/>
    <w:rsid w:val="00755B4E"/>
    <w:rsid w:val="007573A2"/>
    <w:rsid w:val="00757425"/>
    <w:rsid w:val="00757A15"/>
    <w:rsid w:val="00757C1B"/>
    <w:rsid w:val="00757E7B"/>
    <w:rsid w:val="00760B43"/>
    <w:rsid w:val="00760BF9"/>
    <w:rsid w:val="00761ACA"/>
    <w:rsid w:val="00763737"/>
    <w:rsid w:val="007649AE"/>
    <w:rsid w:val="00765B98"/>
    <w:rsid w:val="00766315"/>
    <w:rsid w:val="007663C3"/>
    <w:rsid w:val="00766AF8"/>
    <w:rsid w:val="00766FC5"/>
    <w:rsid w:val="00767814"/>
    <w:rsid w:val="00770ACF"/>
    <w:rsid w:val="00771116"/>
    <w:rsid w:val="007715DA"/>
    <w:rsid w:val="00772FC0"/>
    <w:rsid w:val="0077335A"/>
    <w:rsid w:val="007749BE"/>
    <w:rsid w:val="00774A15"/>
    <w:rsid w:val="00774B44"/>
    <w:rsid w:val="00774B76"/>
    <w:rsid w:val="00774BDB"/>
    <w:rsid w:val="00777959"/>
    <w:rsid w:val="00780610"/>
    <w:rsid w:val="00780D51"/>
    <w:rsid w:val="0078116A"/>
    <w:rsid w:val="00781309"/>
    <w:rsid w:val="0078136B"/>
    <w:rsid w:val="00781936"/>
    <w:rsid w:val="00781B75"/>
    <w:rsid w:val="00782999"/>
    <w:rsid w:val="00782C9F"/>
    <w:rsid w:val="00783BF0"/>
    <w:rsid w:val="00783FA8"/>
    <w:rsid w:val="007840FA"/>
    <w:rsid w:val="00784292"/>
    <w:rsid w:val="007845A7"/>
    <w:rsid w:val="00784E2C"/>
    <w:rsid w:val="007860F8"/>
    <w:rsid w:val="00786125"/>
    <w:rsid w:val="00786C30"/>
    <w:rsid w:val="00787A67"/>
    <w:rsid w:val="00787E52"/>
    <w:rsid w:val="00790C31"/>
    <w:rsid w:val="00791418"/>
    <w:rsid w:val="007915EA"/>
    <w:rsid w:val="00792B71"/>
    <w:rsid w:val="007930B0"/>
    <w:rsid w:val="0079433C"/>
    <w:rsid w:val="00794495"/>
    <w:rsid w:val="007948EC"/>
    <w:rsid w:val="00794F82"/>
    <w:rsid w:val="00795404"/>
    <w:rsid w:val="007955C8"/>
    <w:rsid w:val="00796ADC"/>
    <w:rsid w:val="00796B80"/>
    <w:rsid w:val="00796C4A"/>
    <w:rsid w:val="007976BF"/>
    <w:rsid w:val="00797891"/>
    <w:rsid w:val="00797C01"/>
    <w:rsid w:val="007A0F72"/>
    <w:rsid w:val="007A203D"/>
    <w:rsid w:val="007A27F4"/>
    <w:rsid w:val="007A2B12"/>
    <w:rsid w:val="007A341C"/>
    <w:rsid w:val="007A3A6D"/>
    <w:rsid w:val="007A3BDF"/>
    <w:rsid w:val="007A3C7D"/>
    <w:rsid w:val="007A4C0E"/>
    <w:rsid w:val="007A531A"/>
    <w:rsid w:val="007A535A"/>
    <w:rsid w:val="007A5590"/>
    <w:rsid w:val="007A5A47"/>
    <w:rsid w:val="007A5F59"/>
    <w:rsid w:val="007A626E"/>
    <w:rsid w:val="007A6368"/>
    <w:rsid w:val="007A63C3"/>
    <w:rsid w:val="007A643B"/>
    <w:rsid w:val="007A67CC"/>
    <w:rsid w:val="007A6C47"/>
    <w:rsid w:val="007A7860"/>
    <w:rsid w:val="007A7E45"/>
    <w:rsid w:val="007A7FA5"/>
    <w:rsid w:val="007B0296"/>
    <w:rsid w:val="007B0807"/>
    <w:rsid w:val="007B28C9"/>
    <w:rsid w:val="007B29F0"/>
    <w:rsid w:val="007B2ACB"/>
    <w:rsid w:val="007B2F20"/>
    <w:rsid w:val="007B34CB"/>
    <w:rsid w:val="007B351A"/>
    <w:rsid w:val="007B3D83"/>
    <w:rsid w:val="007B56DF"/>
    <w:rsid w:val="007B6012"/>
    <w:rsid w:val="007B6535"/>
    <w:rsid w:val="007B6D07"/>
    <w:rsid w:val="007B6D20"/>
    <w:rsid w:val="007B7507"/>
    <w:rsid w:val="007C0C8E"/>
    <w:rsid w:val="007C1426"/>
    <w:rsid w:val="007C189F"/>
    <w:rsid w:val="007C2897"/>
    <w:rsid w:val="007C2B82"/>
    <w:rsid w:val="007C32C1"/>
    <w:rsid w:val="007C33C4"/>
    <w:rsid w:val="007C38BE"/>
    <w:rsid w:val="007C472D"/>
    <w:rsid w:val="007C59FF"/>
    <w:rsid w:val="007C5C53"/>
    <w:rsid w:val="007C734A"/>
    <w:rsid w:val="007C776B"/>
    <w:rsid w:val="007D0980"/>
    <w:rsid w:val="007D0EDC"/>
    <w:rsid w:val="007D0F1F"/>
    <w:rsid w:val="007D2256"/>
    <w:rsid w:val="007D263C"/>
    <w:rsid w:val="007D2FD3"/>
    <w:rsid w:val="007D31DB"/>
    <w:rsid w:val="007D357D"/>
    <w:rsid w:val="007D3CAD"/>
    <w:rsid w:val="007D4938"/>
    <w:rsid w:val="007D49C9"/>
    <w:rsid w:val="007D4A8F"/>
    <w:rsid w:val="007D6C33"/>
    <w:rsid w:val="007D79DE"/>
    <w:rsid w:val="007D7DB8"/>
    <w:rsid w:val="007D7DE2"/>
    <w:rsid w:val="007E0D9F"/>
    <w:rsid w:val="007E0E53"/>
    <w:rsid w:val="007E0EDC"/>
    <w:rsid w:val="007E13A5"/>
    <w:rsid w:val="007E17A2"/>
    <w:rsid w:val="007E1DB1"/>
    <w:rsid w:val="007E3912"/>
    <w:rsid w:val="007E3E83"/>
    <w:rsid w:val="007E446E"/>
    <w:rsid w:val="007E4AAC"/>
    <w:rsid w:val="007E58EC"/>
    <w:rsid w:val="007E6282"/>
    <w:rsid w:val="007E67F9"/>
    <w:rsid w:val="007E690E"/>
    <w:rsid w:val="007E6DF1"/>
    <w:rsid w:val="007E6E8A"/>
    <w:rsid w:val="007E73BE"/>
    <w:rsid w:val="007E7EF6"/>
    <w:rsid w:val="007F14AF"/>
    <w:rsid w:val="007F2AD0"/>
    <w:rsid w:val="007F3070"/>
    <w:rsid w:val="007F3957"/>
    <w:rsid w:val="007F451A"/>
    <w:rsid w:val="007F5126"/>
    <w:rsid w:val="007F5AB9"/>
    <w:rsid w:val="007F6584"/>
    <w:rsid w:val="007F66A0"/>
    <w:rsid w:val="007F74B3"/>
    <w:rsid w:val="0080122C"/>
    <w:rsid w:val="00801D0D"/>
    <w:rsid w:val="00801D34"/>
    <w:rsid w:val="00801DEB"/>
    <w:rsid w:val="008020A5"/>
    <w:rsid w:val="00802329"/>
    <w:rsid w:val="00802D46"/>
    <w:rsid w:val="008051E8"/>
    <w:rsid w:val="00806F28"/>
    <w:rsid w:val="008075A4"/>
    <w:rsid w:val="008118BB"/>
    <w:rsid w:val="00811C0D"/>
    <w:rsid w:val="00811D7D"/>
    <w:rsid w:val="008124D0"/>
    <w:rsid w:val="00812EE6"/>
    <w:rsid w:val="0081466B"/>
    <w:rsid w:val="0081601C"/>
    <w:rsid w:val="00817107"/>
    <w:rsid w:val="008176E3"/>
    <w:rsid w:val="00817AEC"/>
    <w:rsid w:val="00820514"/>
    <w:rsid w:val="00822585"/>
    <w:rsid w:val="00822BFA"/>
    <w:rsid w:val="0082416C"/>
    <w:rsid w:val="008258DA"/>
    <w:rsid w:val="00826B1E"/>
    <w:rsid w:val="00826EF1"/>
    <w:rsid w:val="00827458"/>
    <w:rsid w:val="00830173"/>
    <w:rsid w:val="0083077C"/>
    <w:rsid w:val="00830B5E"/>
    <w:rsid w:val="0083150A"/>
    <w:rsid w:val="008315C2"/>
    <w:rsid w:val="0083164E"/>
    <w:rsid w:val="00831CB8"/>
    <w:rsid w:val="0083207B"/>
    <w:rsid w:val="0083300C"/>
    <w:rsid w:val="00833822"/>
    <w:rsid w:val="008338B8"/>
    <w:rsid w:val="00834B26"/>
    <w:rsid w:val="0083533C"/>
    <w:rsid w:val="00835C71"/>
    <w:rsid w:val="008364C5"/>
    <w:rsid w:val="00836CCE"/>
    <w:rsid w:val="00837CC0"/>
    <w:rsid w:val="00840432"/>
    <w:rsid w:val="00840DF2"/>
    <w:rsid w:val="00841215"/>
    <w:rsid w:val="00842B9A"/>
    <w:rsid w:val="00843029"/>
    <w:rsid w:val="008430D0"/>
    <w:rsid w:val="008433D4"/>
    <w:rsid w:val="008443F0"/>
    <w:rsid w:val="00846FCB"/>
    <w:rsid w:val="00847444"/>
    <w:rsid w:val="00851272"/>
    <w:rsid w:val="00851E0A"/>
    <w:rsid w:val="00853A5E"/>
    <w:rsid w:val="00853ADE"/>
    <w:rsid w:val="00853E2B"/>
    <w:rsid w:val="008541C0"/>
    <w:rsid w:val="008549FC"/>
    <w:rsid w:val="00855E7E"/>
    <w:rsid w:val="00856740"/>
    <w:rsid w:val="00856D1F"/>
    <w:rsid w:val="00856FF7"/>
    <w:rsid w:val="00857502"/>
    <w:rsid w:val="00857620"/>
    <w:rsid w:val="00860115"/>
    <w:rsid w:val="0086018D"/>
    <w:rsid w:val="008601D9"/>
    <w:rsid w:val="0086175C"/>
    <w:rsid w:val="00861EC0"/>
    <w:rsid w:val="0086249C"/>
    <w:rsid w:val="0086257B"/>
    <w:rsid w:val="00863978"/>
    <w:rsid w:val="00865708"/>
    <w:rsid w:val="00865E3C"/>
    <w:rsid w:val="0086604D"/>
    <w:rsid w:val="00866363"/>
    <w:rsid w:val="008676AE"/>
    <w:rsid w:val="008679DD"/>
    <w:rsid w:val="00870575"/>
    <w:rsid w:val="00871099"/>
    <w:rsid w:val="00871780"/>
    <w:rsid w:val="008718E7"/>
    <w:rsid w:val="00871DAE"/>
    <w:rsid w:val="0087233A"/>
    <w:rsid w:val="008737E2"/>
    <w:rsid w:val="00873A1E"/>
    <w:rsid w:val="00873B40"/>
    <w:rsid w:val="00873D98"/>
    <w:rsid w:val="00873DFB"/>
    <w:rsid w:val="00874113"/>
    <w:rsid w:val="008742DF"/>
    <w:rsid w:val="0087497F"/>
    <w:rsid w:val="00876617"/>
    <w:rsid w:val="00876635"/>
    <w:rsid w:val="00876F9D"/>
    <w:rsid w:val="00877613"/>
    <w:rsid w:val="008778E2"/>
    <w:rsid w:val="00877968"/>
    <w:rsid w:val="00877E25"/>
    <w:rsid w:val="0088027C"/>
    <w:rsid w:val="00880373"/>
    <w:rsid w:val="0088145A"/>
    <w:rsid w:val="00881583"/>
    <w:rsid w:val="008826AD"/>
    <w:rsid w:val="0088278F"/>
    <w:rsid w:val="00883724"/>
    <w:rsid w:val="00883892"/>
    <w:rsid w:val="0088419A"/>
    <w:rsid w:val="008842D7"/>
    <w:rsid w:val="00884617"/>
    <w:rsid w:val="00884792"/>
    <w:rsid w:val="00884D06"/>
    <w:rsid w:val="00885185"/>
    <w:rsid w:val="008851C7"/>
    <w:rsid w:val="00885802"/>
    <w:rsid w:val="00886DF3"/>
    <w:rsid w:val="00886E3A"/>
    <w:rsid w:val="00887EA6"/>
    <w:rsid w:val="00891453"/>
    <w:rsid w:val="00891519"/>
    <w:rsid w:val="00892318"/>
    <w:rsid w:val="00892EFD"/>
    <w:rsid w:val="00892FDD"/>
    <w:rsid w:val="008933A4"/>
    <w:rsid w:val="00893D22"/>
    <w:rsid w:val="00893DCB"/>
    <w:rsid w:val="00894219"/>
    <w:rsid w:val="00895210"/>
    <w:rsid w:val="0089584A"/>
    <w:rsid w:val="00895A81"/>
    <w:rsid w:val="008976C7"/>
    <w:rsid w:val="00897702"/>
    <w:rsid w:val="008A033A"/>
    <w:rsid w:val="008A036E"/>
    <w:rsid w:val="008A062D"/>
    <w:rsid w:val="008A14E9"/>
    <w:rsid w:val="008A2286"/>
    <w:rsid w:val="008A2753"/>
    <w:rsid w:val="008A3D05"/>
    <w:rsid w:val="008A4F37"/>
    <w:rsid w:val="008A50E3"/>
    <w:rsid w:val="008A53D2"/>
    <w:rsid w:val="008A67FE"/>
    <w:rsid w:val="008A7A95"/>
    <w:rsid w:val="008B19AF"/>
    <w:rsid w:val="008B1A20"/>
    <w:rsid w:val="008B247D"/>
    <w:rsid w:val="008B2DAD"/>
    <w:rsid w:val="008B4D1F"/>
    <w:rsid w:val="008B4FE4"/>
    <w:rsid w:val="008B5E1E"/>
    <w:rsid w:val="008C057D"/>
    <w:rsid w:val="008C074A"/>
    <w:rsid w:val="008C1C80"/>
    <w:rsid w:val="008C1F01"/>
    <w:rsid w:val="008C2665"/>
    <w:rsid w:val="008C28B3"/>
    <w:rsid w:val="008C2B8F"/>
    <w:rsid w:val="008C2D6F"/>
    <w:rsid w:val="008C3620"/>
    <w:rsid w:val="008C3FF5"/>
    <w:rsid w:val="008C4243"/>
    <w:rsid w:val="008C47C8"/>
    <w:rsid w:val="008C53B0"/>
    <w:rsid w:val="008C562A"/>
    <w:rsid w:val="008C58AF"/>
    <w:rsid w:val="008C61CE"/>
    <w:rsid w:val="008C6831"/>
    <w:rsid w:val="008D04E2"/>
    <w:rsid w:val="008D0DEF"/>
    <w:rsid w:val="008D0F25"/>
    <w:rsid w:val="008D133E"/>
    <w:rsid w:val="008D190D"/>
    <w:rsid w:val="008D2855"/>
    <w:rsid w:val="008D363E"/>
    <w:rsid w:val="008D3A02"/>
    <w:rsid w:val="008D4604"/>
    <w:rsid w:val="008D5233"/>
    <w:rsid w:val="008D5326"/>
    <w:rsid w:val="008D553B"/>
    <w:rsid w:val="008D68FF"/>
    <w:rsid w:val="008D6EF7"/>
    <w:rsid w:val="008D6F5F"/>
    <w:rsid w:val="008D7D28"/>
    <w:rsid w:val="008E0136"/>
    <w:rsid w:val="008E02B7"/>
    <w:rsid w:val="008E0700"/>
    <w:rsid w:val="008E0BBB"/>
    <w:rsid w:val="008E0BE3"/>
    <w:rsid w:val="008E1CEB"/>
    <w:rsid w:val="008E3530"/>
    <w:rsid w:val="008E3762"/>
    <w:rsid w:val="008E3919"/>
    <w:rsid w:val="008E4776"/>
    <w:rsid w:val="008E499B"/>
    <w:rsid w:val="008E597D"/>
    <w:rsid w:val="008E5AEA"/>
    <w:rsid w:val="008E5CCD"/>
    <w:rsid w:val="008E61D9"/>
    <w:rsid w:val="008E6BD4"/>
    <w:rsid w:val="008E72E0"/>
    <w:rsid w:val="008E77B3"/>
    <w:rsid w:val="008F03F3"/>
    <w:rsid w:val="008F0805"/>
    <w:rsid w:val="008F0A56"/>
    <w:rsid w:val="008F0EDA"/>
    <w:rsid w:val="008F14D1"/>
    <w:rsid w:val="008F14DA"/>
    <w:rsid w:val="008F150B"/>
    <w:rsid w:val="008F1E1F"/>
    <w:rsid w:val="008F235B"/>
    <w:rsid w:val="008F25E4"/>
    <w:rsid w:val="008F27D0"/>
    <w:rsid w:val="008F2D90"/>
    <w:rsid w:val="008F4AD4"/>
    <w:rsid w:val="008F4FE4"/>
    <w:rsid w:val="008F52F0"/>
    <w:rsid w:val="008F5645"/>
    <w:rsid w:val="008F5D90"/>
    <w:rsid w:val="008F6078"/>
    <w:rsid w:val="008F6D67"/>
    <w:rsid w:val="008F7326"/>
    <w:rsid w:val="008F7D66"/>
    <w:rsid w:val="009004DA"/>
    <w:rsid w:val="00903877"/>
    <w:rsid w:val="009040CB"/>
    <w:rsid w:val="0090439E"/>
    <w:rsid w:val="0090577A"/>
    <w:rsid w:val="00906A03"/>
    <w:rsid w:val="00906E72"/>
    <w:rsid w:val="0091006C"/>
    <w:rsid w:val="00910205"/>
    <w:rsid w:val="00910278"/>
    <w:rsid w:val="009121F4"/>
    <w:rsid w:val="00915D87"/>
    <w:rsid w:val="00916118"/>
    <w:rsid w:val="009163A6"/>
    <w:rsid w:val="00916AA9"/>
    <w:rsid w:val="00916DE1"/>
    <w:rsid w:val="00917AB0"/>
    <w:rsid w:val="00917BE5"/>
    <w:rsid w:val="0092110F"/>
    <w:rsid w:val="00921570"/>
    <w:rsid w:val="009225CD"/>
    <w:rsid w:val="00923152"/>
    <w:rsid w:val="009232D7"/>
    <w:rsid w:val="009235FD"/>
    <w:rsid w:val="00924713"/>
    <w:rsid w:val="009251BB"/>
    <w:rsid w:val="00925E50"/>
    <w:rsid w:val="00926837"/>
    <w:rsid w:val="00930C87"/>
    <w:rsid w:val="009310F6"/>
    <w:rsid w:val="009319BD"/>
    <w:rsid w:val="00931AC4"/>
    <w:rsid w:val="0093203D"/>
    <w:rsid w:val="0093229C"/>
    <w:rsid w:val="009325FF"/>
    <w:rsid w:val="009336F7"/>
    <w:rsid w:val="00934D65"/>
    <w:rsid w:val="0093524A"/>
    <w:rsid w:val="00935452"/>
    <w:rsid w:val="00935973"/>
    <w:rsid w:val="00935CA3"/>
    <w:rsid w:val="009360E6"/>
    <w:rsid w:val="009365DB"/>
    <w:rsid w:val="00936682"/>
    <w:rsid w:val="00936C15"/>
    <w:rsid w:val="00937218"/>
    <w:rsid w:val="00937A7B"/>
    <w:rsid w:val="009401CA"/>
    <w:rsid w:val="009405B2"/>
    <w:rsid w:val="00941DE4"/>
    <w:rsid w:val="0094269F"/>
    <w:rsid w:val="009428D1"/>
    <w:rsid w:val="00942D6C"/>
    <w:rsid w:val="00942FD4"/>
    <w:rsid w:val="0094337D"/>
    <w:rsid w:val="00944001"/>
    <w:rsid w:val="00945E01"/>
    <w:rsid w:val="00947273"/>
    <w:rsid w:val="00947690"/>
    <w:rsid w:val="00947CFE"/>
    <w:rsid w:val="009518D6"/>
    <w:rsid w:val="0095234B"/>
    <w:rsid w:val="009529F5"/>
    <w:rsid w:val="00953F18"/>
    <w:rsid w:val="00953FBF"/>
    <w:rsid w:val="009547A4"/>
    <w:rsid w:val="00955E0B"/>
    <w:rsid w:val="00955EB0"/>
    <w:rsid w:val="00956B90"/>
    <w:rsid w:val="00956C22"/>
    <w:rsid w:val="00957190"/>
    <w:rsid w:val="00957E75"/>
    <w:rsid w:val="009602F3"/>
    <w:rsid w:val="00960559"/>
    <w:rsid w:val="009613CD"/>
    <w:rsid w:val="009617B9"/>
    <w:rsid w:val="00962A30"/>
    <w:rsid w:val="00962EBF"/>
    <w:rsid w:val="0096347B"/>
    <w:rsid w:val="00963BDB"/>
    <w:rsid w:val="00963FDF"/>
    <w:rsid w:val="00967002"/>
    <w:rsid w:val="00967573"/>
    <w:rsid w:val="00967FE8"/>
    <w:rsid w:val="009702D7"/>
    <w:rsid w:val="009704F9"/>
    <w:rsid w:val="00970C4D"/>
    <w:rsid w:val="00971DBB"/>
    <w:rsid w:val="009724A6"/>
    <w:rsid w:val="009724AB"/>
    <w:rsid w:val="009728BB"/>
    <w:rsid w:val="00973930"/>
    <w:rsid w:val="00973B75"/>
    <w:rsid w:val="00973D16"/>
    <w:rsid w:val="00974902"/>
    <w:rsid w:val="00974E4B"/>
    <w:rsid w:val="00974EB5"/>
    <w:rsid w:val="00975DF1"/>
    <w:rsid w:val="009770B4"/>
    <w:rsid w:val="009802A7"/>
    <w:rsid w:val="00980E02"/>
    <w:rsid w:val="00982D7E"/>
    <w:rsid w:val="009838DE"/>
    <w:rsid w:val="00983FE6"/>
    <w:rsid w:val="00984BA1"/>
    <w:rsid w:val="00984BC1"/>
    <w:rsid w:val="00984E35"/>
    <w:rsid w:val="00984FC5"/>
    <w:rsid w:val="00985408"/>
    <w:rsid w:val="00985457"/>
    <w:rsid w:val="0098559E"/>
    <w:rsid w:val="00985CE8"/>
    <w:rsid w:val="0098742B"/>
    <w:rsid w:val="00987E33"/>
    <w:rsid w:val="009905C0"/>
    <w:rsid w:val="0099182A"/>
    <w:rsid w:val="00992108"/>
    <w:rsid w:val="009922E5"/>
    <w:rsid w:val="0099297F"/>
    <w:rsid w:val="009939F4"/>
    <w:rsid w:val="00993B68"/>
    <w:rsid w:val="00994AEE"/>
    <w:rsid w:val="00994B7F"/>
    <w:rsid w:val="00994E79"/>
    <w:rsid w:val="00994F9C"/>
    <w:rsid w:val="009953AA"/>
    <w:rsid w:val="009955A3"/>
    <w:rsid w:val="00995A72"/>
    <w:rsid w:val="0099659C"/>
    <w:rsid w:val="00996B37"/>
    <w:rsid w:val="00997974"/>
    <w:rsid w:val="00997A11"/>
    <w:rsid w:val="009A174E"/>
    <w:rsid w:val="009A201E"/>
    <w:rsid w:val="009A23E0"/>
    <w:rsid w:val="009A25BD"/>
    <w:rsid w:val="009A2621"/>
    <w:rsid w:val="009A32E3"/>
    <w:rsid w:val="009A3C11"/>
    <w:rsid w:val="009A44EF"/>
    <w:rsid w:val="009A4BFC"/>
    <w:rsid w:val="009A503B"/>
    <w:rsid w:val="009A50F4"/>
    <w:rsid w:val="009A59B7"/>
    <w:rsid w:val="009A59FC"/>
    <w:rsid w:val="009A5F33"/>
    <w:rsid w:val="009A625E"/>
    <w:rsid w:val="009A6CA7"/>
    <w:rsid w:val="009B04F3"/>
    <w:rsid w:val="009B21C5"/>
    <w:rsid w:val="009B21FB"/>
    <w:rsid w:val="009B229C"/>
    <w:rsid w:val="009B249E"/>
    <w:rsid w:val="009B3354"/>
    <w:rsid w:val="009B3B23"/>
    <w:rsid w:val="009B3F01"/>
    <w:rsid w:val="009B3FB5"/>
    <w:rsid w:val="009B5226"/>
    <w:rsid w:val="009B593F"/>
    <w:rsid w:val="009B5EE5"/>
    <w:rsid w:val="009B664F"/>
    <w:rsid w:val="009B6BD4"/>
    <w:rsid w:val="009B76A6"/>
    <w:rsid w:val="009B78E1"/>
    <w:rsid w:val="009C020A"/>
    <w:rsid w:val="009C0B26"/>
    <w:rsid w:val="009C0EA1"/>
    <w:rsid w:val="009C13E7"/>
    <w:rsid w:val="009C1681"/>
    <w:rsid w:val="009C2E80"/>
    <w:rsid w:val="009C35E6"/>
    <w:rsid w:val="009C449F"/>
    <w:rsid w:val="009C472F"/>
    <w:rsid w:val="009C5EEE"/>
    <w:rsid w:val="009C6548"/>
    <w:rsid w:val="009C6585"/>
    <w:rsid w:val="009C6F4C"/>
    <w:rsid w:val="009C744C"/>
    <w:rsid w:val="009D0192"/>
    <w:rsid w:val="009D09FB"/>
    <w:rsid w:val="009D1C51"/>
    <w:rsid w:val="009D28A4"/>
    <w:rsid w:val="009D311E"/>
    <w:rsid w:val="009D32B7"/>
    <w:rsid w:val="009D45BF"/>
    <w:rsid w:val="009D5489"/>
    <w:rsid w:val="009D569B"/>
    <w:rsid w:val="009D5F3B"/>
    <w:rsid w:val="009D6116"/>
    <w:rsid w:val="009D6371"/>
    <w:rsid w:val="009D652F"/>
    <w:rsid w:val="009E0972"/>
    <w:rsid w:val="009E1B09"/>
    <w:rsid w:val="009E1C4B"/>
    <w:rsid w:val="009E1E92"/>
    <w:rsid w:val="009E2300"/>
    <w:rsid w:val="009E2674"/>
    <w:rsid w:val="009E2931"/>
    <w:rsid w:val="009E2DC9"/>
    <w:rsid w:val="009E2F31"/>
    <w:rsid w:val="009E3835"/>
    <w:rsid w:val="009E38E2"/>
    <w:rsid w:val="009E4BF6"/>
    <w:rsid w:val="009E528E"/>
    <w:rsid w:val="009E58E3"/>
    <w:rsid w:val="009E6009"/>
    <w:rsid w:val="009E6112"/>
    <w:rsid w:val="009E6252"/>
    <w:rsid w:val="009E7141"/>
    <w:rsid w:val="009F0869"/>
    <w:rsid w:val="009F0F56"/>
    <w:rsid w:val="009F1731"/>
    <w:rsid w:val="009F1AFD"/>
    <w:rsid w:val="009F1B07"/>
    <w:rsid w:val="009F2D22"/>
    <w:rsid w:val="009F3924"/>
    <w:rsid w:val="009F3A37"/>
    <w:rsid w:val="009F3B6C"/>
    <w:rsid w:val="009F4342"/>
    <w:rsid w:val="009F52F4"/>
    <w:rsid w:val="009F591A"/>
    <w:rsid w:val="009F5A77"/>
    <w:rsid w:val="009F65A8"/>
    <w:rsid w:val="009F6C7F"/>
    <w:rsid w:val="009F7463"/>
    <w:rsid w:val="009F7C47"/>
    <w:rsid w:val="00A01355"/>
    <w:rsid w:val="00A0183A"/>
    <w:rsid w:val="00A01850"/>
    <w:rsid w:val="00A01DCC"/>
    <w:rsid w:val="00A02A26"/>
    <w:rsid w:val="00A04F0F"/>
    <w:rsid w:val="00A05B3E"/>
    <w:rsid w:val="00A05DC1"/>
    <w:rsid w:val="00A05F89"/>
    <w:rsid w:val="00A07AF9"/>
    <w:rsid w:val="00A07C1A"/>
    <w:rsid w:val="00A105E1"/>
    <w:rsid w:val="00A119FD"/>
    <w:rsid w:val="00A12369"/>
    <w:rsid w:val="00A12979"/>
    <w:rsid w:val="00A138D5"/>
    <w:rsid w:val="00A147E2"/>
    <w:rsid w:val="00A14C41"/>
    <w:rsid w:val="00A14D8B"/>
    <w:rsid w:val="00A14F6C"/>
    <w:rsid w:val="00A1576C"/>
    <w:rsid w:val="00A15F56"/>
    <w:rsid w:val="00A1651B"/>
    <w:rsid w:val="00A1658D"/>
    <w:rsid w:val="00A16D31"/>
    <w:rsid w:val="00A17333"/>
    <w:rsid w:val="00A17933"/>
    <w:rsid w:val="00A17FDD"/>
    <w:rsid w:val="00A200D4"/>
    <w:rsid w:val="00A20CE1"/>
    <w:rsid w:val="00A2125A"/>
    <w:rsid w:val="00A215C9"/>
    <w:rsid w:val="00A2253D"/>
    <w:rsid w:val="00A22845"/>
    <w:rsid w:val="00A22950"/>
    <w:rsid w:val="00A229A0"/>
    <w:rsid w:val="00A229D9"/>
    <w:rsid w:val="00A2364F"/>
    <w:rsid w:val="00A23E3F"/>
    <w:rsid w:val="00A24570"/>
    <w:rsid w:val="00A24BFA"/>
    <w:rsid w:val="00A272A7"/>
    <w:rsid w:val="00A2791D"/>
    <w:rsid w:val="00A27BAB"/>
    <w:rsid w:val="00A27D79"/>
    <w:rsid w:val="00A3002F"/>
    <w:rsid w:val="00A31995"/>
    <w:rsid w:val="00A32332"/>
    <w:rsid w:val="00A32A21"/>
    <w:rsid w:val="00A32EED"/>
    <w:rsid w:val="00A32F95"/>
    <w:rsid w:val="00A33B4F"/>
    <w:rsid w:val="00A34442"/>
    <w:rsid w:val="00A3452C"/>
    <w:rsid w:val="00A34839"/>
    <w:rsid w:val="00A3549E"/>
    <w:rsid w:val="00A354EC"/>
    <w:rsid w:val="00A36552"/>
    <w:rsid w:val="00A36E1A"/>
    <w:rsid w:val="00A36F23"/>
    <w:rsid w:val="00A370DA"/>
    <w:rsid w:val="00A40764"/>
    <w:rsid w:val="00A40C34"/>
    <w:rsid w:val="00A41B38"/>
    <w:rsid w:val="00A4303C"/>
    <w:rsid w:val="00A4419C"/>
    <w:rsid w:val="00A45409"/>
    <w:rsid w:val="00A45D22"/>
    <w:rsid w:val="00A45E5B"/>
    <w:rsid w:val="00A4678E"/>
    <w:rsid w:val="00A46B80"/>
    <w:rsid w:val="00A479CD"/>
    <w:rsid w:val="00A479EA"/>
    <w:rsid w:val="00A47CFD"/>
    <w:rsid w:val="00A5060C"/>
    <w:rsid w:val="00A51CD2"/>
    <w:rsid w:val="00A5231D"/>
    <w:rsid w:val="00A52B5D"/>
    <w:rsid w:val="00A52DC9"/>
    <w:rsid w:val="00A5324F"/>
    <w:rsid w:val="00A53562"/>
    <w:rsid w:val="00A53BF4"/>
    <w:rsid w:val="00A53DF1"/>
    <w:rsid w:val="00A54588"/>
    <w:rsid w:val="00A549EF"/>
    <w:rsid w:val="00A55B94"/>
    <w:rsid w:val="00A56633"/>
    <w:rsid w:val="00A569A6"/>
    <w:rsid w:val="00A56FF3"/>
    <w:rsid w:val="00A5790B"/>
    <w:rsid w:val="00A5796B"/>
    <w:rsid w:val="00A606E8"/>
    <w:rsid w:val="00A61C3D"/>
    <w:rsid w:val="00A6216D"/>
    <w:rsid w:val="00A631D2"/>
    <w:rsid w:val="00A6366C"/>
    <w:rsid w:val="00A6367F"/>
    <w:rsid w:val="00A6382C"/>
    <w:rsid w:val="00A650C8"/>
    <w:rsid w:val="00A65C69"/>
    <w:rsid w:val="00A662EB"/>
    <w:rsid w:val="00A66FEC"/>
    <w:rsid w:val="00A67805"/>
    <w:rsid w:val="00A67D7F"/>
    <w:rsid w:val="00A67DC4"/>
    <w:rsid w:val="00A70760"/>
    <w:rsid w:val="00A71727"/>
    <w:rsid w:val="00A71C51"/>
    <w:rsid w:val="00A72015"/>
    <w:rsid w:val="00A729AB"/>
    <w:rsid w:val="00A72A57"/>
    <w:rsid w:val="00A7309B"/>
    <w:rsid w:val="00A73449"/>
    <w:rsid w:val="00A7370D"/>
    <w:rsid w:val="00A757F4"/>
    <w:rsid w:val="00A76102"/>
    <w:rsid w:val="00A76197"/>
    <w:rsid w:val="00A77106"/>
    <w:rsid w:val="00A77471"/>
    <w:rsid w:val="00A81EEE"/>
    <w:rsid w:val="00A8230C"/>
    <w:rsid w:val="00A82608"/>
    <w:rsid w:val="00A828CF"/>
    <w:rsid w:val="00A828E0"/>
    <w:rsid w:val="00A82AAD"/>
    <w:rsid w:val="00A8305E"/>
    <w:rsid w:val="00A83178"/>
    <w:rsid w:val="00A84E6C"/>
    <w:rsid w:val="00A852DB"/>
    <w:rsid w:val="00A85815"/>
    <w:rsid w:val="00A85952"/>
    <w:rsid w:val="00A85E34"/>
    <w:rsid w:val="00A86480"/>
    <w:rsid w:val="00A86635"/>
    <w:rsid w:val="00A87D93"/>
    <w:rsid w:val="00A87E77"/>
    <w:rsid w:val="00A903F6"/>
    <w:rsid w:val="00A9185E"/>
    <w:rsid w:val="00A93B84"/>
    <w:rsid w:val="00A93C40"/>
    <w:rsid w:val="00A93F6A"/>
    <w:rsid w:val="00A951EC"/>
    <w:rsid w:val="00A9585C"/>
    <w:rsid w:val="00A95A45"/>
    <w:rsid w:val="00A95D5C"/>
    <w:rsid w:val="00A96E32"/>
    <w:rsid w:val="00A97106"/>
    <w:rsid w:val="00A97707"/>
    <w:rsid w:val="00A97717"/>
    <w:rsid w:val="00A97974"/>
    <w:rsid w:val="00AA03D7"/>
    <w:rsid w:val="00AA08E0"/>
    <w:rsid w:val="00AA0A91"/>
    <w:rsid w:val="00AA139F"/>
    <w:rsid w:val="00AA1927"/>
    <w:rsid w:val="00AA3B22"/>
    <w:rsid w:val="00AA501E"/>
    <w:rsid w:val="00AA5F7D"/>
    <w:rsid w:val="00AA62D6"/>
    <w:rsid w:val="00AA74AC"/>
    <w:rsid w:val="00AA7712"/>
    <w:rsid w:val="00AA776C"/>
    <w:rsid w:val="00AB02ED"/>
    <w:rsid w:val="00AB0D28"/>
    <w:rsid w:val="00AB0D63"/>
    <w:rsid w:val="00AB1CD5"/>
    <w:rsid w:val="00AB1FD1"/>
    <w:rsid w:val="00AB28E2"/>
    <w:rsid w:val="00AB3AD2"/>
    <w:rsid w:val="00AB4B4D"/>
    <w:rsid w:val="00AB501E"/>
    <w:rsid w:val="00AB5D94"/>
    <w:rsid w:val="00AB5F4F"/>
    <w:rsid w:val="00AB6A14"/>
    <w:rsid w:val="00AB6FA5"/>
    <w:rsid w:val="00AB7107"/>
    <w:rsid w:val="00AB7DC4"/>
    <w:rsid w:val="00AC0F4A"/>
    <w:rsid w:val="00AC1512"/>
    <w:rsid w:val="00AC16DA"/>
    <w:rsid w:val="00AC2072"/>
    <w:rsid w:val="00AC362C"/>
    <w:rsid w:val="00AC40A7"/>
    <w:rsid w:val="00AC4F28"/>
    <w:rsid w:val="00AC55B9"/>
    <w:rsid w:val="00AC65A1"/>
    <w:rsid w:val="00AC6910"/>
    <w:rsid w:val="00AC6BFC"/>
    <w:rsid w:val="00AC77E9"/>
    <w:rsid w:val="00AC7ECF"/>
    <w:rsid w:val="00AD0349"/>
    <w:rsid w:val="00AD0716"/>
    <w:rsid w:val="00AD14ED"/>
    <w:rsid w:val="00AD1533"/>
    <w:rsid w:val="00AD1EAF"/>
    <w:rsid w:val="00AD23E9"/>
    <w:rsid w:val="00AD2B83"/>
    <w:rsid w:val="00AD2CF8"/>
    <w:rsid w:val="00AD2EDE"/>
    <w:rsid w:val="00AD3428"/>
    <w:rsid w:val="00AD3C0E"/>
    <w:rsid w:val="00AD3C66"/>
    <w:rsid w:val="00AD43CC"/>
    <w:rsid w:val="00AD5946"/>
    <w:rsid w:val="00AD5E44"/>
    <w:rsid w:val="00AD7219"/>
    <w:rsid w:val="00AD7AB4"/>
    <w:rsid w:val="00AD7F50"/>
    <w:rsid w:val="00AE06EB"/>
    <w:rsid w:val="00AE0F61"/>
    <w:rsid w:val="00AE1334"/>
    <w:rsid w:val="00AE203B"/>
    <w:rsid w:val="00AE2EAA"/>
    <w:rsid w:val="00AE327E"/>
    <w:rsid w:val="00AE385F"/>
    <w:rsid w:val="00AE4143"/>
    <w:rsid w:val="00AE4318"/>
    <w:rsid w:val="00AE4E2D"/>
    <w:rsid w:val="00AE5524"/>
    <w:rsid w:val="00AE5583"/>
    <w:rsid w:val="00AE64ED"/>
    <w:rsid w:val="00AE73BF"/>
    <w:rsid w:val="00AE7E15"/>
    <w:rsid w:val="00AF01DF"/>
    <w:rsid w:val="00AF256B"/>
    <w:rsid w:val="00AF28E8"/>
    <w:rsid w:val="00AF29E8"/>
    <w:rsid w:val="00AF2D83"/>
    <w:rsid w:val="00AF3AF9"/>
    <w:rsid w:val="00AF4704"/>
    <w:rsid w:val="00AF4E40"/>
    <w:rsid w:val="00AF693C"/>
    <w:rsid w:val="00AF6D75"/>
    <w:rsid w:val="00AF79B3"/>
    <w:rsid w:val="00AF7C25"/>
    <w:rsid w:val="00B003B9"/>
    <w:rsid w:val="00B00B3D"/>
    <w:rsid w:val="00B01CE7"/>
    <w:rsid w:val="00B029F8"/>
    <w:rsid w:val="00B03166"/>
    <w:rsid w:val="00B035FF"/>
    <w:rsid w:val="00B05221"/>
    <w:rsid w:val="00B05BC3"/>
    <w:rsid w:val="00B060A4"/>
    <w:rsid w:val="00B061F5"/>
    <w:rsid w:val="00B064E2"/>
    <w:rsid w:val="00B06C26"/>
    <w:rsid w:val="00B06F97"/>
    <w:rsid w:val="00B0720D"/>
    <w:rsid w:val="00B10017"/>
    <w:rsid w:val="00B10482"/>
    <w:rsid w:val="00B10F8A"/>
    <w:rsid w:val="00B11064"/>
    <w:rsid w:val="00B1629D"/>
    <w:rsid w:val="00B16E89"/>
    <w:rsid w:val="00B1729A"/>
    <w:rsid w:val="00B179B1"/>
    <w:rsid w:val="00B17A79"/>
    <w:rsid w:val="00B21963"/>
    <w:rsid w:val="00B21E20"/>
    <w:rsid w:val="00B2223E"/>
    <w:rsid w:val="00B227F1"/>
    <w:rsid w:val="00B22EEF"/>
    <w:rsid w:val="00B231E0"/>
    <w:rsid w:val="00B23441"/>
    <w:rsid w:val="00B252B3"/>
    <w:rsid w:val="00B254F4"/>
    <w:rsid w:val="00B2577E"/>
    <w:rsid w:val="00B25B91"/>
    <w:rsid w:val="00B26719"/>
    <w:rsid w:val="00B27DA4"/>
    <w:rsid w:val="00B3007D"/>
    <w:rsid w:val="00B30816"/>
    <w:rsid w:val="00B309BA"/>
    <w:rsid w:val="00B31140"/>
    <w:rsid w:val="00B3115E"/>
    <w:rsid w:val="00B31325"/>
    <w:rsid w:val="00B31C4C"/>
    <w:rsid w:val="00B326CD"/>
    <w:rsid w:val="00B32C52"/>
    <w:rsid w:val="00B34CD0"/>
    <w:rsid w:val="00B35273"/>
    <w:rsid w:val="00B35283"/>
    <w:rsid w:val="00B354F9"/>
    <w:rsid w:val="00B35A2D"/>
    <w:rsid w:val="00B35C38"/>
    <w:rsid w:val="00B35E5C"/>
    <w:rsid w:val="00B365E3"/>
    <w:rsid w:val="00B36EDB"/>
    <w:rsid w:val="00B3759F"/>
    <w:rsid w:val="00B379EE"/>
    <w:rsid w:val="00B40019"/>
    <w:rsid w:val="00B4049B"/>
    <w:rsid w:val="00B40612"/>
    <w:rsid w:val="00B4077D"/>
    <w:rsid w:val="00B41990"/>
    <w:rsid w:val="00B421A6"/>
    <w:rsid w:val="00B422CA"/>
    <w:rsid w:val="00B42445"/>
    <w:rsid w:val="00B42E34"/>
    <w:rsid w:val="00B43001"/>
    <w:rsid w:val="00B43029"/>
    <w:rsid w:val="00B4352C"/>
    <w:rsid w:val="00B43A2D"/>
    <w:rsid w:val="00B43FD6"/>
    <w:rsid w:val="00B4418C"/>
    <w:rsid w:val="00B45508"/>
    <w:rsid w:val="00B45A38"/>
    <w:rsid w:val="00B46359"/>
    <w:rsid w:val="00B46CB3"/>
    <w:rsid w:val="00B47254"/>
    <w:rsid w:val="00B501CD"/>
    <w:rsid w:val="00B50A0C"/>
    <w:rsid w:val="00B50E26"/>
    <w:rsid w:val="00B5161A"/>
    <w:rsid w:val="00B5192F"/>
    <w:rsid w:val="00B51AF2"/>
    <w:rsid w:val="00B52944"/>
    <w:rsid w:val="00B53390"/>
    <w:rsid w:val="00B53774"/>
    <w:rsid w:val="00B53DBF"/>
    <w:rsid w:val="00B53E27"/>
    <w:rsid w:val="00B544D1"/>
    <w:rsid w:val="00B545DF"/>
    <w:rsid w:val="00B55B25"/>
    <w:rsid w:val="00B55CA4"/>
    <w:rsid w:val="00B55FE1"/>
    <w:rsid w:val="00B56953"/>
    <w:rsid w:val="00B57430"/>
    <w:rsid w:val="00B6045E"/>
    <w:rsid w:val="00B60E74"/>
    <w:rsid w:val="00B6110C"/>
    <w:rsid w:val="00B62717"/>
    <w:rsid w:val="00B6345F"/>
    <w:rsid w:val="00B63FD7"/>
    <w:rsid w:val="00B64711"/>
    <w:rsid w:val="00B64748"/>
    <w:rsid w:val="00B6475F"/>
    <w:rsid w:val="00B649A1"/>
    <w:rsid w:val="00B6586C"/>
    <w:rsid w:val="00B6602C"/>
    <w:rsid w:val="00B668B4"/>
    <w:rsid w:val="00B66B04"/>
    <w:rsid w:val="00B66EF7"/>
    <w:rsid w:val="00B673F0"/>
    <w:rsid w:val="00B6749D"/>
    <w:rsid w:val="00B6778B"/>
    <w:rsid w:val="00B67B1D"/>
    <w:rsid w:val="00B67F77"/>
    <w:rsid w:val="00B7091C"/>
    <w:rsid w:val="00B7144F"/>
    <w:rsid w:val="00B71A46"/>
    <w:rsid w:val="00B722F8"/>
    <w:rsid w:val="00B723F1"/>
    <w:rsid w:val="00B7321F"/>
    <w:rsid w:val="00B7344C"/>
    <w:rsid w:val="00B73EE4"/>
    <w:rsid w:val="00B74182"/>
    <w:rsid w:val="00B74683"/>
    <w:rsid w:val="00B749AC"/>
    <w:rsid w:val="00B74B58"/>
    <w:rsid w:val="00B75030"/>
    <w:rsid w:val="00B75194"/>
    <w:rsid w:val="00B75536"/>
    <w:rsid w:val="00B75ACC"/>
    <w:rsid w:val="00B769C3"/>
    <w:rsid w:val="00B77AD9"/>
    <w:rsid w:val="00B8002F"/>
    <w:rsid w:val="00B805D3"/>
    <w:rsid w:val="00B8065F"/>
    <w:rsid w:val="00B8076D"/>
    <w:rsid w:val="00B8150A"/>
    <w:rsid w:val="00B81884"/>
    <w:rsid w:val="00B82068"/>
    <w:rsid w:val="00B8298C"/>
    <w:rsid w:val="00B8313D"/>
    <w:rsid w:val="00B849C1"/>
    <w:rsid w:val="00B850C4"/>
    <w:rsid w:val="00B852F6"/>
    <w:rsid w:val="00B8627F"/>
    <w:rsid w:val="00B86FB1"/>
    <w:rsid w:val="00B877AD"/>
    <w:rsid w:val="00B87FE3"/>
    <w:rsid w:val="00B90371"/>
    <w:rsid w:val="00B90DB6"/>
    <w:rsid w:val="00B91BE8"/>
    <w:rsid w:val="00B92201"/>
    <w:rsid w:val="00B93285"/>
    <w:rsid w:val="00B9330F"/>
    <w:rsid w:val="00B93639"/>
    <w:rsid w:val="00B9367E"/>
    <w:rsid w:val="00B93ADB"/>
    <w:rsid w:val="00B93D45"/>
    <w:rsid w:val="00B94DA4"/>
    <w:rsid w:val="00B95957"/>
    <w:rsid w:val="00B96323"/>
    <w:rsid w:val="00B9649E"/>
    <w:rsid w:val="00BA02C5"/>
    <w:rsid w:val="00BA040A"/>
    <w:rsid w:val="00BA0D8D"/>
    <w:rsid w:val="00BA1129"/>
    <w:rsid w:val="00BA1511"/>
    <w:rsid w:val="00BA17F8"/>
    <w:rsid w:val="00BA1BD1"/>
    <w:rsid w:val="00BA1D9C"/>
    <w:rsid w:val="00BA27C8"/>
    <w:rsid w:val="00BA2FB8"/>
    <w:rsid w:val="00BA31C8"/>
    <w:rsid w:val="00BA3D51"/>
    <w:rsid w:val="00BA41AE"/>
    <w:rsid w:val="00BA4CA1"/>
    <w:rsid w:val="00BA4E10"/>
    <w:rsid w:val="00BA4FB8"/>
    <w:rsid w:val="00BA5733"/>
    <w:rsid w:val="00BA60A5"/>
    <w:rsid w:val="00BA633E"/>
    <w:rsid w:val="00BB07B5"/>
    <w:rsid w:val="00BB07BC"/>
    <w:rsid w:val="00BB0B63"/>
    <w:rsid w:val="00BB1090"/>
    <w:rsid w:val="00BB190F"/>
    <w:rsid w:val="00BB1F4B"/>
    <w:rsid w:val="00BB208A"/>
    <w:rsid w:val="00BB267C"/>
    <w:rsid w:val="00BB272F"/>
    <w:rsid w:val="00BB3478"/>
    <w:rsid w:val="00BB35BD"/>
    <w:rsid w:val="00BB3A99"/>
    <w:rsid w:val="00BB4503"/>
    <w:rsid w:val="00BB77CB"/>
    <w:rsid w:val="00BB7B0F"/>
    <w:rsid w:val="00BB7BE3"/>
    <w:rsid w:val="00BB7FD7"/>
    <w:rsid w:val="00BC0820"/>
    <w:rsid w:val="00BC2882"/>
    <w:rsid w:val="00BC3EB3"/>
    <w:rsid w:val="00BC3FB3"/>
    <w:rsid w:val="00BC4D15"/>
    <w:rsid w:val="00BC5334"/>
    <w:rsid w:val="00BC56A2"/>
    <w:rsid w:val="00BC773A"/>
    <w:rsid w:val="00BD0B69"/>
    <w:rsid w:val="00BD295D"/>
    <w:rsid w:val="00BD2A05"/>
    <w:rsid w:val="00BD3AAE"/>
    <w:rsid w:val="00BD3E44"/>
    <w:rsid w:val="00BD494D"/>
    <w:rsid w:val="00BD4A1F"/>
    <w:rsid w:val="00BD52D5"/>
    <w:rsid w:val="00BD5415"/>
    <w:rsid w:val="00BD6515"/>
    <w:rsid w:val="00BD672E"/>
    <w:rsid w:val="00BD7407"/>
    <w:rsid w:val="00BD7F46"/>
    <w:rsid w:val="00BE0283"/>
    <w:rsid w:val="00BE0BB6"/>
    <w:rsid w:val="00BE0C04"/>
    <w:rsid w:val="00BE0CC1"/>
    <w:rsid w:val="00BE14FA"/>
    <w:rsid w:val="00BE1F32"/>
    <w:rsid w:val="00BE245F"/>
    <w:rsid w:val="00BE2F39"/>
    <w:rsid w:val="00BE3179"/>
    <w:rsid w:val="00BE34F3"/>
    <w:rsid w:val="00BE3522"/>
    <w:rsid w:val="00BE4698"/>
    <w:rsid w:val="00BE4884"/>
    <w:rsid w:val="00BE4CA3"/>
    <w:rsid w:val="00BE5791"/>
    <w:rsid w:val="00BE651C"/>
    <w:rsid w:val="00BE7052"/>
    <w:rsid w:val="00BE72E6"/>
    <w:rsid w:val="00BE7A58"/>
    <w:rsid w:val="00BF025C"/>
    <w:rsid w:val="00BF03ED"/>
    <w:rsid w:val="00BF0590"/>
    <w:rsid w:val="00BF08F1"/>
    <w:rsid w:val="00BF09F5"/>
    <w:rsid w:val="00BF1118"/>
    <w:rsid w:val="00BF1531"/>
    <w:rsid w:val="00BF1A05"/>
    <w:rsid w:val="00BF1A8F"/>
    <w:rsid w:val="00BF1C1B"/>
    <w:rsid w:val="00BF1DC9"/>
    <w:rsid w:val="00BF1F47"/>
    <w:rsid w:val="00BF2706"/>
    <w:rsid w:val="00BF2A42"/>
    <w:rsid w:val="00BF2C6D"/>
    <w:rsid w:val="00BF3B7E"/>
    <w:rsid w:val="00BF4B53"/>
    <w:rsid w:val="00BF5994"/>
    <w:rsid w:val="00BF6AE8"/>
    <w:rsid w:val="00BF766C"/>
    <w:rsid w:val="00BF7683"/>
    <w:rsid w:val="00C004AC"/>
    <w:rsid w:val="00C0173F"/>
    <w:rsid w:val="00C01AA8"/>
    <w:rsid w:val="00C021DD"/>
    <w:rsid w:val="00C039A5"/>
    <w:rsid w:val="00C03BC5"/>
    <w:rsid w:val="00C0403D"/>
    <w:rsid w:val="00C05D34"/>
    <w:rsid w:val="00C062DA"/>
    <w:rsid w:val="00C06B1E"/>
    <w:rsid w:val="00C07367"/>
    <w:rsid w:val="00C079BC"/>
    <w:rsid w:val="00C07C07"/>
    <w:rsid w:val="00C07DC2"/>
    <w:rsid w:val="00C103CE"/>
    <w:rsid w:val="00C10913"/>
    <w:rsid w:val="00C1092D"/>
    <w:rsid w:val="00C122F5"/>
    <w:rsid w:val="00C1391A"/>
    <w:rsid w:val="00C13B07"/>
    <w:rsid w:val="00C13D30"/>
    <w:rsid w:val="00C1455E"/>
    <w:rsid w:val="00C14A02"/>
    <w:rsid w:val="00C15CCC"/>
    <w:rsid w:val="00C16074"/>
    <w:rsid w:val="00C1621D"/>
    <w:rsid w:val="00C172B7"/>
    <w:rsid w:val="00C179BA"/>
    <w:rsid w:val="00C17E16"/>
    <w:rsid w:val="00C21087"/>
    <w:rsid w:val="00C21981"/>
    <w:rsid w:val="00C21F4B"/>
    <w:rsid w:val="00C22FFD"/>
    <w:rsid w:val="00C23670"/>
    <w:rsid w:val="00C24212"/>
    <w:rsid w:val="00C250AE"/>
    <w:rsid w:val="00C265DD"/>
    <w:rsid w:val="00C26FE1"/>
    <w:rsid w:val="00C27349"/>
    <w:rsid w:val="00C274D0"/>
    <w:rsid w:val="00C307DA"/>
    <w:rsid w:val="00C311AC"/>
    <w:rsid w:val="00C31DCF"/>
    <w:rsid w:val="00C32FF9"/>
    <w:rsid w:val="00C331E9"/>
    <w:rsid w:val="00C33C1B"/>
    <w:rsid w:val="00C346CF"/>
    <w:rsid w:val="00C34DB1"/>
    <w:rsid w:val="00C35272"/>
    <w:rsid w:val="00C35294"/>
    <w:rsid w:val="00C35767"/>
    <w:rsid w:val="00C3645F"/>
    <w:rsid w:val="00C3665F"/>
    <w:rsid w:val="00C367C4"/>
    <w:rsid w:val="00C37083"/>
    <w:rsid w:val="00C37FF7"/>
    <w:rsid w:val="00C40018"/>
    <w:rsid w:val="00C40497"/>
    <w:rsid w:val="00C408A2"/>
    <w:rsid w:val="00C40E4F"/>
    <w:rsid w:val="00C4184E"/>
    <w:rsid w:val="00C42456"/>
    <w:rsid w:val="00C43894"/>
    <w:rsid w:val="00C43A6C"/>
    <w:rsid w:val="00C43DCF"/>
    <w:rsid w:val="00C44DD3"/>
    <w:rsid w:val="00C45953"/>
    <w:rsid w:val="00C460EE"/>
    <w:rsid w:val="00C47753"/>
    <w:rsid w:val="00C47C70"/>
    <w:rsid w:val="00C50959"/>
    <w:rsid w:val="00C510A6"/>
    <w:rsid w:val="00C51769"/>
    <w:rsid w:val="00C5178B"/>
    <w:rsid w:val="00C51C51"/>
    <w:rsid w:val="00C51CCA"/>
    <w:rsid w:val="00C51CED"/>
    <w:rsid w:val="00C52494"/>
    <w:rsid w:val="00C52A67"/>
    <w:rsid w:val="00C52B6B"/>
    <w:rsid w:val="00C52CA8"/>
    <w:rsid w:val="00C53F26"/>
    <w:rsid w:val="00C546AB"/>
    <w:rsid w:val="00C55284"/>
    <w:rsid w:val="00C55AF4"/>
    <w:rsid w:val="00C55CC2"/>
    <w:rsid w:val="00C56768"/>
    <w:rsid w:val="00C577E8"/>
    <w:rsid w:val="00C60A63"/>
    <w:rsid w:val="00C60BCF"/>
    <w:rsid w:val="00C62182"/>
    <w:rsid w:val="00C628D4"/>
    <w:rsid w:val="00C62E6B"/>
    <w:rsid w:val="00C6323A"/>
    <w:rsid w:val="00C63384"/>
    <w:rsid w:val="00C634BF"/>
    <w:rsid w:val="00C63976"/>
    <w:rsid w:val="00C63EB9"/>
    <w:rsid w:val="00C64CCA"/>
    <w:rsid w:val="00C64E13"/>
    <w:rsid w:val="00C6501F"/>
    <w:rsid w:val="00C662A2"/>
    <w:rsid w:val="00C667AF"/>
    <w:rsid w:val="00C66826"/>
    <w:rsid w:val="00C66B26"/>
    <w:rsid w:val="00C66BF4"/>
    <w:rsid w:val="00C66BFC"/>
    <w:rsid w:val="00C67457"/>
    <w:rsid w:val="00C67759"/>
    <w:rsid w:val="00C67821"/>
    <w:rsid w:val="00C67B2E"/>
    <w:rsid w:val="00C67B9A"/>
    <w:rsid w:val="00C67F72"/>
    <w:rsid w:val="00C70AE8"/>
    <w:rsid w:val="00C716BB"/>
    <w:rsid w:val="00C719AF"/>
    <w:rsid w:val="00C72EEB"/>
    <w:rsid w:val="00C74261"/>
    <w:rsid w:val="00C74A26"/>
    <w:rsid w:val="00C74EAF"/>
    <w:rsid w:val="00C75A29"/>
    <w:rsid w:val="00C760B8"/>
    <w:rsid w:val="00C7634C"/>
    <w:rsid w:val="00C76D58"/>
    <w:rsid w:val="00C77E28"/>
    <w:rsid w:val="00C77FCE"/>
    <w:rsid w:val="00C81D16"/>
    <w:rsid w:val="00C822F5"/>
    <w:rsid w:val="00C82357"/>
    <w:rsid w:val="00C8267B"/>
    <w:rsid w:val="00C8282D"/>
    <w:rsid w:val="00C82CBF"/>
    <w:rsid w:val="00C82F35"/>
    <w:rsid w:val="00C8307F"/>
    <w:rsid w:val="00C836AC"/>
    <w:rsid w:val="00C838EC"/>
    <w:rsid w:val="00C841D9"/>
    <w:rsid w:val="00C850EB"/>
    <w:rsid w:val="00C851EE"/>
    <w:rsid w:val="00C87346"/>
    <w:rsid w:val="00C87FC3"/>
    <w:rsid w:val="00C917F8"/>
    <w:rsid w:val="00C91C69"/>
    <w:rsid w:val="00C936B1"/>
    <w:rsid w:val="00C93941"/>
    <w:rsid w:val="00C953E3"/>
    <w:rsid w:val="00C95D48"/>
    <w:rsid w:val="00C97290"/>
    <w:rsid w:val="00C97371"/>
    <w:rsid w:val="00C97CEA"/>
    <w:rsid w:val="00CA1233"/>
    <w:rsid w:val="00CA1B85"/>
    <w:rsid w:val="00CA2E76"/>
    <w:rsid w:val="00CA4ABB"/>
    <w:rsid w:val="00CA51B4"/>
    <w:rsid w:val="00CA5700"/>
    <w:rsid w:val="00CA5C0E"/>
    <w:rsid w:val="00CA62AA"/>
    <w:rsid w:val="00CA6705"/>
    <w:rsid w:val="00CA78B5"/>
    <w:rsid w:val="00CB0E62"/>
    <w:rsid w:val="00CB0F44"/>
    <w:rsid w:val="00CB2311"/>
    <w:rsid w:val="00CB3218"/>
    <w:rsid w:val="00CB35E1"/>
    <w:rsid w:val="00CB3A13"/>
    <w:rsid w:val="00CB3F96"/>
    <w:rsid w:val="00CB4C6D"/>
    <w:rsid w:val="00CB52F5"/>
    <w:rsid w:val="00CB5DEE"/>
    <w:rsid w:val="00CB6184"/>
    <w:rsid w:val="00CB6263"/>
    <w:rsid w:val="00CB646B"/>
    <w:rsid w:val="00CB669E"/>
    <w:rsid w:val="00CB67E1"/>
    <w:rsid w:val="00CB6D64"/>
    <w:rsid w:val="00CB75C2"/>
    <w:rsid w:val="00CB7876"/>
    <w:rsid w:val="00CC0025"/>
    <w:rsid w:val="00CC0059"/>
    <w:rsid w:val="00CC0E7F"/>
    <w:rsid w:val="00CC2723"/>
    <w:rsid w:val="00CC47DA"/>
    <w:rsid w:val="00CC4B0E"/>
    <w:rsid w:val="00CC6212"/>
    <w:rsid w:val="00CC6EC3"/>
    <w:rsid w:val="00CC7497"/>
    <w:rsid w:val="00CC7DDC"/>
    <w:rsid w:val="00CD1093"/>
    <w:rsid w:val="00CD11CE"/>
    <w:rsid w:val="00CD1A60"/>
    <w:rsid w:val="00CD2118"/>
    <w:rsid w:val="00CD29B6"/>
    <w:rsid w:val="00CD2F73"/>
    <w:rsid w:val="00CD3320"/>
    <w:rsid w:val="00CD34F7"/>
    <w:rsid w:val="00CD3D3B"/>
    <w:rsid w:val="00CD517A"/>
    <w:rsid w:val="00CD54E9"/>
    <w:rsid w:val="00CD5553"/>
    <w:rsid w:val="00CD58AB"/>
    <w:rsid w:val="00CD64E6"/>
    <w:rsid w:val="00CD6BEF"/>
    <w:rsid w:val="00CD6E3B"/>
    <w:rsid w:val="00CD73A5"/>
    <w:rsid w:val="00CD7606"/>
    <w:rsid w:val="00CE0CDB"/>
    <w:rsid w:val="00CE0EED"/>
    <w:rsid w:val="00CE11DD"/>
    <w:rsid w:val="00CE120F"/>
    <w:rsid w:val="00CE1955"/>
    <w:rsid w:val="00CE1B40"/>
    <w:rsid w:val="00CE1CBF"/>
    <w:rsid w:val="00CE22F4"/>
    <w:rsid w:val="00CE33AE"/>
    <w:rsid w:val="00CE359A"/>
    <w:rsid w:val="00CE363B"/>
    <w:rsid w:val="00CE3CA1"/>
    <w:rsid w:val="00CE3F7B"/>
    <w:rsid w:val="00CE474B"/>
    <w:rsid w:val="00CE4F12"/>
    <w:rsid w:val="00CE5567"/>
    <w:rsid w:val="00CE55FB"/>
    <w:rsid w:val="00CE5886"/>
    <w:rsid w:val="00CE65C4"/>
    <w:rsid w:val="00CE66AB"/>
    <w:rsid w:val="00CE66F8"/>
    <w:rsid w:val="00CE6CB6"/>
    <w:rsid w:val="00CF03A4"/>
    <w:rsid w:val="00CF18D1"/>
    <w:rsid w:val="00CF1F3F"/>
    <w:rsid w:val="00CF239D"/>
    <w:rsid w:val="00CF2804"/>
    <w:rsid w:val="00CF283B"/>
    <w:rsid w:val="00CF2F9B"/>
    <w:rsid w:val="00CF36BD"/>
    <w:rsid w:val="00CF416A"/>
    <w:rsid w:val="00CF57AB"/>
    <w:rsid w:val="00CF57EC"/>
    <w:rsid w:val="00CF58B4"/>
    <w:rsid w:val="00CF6452"/>
    <w:rsid w:val="00CF66FD"/>
    <w:rsid w:val="00CF7742"/>
    <w:rsid w:val="00CF7B13"/>
    <w:rsid w:val="00CF7B4E"/>
    <w:rsid w:val="00D01C24"/>
    <w:rsid w:val="00D02574"/>
    <w:rsid w:val="00D02C09"/>
    <w:rsid w:val="00D03AEF"/>
    <w:rsid w:val="00D04D53"/>
    <w:rsid w:val="00D068D7"/>
    <w:rsid w:val="00D07295"/>
    <w:rsid w:val="00D0737D"/>
    <w:rsid w:val="00D076E0"/>
    <w:rsid w:val="00D077F4"/>
    <w:rsid w:val="00D07A8A"/>
    <w:rsid w:val="00D1112D"/>
    <w:rsid w:val="00D1237F"/>
    <w:rsid w:val="00D1254F"/>
    <w:rsid w:val="00D1273C"/>
    <w:rsid w:val="00D135B3"/>
    <w:rsid w:val="00D1433F"/>
    <w:rsid w:val="00D14F26"/>
    <w:rsid w:val="00D15558"/>
    <w:rsid w:val="00D157E6"/>
    <w:rsid w:val="00D15AD0"/>
    <w:rsid w:val="00D15F6F"/>
    <w:rsid w:val="00D16170"/>
    <w:rsid w:val="00D168AA"/>
    <w:rsid w:val="00D1715D"/>
    <w:rsid w:val="00D2075F"/>
    <w:rsid w:val="00D20BBE"/>
    <w:rsid w:val="00D224DE"/>
    <w:rsid w:val="00D2269F"/>
    <w:rsid w:val="00D234FC"/>
    <w:rsid w:val="00D23620"/>
    <w:rsid w:val="00D2385F"/>
    <w:rsid w:val="00D23BB5"/>
    <w:rsid w:val="00D241F7"/>
    <w:rsid w:val="00D24CC4"/>
    <w:rsid w:val="00D25006"/>
    <w:rsid w:val="00D26E81"/>
    <w:rsid w:val="00D2773B"/>
    <w:rsid w:val="00D30BAF"/>
    <w:rsid w:val="00D314FD"/>
    <w:rsid w:val="00D31AB8"/>
    <w:rsid w:val="00D33B25"/>
    <w:rsid w:val="00D33F70"/>
    <w:rsid w:val="00D34043"/>
    <w:rsid w:val="00D34499"/>
    <w:rsid w:val="00D34909"/>
    <w:rsid w:val="00D3520B"/>
    <w:rsid w:val="00D3615D"/>
    <w:rsid w:val="00D3624B"/>
    <w:rsid w:val="00D36427"/>
    <w:rsid w:val="00D3693E"/>
    <w:rsid w:val="00D36D0B"/>
    <w:rsid w:val="00D37094"/>
    <w:rsid w:val="00D378E5"/>
    <w:rsid w:val="00D40D20"/>
    <w:rsid w:val="00D41116"/>
    <w:rsid w:val="00D41736"/>
    <w:rsid w:val="00D41E33"/>
    <w:rsid w:val="00D42C2D"/>
    <w:rsid w:val="00D43964"/>
    <w:rsid w:val="00D4406F"/>
    <w:rsid w:val="00D440D1"/>
    <w:rsid w:val="00D44B3D"/>
    <w:rsid w:val="00D44CE7"/>
    <w:rsid w:val="00D45DDE"/>
    <w:rsid w:val="00D4654B"/>
    <w:rsid w:val="00D47B76"/>
    <w:rsid w:val="00D47E2F"/>
    <w:rsid w:val="00D5096F"/>
    <w:rsid w:val="00D52304"/>
    <w:rsid w:val="00D53235"/>
    <w:rsid w:val="00D54705"/>
    <w:rsid w:val="00D548DA"/>
    <w:rsid w:val="00D55371"/>
    <w:rsid w:val="00D55EB4"/>
    <w:rsid w:val="00D5687A"/>
    <w:rsid w:val="00D578FB"/>
    <w:rsid w:val="00D57E35"/>
    <w:rsid w:val="00D60243"/>
    <w:rsid w:val="00D60EAE"/>
    <w:rsid w:val="00D620B3"/>
    <w:rsid w:val="00D63A8C"/>
    <w:rsid w:val="00D63B55"/>
    <w:rsid w:val="00D65AF5"/>
    <w:rsid w:val="00D65AFB"/>
    <w:rsid w:val="00D66065"/>
    <w:rsid w:val="00D66FD8"/>
    <w:rsid w:val="00D67A23"/>
    <w:rsid w:val="00D67CAD"/>
    <w:rsid w:val="00D70370"/>
    <w:rsid w:val="00D71842"/>
    <w:rsid w:val="00D723C3"/>
    <w:rsid w:val="00D72A5D"/>
    <w:rsid w:val="00D72E42"/>
    <w:rsid w:val="00D7337D"/>
    <w:rsid w:val="00D734DA"/>
    <w:rsid w:val="00D73CC2"/>
    <w:rsid w:val="00D74024"/>
    <w:rsid w:val="00D752E9"/>
    <w:rsid w:val="00D75326"/>
    <w:rsid w:val="00D75BED"/>
    <w:rsid w:val="00D7634F"/>
    <w:rsid w:val="00D80096"/>
    <w:rsid w:val="00D80191"/>
    <w:rsid w:val="00D80512"/>
    <w:rsid w:val="00D80764"/>
    <w:rsid w:val="00D80B3B"/>
    <w:rsid w:val="00D80FBE"/>
    <w:rsid w:val="00D812C5"/>
    <w:rsid w:val="00D81755"/>
    <w:rsid w:val="00D81D37"/>
    <w:rsid w:val="00D82AED"/>
    <w:rsid w:val="00D84D9B"/>
    <w:rsid w:val="00D8500D"/>
    <w:rsid w:val="00D85045"/>
    <w:rsid w:val="00D8571B"/>
    <w:rsid w:val="00D859E2"/>
    <w:rsid w:val="00D865C4"/>
    <w:rsid w:val="00D869D5"/>
    <w:rsid w:val="00D86C17"/>
    <w:rsid w:val="00D87176"/>
    <w:rsid w:val="00D877AC"/>
    <w:rsid w:val="00D902A2"/>
    <w:rsid w:val="00D90AB6"/>
    <w:rsid w:val="00D91487"/>
    <w:rsid w:val="00D91665"/>
    <w:rsid w:val="00D91AEF"/>
    <w:rsid w:val="00D928F8"/>
    <w:rsid w:val="00D93918"/>
    <w:rsid w:val="00D93CAA"/>
    <w:rsid w:val="00D94733"/>
    <w:rsid w:val="00D95120"/>
    <w:rsid w:val="00D95A25"/>
    <w:rsid w:val="00D95A6E"/>
    <w:rsid w:val="00D95D8E"/>
    <w:rsid w:val="00D9616D"/>
    <w:rsid w:val="00D9690C"/>
    <w:rsid w:val="00D9773E"/>
    <w:rsid w:val="00DA1A5E"/>
    <w:rsid w:val="00DA26A1"/>
    <w:rsid w:val="00DA2A24"/>
    <w:rsid w:val="00DA2A7F"/>
    <w:rsid w:val="00DA2EF7"/>
    <w:rsid w:val="00DA3B7E"/>
    <w:rsid w:val="00DA3E07"/>
    <w:rsid w:val="00DA4085"/>
    <w:rsid w:val="00DA40F4"/>
    <w:rsid w:val="00DA5191"/>
    <w:rsid w:val="00DA520C"/>
    <w:rsid w:val="00DA52BD"/>
    <w:rsid w:val="00DA5713"/>
    <w:rsid w:val="00DA69A5"/>
    <w:rsid w:val="00DA6C47"/>
    <w:rsid w:val="00DA7765"/>
    <w:rsid w:val="00DB01D4"/>
    <w:rsid w:val="00DB19BB"/>
    <w:rsid w:val="00DB2C07"/>
    <w:rsid w:val="00DB2C25"/>
    <w:rsid w:val="00DB3613"/>
    <w:rsid w:val="00DB3EDC"/>
    <w:rsid w:val="00DB404F"/>
    <w:rsid w:val="00DB40B0"/>
    <w:rsid w:val="00DB5F73"/>
    <w:rsid w:val="00DB6066"/>
    <w:rsid w:val="00DB63A4"/>
    <w:rsid w:val="00DB7440"/>
    <w:rsid w:val="00DC106B"/>
    <w:rsid w:val="00DC1145"/>
    <w:rsid w:val="00DC2162"/>
    <w:rsid w:val="00DC3E30"/>
    <w:rsid w:val="00DC5371"/>
    <w:rsid w:val="00DC5A56"/>
    <w:rsid w:val="00DC5B6A"/>
    <w:rsid w:val="00DC65EC"/>
    <w:rsid w:val="00DC70D3"/>
    <w:rsid w:val="00DC7A2B"/>
    <w:rsid w:val="00DC7C2B"/>
    <w:rsid w:val="00DD01B5"/>
    <w:rsid w:val="00DD02AB"/>
    <w:rsid w:val="00DD1B51"/>
    <w:rsid w:val="00DD1D9D"/>
    <w:rsid w:val="00DD30C8"/>
    <w:rsid w:val="00DD37CA"/>
    <w:rsid w:val="00DD3EFA"/>
    <w:rsid w:val="00DD4258"/>
    <w:rsid w:val="00DD493C"/>
    <w:rsid w:val="00DD4E4E"/>
    <w:rsid w:val="00DD5CE7"/>
    <w:rsid w:val="00DD61B3"/>
    <w:rsid w:val="00DD62C7"/>
    <w:rsid w:val="00DE041E"/>
    <w:rsid w:val="00DE0A0A"/>
    <w:rsid w:val="00DE1933"/>
    <w:rsid w:val="00DE196D"/>
    <w:rsid w:val="00DE1FA7"/>
    <w:rsid w:val="00DE257D"/>
    <w:rsid w:val="00DE273E"/>
    <w:rsid w:val="00DE2A42"/>
    <w:rsid w:val="00DE2E3D"/>
    <w:rsid w:val="00DE43E3"/>
    <w:rsid w:val="00DE4B52"/>
    <w:rsid w:val="00DE5446"/>
    <w:rsid w:val="00DE66B0"/>
    <w:rsid w:val="00DE683E"/>
    <w:rsid w:val="00DE6D49"/>
    <w:rsid w:val="00DE7533"/>
    <w:rsid w:val="00DF25FB"/>
    <w:rsid w:val="00DF3B3C"/>
    <w:rsid w:val="00DF3B59"/>
    <w:rsid w:val="00DF43CC"/>
    <w:rsid w:val="00DF578F"/>
    <w:rsid w:val="00DF5D15"/>
    <w:rsid w:val="00DF5E99"/>
    <w:rsid w:val="00DF74E5"/>
    <w:rsid w:val="00DF78AF"/>
    <w:rsid w:val="00DF7950"/>
    <w:rsid w:val="00DF7B40"/>
    <w:rsid w:val="00E00D6B"/>
    <w:rsid w:val="00E00FCC"/>
    <w:rsid w:val="00E020FE"/>
    <w:rsid w:val="00E02EE4"/>
    <w:rsid w:val="00E03228"/>
    <w:rsid w:val="00E0341B"/>
    <w:rsid w:val="00E03880"/>
    <w:rsid w:val="00E03AB6"/>
    <w:rsid w:val="00E04328"/>
    <w:rsid w:val="00E051F8"/>
    <w:rsid w:val="00E06437"/>
    <w:rsid w:val="00E065E2"/>
    <w:rsid w:val="00E06889"/>
    <w:rsid w:val="00E079D9"/>
    <w:rsid w:val="00E07B3B"/>
    <w:rsid w:val="00E10238"/>
    <w:rsid w:val="00E10AE9"/>
    <w:rsid w:val="00E10B24"/>
    <w:rsid w:val="00E1151A"/>
    <w:rsid w:val="00E11825"/>
    <w:rsid w:val="00E11931"/>
    <w:rsid w:val="00E11B70"/>
    <w:rsid w:val="00E11C17"/>
    <w:rsid w:val="00E12197"/>
    <w:rsid w:val="00E124EA"/>
    <w:rsid w:val="00E12F89"/>
    <w:rsid w:val="00E14252"/>
    <w:rsid w:val="00E144F0"/>
    <w:rsid w:val="00E14614"/>
    <w:rsid w:val="00E14E42"/>
    <w:rsid w:val="00E15209"/>
    <w:rsid w:val="00E152B4"/>
    <w:rsid w:val="00E157DD"/>
    <w:rsid w:val="00E16619"/>
    <w:rsid w:val="00E16745"/>
    <w:rsid w:val="00E210F4"/>
    <w:rsid w:val="00E21A13"/>
    <w:rsid w:val="00E21B64"/>
    <w:rsid w:val="00E226BA"/>
    <w:rsid w:val="00E230F4"/>
    <w:rsid w:val="00E23713"/>
    <w:rsid w:val="00E2478D"/>
    <w:rsid w:val="00E25CA3"/>
    <w:rsid w:val="00E25E9F"/>
    <w:rsid w:val="00E26184"/>
    <w:rsid w:val="00E261D0"/>
    <w:rsid w:val="00E26543"/>
    <w:rsid w:val="00E26D04"/>
    <w:rsid w:val="00E30CB9"/>
    <w:rsid w:val="00E3133B"/>
    <w:rsid w:val="00E32581"/>
    <w:rsid w:val="00E32C48"/>
    <w:rsid w:val="00E3361C"/>
    <w:rsid w:val="00E3499B"/>
    <w:rsid w:val="00E34C13"/>
    <w:rsid w:val="00E353C9"/>
    <w:rsid w:val="00E35D98"/>
    <w:rsid w:val="00E360CF"/>
    <w:rsid w:val="00E371BD"/>
    <w:rsid w:val="00E371CD"/>
    <w:rsid w:val="00E37438"/>
    <w:rsid w:val="00E37F54"/>
    <w:rsid w:val="00E4061E"/>
    <w:rsid w:val="00E41415"/>
    <w:rsid w:val="00E41676"/>
    <w:rsid w:val="00E41790"/>
    <w:rsid w:val="00E417F9"/>
    <w:rsid w:val="00E420FE"/>
    <w:rsid w:val="00E4210E"/>
    <w:rsid w:val="00E42AA6"/>
    <w:rsid w:val="00E44239"/>
    <w:rsid w:val="00E44D9C"/>
    <w:rsid w:val="00E45FB4"/>
    <w:rsid w:val="00E46AD2"/>
    <w:rsid w:val="00E474ED"/>
    <w:rsid w:val="00E503FE"/>
    <w:rsid w:val="00E515CB"/>
    <w:rsid w:val="00E51783"/>
    <w:rsid w:val="00E51B2C"/>
    <w:rsid w:val="00E51F67"/>
    <w:rsid w:val="00E51F9D"/>
    <w:rsid w:val="00E52D17"/>
    <w:rsid w:val="00E52E13"/>
    <w:rsid w:val="00E531BE"/>
    <w:rsid w:val="00E53229"/>
    <w:rsid w:val="00E555E8"/>
    <w:rsid w:val="00E557B4"/>
    <w:rsid w:val="00E56663"/>
    <w:rsid w:val="00E56E63"/>
    <w:rsid w:val="00E5737E"/>
    <w:rsid w:val="00E5772F"/>
    <w:rsid w:val="00E578E2"/>
    <w:rsid w:val="00E607DD"/>
    <w:rsid w:val="00E60B81"/>
    <w:rsid w:val="00E61B7B"/>
    <w:rsid w:val="00E62184"/>
    <w:rsid w:val="00E62207"/>
    <w:rsid w:val="00E62C12"/>
    <w:rsid w:val="00E62D10"/>
    <w:rsid w:val="00E62E44"/>
    <w:rsid w:val="00E63882"/>
    <w:rsid w:val="00E63DFD"/>
    <w:rsid w:val="00E63F72"/>
    <w:rsid w:val="00E6562D"/>
    <w:rsid w:val="00E65E3D"/>
    <w:rsid w:val="00E66B13"/>
    <w:rsid w:val="00E66F70"/>
    <w:rsid w:val="00E6775D"/>
    <w:rsid w:val="00E70183"/>
    <w:rsid w:val="00E70792"/>
    <w:rsid w:val="00E7085A"/>
    <w:rsid w:val="00E70A3A"/>
    <w:rsid w:val="00E70F13"/>
    <w:rsid w:val="00E71BAD"/>
    <w:rsid w:val="00E71DAD"/>
    <w:rsid w:val="00E71F89"/>
    <w:rsid w:val="00E72596"/>
    <w:rsid w:val="00E729A9"/>
    <w:rsid w:val="00E72E32"/>
    <w:rsid w:val="00E73259"/>
    <w:rsid w:val="00E7363D"/>
    <w:rsid w:val="00E74704"/>
    <w:rsid w:val="00E74A97"/>
    <w:rsid w:val="00E75227"/>
    <w:rsid w:val="00E75776"/>
    <w:rsid w:val="00E7653F"/>
    <w:rsid w:val="00E76893"/>
    <w:rsid w:val="00E77D9F"/>
    <w:rsid w:val="00E8026D"/>
    <w:rsid w:val="00E806EE"/>
    <w:rsid w:val="00E8079A"/>
    <w:rsid w:val="00E809AA"/>
    <w:rsid w:val="00E81228"/>
    <w:rsid w:val="00E81790"/>
    <w:rsid w:val="00E81A00"/>
    <w:rsid w:val="00E8328D"/>
    <w:rsid w:val="00E842C3"/>
    <w:rsid w:val="00E8576B"/>
    <w:rsid w:val="00E861F1"/>
    <w:rsid w:val="00E87D69"/>
    <w:rsid w:val="00E90238"/>
    <w:rsid w:val="00E9082A"/>
    <w:rsid w:val="00E90A65"/>
    <w:rsid w:val="00E91490"/>
    <w:rsid w:val="00E921DC"/>
    <w:rsid w:val="00E92557"/>
    <w:rsid w:val="00E92657"/>
    <w:rsid w:val="00E94A2B"/>
    <w:rsid w:val="00E94FD5"/>
    <w:rsid w:val="00E950C5"/>
    <w:rsid w:val="00E954E7"/>
    <w:rsid w:val="00E955E8"/>
    <w:rsid w:val="00E9589C"/>
    <w:rsid w:val="00E959D3"/>
    <w:rsid w:val="00E96263"/>
    <w:rsid w:val="00E96CCF"/>
    <w:rsid w:val="00EA0009"/>
    <w:rsid w:val="00EA0253"/>
    <w:rsid w:val="00EA044E"/>
    <w:rsid w:val="00EA2D74"/>
    <w:rsid w:val="00EA3A49"/>
    <w:rsid w:val="00EA3B9A"/>
    <w:rsid w:val="00EA4201"/>
    <w:rsid w:val="00EA4568"/>
    <w:rsid w:val="00EA46ED"/>
    <w:rsid w:val="00EA5191"/>
    <w:rsid w:val="00EA605B"/>
    <w:rsid w:val="00EA6B5D"/>
    <w:rsid w:val="00EB0B2A"/>
    <w:rsid w:val="00EB1332"/>
    <w:rsid w:val="00EB18A2"/>
    <w:rsid w:val="00EB1907"/>
    <w:rsid w:val="00EB298B"/>
    <w:rsid w:val="00EB3E5B"/>
    <w:rsid w:val="00EB4DEE"/>
    <w:rsid w:val="00EB4E8C"/>
    <w:rsid w:val="00EB5BF5"/>
    <w:rsid w:val="00EB5D3B"/>
    <w:rsid w:val="00EB62B0"/>
    <w:rsid w:val="00EB6321"/>
    <w:rsid w:val="00EB6621"/>
    <w:rsid w:val="00EB6D0E"/>
    <w:rsid w:val="00EB6D16"/>
    <w:rsid w:val="00EB73EA"/>
    <w:rsid w:val="00EC01C4"/>
    <w:rsid w:val="00EC11E1"/>
    <w:rsid w:val="00EC1203"/>
    <w:rsid w:val="00EC2EE1"/>
    <w:rsid w:val="00EC3B3C"/>
    <w:rsid w:val="00EC3EED"/>
    <w:rsid w:val="00EC4AF6"/>
    <w:rsid w:val="00EC5354"/>
    <w:rsid w:val="00EC59C9"/>
    <w:rsid w:val="00EC690B"/>
    <w:rsid w:val="00EC6A52"/>
    <w:rsid w:val="00EC6B0F"/>
    <w:rsid w:val="00EC7582"/>
    <w:rsid w:val="00EC7B3F"/>
    <w:rsid w:val="00EC7C30"/>
    <w:rsid w:val="00ED02AF"/>
    <w:rsid w:val="00ED06F0"/>
    <w:rsid w:val="00ED079F"/>
    <w:rsid w:val="00ED0A7D"/>
    <w:rsid w:val="00ED1EDA"/>
    <w:rsid w:val="00ED3027"/>
    <w:rsid w:val="00ED47BD"/>
    <w:rsid w:val="00ED4BCA"/>
    <w:rsid w:val="00ED4E15"/>
    <w:rsid w:val="00ED54A4"/>
    <w:rsid w:val="00ED5C91"/>
    <w:rsid w:val="00ED5D2C"/>
    <w:rsid w:val="00ED5F1B"/>
    <w:rsid w:val="00ED633E"/>
    <w:rsid w:val="00ED6A1C"/>
    <w:rsid w:val="00ED6B08"/>
    <w:rsid w:val="00ED7165"/>
    <w:rsid w:val="00ED78CB"/>
    <w:rsid w:val="00EE0287"/>
    <w:rsid w:val="00EE0CE8"/>
    <w:rsid w:val="00EE202C"/>
    <w:rsid w:val="00EE2581"/>
    <w:rsid w:val="00EE25F8"/>
    <w:rsid w:val="00EE446D"/>
    <w:rsid w:val="00EE4D9D"/>
    <w:rsid w:val="00EE525F"/>
    <w:rsid w:val="00EE52E6"/>
    <w:rsid w:val="00EE5AE5"/>
    <w:rsid w:val="00EE5CA2"/>
    <w:rsid w:val="00EE5F04"/>
    <w:rsid w:val="00EE6094"/>
    <w:rsid w:val="00EE685D"/>
    <w:rsid w:val="00EE6AA0"/>
    <w:rsid w:val="00EE6D05"/>
    <w:rsid w:val="00EE7E7A"/>
    <w:rsid w:val="00EF118E"/>
    <w:rsid w:val="00EF1D29"/>
    <w:rsid w:val="00EF1D47"/>
    <w:rsid w:val="00EF2151"/>
    <w:rsid w:val="00EF2CAD"/>
    <w:rsid w:val="00EF37C5"/>
    <w:rsid w:val="00EF4AB7"/>
    <w:rsid w:val="00EF4CFD"/>
    <w:rsid w:val="00EF4D29"/>
    <w:rsid w:val="00EF4D8A"/>
    <w:rsid w:val="00EF4F41"/>
    <w:rsid w:val="00EF54BB"/>
    <w:rsid w:val="00EF57C5"/>
    <w:rsid w:val="00EF5AA9"/>
    <w:rsid w:val="00EF6B9F"/>
    <w:rsid w:val="00EF6DF8"/>
    <w:rsid w:val="00F0005A"/>
    <w:rsid w:val="00F00531"/>
    <w:rsid w:val="00F00A61"/>
    <w:rsid w:val="00F01C4B"/>
    <w:rsid w:val="00F02A4A"/>
    <w:rsid w:val="00F034B8"/>
    <w:rsid w:val="00F03C8C"/>
    <w:rsid w:val="00F042FF"/>
    <w:rsid w:val="00F053B5"/>
    <w:rsid w:val="00F056A9"/>
    <w:rsid w:val="00F062B8"/>
    <w:rsid w:val="00F06AFE"/>
    <w:rsid w:val="00F07B8A"/>
    <w:rsid w:val="00F10F66"/>
    <w:rsid w:val="00F10FFA"/>
    <w:rsid w:val="00F11F3C"/>
    <w:rsid w:val="00F1275A"/>
    <w:rsid w:val="00F13B40"/>
    <w:rsid w:val="00F13CF6"/>
    <w:rsid w:val="00F13E2D"/>
    <w:rsid w:val="00F14CC3"/>
    <w:rsid w:val="00F20949"/>
    <w:rsid w:val="00F20FF8"/>
    <w:rsid w:val="00F22618"/>
    <w:rsid w:val="00F22B15"/>
    <w:rsid w:val="00F2328F"/>
    <w:rsid w:val="00F239F6"/>
    <w:rsid w:val="00F23CEF"/>
    <w:rsid w:val="00F24053"/>
    <w:rsid w:val="00F24253"/>
    <w:rsid w:val="00F24C21"/>
    <w:rsid w:val="00F25168"/>
    <w:rsid w:val="00F258E8"/>
    <w:rsid w:val="00F2654B"/>
    <w:rsid w:val="00F26A4D"/>
    <w:rsid w:val="00F26E84"/>
    <w:rsid w:val="00F26EFC"/>
    <w:rsid w:val="00F279D4"/>
    <w:rsid w:val="00F27ABD"/>
    <w:rsid w:val="00F27AEB"/>
    <w:rsid w:val="00F304AE"/>
    <w:rsid w:val="00F307DB"/>
    <w:rsid w:val="00F30965"/>
    <w:rsid w:val="00F318DE"/>
    <w:rsid w:val="00F31DB2"/>
    <w:rsid w:val="00F326BA"/>
    <w:rsid w:val="00F32CFF"/>
    <w:rsid w:val="00F330D2"/>
    <w:rsid w:val="00F34709"/>
    <w:rsid w:val="00F351F5"/>
    <w:rsid w:val="00F3547C"/>
    <w:rsid w:val="00F35609"/>
    <w:rsid w:val="00F35D4D"/>
    <w:rsid w:val="00F363FF"/>
    <w:rsid w:val="00F3665A"/>
    <w:rsid w:val="00F37217"/>
    <w:rsid w:val="00F375C8"/>
    <w:rsid w:val="00F3766E"/>
    <w:rsid w:val="00F4026E"/>
    <w:rsid w:val="00F405C3"/>
    <w:rsid w:val="00F406A5"/>
    <w:rsid w:val="00F408CD"/>
    <w:rsid w:val="00F41F33"/>
    <w:rsid w:val="00F4278E"/>
    <w:rsid w:val="00F42976"/>
    <w:rsid w:val="00F42CEC"/>
    <w:rsid w:val="00F4331E"/>
    <w:rsid w:val="00F433D9"/>
    <w:rsid w:val="00F4386B"/>
    <w:rsid w:val="00F44594"/>
    <w:rsid w:val="00F44E63"/>
    <w:rsid w:val="00F44EB1"/>
    <w:rsid w:val="00F4542C"/>
    <w:rsid w:val="00F45708"/>
    <w:rsid w:val="00F468CC"/>
    <w:rsid w:val="00F46A65"/>
    <w:rsid w:val="00F46B53"/>
    <w:rsid w:val="00F4757E"/>
    <w:rsid w:val="00F478B5"/>
    <w:rsid w:val="00F47F1F"/>
    <w:rsid w:val="00F47F9F"/>
    <w:rsid w:val="00F51074"/>
    <w:rsid w:val="00F51E95"/>
    <w:rsid w:val="00F52413"/>
    <w:rsid w:val="00F52483"/>
    <w:rsid w:val="00F53761"/>
    <w:rsid w:val="00F53DCC"/>
    <w:rsid w:val="00F5438F"/>
    <w:rsid w:val="00F55031"/>
    <w:rsid w:val="00F551A7"/>
    <w:rsid w:val="00F56938"/>
    <w:rsid w:val="00F6124A"/>
    <w:rsid w:val="00F6206B"/>
    <w:rsid w:val="00F62497"/>
    <w:rsid w:val="00F6323E"/>
    <w:rsid w:val="00F64083"/>
    <w:rsid w:val="00F64935"/>
    <w:rsid w:val="00F65B9D"/>
    <w:rsid w:val="00F6650E"/>
    <w:rsid w:val="00F6682F"/>
    <w:rsid w:val="00F6686F"/>
    <w:rsid w:val="00F67283"/>
    <w:rsid w:val="00F6728A"/>
    <w:rsid w:val="00F67A53"/>
    <w:rsid w:val="00F67BA6"/>
    <w:rsid w:val="00F7076C"/>
    <w:rsid w:val="00F70B7D"/>
    <w:rsid w:val="00F70CCF"/>
    <w:rsid w:val="00F70DF7"/>
    <w:rsid w:val="00F733DD"/>
    <w:rsid w:val="00F7368A"/>
    <w:rsid w:val="00F73AC6"/>
    <w:rsid w:val="00F742CF"/>
    <w:rsid w:val="00F74358"/>
    <w:rsid w:val="00F7435E"/>
    <w:rsid w:val="00F74B05"/>
    <w:rsid w:val="00F7654B"/>
    <w:rsid w:val="00F76EC5"/>
    <w:rsid w:val="00F8066F"/>
    <w:rsid w:val="00F814A0"/>
    <w:rsid w:val="00F815C6"/>
    <w:rsid w:val="00F8170C"/>
    <w:rsid w:val="00F817C3"/>
    <w:rsid w:val="00F81F2E"/>
    <w:rsid w:val="00F8299D"/>
    <w:rsid w:val="00F82AE7"/>
    <w:rsid w:val="00F83991"/>
    <w:rsid w:val="00F84180"/>
    <w:rsid w:val="00F851B7"/>
    <w:rsid w:val="00F86357"/>
    <w:rsid w:val="00F86A80"/>
    <w:rsid w:val="00F87306"/>
    <w:rsid w:val="00F911BB"/>
    <w:rsid w:val="00F917D0"/>
    <w:rsid w:val="00F92E99"/>
    <w:rsid w:val="00F93AB9"/>
    <w:rsid w:val="00F93C2E"/>
    <w:rsid w:val="00F94250"/>
    <w:rsid w:val="00F9466F"/>
    <w:rsid w:val="00F947B6"/>
    <w:rsid w:val="00F94850"/>
    <w:rsid w:val="00F9567D"/>
    <w:rsid w:val="00F956AA"/>
    <w:rsid w:val="00F9610B"/>
    <w:rsid w:val="00F9643A"/>
    <w:rsid w:val="00F96B8A"/>
    <w:rsid w:val="00F970C0"/>
    <w:rsid w:val="00F97744"/>
    <w:rsid w:val="00F978DB"/>
    <w:rsid w:val="00F97D8C"/>
    <w:rsid w:val="00FA2308"/>
    <w:rsid w:val="00FA2779"/>
    <w:rsid w:val="00FA2983"/>
    <w:rsid w:val="00FA320A"/>
    <w:rsid w:val="00FA3B01"/>
    <w:rsid w:val="00FA3D41"/>
    <w:rsid w:val="00FA5454"/>
    <w:rsid w:val="00FA550D"/>
    <w:rsid w:val="00FA569D"/>
    <w:rsid w:val="00FA58C3"/>
    <w:rsid w:val="00FA59C8"/>
    <w:rsid w:val="00FA65C9"/>
    <w:rsid w:val="00FB0154"/>
    <w:rsid w:val="00FB021C"/>
    <w:rsid w:val="00FB03C1"/>
    <w:rsid w:val="00FB0675"/>
    <w:rsid w:val="00FB0A81"/>
    <w:rsid w:val="00FB0D10"/>
    <w:rsid w:val="00FB10DE"/>
    <w:rsid w:val="00FB11C1"/>
    <w:rsid w:val="00FB1486"/>
    <w:rsid w:val="00FB1BC5"/>
    <w:rsid w:val="00FB1E98"/>
    <w:rsid w:val="00FB1F5E"/>
    <w:rsid w:val="00FB211F"/>
    <w:rsid w:val="00FB3391"/>
    <w:rsid w:val="00FB37D0"/>
    <w:rsid w:val="00FB3B35"/>
    <w:rsid w:val="00FB4309"/>
    <w:rsid w:val="00FB4695"/>
    <w:rsid w:val="00FB46D5"/>
    <w:rsid w:val="00FB5260"/>
    <w:rsid w:val="00FB5669"/>
    <w:rsid w:val="00FB56EF"/>
    <w:rsid w:val="00FB5C49"/>
    <w:rsid w:val="00FB60BF"/>
    <w:rsid w:val="00FB65FC"/>
    <w:rsid w:val="00FB79E5"/>
    <w:rsid w:val="00FC021D"/>
    <w:rsid w:val="00FC0A2B"/>
    <w:rsid w:val="00FC0F88"/>
    <w:rsid w:val="00FC16E3"/>
    <w:rsid w:val="00FC1F84"/>
    <w:rsid w:val="00FC273A"/>
    <w:rsid w:val="00FC2B10"/>
    <w:rsid w:val="00FC3863"/>
    <w:rsid w:val="00FC47B0"/>
    <w:rsid w:val="00FC4DCB"/>
    <w:rsid w:val="00FC5838"/>
    <w:rsid w:val="00FC5DF4"/>
    <w:rsid w:val="00FC6806"/>
    <w:rsid w:val="00FC6BD2"/>
    <w:rsid w:val="00FC6D1A"/>
    <w:rsid w:val="00FD025E"/>
    <w:rsid w:val="00FD08F0"/>
    <w:rsid w:val="00FD19FF"/>
    <w:rsid w:val="00FD2526"/>
    <w:rsid w:val="00FD27C4"/>
    <w:rsid w:val="00FD326F"/>
    <w:rsid w:val="00FD33E6"/>
    <w:rsid w:val="00FD494A"/>
    <w:rsid w:val="00FD4D11"/>
    <w:rsid w:val="00FD511E"/>
    <w:rsid w:val="00FD5396"/>
    <w:rsid w:val="00FD5794"/>
    <w:rsid w:val="00FD607B"/>
    <w:rsid w:val="00FD6099"/>
    <w:rsid w:val="00FD7232"/>
    <w:rsid w:val="00FD756C"/>
    <w:rsid w:val="00FD77A5"/>
    <w:rsid w:val="00FD7C08"/>
    <w:rsid w:val="00FE062E"/>
    <w:rsid w:val="00FE06B5"/>
    <w:rsid w:val="00FE0A77"/>
    <w:rsid w:val="00FE255E"/>
    <w:rsid w:val="00FE28B9"/>
    <w:rsid w:val="00FE3106"/>
    <w:rsid w:val="00FE3740"/>
    <w:rsid w:val="00FE3872"/>
    <w:rsid w:val="00FE40CA"/>
    <w:rsid w:val="00FE4AB0"/>
    <w:rsid w:val="00FE4C7C"/>
    <w:rsid w:val="00FE4F24"/>
    <w:rsid w:val="00FE50D8"/>
    <w:rsid w:val="00FE63B4"/>
    <w:rsid w:val="00FE7159"/>
    <w:rsid w:val="00FF0842"/>
    <w:rsid w:val="00FF247D"/>
    <w:rsid w:val="00FF3021"/>
    <w:rsid w:val="00FF3E37"/>
    <w:rsid w:val="00FF4693"/>
    <w:rsid w:val="00FF59C5"/>
    <w:rsid w:val="00FF59F3"/>
    <w:rsid w:val="00FF5A91"/>
    <w:rsid w:val="00FF5C89"/>
    <w:rsid w:val="00FF5FC7"/>
    <w:rsid w:val="00FF6379"/>
    <w:rsid w:val="00FF68B0"/>
    <w:rsid w:val="00FF68E2"/>
    <w:rsid w:val="00FF6A39"/>
    <w:rsid w:val="00FF6A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1114C"/>
  <w15:chartTrackingRefBased/>
  <w15:docId w15:val="{7920A7E1-CDD0-4D89-AFCB-A2FCF3777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625E"/>
    <w:pPr>
      <w:spacing w:after="160" w:line="259" w:lineRule="auto"/>
    </w:pPr>
    <w:rPr>
      <w:sz w:val="22"/>
      <w:szCs w:val="22"/>
      <w:lang w:eastAsia="en-US"/>
    </w:rPr>
  </w:style>
  <w:style w:type="paragraph" w:styleId="Nagwek1">
    <w:name w:val="heading 1"/>
    <w:basedOn w:val="Normalny"/>
    <w:next w:val="Normalny"/>
    <w:link w:val="Nagwek1Znak"/>
    <w:uiPriority w:val="9"/>
    <w:qFormat/>
    <w:rsid w:val="008E77B3"/>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unhideWhenUsed/>
    <w:qFormat/>
    <w:rsid w:val="008E77B3"/>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uiPriority w:val="9"/>
    <w:unhideWhenUsed/>
    <w:qFormat/>
    <w:rsid w:val="008E77B3"/>
    <w:pPr>
      <w:keepNext/>
      <w:spacing w:before="240" w:after="60"/>
      <w:outlineLvl w:val="2"/>
    </w:pPr>
    <w:rPr>
      <w:rFonts w:ascii="Calibri Light" w:eastAsia="Times New Roman" w:hAnsi="Calibri Light"/>
      <w:b/>
      <w:bCs/>
      <w:sz w:val="26"/>
      <w:szCs w:val="26"/>
    </w:rPr>
  </w:style>
  <w:style w:type="paragraph" w:styleId="Nagwek4">
    <w:name w:val="heading 4"/>
    <w:basedOn w:val="Normalny"/>
    <w:next w:val="Normalny"/>
    <w:link w:val="Nagwek4Znak"/>
    <w:uiPriority w:val="9"/>
    <w:unhideWhenUsed/>
    <w:qFormat/>
    <w:rsid w:val="008E77B3"/>
    <w:pPr>
      <w:keepNext/>
      <w:spacing w:before="240" w:after="60"/>
      <w:outlineLvl w:val="3"/>
    </w:pPr>
    <w:rPr>
      <w:rFonts w:eastAsia="Times New Roman"/>
      <w:b/>
      <w:bCs/>
      <w:sz w:val="28"/>
      <w:szCs w:val="28"/>
    </w:rPr>
  </w:style>
  <w:style w:type="paragraph" w:styleId="Nagwek5">
    <w:name w:val="heading 5"/>
    <w:basedOn w:val="Normalny"/>
    <w:next w:val="Normalny"/>
    <w:link w:val="Nagwek5Znak"/>
    <w:uiPriority w:val="9"/>
    <w:unhideWhenUsed/>
    <w:qFormat/>
    <w:rsid w:val="008E77B3"/>
    <w:pPr>
      <w:spacing w:before="240" w:after="60"/>
      <w:outlineLvl w:val="4"/>
    </w:pPr>
    <w:rPr>
      <w:rFonts w:eastAsia="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736427"/>
    <w:rPr>
      <w:color w:val="0000FF"/>
      <w:u w:val="single"/>
    </w:rPr>
  </w:style>
  <w:style w:type="character" w:styleId="Nierozpoznanawzmianka">
    <w:name w:val="Unresolved Mention"/>
    <w:uiPriority w:val="99"/>
    <w:semiHidden/>
    <w:unhideWhenUsed/>
    <w:rsid w:val="00736427"/>
    <w:rPr>
      <w:color w:val="605E5C"/>
      <w:shd w:val="clear" w:color="auto" w:fill="E1DFDD"/>
    </w:rPr>
  </w:style>
  <w:style w:type="paragraph" w:styleId="Akapitzlist">
    <w:name w:val="List Paragraph"/>
    <w:basedOn w:val="Normalny"/>
    <w:uiPriority w:val="34"/>
    <w:qFormat/>
    <w:rsid w:val="009B76A6"/>
    <w:pPr>
      <w:spacing w:after="200" w:line="276" w:lineRule="auto"/>
      <w:ind w:left="720"/>
      <w:contextualSpacing/>
    </w:pPr>
  </w:style>
  <w:style w:type="character" w:customStyle="1" w:styleId="FontStyle31">
    <w:name w:val="Font Style31"/>
    <w:uiPriority w:val="99"/>
    <w:rsid w:val="009B76A6"/>
    <w:rPr>
      <w:rFonts w:ascii="Times New Roman" w:hAnsi="Times New Roman" w:cs="Times New Roman"/>
      <w:sz w:val="24"/>
      <w:szCs w:val="24"/>
    </w:rPr>
  </w:style>
  <w:style w:type="paragraph" w:customStyle="1" w:styleId="Style12">
    <w:name w:val="Style12"/>
    <w:basedOn w:val="Normalny"/>
    <w:uiPriority w:val="99"/>
    <w:rsid w:val="009B76A6"/>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Style6">
    <w:name w:val="Style6"/>
    <w:basedOn w:val="Normalny"/>
    <w:uiPriority w:val="99"/>
    <w:rsid w:val="00CD58AB"/>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Style30">
    <w:name w:val="Style30"/>
    <w:basedOn w:val="Normalny"/>
    <w:uiPriority w:val="99"/>
    <w:rsid w:val="00CD58AB"/>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Style33">
    <w:name w:val="Style33"/>
    <w:basedOn w:val="Normalny"/>
    <w:uiPriority w:val="99"/>
    <w:rsid w:val="00CD58AB"/>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Style34">
    <w:name w:val="Style34"/>
    <w:basedOn w:val="Normalny"/>
    <w:uiPriority w:val="99"/>
    <w:rsid w:val="00CD58AB"/>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character" w:customStyle="1" w:styleId="FontStyle45">
    <w:name w:val="Font Style45"/>
    <w:uiPriority w:val="99"/>
    <w:rsid w:val="00CD58AB"/>
    <w:rPr>
      <w:rFonts w:ascii="Times New Roman" w:hAnsi="Times New Roman" w:cs="Times New Roman"/>
      <w:sz w:val="40"/>
      <w:szCs w:val="40"/>
    </w:rPr>
  </w:style>
  <w:style w:type="character" w:customStyle="1" w:styleId="FontStyle47">
    <w:name w:val="Font Style47"/>
    <w:uiPriority w:val="99"/>
    <w:rsid w:val="00CD58AB"/>
    <w:rPr>
      <w:rFonts w:ascii="Times New Roman" w:hAnsi="Times New Roman" w:cs="Times New Roman"/>
      <w:sz w:val="36"/>
      <w:szCs w:val="36"/>
    </w:rPr>
  </w:style>
  <w:style w:type="character" w:customStyle="1" w:styleId="FontStyle50">
    <w:name w:val="Font Style50"/>
    <w:uiPriority w:val="99"/>
    <w:rsid w:val="00CD58AB"/>
    <w:rPr>
      <w:rFonts w:ascii="Times New Roman" w:hAnsi="Times New Roman" w:cs="Times New Roman"/>
      <w:i/>
      <w:iCs/>
      <w:sz w:val="36"/>
      <w:szCs w:val="36"/>
    </w:rPr>
  </w:style>
  <w:style w:type="character" w:customStyle="1" w:styleId="FontStyle54">
    <w:name w:val="Font Style54"/>
    <w:uiPriority w:val="99"/>
    <w:rsid w:val="00E557B4"/>
    <w:rPr>
      <w:rFonts w:ascii="Times New Roman" w:hAnsi="Times New Roman" w:cs="Times New Roman"/>
      <w:b/>
      <w:bCs/>
      <w:sz w:val="30"/>
      <w:szCs w:val="30"/>
    </w:rPr>
  </w:style>
  <w:style w:type="paragraph" w:styleId="Tekstdymka">
    <w:name w:val="Balloon Text"/>
    <w:basedOn w:val="Normalny"/>
    <w:link w:val="TekstdymkaZnak"/>
    <w:uiPriority w:val="99"/>
    <w:semiHidden/>
    <w:unhideWhenUsed/>
    <w:rsid w:val="00053E34"/>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053E34"/>
    <w:rPr>
      <w:rFonts w:ascii="Segoe UI" w:hAnsi="Segoe UI" w:cs="Segoe UI"/>
      <w:sz w:val="18"/>
      <w:szCs w:val="18"/>
    </w:rPr>
  </w:style>
  <w:style w:type="character" w:customStyle="1" w:styleId="FontStyle39">
    <w:name w:val="Font Style39"/>
    <w:uiPriority w:val="99"/>
    <w:rsid w:val="00D314FD"/>
    <w:rPr>
      <w:rFonts w:ascii="Times New Roman" w:hAnsi="Times New Roman" w:cs="Times New Roman"/>
      <w:sz w:val="22"/>
      <w:szCs w:val="22"/>
    </w:rPr>
  </w:style>
  <w:style w:type="paragraph" w:styleId="Nagwek">
    <w:name w:val="header"/>
    <w:basedOn w:val="Normalny"/>
    <w:link w:val="NagwekZnak"/>
    <w:uiPriority w:val="99"/>
    <w:unhideWhenUsed/>
    <w:rsid w:val="008330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300C"/>
  </w:style>
  <w:style w:type="paragraph" w:styleId="Stopka">
    <w:name w:val="footer"/>
    <w:basedOn w:val="Normalny"/>
    <w:link w:val="StopkaZnak"/>
    <w:uiPriority w:val="99"/>
    <w:unhideWhenUsed/>
    <w:rsid w:val="008330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300C"/>
  </w:style>
  <w:style w:type="paragraph" w:customStyle="1" w:styleId="Style3">
    <w:name w:val="Style3"/>
    <w:basedOn w:val="Normalny"/>
    <w:uiPriority w:val="99"/>
    <w:rsid w:val="00E94FD5"/>
    <w:pPr>
      <w:widowControl w:val="0"/>
      <w:autoSpaceDE w:val="0"/>
      <w:autoSpaceDN w:val="0"/>
      <w:adjustRightInd w:val="0"/>
      <w:spacing w:after="0" w:line="415" w:lineRule="exact"/>
      <w:ind w:firstLine="446"/>
      <w:jc w:val="both"/>
    </w:pPr>
    <w:rPr>
      <w:rFonts w:ascii="Times New Roman" w:eastAsia="Times New Roman" w:hAnsi="Times New Roman"/>
      <w:sz w:val="24"/>
      <w:szCs w:val="24"/>
      <w:lang w:eastAsia="pl-PL"/>
    </w:rPr>
  </w:style>
  <w:style w:type="paragraph" w:customStyle="1" w:styleId="Style9">
    <w:name w:val="Style9"/>
    <w:basedOn w:val="Normalny"/>
    <w:uiPriority w:val="99"/>
    <w:rsid w:val="00E94FD5"/>
    <w:pPr>
      <w:widowControl w:val="0"/>
      <w:autoSpaceDE w:val="0"/>
      <w:autoSpaceDN w:val="0"/>
      <w:adjustRightInd w:val="0"/>
      <w:spacing w:after="0" w:line="414" w:lineRule="exact"/>
      <w:ind w:firstLine="396"/>
      <w:jc w:val="both"/>
    </w:pPr>
    <w:rPr>
      <w:rFonts w:ascii="Times New Roman" w:eastAsia="Times New Roman" w:hAnsi="Times New Roman"/>
      <w:sz w:val="24"/>
      <w:szCs w:val="24"/>
      <w:lang w:eastAsia="pl-PL"/>
    </w:rPr>
  </w:style>
  <w:style w:type="character" w:customStyle="1" w:styleId="FontStyle18">
    <w:name w:val="Font Style18"/>
    <w:uiPriority w:val="99"/>
    <w:rsid w:val="00E94FD5"/>
    <w:rPr>
      <w:rFonts w:ascii="Times New Roman" w:hAnsi="Times New Roman" w:cs="Times New Roman"/>
      <w:sz w:val="22"/>
      <w:szCs w:val="22"/>
    </w:rPr>
  </w:style>
  <w:style w:type="character" w:customStyle="1" w:styleId="FontStyle19">
    <w:name w:val="Font Style19"/>
    <w:uiPriority w:val="99"/>
    <w:rsid w:val="00E94FD5"/>
    <w:rPr>
      <w:rFonts w:ascii="Times New Roman" w:hAnsi="Times New Roman" w:cs="Times New Roman"/>
      <w:b/>
      <w:bCs/>
      <w:sz w:val="22"/>
      <w:szCs w:val="22"/>
    </w:rPr>
  </w:style>
  <w:style w:type="character" w:customStyle="1" w:styleId="FontStyle22">
    <w:name w:val="Font Style22"/>
    <w:uiPriority w:val="99"/>
    <w:rsid w:val="00E94FD5"/>
    <w:rPr>
      <w:rFonts w:ascii="Times New Roman" w:hAnsi="Times New Roman" w:cs="Times New Roman"/>
      <w:i/>
      <w:iCs/>
      <w:sz w:val="22"/>
      <w:szCs w:val="22"/>
    </w:rPr>
  </w:style>
  <w:style w:type="paragraph" w:customStyle="1" w:styleId="Style1">
    <w:name w:val="Style1"/>
    <w:basedOn w:val="Normalny"/>
    <w:uiPriority w:val="99"/>
    <w:rsid w:val="0092110F"/>
    <w:pPr>
      <w:widowControl w:val="0"/>
      <w:autoSpaceDE w:val="0"/>
      <w:autoSpaceDN w:val="0"/>
      <w:adjustRightInd w:val="0"/>
      <w:spacing w:after="0" w:line="346" w:lineRule="exact"/>
      <w:jc w:val="both"/>
    </w:pPr>
    <w:rPr>
      <w:rFonts w:ascii="Times New Roman" w:eastAsia="Times New Roman" w:hAnsi="Times New Roman"/>
      <w:sz w:val="24"/>
      <w:szCs w:val="24"/>
      <w:lang w:eastAsia="pl-PL"/>
    </w:rPr>
  </w:style>
  <w:style w:type="character" w:styleId="Odwoaniedokomentarza">
    <w:name w:val="annotation reference"/>
    <w:uiPriority w:val="99"/>
    <w:semiHidden/>
    <w:unhideWhenUsed/>
    <w:rsid w:val="000B4340"/>
    <w:rPr>
      <w:sz w:val="16"/>
      <w:szCs w:val="16"/>
    </w:rPr>
  </w:style>
  <w:style w:type="paragraph" w:styleId="Tekstkomentarza">
    <w:name w:val="annotation text"/>
    <w:basedOn w:val="Normalny"/>
    <w:link w:val="TekstkomentarzaZnak"/>
    <w:uiPriority w:val="99"/>
    <w:unhideWhenUsed/>
    <w:rsid w:val="000B4340"/>
    <w:pPr>
      <w:spacing w:line="240" w:lineRule="auto"/>
    </w:pPr>
    <w:rPr>
      <w:sz w:val="20"/>
      <w:szCs w:val="20"/>
    </w:rPr>
  </w:style>
  <w:style w:type="character" w:customStyle="1" w:styleId="TekstkomentarzaZnak">
    <w:name w:val="Tekst komentarza Znak"/>
    <w:link w:val="Tekstkomentarza"/>
    <w:uiPriority w:val="99"/>
    <w:rsid w:val="000B4340"/>
    <w:rPr>
      <w:sz w:val="20"/>
      <w:szCs w:val="20"/>
    </w:rPr>
  </w:style>
  <w:style w:type="paragraph" w:styleId="Tematkomentarza">
    <w:name w:val="annotation subject"/>
    <w:basedOn w:val="Tekstkomentarza"/>
    <w:next w:val="Tekstkomentarza"/>
    <w:link w:val="TematkomentarzaZnak"/>
    <w:uiPriority w:val="99"/>
    <w:semiHidden/>
    <w:unhideWhenUsed/>
    <w:rsid w:val="000B4340"/>
    <w:rPr>
      <w:b/>
      <w:bCs/>
    </w:rPr>
  </w:style>
  <w:style w:type="character" w:customStyle="1" w:styleId="TematkomentarzaZnak">
    <w:name w:val="Temat komentarza Znak"/>
    <w:link w:val="Tematkomentarza"/>
    <w:uiPriority w:val="99"/>
    <w:semiHidden/>
    <w:rsid w:val="000B4340"/>
    <w:rPr>
      <w:b/>
      <w:bCs/>
      <w:sz w:val="20"/>
      <w:szCs w:val="20"/>
    </w:rPr>
  </w:style>
  <w:style w:type="paragraph" w:styleId="Poprawka">
    <w:name w:val="Revision"/>
    <w:hidden/>
    <w:uiPriority w:val="99"/>
    <w:semiHidden/>
    <w:rsid w:val="00CB646B"/>
    <w:rPr>
      <w:sz w:val="22"/>
      <w:szCs w:val="22"/>
      <w:lang w:eastAsia="en-US"/>
    </w:rPr>
  </w:style>
  <w:style w:type="paragraph" w:styleId="Bezodstpw">
    <w:name w:val="No Spacing"/>
    <w:uiPriority w:val="1"/>
    <w:qFormat/>
    <w:rsid w:val="0027051C"/>
    <w:rPr>
      <w:sz w:val="22"/>
      <w:szCs w:val="22"/>
      <w:lang w:eastAsia="en-US"/>
    </w:rPr>
  </w:style>
  <w:style w:type="character" w:customStyle="1" w:styleId="Nagwek1Znak">
    <w:name w:val="Nagłówek 1 Znak"/>
    <w:link w:val="Nagwek1"/>
    <w:uiPriority w:val="9"/>
    <w:rsid w:val="008E77B3"/>
    <w:rPr>
      <w:rFonts w:ascii="Calibri Light" w:eastAsia="Times New Roman" w:hAnsi="Calibri Light" w:cs="Times New Roman"/>
      <w:b/>
      <w:bCs/>
      <w:kern w:val="32"/>
      <w:sz w:val="32"/>
      <w:szCs w:val="32"/>
      <w:lang w:eastAsia="en-US"/>
    </w:rPr>
  </w:style>
  <w:style w:type="character" w:customStyle="1" w:styleId="Nagwek2Znak">
    <w:name w:val="Nagłówek 2 Znak"/>
    <w:link w:val="Nagwek2"/>
    <w:uiPriority w:val="9"/>
    <w:rsid w:val="008E77B3"/>
    <w:rPr>
      <w:rFonts w:ascii="Calibri Light" w:eastAsia="Times New Roman" w:hAnsi="Calibri Light" w:cs="Times New Roman"/>
      <w:b/>
      <w:bCs/>
      <w:i/>
      <w:iCs/>
      <w:sz w:val="28"/>
      <w:szCs w:val="28"/>
      <w:lang w:eastAsia="en-US"/>
    </w:rPr>
  </w:style>
  <w:style w:type="character" w:customStyle="1" w:styleId="Nagwek3Znak">
    <w:name w:val="Nagłówek 3 Znak"/>
    <w:link w:val="Nagwek3"/>
    <w:uiPriority w:val="9"/>
    <w:rsid w:val="008E77B3"/>
    <w:rPr>
      <w:rFonts w:ascii="Calibri Light" w:eastAsia="Times New Roman" w:hAnsi="Calibri Light" w:cs="Times New Roman"/>
      <w:b/>
      <w:bCs/>
      <w:sz w:val="26"/>
      <w:szCs w:val="26"/>
      <w:lang w:eastAsia="en-US"/>
    </w:rPr>
  </w:style>
  <w:style w:type="character" w:customStyle="1" w:styleId="Nagwek4Znak">
    <w:name w:val="Nagłówek 4 Znak"/>
    <w:link w:val="Nagwek4"/>
    <w:uiPriority w:val="9"/>
    <w:rsid w:val="008E77B3"/>
    <w:rPr>
      <w:rFonts w:ascii="Calibri" w:eastAsia="Times New Roman" w:hAnsi="Calibri" w:cs="Times New Roman"/>
      <w:b/>
      <w:bCs/>
      <w:sz w:val="28"/>
      <w:szCs w:val="28"/>
      <w:lang w:eastAsia="en-US"/>
    </w:rPr>
  </w:style>
  <w:style w:type="character" w:customStyle="1" w:styleId="Nagwek5Znak">
    <w:name w:val="Nagłówek 5 Znak"/>
    <w:link w:val="Nagwek5"/>
    <w:uiPriority w:val="9"/>
    <w:rsid w:val="008E77B3"/>
    <w:rPr>
      <w:rFonts w:ascii="Calibri" w:eastAsia="Times New Roman" w:hAnsi="Calibri" w:cs="Times New Roman"/>
      <w:b/>
      <w:bCs/>
      <w:i/>
      <w:iCs/>
      <w:sz w:val="26"/>
      <w:szCs w:val="26"/>
      <w:lang w:eastAsia="en-US"/>
    </w:rPr>
  </w:style>
  <w:style w:type="paragraph" w:styleId="Lista">
    <w:name w:val="List"/>
    <w:basedOn w:val="Normalny"/>
    <w:uiPriority w:val="99"/>
    <w:unhideWhenUsed/>
    <w:rsid w:val="008E77B3"/>
    <w:pPr>
      <w:ind w:left="283" w:hanging="283"/>
      <w:contextualSpacing/>
    </w:pPr>
  </w:style>
  <w:style w:type="paragraph" w:styleId="Lista2">
    <w:name w:val="List 2"/>
    <w:basedOn w:val="Normalny"/>
    <w:uiPriority w:val="99"/>
    <w:unhideWhenUsed/>
    <w:rsid w:val="008E77B3"/>
    <w:pPr>
      <w:ind w:left="566" w:hanging="283"/>
      <w:contextualSpacing/>
    </w:pPr>
  </w:style>
  <w:style w:type="paragraph" w:styleId="Lista3">
    <w:name w:val="List 3"/>
    <w:basedOn w:val="Normalny"/>
    <w:uiPriority w:val="99"/>
    <w:unhideWhenUsed/>
    <w:rsid w:val="008E77B3"/>
    <w:pPr>
      <w:ind w:left="849" w:hanging="283"/>
      <w:contextualSpacing/>
    </w:pPr>
  </w:style>
  <w:style w:type="paragraph" w:styleId="Lista-kontynuacja">
    <w:name w:val="List Continue"/>
    <w:basedOn w:val="Normalny"/>
    <w:uiPriority w:val="99"/>
    <w:unhideWhenUsed/>
    <w:rsid w:val="008E77B3"/>
    <w:pPr>
      <w:spacing w:after="120"/>
      <w:ind w:left="283"/>
      <w:contextualSpacing/>
    </w:pPr>
  </w:style>
  <w:style w:type="paragraph" w:styleId="Tytu">
    <w:name w:val="Title"/>
    <w:basedOn w:val="Normalny"/>
    <w:next w:val="Normalny"/>
    <w:link w:val="TytuZnak"/>
    <w:uiPriority w:val="10"/>
    <w:qFormat/>
    <w:rsid w:val="008E77B3"/>
    <w:pPr>
      <w:spacing w:before="240" w:after="60"/>
      <w:jc w:val="center"/>
      <w:outlineLvl w:val="0"/>
    </w:pPr>
    <w:rPr>
      <w:rFonts w:ascii="Calibri Light" w:eastAsia="Times New Roman" w:hAnsi="Calibri Light"/>
      <w:b/>
      <w:bCs/>
      <w:kern w:val="28"/>
      <w:sz w:val="32"/>
      <w:szCs w:val="32"/>
    </w:rPr>
  </w:style>
  <w:style w:type="character" w:customStyle="1" w:styleId="TytuZnak">
    <w:name w:val="Tytuł Znak"/>
    <w:link w:val="Tytu"/>
    <w:uiPriority w:val="10"/>
    <w:rsid w:val="008E77B3"/>
    <w:rPr>
      <w:rFonts w:ascii="Calibri Light" w:eastAsia="Times New Roman" w:hAnsi="Calibri Light" w:cs="Times New Roman"/>
      <w:b/>
      <w:bCs/>
      <w:kern w:val="28"/>
      <w:sz w:val="32"/>
      <w:szCs w:val="32"/>
      <w:lang w:eastAsia="en-US"/>
    </w:rPr>
  </w:style>
  <w:style w:type="paragraph" w:styleId="Tekstpodstawowy">
    <w:name w:val="Body Text"/>
    <w:basedOn w:val="Normalny"/>
    <w:link w:val="TekstpodstawowyZnak"/>
    <w:uiPriority w:val="99"/>
    <w:unhideWhenUsed/>
    <w:rsid w:val="008E77B3"/>
    <w:pPr>
      <w:spacing w:after="120"/>
    </w:pPr>
  </w:style>
  <w:style w:type="character" w:customStyle="1" w:styleId="TekstpodstawowyZnak">
    <w:name w:val="Tekst podstawowy Znak"/>
    <w:link w:val="Tekstpodstawowy"/>
    <w:uiPriority w:val="99"/>
    <w:rsid w:val="008E77B3"/>
    <w:rPr>
      <w:sz w:val="22"/>
      <w:szCs w:val="22"/>
      <w:lang w:eastAsia="en-US"/>
    </w:rPr>
  </w:style>
  <w:style w:type="paragraph" w:styleId="Tekstpodstawowywcity">
    <w:name w:val="Body Text Indent"/>
    <w:basedOn w:val="Normalny"/>
    <w:link w:val="TekstpodstawowywcityZnak"/>
    <w:uiPriority w:val="99"/>
    <w:unhideWhenUsed/>
    <w:rsid w:val="008E77B3"/>
    <w:pPr>
      <w:spacing w:after="120"/>
      <w:ind w:left="283"/>
    </w:pPr>
  </w:style>
  <w:style w:type="character" w:customStyle="1" w:styleId="TekstpodstawowywcityZnak">
    <w:name w:val="Tekst podstawowy wcięty Znak"/>
    <w:link w:val="Tekstpodstawowywcity"/>
    <w:uiPriority w:val="99"/>
    <w:rsid w:val="008E77B3"/>
    <w:rPr>
      <w:sz w:val="22"/>
      <w:szCs w:val="22"/>
      <w:lang w:eastAsia="en-US"/>
    </w:rPr>
  </w:style>
  <w:style w:type="paragraph" w:styleId="Tekstpodstawowyzwciciem">
    <w:name w:val="Body Text First Indent"/>
    <w:basedOn w:val="Tekstpodstawowy"/>
    <w:link w:val="TekstpodstawowyzwciciemZnak"/>
    <w:uiPriority w:val="99"/>
    <w:unhideWhenUsed/>
    <w:rsid w:val="008E77B3"/>
    <w:pPr>
      <w:ind w:firstLine="210"/>
    </w:pPr>
  </w:style>
  <w:style w:type="character" w:customStyle="1" w:styleId="TekstpodstawowyzwciciemZnak">
    <w:name w:val="Tekst podstawowy z wcięciem Znak"/>
    <w:basedOn w:val="TekstpodstawowyZnak"/>
    <w:link w:val="Tekstpodstawowyzwciciem"/>
    <w:uiPriority w:val="99"/>
    <w:rsid w:val="008E77B3"/>
    <w:rPr>
      <w:sz w:val="22"/>
      <w:szCs w:val="22"/>
      <w:lang w:eastAsia="en-US"/>
    </w:rPr>
  </w:style>
  <w:style w:type="paragraph" w:styleId="Tekstpodstawowyzwciciem2">
    <w:name w:val="Body Text First Indent 2"/>
    <w:basedOn w:val="Tekstpodstawowywcity"/>
    <w:link w:val="Tekstpodstawowyzwciciem2Znak"/>
    <w:uiPriority w:val="99"/>
    <w:unhideWhenUsed/>
    <w:rsid w:val="008E77B3"/>
    <w:pPr>
      <w:ind w:firstLine="210"/>
    </w:pPr>
  </w:style>
  <w:style w:type="character" w:customStyle="1" w:styleId="Tekstpodstawowyzwciciem2Znak">
    <w:name w:val="Tekst podstawowy z wcięciem 2 Znak"/>
    <w:basedOn w:val="TekstpodstawowywcityZnak"/>
    <w:link w:val="Tekstpodstawowyzwciciem2"/>
    <w:uiPriority w:val="99"/>
    <w:rsid w:val="008E77B3"/>
    <w:rPr>
      <w:sz w:val="22"/>
      <w:szCs w:val="22"/>
      <w:lang w:eastAsia="en-US"/>
    </w:rPr>
  </w:style>
  <w:style w:type="paragraph" w:customStyle="1" w:styleId="Style2">
    <w:name w:val="Style2"/>
    <w:basedOn w:val="Normalny"/>
    <w:uiPriority w:val="99"/>
    <w:rsid w:val="005970DE"/>
    <w:pPr>
      <w:autoSpaceDE w:val="0"/>
      <w:autoSpaceDN w:val="0"/>
      <w:spacing w:after="0" w:line="264" w:lineRule="exact"/>
      <w:ind w:hanging="346"/>
      <w:jc w:val="both"/>
    </w:pPr>
    <w:rPr>
      <w:rFonts w:ascii="Times New Roman" w:hAnsi="Times New Roman"/>
      <w:sz w:val="24"/>
      <w:szCs w:val="24"/>
      <w:lang w:eastAsia="pl-PL"/>
    </w:rPr>
  </w:style>
  <w:style w:type="character" w:customStyle="1" w:styleId="FontStyle48">
    <w:name w:val="Font Style48"/>
    <w:uiPriority w:val="99"/>
    <w:rsid w:val="005970DE"/>
    <w:rPr>
      <w:rFonts w:ascii="Times New Roman" w:hAnsi="Times New Roman" w:cs="Times New Roman" w:hint="default"/>
    </w:rPr>
  </w:style>
  <w:style w:type="character" w:customStyle="1" w:styleId="FontStyle27">
    <w:name w:val="Font Style27"/>
    <w:uiPriority w:val="99"/>
    <w:rsid w:val="00D42C2D"/>
    <w:rPr>
      <w:rFonts w:ascii="Times New Roman" w:hAnsi="Times New Roman" w:cs="Times New Roman"/>
      <w:sz w:val="22"/>
      <w:szCs w:val="22"/>
    </w:rPr>
  </w:style>
  <w:style w:type="paragraph" w:styleId="NormalnyWeb">
    <w:name w:val="Normal (Web)"/>
    <w:basedOn w:val="Normalny"/>
    <w:uiPriority w:val="99"/>
    <w:unhideWhenUsed/>
    <w:rsid w:val="00C719A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56489">
      <w:bodyDiv w:val="1"/>
      <w:marLeft w:val="0"/>
      <w:marRight w:val="0"/>
      <w:marTop w:val="0"/>
      <w:marBottom w:val="0"/>
      <w:divBdr>
        <w:top w:val="none" w:sz="0" w:space="0" w:color="auto"/>
        <w:left w:val="none" w:sz="0" w:space="0" w:color="auto"/>
        <w:bottom w:val="none" w:sz="0" w:space="0" w:color="auto"/>
        <w:right w:val="none" w:sz="0" w:space="0" w:color="auto"/>
      </w:divBdr>
    </w:div>
    <w:div w:id="210118148">
      <w:bodyDiv w:val="1"/>
      <w:marLeft w:val="0"/>
      <w:marRight w:val="0"/>
      <w:marTop w:val="0"/>
      <w:marBottom w:val="0"/>
      <w:divBdr>
        <w:top w:val="none" w:sz="0" w:space="0" w:color="auto"/>
        <w:left w:val="none" w:sz="0" w:space="0" w:color="auto"/>
        <w:bottom w:val="none" w:sz="0" w:space="0" w:color="auto"/>
        <w:right w:val="none" w:sz="0" w:space="0" w:color="auto"/>
      </w:divBdr>
    </w:div>
    <w:div w:id="253637578">
      <w:bodyDiv w:val="1"/>
      <w:marLeft w:val="0"/>
      <w:marRight w:val="0"/>
      <w:marTop w:val="0"/>
      <w:marBottom w:val="0"/>
      <w:divBdr>
        <w:top w:val="none" w:sz="0" w:space="0" w:color="auto"/>
        <w:left w:val="none" w:sz="0" w:space="0" w:color="auto"/>
        <w:bottom w:val="none" w:sz="0" w:space="0" w:color="auto"/>
        <w:right w:val="none" w:sz="0" w:space="0" w:color="auto"/>
      </w:divBdr>
    </w:div>
    <w:div w:id="256181978">
      <w:bodyDiv w:val="1"/>
      <w:marLeft w:val="0"/>
      <w:marRight w:val="0"/>
      <w:marTop w:val="0"/>
      <w:marBottom w:val="0"/>
      <w:divBdr>
        <w:top w:val="none" w:sz="0" w:space="0" w:color="auto"/>
        <w:left w:val="none" w:sz="0" w:space="0" w:color="auto"/>
        <w:bottom w:val="none" w:sz="0" w:space="0" w:color="auto"/>
        <w:right w:val="none" w:sz="0" w:space="0" w:color="auto"/>
      </w:divBdr>
      <w:divsChild>
        <w:div w:id="39477171">
          <w:marLeft w:val="0"/>
          <w:marRight w:val="0"/>
          <w:marTop w:val="0"/>
          <w:marBottom w:val="0"/>
          <w:divBdr>
            <w:top w:val="none" w:sz="0" w:space="0" w:color="auto"/>
            <w:left w:val="none" w:sz="0" w:space="0" w:color="auto"/>
            <w:bottom w:val="none" w:sz="0" w:space="0" w:color="auto"/>
            <w:right w:val="none" w:sz="0" w:space="0" w:color="auto"/>
          </w:divBdr>
        </w:div>
        <w:div w:id="704334670">
          <w:marLeft w:val="0"/>
          <w:marRight w:val="0"/>
          <w:marTop w:val="0"/>
          <w:marBottom w:val="0"/>
          <w:divBdr>
            <w:top w:val="none" w:sz="0" w:space="0" w:color="auto"/>
            <w:left w:val="none" w:sz="0" w:space="0" w:color="auto"/>
            <w:bottom w:val="none" w:sz="0" w:space="0" w:color="auto"/>
            <w:right w:val="none" w:sz="0" w:space="0" w:color="auto"/>
          </w:divBdr>
          <w:divsChild>
            <w:div w:id="2042586687">
              <w:marLeft w:val="0"/>
              <w:marRight w:val="0"/>
              <w:marTop w:val="0"/>
              <w:marBottom w:val="0"/>
              <w:divBdr>
                <w:top w:val="none" w:sz="0" w:space="0" w:color="auto"/>
                <w:left w:val="none" w:sz="0" w:space="0" w:color="auto"/>
                <w:bottom w:val="none" w:sz="0" w:space="0" w:color="auto"/>
                <w:right w:val="none" w:sz="0" w:space="0" w:color="auto"/>
              </w:divBdr>
              <w:divsChild>
                <w:div w:id="1592541342">
                  <w:marLeft w:val="0"/>
                  <w:marRight w:val="0"/>
                  <w:marTop w:val="0"/>
                  <w:marBottom w:val="0"/>
                  <w:divBdr>
                    <w:top w:val="none" w:sz="0" w:space="0" w:color="auto"/>
                    <w:left w:val="none" w:sz="0" w:space="0" w:color="auto"/>
                    <w:bottom w:val="none" w:sz="0" w:space="0" w:color="auto"/>
                    <w:right w:val="none" w:sz="0" w:space="0" w:color="auto"/>
                  </w:divBdr>
                  <w:divsChild>
                    <w:div w:id="947615635">
                      <w:marLeft w:val="0"/>
                      <w:marRight w:val="0"/>
                      <w:marTop w:val="0"/>
                      <w:marBottom w:val="0"/>
                      <w:divBdr>
                        <w:top w:val="none" w:sz="0" w:space="0" w:color="auto"/>
                        <w:left w:val="none" w:sz="0" w:space="0" w:color="auto"/>
                        <w:bottom w:val="none" w:sz="0" w:space="0" w:color="auto"/>
                        <w:right w:val="none" w:sz="0" w:space="0" w:color="auto"/>
                      </w:divBdr>
                      <w:divsChild>
                        <w:div w:id="1993213030">
                          <w:marLeft w:val="0"/>
                          <w:marRight w:val="0"/>
                          <w:marTop w:val="0"/>
                          <w:marBottom w:val="0"/>
                          <w:divBdr>
                            <w:top w:val="none" w:sz="0" w:space="0" w:color="auto"/>
                            <w:left w:val="none" w:sz="0" w:space="0" w:color="auto"/>
                            <w:bottom w:val="none" w:sz="0" w:space="0" w:color="auto"/>
                            <w:right w:val="none" w:sz="0" w:space="0" w:color="auto"/>
                          </w:divBdr>
                          <w:divsChild>
                            <w:div w:id="697127174">
                              <w:marLeft w:val="0"/>
                              <w:marRight w:val="0"/>
                              <w:marTop w:val="0"/>
                              <w:marBottom w:val="0"/>
                              <w:divBdr>
                                <w:top w:val="none" w:sz="0" w:space="0" w:color="auto"/>
                                <w:left w:val="none" w:sz="0" w:space="0" w:color="auto"/>
                                <w:bottom w:val="none" w:sz="0" w:space="0" w:color="auto"/>
                                <w:right w:val="none" w:sz="0" w:space="0" w:color="auto"/>
                              </w:divBdr>
                              <w:divsChild>
                                <w:div w:id="33042109">
                                  <w:marLeft w:val="0"/>
                                  <w:marRight w:val="0"/>
                                  <w:marTop w:val="0"/>
                                  <w:marBottom w:val="0"/>
                                  <w:divBdr>
                                    <w:top w:val="none" w:sz="0" w:space="0" w:color="auto"/>
                                    <w:left w:val="none" w:sz="0" w:space="0" w:color="auto"/>
                                    <w:bottom w:val="none" w:sz="0" w:space="0" w:color="auto"/>
                                    <w:right w:val="none" w:sz="0" w:space="0" w:color="auto"/>
                                  </w:divBdr>
                                  <w:divsChild>
                                    <w:div w:id="710304668">
                                      <w:marLeft w:val="0"/>
                                      <w:marRight w:val="0"/>
                                      <w:marTop w:val="0"/>
                                      <w:marBottom w:val="0"/>
                                      <w:divBdr>
                                        <w:top w:val="none" w:sz="0" w:space="0" w:color="auto"/>
                                        <w:left w:val="none" w:sz="0" w:space="0" w:color="auto"/>
                                        <w:bottom w:val="none" w:sz="0" w:space="0" w:color="auto"/>
                                        <w:right w:val="none" w:sz="0" w:space="0" w:color="auto"/>
                                      </w:divBdr>
                                    </w:div>
                                    <w:div w:id="1436093518">
                                      <w:marLeft w:val="0"/>
                                      <w:marRight w:val="0"/>
                                      <w:marTop w:val="0"/>
                                      <w:marBottom w:val="0"/>
                                      <w:divBdr>
                                        <w:top w:val="none" w:sz="0" w:space="0" w:color="auto"/>
                                        <w:left w:val="none" w:sz="0" w:space="0" w:color="auto"/>
                                        <w:bottom w:val="none" w:sz="0" w:space="0" w:color="auto"/>
                                        <w:right w:val="none" w:sz="0" w:space="0" w:color="auto"/>
                                      </w:divBdr>
                                    </w:div>
                                  </w:divsChild>
                                </w:div>
                                <w:div w:id="50539914">
                                  <w:marLeft w:val="0"/>
                                  <w:marRight w:val="0"/>
                                  <w:marTop w:val="0"/>
                                  <w:marBottom w:val="0"/>
                                  <w:divBdr>
                                    <w:top w:val="none" w:sz="0" w:space="0" w:color="auto"/>
                                    <w:left w:val="none" w:sz="0" w:space="0" w:color="auto"/>
                                    <w:bottom w:val="none" w:sz="0" w:space="0" w:color="auto"/>
                                    <w:right w:val="none" w:sz="0" w:space="0" w:color="auto"/>
                                  </w:divBdr>
                                </w:div>
                                <w:div w:id="147015325">
                                  <w:marLeft w:val="0"/>
                                  <w:marRight w:val="0"/>
                                  <w:marTop w:val="0"/>
                                  <w:marBottom w:val="0"/>
                                  <w:divBdr>
                                    <w:top w:val="none" w:sz="0" w:space="0" w:color="auto"/>
                                    <w:left w:val="none" w:sz="0" w:space="0" w:color="auto"/>
                                    <w:bottom w:val="none" w:sz="0" w:space="0" w:color="auto"/>
                                    <w:right w:val="none" w:sz="0" w:space="0" w:color="auto"/>
                                  </w:divBdr>
                                  <w:divsChild>
                                    <w:div w:id="1709525961">
                                      <w:marLeft w:val="0"/>
                                      <w:marRight w:val="0"/>
                                      <w:marTop w:val="0"/>
                                      <w:marBottom w:val="0"/>
                                      <w:divBdr>
                                        <w:top w:val="none" w:sz="0" w:space="0" w:color="auto"/>
                                        <w:left w:val="none" w:sz="0" w:space="0" w:color="auto"/>
                                        <w:bottom w:val="none" w:sz="0" w:space="0" w:color="auto"/>
                                        <w:right w:val="none" w:sz="0" w:space="0" w:color="auto"/>
                                      </w:divBdr>
                                    </w:div>
                                    <w:div w:id="2022584080">
                                      <w:marLeft w:val="0"/>
                                      <w:marRight w:val="0"/>
                                      <w:marTop w:val="0"/>
                                      <w:marBottom w:val="0"/>
                                      <w:divBdr>
                                        <w:top w:val="none" w:sz="0" w:space="0" w:color="auto"/>
                                        <w:left w:val="none" w:sz="0" w:space="0" w:color="auto"/>
                                        <w:bottom w:val="none" w:sz="0" w:space="0" w:color="auto"/>
                                        <w:right w:val="none" w:sz="0" w:space="0" w:color="auto"/>
                                      </w:divBdr>
                                    </w:div>
                                  </w:divsChild>
                                </w:div>
                                <w:div w:id="259916562">
                                  <w:marLeft w:val="0"/>
                                  <w:marRight w:val="0"/>
                                  <w:marTop w:val="0"/>
                                  <w:marBottom w:val="0"/>
                                  <w:divBdr>
                                    <w:top w:val="none" w:sz="0" w:space="0" w:color="auto"/>
                                    <w:left w:val="none" w:sz="0" w:space="0" w:color="auto"/>
                                    <w:bottom w:val="none" w:sz="0" w:space="0" w:color="auto"/>
                                    <w:right w:val="none" w:sz="0" w:space="0" w:color="auto"/>
                                  </w:divBdr>
                                </w:div>
                                <w:div w:id="509106392">
                                  <w:marLeft w:val="0"/>
                                  <w:marRight w:val="0"/>
                                  <w:marTop w:val="0"/>
                                  <w:marBottom w:val="0"/>
                                  <w:divBdr>
                                    <w:top w:val="none" w:sz="0" w:space="0" w:color="auto"/>
                                    <w:left w:val="none" w:sz="0" w:space="0" w:color="auto"/>
                                    <w:bottom w:val="none" w:sz="0" w:space="0" w:color="auto"/>
                                    <w:right w:val="none" w:sz="0" w:space="0" w:color="auto"/>
                                  </w:divBdr>
                                  <w:divsChild>
                                    <w:div w:id="1460150268">
                                      <w:marLeft w:val="0"/>
                                      <w:marRight w:val="0"/>
                                      <w:marTop w:val="0"/>
                                      <w:marBottom w:val="0"/>
                                      <w:divBdr>
                                        <w:top w:val="none" w:sz="0" w:space="0" w:color="auto"/>
                                        <w:left w:val="none" w:sz="0" w:space="0" w:color="auto"/>
                                        <w:bottom w:val="none" w:sz="0" w:space="0" w:color="auto"/>
                                        <w:right w:val="none" w:sz="0" w:space="0" w:color="auto"/>
                                      </w:divBdr>
                                    </w:div>
                                  </w:divsChild>
                                </w:div>
                                <w:div w:id="805774934">
                                  <w:marLeft w:val="0"/>
                                  <w:marRight w:val="0"/>
                                  <w:marTop w:val="0"/>
                                  <w:marBottom w:val="0"/>
                                  <w:divBdr>
                                    <w:top w:val="none" w:sz="0" w:space="0" w:color="auto"/>
                                    <w:left w:val="none" w:sz="0" w:space="0" w:color="auto"/>
                                    <w:bottom w:val="none" w:sz="0" w:space="0" w:color="auto"/>
                                    <w:right w:val="none" w:sz="0" w:space="0" w:color="auto"/>
                                  </w:divBdr>
                                </w:div>
                                <w:div w:id="891967247">
                                  <w:marLeft w:val="0"/>
                                  <w:marRight w:val="0"/>
                                  <w:marTop w:val="0"/>
                                  <w:marBottom w:val="0"/>
                                  <w:divBdr>
                                    <w:top w:val="none" w:sz="0" w:space="0" w:color="auto"/>
                                    <w:left w:val="none" w:sz="0" w:space="0" w:color="auto"/>
                                    <w:bottom w:val="none" w:sz="0" w:space="0" w:color="auto"/>
                                    <w:right w:val="none" w:sz="0" w:space="0" w:color="auto"/>
                                  </w:divBdr>
                                  <w:divsChild>
                                    <w:div w:id="1814175752">
                                      <w:marLeft w:val="0"/>
                                      <w:marRight w:val="0"/>
                                      <w:marTop w:val="0"/>
                                      <w:marBottom w:val="0"/>
                                      <w:divBdr>
                                        <w:top w:val="none" w:sz="0" w:space="0" w:color="auto"/>
                                        <w:left w:val="none" w:sz="0" w:space="0" w:color="auto"/>
                                        <w:bottom w:val="none" w:sz="0" w:space="0" w:color="auto"/>
                                        <w:right w:val="none" w:sz="0" w:space="0" w:color="auto"/>
                                      </w:divBdr>
                                    </w:div>
                                    <w:div w:id="1900631024">
                                      <w:marLeft w:val="0"/>
                                      <w:marRight w:val="0"/>
                                      <w:marTop w:val="0"/>
                                      <w:marBottom w:val="0"/>
                                      <w:divBdr>
                                        <w:top w:val="none" w:sz="0" w:space="0" w:color="auto"/>
                                        <w:left w:val="none" w:sz="0" w:space="0" w:color="auto"/>
                                        <w:bottom w:val="none" w:sz="0" w:space="0" w:color="auto"/>
                                        <w:right w:val="none" w:sz="0" w:space="0" w:color="auto"/>
                                      </w:divBdr>
                                    </w:div>
                                  </w:divsChild>
                                </w:div>
                                <w:div w:id="967396230">
                                  <w:marLeft w:val="0"/>
                                  <w:marRight w:val="0"/>
                                  <w:marTop w:val="0"/>
                                  <w:marBottom w:val="0"/>
                                  <w:divBdr>
                                    <w:top w:val="none" w:sz="0" w:space="0" w:color="auto"/>
                                    <w:left w:val="none" w:sz="0" w:space="0" w:color="auto"/>
                                    <w:bottom w:val="none" w:sz="0" w:space="0" w:color="auto"/>
                                    <w:right w:val="none" w:sz="0" w:space="0" w:color="auto"/>
                                  </w:divBdr>
                                </w:div>
                                <w:div w:id="994189972">
                                  <w:marLeft w:val="0"/>
                                  <w:marRight w:val="0"/>
                                  <w:marTop w:val="0"/>
                                  <w:marBottom w:val="0"/>
                                  <w:divBdr>
                                    <w:top w:val="none" w:sz="0" w:space="0" w:color="auto"/>
                                    <w:left w:val="none" w:sz="0" w:space="0" w:color="auto"/>
                                    <w:bottom w:val="none" w:sz="0" w:space="0" w:color="auto"/>
                                    <w:right w:val="none" w:sz="0" w:space="0" w:color="auto"/>
                                  </w:divBdr>
                                  <w:divsChild>
                                    <w:div w:id="1183472221">
                                      <w:marLeft w:val="0"/>
                                      <w:marRight w:val="0"/>
                                      <w:marTop w:val="0"/>
                                      <w:marBottom w:val="0"/>
                                      <w:divBdr>
                                        <w:top w:val="none" w:sz="0" w:space="0" w:color="auto"/>
                                        <w:left w:val="none" w:sz="0" w:space="0" w:color="auto"/>
                                        <w:bottom w:val="none" w:sz="0" w:space="0" w:color="auto"/>
                                        <w:right w:val="none" w:sz="0" w:space="0" w:color="auto"/>
                                      </w:divBdr>
                                    </w:div>
                                    <w:div w:id="1510026338">
                                      <w:marLeft w:val="0"/>
                                      <w:marRight w:val="0"/>
                                      <w:marTop w:val="0"/>
                                      <w:marBottom w:val="0"/>
                                      <w:divBdr>
                                        <w:top w:val="none" w:sz="0" w:space="0" w:color="auto"/>
                                        <w:left w:val="none" w:sz="0" w:space="0" w:color="auto"/>
                                        <w:bottom w:val="none" w:sz="0" w:space="0" w:color="auto"/>
                                        <w:right w:val="none" w:sz="0" w:space="0" w:color="auto"/>
                                      </w:divBdr>
                                    </w:div>
                                  </w:divsChild>
                                </w:div>
                                <w:div w:id="1372997105">
                                  <w:marLeft w:val="0"/>
                                  <w:marRight w:val="0"/>
                                  <w:marTop w:val="0"/>
                                  <w:marBottom w:val="0"/>
                                  <w:divBdr>
                                    <w:top w:val="none" w:sz="0" w:space="0" w:color="auto"/>
                                    <w:left w:val="none" w:sz="0" w:space="0" w:color="auto"/>
                                    <w:bottom w:val="none" w:sz="0" w:space="0" w:color="auto"/>
                                    <w:right w:val="none" w:sz="0" w:space="0" w:color="auto"/>
                                  </w:divBdr>
                                </w:div>
                                <w:div w:id="1495755315">
                                  <w:marLeft w:val="0"/>
                                  <w:marRight w:val="0"/>
                                  <w:marTop w:val="0"/>
                                  <w:marBottom w:val="0"/>
                                  <w:divBdr>
                                    <w:top w:val="none" w:sz="0" w:space="0" w:color="auto"/>
                                    <w:left w:val="none" w:sz="0" w:space="0" w:color="auto"/>
                                    <w:bottom w:val="none" w:sz="0" w:space="0" w:color="auto"/>
                                    <w:right w:val="none" w:sz="0" w:space="0" w:color="auto"/>
                                  </w:divBdr>
                                </w:div>
                                <w:div w:id="1665011297">
                                  <w:marLeft w:val="0"/>
                                  <w:marRight w:val="0"/>
                                  <w:marTop w:val="0"/>
                                  <w:marBottom w:val="0"/>
                                  <w:divBdr>
                                    <w:top w:val="none" w:sz="0" w:space="0" w:color="auto"/>
                                    <w:left w:val="none" w:sz="0" w:space="0" w:color="auto"/>
                                    <w:bottom w:val="none" w:sz="0" w:space="0" w:color="auto"/>
                                    <w:right w:val="none" w:sz="0" w:space="0" w:color="auto"/>
                                  </w:divBdr>
                                  <w:divsChild>
                                    <w:div w:id="429618984">
                                      <w:marLeft w:val="0"/>
                                      <w:marRight w:val="0"/>
                                      <w:marTop w:val="0"/>
                                      <w:marBottom w:val="0"/>
                                      <w:divBdr>
                                        <w:top w:val="none" w:sz="0" w:space="0" w:color="auto"/>
                                        <w:left w:val="none" w:sz="0" w:space="0" w:color="auto"/>
                                        <w:bottom w:val="none" w:sz="0" w:space="0" w:color="auto"/>
                                        <w:right w:val="none" w:sz="0" w:space="0" w:color="auto"/>
                                      </w:divBdr>
                                    </w:div>
                                    <w:div w:id="1597204960">
                                      <w:marLeft w:val="0"/>
                                      <w:marRight w:val="0"/>
                                      <w:marTop w:val="0"/>
                                      <w:marBottom w:val="0"/>
                                      <w:divBdr>
                                        <w:top w:val="none" w:sz="0" w:space="0" w:color="auto"/>
                                        <w:left w:val="none" w:sz="0" w:space="0" w:color="auto"/>
                                        <w:bottom w:val="none" w:sz="0" w:space="0" w:color="auto"/>
                                        <w:right w:val="none" w:sz="0" w:space="0" w:color="auto"/>
                                      </w:divBdr>
                                    </w:div>
                                  </w:divsChild>
                                </w:div>
                                <w:div w:id="1758790212">
                                  <w:marLeft w:val="0"/>
                                  <w:marRight w:val="0"/>
                                  <w:marTop w:val="0"/>
                                  <w:marBottom w:val="0"/>
                                  <w:divBdr>
                                    <w:top w:val="none" w:sz="0" w:space="0" w:color="auto"/>
                                    <w:left w:val="none" w:sz="0" w:space="0" w:color="auto"/>
                                    <w:bottom w:val="none" w:sz="0" w:space="0" w:color="auto"/>
                                    <w:right w:val="none" w:sz="0" w:space="0" w:color="auto"/>
                                  </w:divBdr>
                                  <w:divsChild>
                                    <w:div w:id="261644437">
                                      <w:marLeft w:val="0"/>
                                      <w:marRight w:val="0"/>
                                      <w:marTop w:val="0"/>
                                      <w:marBottom w:val="0"/>
                                      <w:divBdr>
                                        <w:top w:val="none" w:sz="0" w:space="0" w:color="auto"/>
                                        <w:left w:val="none" w:sz="0" w:space="0" w:color="auto"/>
                                        <w:bottom w:val="none" w:sz="0" w:space="0" w:color="auto"/>
                                        <w:right w:val="none" w:sz="0" w:space="0" w:color="auto"/>
                                      </w:divBdr>
                                    </w:div>
                                    <w:div w:id="1076243803">
                                      <w:marLeft w:val="0"/>
                                      <w:marRight w:val="0"/>
                                      <w:marTop w:val="0"/>
                                      <w:marBottom w:val="0"/>
                                      <w:divBdr>
                                        <w:top w:val="none" w:sz="0" w:space="0" w:color="auto"/>
                                        <w:left w:val="none" w:sz="0" w:space="0" w:color="auto"/>
                                        <w:bottom w:val="none" w:sz="0" w:space="0" w:color="auto"/>
                                        <w:right w:val="none" w:sz="0" w:space="0" w:color="auto"/>
                                      </w:divBdr>
                                    </w:div>
                                  </w:divsChild>
                                </w:div>
                                <w:div w:id="1836918355">
                                  <w:marLeft w:val="0"/>
                                  <w:marRight w:val="0"/>
                                  <w:marTop w:val="0"/>
                                  <w:marBottom w:val="0"/>
                                  <w:divBdr>
                                    <w:top w:val="none" w:sz="0" w:space="0" w:color="auto"/>
                                    <w:left w:val="none" w:sz="0" w:space="0" w:color="auto"/>
                                    <w:bottom w:val="none" w:sz="0" w:space="0" w:color="auto"/>
                                    <w:right w:val="none" w:sz="0" w:space="0" w:color="auto"/>
                                  </w:divBdr>
                                  <w:divsChild>
                                    <w:div w:id="664405082">
                                      <w:marLeft w:val="0"/>
                                      <w:marRight w:val="0"/>
                                      <w:marTop w:val="0"/>
                                      <w:marBottom w:val="0"/>
                                      <w:divBdr>
                                        <w:top w:val="none" w:sz="0" w:space="0" w:color="auto"/>
                                        <w:left w:val="none" w:sz="0" w:space="0" w:color="auto"/>
                                        <w:bottom w:val="none" w:sz="0" w:space="0" w:color="auto"/>
                                        <w:right w:val="none" w:sz="0" w:space="0" w:color="auto"/>
                                      </w:divBdr>
                                    </w:div>
                                    <w:div w:id="2081708575">
                                      <w:marLeft w:val="0"/>
                                      <w:marRight w:val="0"/>
                                      <w:marTop w:val="0"/>
                                      <w:marBottom w:val="0"/>
                                      <w:divBdr>
                                        <w:top w:val="none" w:sz="0" w:space="0" w:color="auto"/>
                                        <w:left w:val="none" w:sz="0" w:space="0" w:color="auto"/>
                                        <w:bottom w:val="none" w:sz="0" w:space="0" w:color="auto"/>
                                        <w:right w:val="none" w:sz="0" w:space="0" w:color="auto"/>
                                      </w:divBdr>
                                    </w:div>
                                  </w:divsChild>
                                </w:div>
                                <w:div w:id="1864705873">
                                  <w:marLeft w:val="0"/>
                                  <w:marRight w:val="0"/>
                                  <w:marTop w:val="0"/>
                                  <w:marBottom w:val="0"/>
                                  <w:divBdr>
                                    <w:top w:val="none" w:sz="0" w:space="0" w:color="auto"/>
                                    <w:left w:val="none" w:sz="0" w:space="0" w:color="auto"/>
                                    <w:bottom w:val="none" w:sz="0" w:space="0" w:color="auto"/>
                                    <w:right w:val="none" w:sz="0" w:space="0" w:color="auto"/>
                                  </w:divBdr>
                                </w:div>
                                <w:div w:id="195292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972321">
      <w:bodyDiv w:val="1"/>
      <w:marLeft w:val="0"/>
      <w:marRight w:val="0"/>
      <w:marTop w:val="0"/>
      <w:marBottom w:val="0"/>
      <w:divBdr>
        <w:top w:val="none" w:sz="0" w:space="0" w:color="auto"/>
        <w:left w:val="none" w:sz="0" w:space="0" w:color="auto"/>
        <w:bottom w:val="none" w:sz="0" w:space="0" w:color="auto"/>
        <w:right w:val="none" w:sz="0" w:space="0" w:color="auto"/>
      </w:divBdr>
    </w:div>
    <w:div w:id="471413196">
      <w:bodyDiv w:val="1"/>
      <w:marLeft w:val="0"/>
      <w:marRight w:val="0"/>
      <w:marTop w:val="0"/>
      <w:marBottom w:val="0"/>
      <w:divBdr>
        <w:top w:val="none" w:sz="0" w:space="0" w:color="auto"/>
        <w:left w:val="none" w:sz="0" w:space="0" w:color="auto"/>
        <w:bottom w:val="none" w:sz="0" w:space="0" w:color="auto"/>
        <w:right w:val="none" w:sz="0" w:space="0" w:color="auto"/>
      </w:divBdr>
    </w:div>
    <w:div w:id="529032856">
      <w:bodyDiv w:val="1"/>
      <w:marLeft w:val="0"/>
      <w:marRight w:val="0"/>
      <w:marTop w:val="0"/>
      <w:marBottom w:val="0"/>
      <w:divBdr>
        <w:top w:val="none" w:sz="0" w:space="0" w:color="auto"/>
        <w:left w:val="none" w:sz="0" w:space="0" w:color="auto"/>
        <w:bottom w:val="none" w:sz="0" w:space="0" w:color="auto"/>
        <w:right w:val="none" w:sz="0" w:space="0" w:color="auto"/>
      </w:divBdr>
    </w:div>
    <w:div w:id="638730091">
      <w:bodyDiv w:val="1"/>
      <w:marLeft w:val="0"/>
      <w:marRight w:val="0"/>
      <w:marTop w:val="0"/>
      <w:marBottom w:val="0"/>
      <w:divBdr>
        <w:top w:val="none" w:sz="0" w:space="0" w:color="auto"/>
        <w:left w:val="none" w:sz="0" w:space="0" w:color="auto"/>
        <w:bottom w:val="none" w:sz="0" w:space="0" w:color="auto"/>
        <w:right w:val="none" w:sz="0" w:space="0" w:color="auto"/>
      </w:divBdr>
      <w:divsChild>
        <w:div w:id="334311030">
          <w:marLeft w:val="0"/>
          <w:marRight w:val="0"/>
          <w:marTop w:val="0"/>
          <w:marBottom w:val="0"/>
          <w:divBdr>
            <w:top w:val="none" w:sz="0" w:space="0" w:color="auto"/>
            <w:left w:val="none" w:sz="0" w:space="0" w:color="auto"/>
            <w:bottom w:val="none" w:sz="0" w:space="0" w:color="auto"/>
            <w:right w:val="none" w:sz="0" w:space="0" w:color="auto"/>
          </w:divBdr>
        </w:div>
        <w:div w:id="1565220067">
          <w:marLeft w:val="600"/>
          <w:marRight w:val="0"/>
          <w:marTop w:val="0"/>
          <w:marBottom w:val="0"/>
          <w:divBdr>
            <w:top w:val="none" w:sz="0" w:space="0" w:color="auto"/>
            <w:left w:val="none" w:sz="0" w:space="0" w:color="auto"/>
            <w:bottom w:val="none" w:sz="0" w:space="0" w:color="auto"/>
            <w:right w:val="none" w:sz="0" w:space="0" w:color="auto"/>
          </w:divBdr>
        </w:div>
        <w:div w:id="1973095736">
          <w:marLeft w:val="600"/>
          <w:marRight w:val="0"/>
          <w:marTop w:val="0"/>
          <w:marBottom w:val="0"/>
          <w:divBdr>
            <w:top w:val="none" w:sz="0" w:space="0" w:color="auto"/>
            <w:left w:val="none" w:sz="0" w:space="0" w:color="auto"/>
            <w:bottom w:val="none" w:sz="0" w:space="0" w:color="auto"/>
            <w:right w:val="none" w:sz="0" w:space="0" w:color="auto"/>
          </w:divBdr>
        </w:div>
      </w:divsChild>
    </w:div>
    <w:div w:id="744032724">
      <w:bodyDiv w:val="1"/>
      <w:marLeft w:val="0"/>
      <w:marRight w:val="0"/>
      <w:marTop w:val="0"/>
      <w:marBottom w:val="0"/>
      <w:divBdr>
        <w:top w:val="none" w:sz="0" w:space="0" w:color="auto"/>
        <w:left w:val="none" w:sz="0" w:space="0" w:color="auto"/>
        <w:bottom w:val="none" w:sz="0" w:space="0" w:color="auto"/>
        <w:right w:val="none" w:sz="0" w:space="0" w:color="auto"/>
      </w:divBdr>
    </w:div>
    <w:div w:id="768964313">
      <w:bodyDiv w:val="1"/>
      <w:marLeft w:val="0"/>
      <w:marRight w:val="0"/>
      <w:marTop w:val="0"/>
      <w:marBottom w:val="0"/>
      <w:divBdr>
        <w:top w:val="none" w:sz="0" w:space="0" w:color="auto"/>
        <w:left w:val="none" w:sz="0" w:space="0" w:color="auto"/>
        <w:bottom w:val="none" w:sz="0" w:space="0" w:color="auto"/>
        <w:right w:val="none" w:sz="0" w:space="0" w:color="auto"/>
      </w:divBdr>
    </w:div>
    <w:div w:id="778644668">
      <w:bodyDiv w:val="1"/>
      <w:marLeft w:val="0"/>
      <w:marRight w:val="0"/>
      <w:marTop w:val="0"/>
      <w:marBottom w:val="0"/>
      <w:divBdr>
        <w:top w:val="none" w:sz="0" w:space="0" w:color="auto"/>
        <w:left w:val="none" w:sz="0" w:space="0" w:color="auto"/>
        <w:bottom w:val="none" w:sz="0" w:space="0" w:color="auto"/>
        <w:right w:val="none" w:sz="0" w:space="0" w:color="auto"/>
      </w:divBdr>
    </w:div>
    <w:div w:id="853420655">
      <w:bodyDiv w:val="1"/>
      <w:marLeft w:val="0"/>
      <w:marRight w:val="0"/>
      <w:marTop w:val="0"/>
      <w:marBottom w:val="0"/>
      <w:divBdr>
        <w:top w:val="none" w:sz="0" w:space="0" w:color="auto"/>
        <w:left w:val="none" w:sz="0" w:space="0" w:color="auto"/>
        <w:bottom w:val="none" w:sz="0" w:space="0" w:color="auto"/>
        <w:right w:val="none" w:sz="0" w:space="0" w:color="auto"/>
      </w:divBdr>
      <w:divsChild>
        <w:div w:id="274674824">
          <w:marLeft w:val="0"/>
          <w:marRight w:val="0"/>
          <w:marTop w:val="72"/>
          <w:marBottom w:val="0"/>
          <w:divBdr>
            <w:top w:val="none" w:sz="0" w:space="0" w:color="auto"/>
            <w:left w:val="none" w:sz="0" w:space="0" w:color="auto"/>
            <w:bottom w:val="none" w:sz="0" w:space="0" w:color="auto"/>
            <w:right w:val="none" w:sz="0" w:space="0" w:color="auto"/>
          </w:divBdr>
          <w:divsChild>
            <w:div w:id="1351221689">
              <w:marLeft w:val="0"/>
              <w:marRight w:val="0"/>
              <w:marTop w:val="0"/>
              <w:marBottom w:val="0"/>
              <w:divBdr>
                <w:top w:val="none" w:sz="0" w:space="0" w:color="auto"/>
                <w:left w:val="none" w:sz="0" w:space="0" w:color="auto"/>
                <w:bottom w:val="none" w:sz="0" w:space="0" w:color="auto"/>
                <w:right w:val="none" w:sz="0" w:space="0" w:color="auto"/>
              </w:divBdr>
            </w:div>
          </w:divsChild>
        </w:div>
        <w:div w:id="416441062">
          <w:marLeft w:val="0"/>
          <w:marRight w:val="0"/>
          <w:marTop w:val="72"/>
          <w:marBottom w:val="0"/>
          <w:divBdr>
            <w:top w:val="none" w:sz="0" w:space="0" w:color="auto"/>
            <w:left w:val="none" w:sz="0" w:space="0" w:color="auto"/>
            <w:bottom w:val="none" w:sz="0" w:space="0" w:color="auto"/>
            <w:right w:val="none" w:sz="0" w:space="0" w:color="auto"/>
          </w:divBdr>
          <w:divsChild>
            <w:div w:id="1575773138">
              <w:marLeft w:val="0"/>
              <w:marRight w:val="0"/>
              <w:marTop w:val="0"/>
              <w:marBottom w:val="0"/>
              <w:divBdr>
                <w:top w:val="none" w:sz="0" w:space="0" w:color="auto"/>
                <w:left w:val="none" w:sz="0" w:space="0" w:color="auto"/>
                <w:bottom w:val="none" w:sz="0" w:space="0" w:color="auto"/>
                <w:right w:val="none" w:sz="0" w:space="0" w:color="auto"/>
              </w:divBdr>
            </w:div>
          </w:divsChild>
        </w:div>
        <w:div w:id="1989089340">
          <w:marLeft w:val="0"/>
          <w:marRight w:val="0"/>
          <w:marTop w:val="72"/>
          <w:marBottom w:val="0"/>
          <w:divBdr>
            <w:top w:val="none" w:sz="0" w:space="0" w:color="auto"/>
            <w:left w:val="none" w:sz="0" w:space="0" w:color="auto"/>
            <w:bottom w:val="none" w:sz="0" w:space="0" w:color="auto"/>
            <w:right w:val="none" w:sz="0" w:space="0" w:color="auto"/>
          </w:divBdr>
          <w:divsChild>
            <w:div w:id="228156336">
              <w:marLeft w:val="360"/>
              <w:marRight w:val="0"/>
              <w:marTop w:val="0"/>
              <w:marBottom w:val="72"/>
              <w:divBdr>
                <w:top w:val="none" w:sz="0" w:space="0" w:color="auto"/>
                <w:left w:val="none" w:sz="0" w:space="0" w:color="auto"/>
                <w:bottom w:val="none" w:sz="0" w:space="0" w:color="auto"/>
                <w:right w:val="none" w:sz="0" w:space="0" w:color="auto"/>
              </w:divBdr>
              <w:divsChild>
                <w:div w:id="2105613761">
                  <w:marLeft w:val="0"/>
                  <w:marRight w:val="0"/>
                  <w:marTop w:val="0"/>
                  <w:marBottom w:val="0"/>
                  <w:divBdr>
                    <w:top w:val="none" w:sz="0" w:space="0" w:color="auto"/>
                    <w:left w:val="none" w:sz="0" w:space="0" w:color="auto"/>
                    <w:bottom w:val="none" w:sz="0" w:space="0" w:color="auto"/>
                    <w:right w:val="none" w:sz="0" w:space="0" w:color="auto"/>
                  </w:divBdr>
                </w:div>
              </w:divsChild>
            </w:div>
            <w:div w:id="806901269">
              <w:marLeft w:val="360"/>
              <w:marRight w:val="0"/>
              <w:marTop w:val="0"/>
              <w:marBottom w:val="72"/>
              <w:divBdr>
                <w:top w:val="none" w:sz="0" w:space="0" w:color="auto"/>
                <w:left w:val="none" w:sz="0" w:space="0" w:color="auto"/>
                <w:bottom w:val="none" w:sz="0" w:space="0" w:color="auto"/>
                <w:right w:val="none" w:sz="0" w:space="0" w:color="auto"/>
              </w:divBdr>
              <w:divsChild>
                <w:div w:id="1601789533">
                  <w:marLeft w:val="0"/>
                  <w:marRight w:val="0"/>
                  <w:marTop w:val="0"/>
                  <w:marBottom w:val="0"/>
                  <w:divBdr>
                    <w:top w:val="none" w:sz="0" w:space="0" w:color="auto"/>
                    <w:left w:val="none" w:sz="0" w:space="0" w:color="auto"/>
                    <w:bottom w:val="none" w:sz="0" w:space="0" w:color="auto"/>
                    <w:right w:val="none" w:sz="0" w:space="0" w:color="auto"/>
                  </w:divBdr>
                </w:div>
              </w:divsChild>
            </w:div>
            <w:div w:id="901790884">
              <w:marLeft w:val="360"/>
              <w:marRight w:val="0"/>
              <w:marTop w:val="72"/>
              <w:marBottom w:val="72"/>
              <w:divBdr>
                <w:top w:val="none" w:sz="0" w:space="0" w:color="auto"/>
                <w:left w:val="none" w:sz="0" w:space="0" w:color="auto"/>
                <w:bottom w:val="none" w:sz="0" w:space="0" w:color="auto"/>
                <w:right w:val="none" w:sz="0" w:space="0" w:color="auto"/>
              </w:divBdr>
              <w:divsChild>
                <w:div w:id="2050688942">
                  <w:marLeft w:val="0"/>
                  <w:marRight w:val="0"/>
                  <w:marTop w:val="0"/>
                  <w:marBottom w:val="0"/>
                  <w:divBdr>
                    <w:top w:val="none" w:sz="0" w:space="0" w:color="auto"/>
                    <w:left w:val="none" w:sz="0" w:space="0" w:color="auto"/>
                    <w:bottom w:val="none" w:sz="0" w:space="0" w:color="auto"/>
                    <w:right w:val="none" w:sz="0" w:space="0" w:color="auto"/>
                  </w:divBdr>
                </w:div>
              </w:divsChild>
            </w:div>
            <w:div w:id="1391608679">
              <w:marLeft w:val="360"/>
              <w:marRight w:val="0"/>
              <w:marTop w:val="0"/>
              <w:marBottom w:val="72"/>
              <w:divBdr>
                <w:top w:val="none" w:sz="0" w:space="0" w:color="auto"/>
                <w:left w:val="none" w:sz="0" w:space="0" w:color="auto"/>
                <w:bottom w:val="none" w:sz="0" w:space="0" w:color="auto"/>
                <w:right w:val="none" w:sz="0" w:space="0" w:color="auto"/>
              </w:divBdr>
              <w:divsChild>
                <w:div w:id="12505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2281">
      <w:bodyDiv w:val="1"/>
      <w:marLeft w:val="0"/>
      <w:marRight w:val="0"/>
      <w:marTop w:val="0"/>
      <w:marBottom w:val="0"/>
      <w:divBdr>
        <w:top w:val="none" w:sz="0" w:space="0" w:color="auto"/>
        <w:left w:val="none" w:sz="0" w:space="0" w:color="auto"/>
        <w:bottom w:val="none" w:sz="0" w:space="0" w:color="auto"/>
        <w:right w:val="none" w:sz="0" w:space="0" w:color="auto"/>
      </w:divBdr>
    </w:div>
    <w:div w:id="870654195">
      <w:bodyDiv w:val="1"/>
      <w:marLeft w:val="0"/>
      <w:marRight w:val="0"/>
      <w:marTop w:val="0"/>
      <w:marBottom w:val="0"/>
      <w:divBdr>
        <w:top w:val="none" w:sz="0" w:space="0" w:color="auto"/>
        <w:left w:val="none" w:sz="0" w:space="0" w:color="auto"/>
        <w:bottom w:val="none" w:sz="0" w:space="0" w:color="auto"/>
        <w:right w:val="none" w:sz="0" w:space="0" w:color="auto"/>
      </w:divBdr>
    </w:div>
    <w:div w:id="911543871">
      <w:bodyDiv w:val="1"/>
      <w:marLeft w:val="0"/>
      <w:marRight w:val="0"/>
      <w:marTop w:val="0"/>
      <w:marBottom w:val="0"/>
      <w:divBdr>
        <w:top w:val="none" w:sz="0" w:space="0" w:color="auto"/>
        <w:left w:val="none" w:sz="0" w:space="0" w:color="auto"/>
        <w:bottom w:val="none" w:sz="0" w:space="0" w:color="auto"/>
        <w:right w:val="none" w:sz="0" w:space="0" w:color="auto"/>
      </w:divBdr>
    </w:div>
    <w:div w:id="1000347724">
      <w:bodyDiv w:val="1"/>
      <w:marLeft w:val="0"/>
      <w:marRight w:val="0"/>
      <w:marTop w:val="0"/>
      <w:marBottom w:val="0"/>
      <w:divBdr>
        <w:top w:val="none" w:sz="0" w:space="0" w:color="auto"/>
        <w:left w:val="none" w:sz="0" w:space="0" w:color="auto"/>
        <w:bottom w:val="none" w:sz="0" w:space="0" w:color="auto"/>
        <w:right w:val="none" w:sz="0" w:space="0" w:color="auto"/>
      </w:divBdr>
      <w:divsChild>
        <w:div w:id="214237896">
          <w:marLeft w:val="0"/>
          <w:marRight w:val="0"/>
          <w:marTop w:val="72"/>
          <w:marBottom w:val="0"/>
          <w:divBdr>
            <w:top w:val="none" w:sz="0" w:space="0" w:color="auto"/>
            <w:left w:val="none" w:sz="0" w:space="0" w:color="auto"/>
            <w:bottom w:val="none" w:sz="0" w:space="0" w:color="auto"/>
            <w:right w:val="none" w:sz="0" w:space="0" w:color="auto"/>
          </w:divBdr>
          <w:divsChild>
            <w:div w:id="944196563">
              <w:marLeft w:val="0"/>
              <w:marRight w:val="0"/>
              <w:marTop w:val="0"/>
              <w:marBottom w:val="0"/>
              <w:divBdr>
                <w:top w:val="none" w:sz="0" w:space="0" w:color="auto"/>
                <w:left w:val="none" w:sz="0" w:space="0" w:color="auto"/>
                <w:bottom w:val="none" w:sz="0" w:space="0" w:color="auto"/>
                <w:right w:val="none" w:sz="0" w:space="0" w:color="auto"/>
              </w:divBdr>
            </w:div>
          </w:divsChild>
        </w:div>
        <w:div w:id="632444715">
          <w:marLeft w:val="0"/>
          <w:marRight w:val="0"/>
          <w:marTop w:val="72"/>
          <w:marBottom w:val="0"/>
          <w:divBdr>
            <w:top w:val="none" w:sz="0" w:space="0" w:color="auto"/>
            <w:left w:val="none" w:sz="0" w:space="0" w:color="auto"/>
            <w:bottom w:val="none" w:sz="0" w:space="0" w:color="auto"/>
            <w:right w:val="none" w:sz="0" w:space="0" w:color="auto"/>
          </w:divBdr>
        </w:div>
        <w:div w:id="788209147">
          <w:marLeft w:val="0"/>
          <w:marRight w:val="0"/>
          <w:marTop w:val="72"/>
          <w:marBottom w:val="0"/>
          <w:divBdr>
            <w:top w:val="none" w:sz="0" w:space="0" w:color="auto"/>
            <w:left w:val="none" w:sz="0" w:space="0" w:color="auto"/>
            <w:bottom w:val="none" w:sz="0" w:space="0" w:color="auto"/>
            <w:right w:val="none" w:sz="0" w:space="0" w:color="auto"/>
          </w:divBdr>
          <w:divsChild>
            <w:div w:id="7551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18012">
      <w:bodyDiv w:val="1"/>
      <w:marLeft w:val="0"/>
      <w:marRight w:val="0"/>
      <w:marTop w:val="0"/>
      <w:marBottom w:val="0"/>
      <w:divBdr>
        <w:top w:val="none" w:sz="0" w:space="0" w:color="auto"/>
        <w:left w:val="none" w:sz="0" w:space="0" w:color="auto"/>
        <w:bottom w:val="none" w:sz="0" w:space="0" w:color="auto"/>
        <w:right w:val="none" w:sz="0" w:space="0" w:color="auto"/>
      </w:divBdr>
    </w:div>
    <w:div w:id="1184368957">
      <w:bodyDiv w:val="1"/>
      <w:marLeft w:val="0"/>
      <w:marRight w:val="0"/>
      <w:marTop w:val="0"/>
      <w:marBottom w:val="0"/>
      <w:divBdr>
        <w:top w:val="none" w:sz="0" w:space="0" w:color="auto"/>
        <w:left w:val="none" w:sz="0" w:space="0" w:color="auto"/>
        <w:bottom w:val="none" w:sz="0" w:space="0" w:color="auto"/>
        <w:right w:val="none" w:sz="0" w:space="0" w:color="auto"/>
      </w:divBdr>
    </w:div>
    <w:div w:id="1223326324">
      <w:bodyDiv w:val="1"/>
      <w:marLeft w:val="0"/>
      <w:marRight w:val="0"/>
      <w:marTop w:val="0"/>
      <w:marBottom w:val="0"/>
      <w:divBdr>
        <w:top w:val="none" w:sz="0" w:space="0" w:color="auto"/>
        <w:left w:val="none" w:sz="0" w:space="0" w:color="auto"/>
        <w:bottom w:val="none" w:sz="0" w:space="0" w:color="auto"/>
        <w:right w:val="none" w:sz="0" w:space="0" w:color="auto"/>
      </w:divBdr>
    </w:div>
    <w:div w:id="1308895591">
      <w:bodyDiv w:val="1"/>
      <w:marLeft w:val="0"/>
      <w:marRight w:val="0"/>
      <w:marTop w:val="0"/>
      <w:marBottom w:val="0"/>
      <w:divBdr>
        <w:top w:val="none" w:sz="0" w:space="0" w:color="auto"/>
        <w:left w:val="none" w:sz="0" w:space="0" w:color="auto"/>
        <w:bottom w:val="none" w:sz="0" w:space="0" w:color="auto"/>
        <w:right w:val="none" w:sz="0" w:space="0" w:color="auto"/>
      </w:divBdr>
    </w:div>
    <w:div w:id="1353141496">
      <w:bodyDiv w:val="1"/>
      <w:marLeft w:val="0"/>
      <w:marRight w:val="0"/>
      <w:marTop w:val="0"/>
      <w:marBottom w:val="0"/>
      <w:divBdr>
        <w:top w:val="none" w:sz="0" w:space="0" w:color="auto"/>
        <w:left w:val="none" w:sz="0" w:space="0" w:color="auto"/>
        <w:bottom w:val="none" w:sz="0" w:space="0" w:color="auto"/>
        <w:right w:val="none" w:sz="0" w:space="0" w:color="auto"/>
      </w:divBdr>
      <w:divsChild>
        <w:div w:id="1512256317">
          <w:marLeft w:val="0"/>
          <w:marRight w:val="0"/>
          <w:marTop w:val="45"/>
          <w:marBottom w:val="0"/>
          <w:divBdr>
            <w:top w:val="none" w:sz="0" w:space="0" w:color="auto"/>
            <w:left w:val="none" w:sz="0" w:space="0" w:color="auto"/>
            <w:bottom w:val="none" w:sz="0" w:space="0" w:color="auto"/>
            <w:right w:val="none" w:sz="0" w:space="0" w:color="auto"/>
          </w:divBdr>
        </w:div>
        <w:div w:id="1991666384">
          <w:marLeft w:val="0"/>
          <w:marRight w:val="0"/>
          <w:marTop w:val="0"/>
          <w:marBottom w:val="0"/>
          <w:divBdr>
            <w:top w:val="none" w:sz="0" w:space="0" w:color="auto"/>
            <w:left w:val="none" w:sz="0" w:space="0" w:color="auto"/>
            <w:bottom w:val="none" w:sz="0" w:space="0" w:color="auto"/>
            <w:right w:val="none" w:sz="0" w:space="0" w:color="auto"/>
          </w:divBdr>
          <w:divsChild>
            <w:div w:id="145517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29431">
      <w:bodyDiv w:val="1"/>
      <w:marLeft w:val="0"/>
      <w:marRight w:val="0"/>
      <w:marTop w:val="0"/>
      <w:marBottom w:val="0"/>
      <w:divBdr>
        <w:top w:val="none" w:sz="0" w:space="0" w:color="auto"/>
        <w:left w:val="none" w:sz="0" w:space="0" w:color="auto"/>
        <w:bottom w:val="none" w:sz="0" w:space="0" w:color="auto"/>
        <w:right w:val="none" w:sz="0" w:space="0" w:color="auto"/>
      </w:divBdr>
    </w:div>
    <w:div w:id="1411077179">
      <w:bodyDiv w:val="1"/>
      <w:marLeft w:val="0"/>
      <w:marRight w:val="0"/>
      <w:marTop w:val="0"/>
      <w:marBottom w:val="0"/>
      <w:divBdr>
        <w:top w:val="none" w:sz="0" w:space="0" w:color="auto"/>
        <w:left w:val="none" w:sz="0" w:space="0" w:color="auto"/>
        <w:bottom w:val="none" w:sz="0" w:space="0" w:color="auto"/>
        <w:right w:val="none" w:sz="0" w:space="0" w:color="auto"/>
      </w:divBdr>
      <w:divsChild>
        <w:div w:id="1308363352">
          <w:marLeft w:val="547"/>
          <w:marRight w:val="0"/>
          <w:marTop w:val="96"/>
          <w:marBottom w:val="0"/>
          <w:divBdr>
            <w:top w:val="none" w:sz="0" w:space="0" w:color="auto"/>
            <w:left w:val="none" w:sz="0" w:space="0" w:color="auto"/>
            <w:bottom w:val="none" w:sz="0" w:space="0" w:color="auto"/>
            <w:right w:val="none" w:sz="0" w:space="0" w:color="auto"/>
          </w:divBdr>
        </w:div>
      </w:divsChild>
    </w:div>
    <w:div w:id="1472094824">
      <w:bodyDiv w:val="1"/>
      <w:marLeft w:val="0"/>
      <w:marRight w:val="0"/>
      <w:marTop w:val="0"/>
      <w:marBottom w:val="0"/>
      <w:divBdr>
        <w:top w:val="none" w:sz="0" w:space="0" w:color="auto"/>
        <w:left w:val="none" w:sz="0" w:space="0" w:color="auto"/>
        <w:bottom w:val="none" w:sz="0" w:space="0" w:color="auto"/>
        <w:right w:val="none" w:sz="0" w:space="0" w:color="auto"/>
      </w:divBdr>
      <w:divsChild>
        <w:div w:id="1486704764">
          <w:marLeft w:val="0"/>
          <w:marRight w:val="0"/>
          <w:marTop w:val="0"/>
          <w:marBottom w:val="0"/>
          <w:divBdr>
            <w:top w:val="none" w:sz="0" w:space="0" w:color="auto"/>
            <w:left w:val="none" w:sz="0" w:space="0" w:color="auto"/>
            <w:bottom w:val="none" w:sz="0" w:space="0" w:color="auto"/>
            <w:right w:val="none" w:sz="0" w:space="0" w:color="auto"/>
          </w:divBdr>
        </w:div>
      </w:divsChild>
    </w:div>
    <w:div w:id="1545210752">
      <w:bodyDiv w:val="1"/>
      <w:marLeft w:val="0"/>
      <w:marRight w:val="0"/>
      <w:marTop w:val="0"/>
      <w:marBottom w:val="0"/>
      <w:divBdr>
        <w:top w:val="none" w:sz="0" w:space="0" w:color="auto"/>
        <w:left w:val="none" w:sz="0" w:space="0" w:color="auto"/>
        <w:bottom w:val="none" w:sz="0" w:space="0" w:color="auto"/>
        <w:right w:val="none" w:sz="0" w:space="0" w:color="auto"/>
      </w:divBdr>
    </w:div>
    <w:div w:id="1589774280">
      <w:bodyDiv w:val="1"/>
      <w:marLeft w:val="0"/>
      <w:marRight w:val="0"/>
      <w:marTop w:val="0"/>
      <w:marBottom w:val="0"/>
      <w:divBdr>
        <w:top w:val="none" w:sz="0" w:space="0" w:color="auto"/>
        <w:left w:val="none" w:sz="0" w:space="0" w:color="auto"/>
        <w:bottom w:val="none" w:sz="0" w:space="0" w:color="auto"/>
        <w:right w:val="none" w:sz="0" w:space="0" w:color="auto"/>
      </w:divBdr>
    </w:div>
    <w:div w:id="1642005937">
      <w:bodyDiv w:val="1"/>
      <w:marLeft w:val="0"/>
      <w:marRight w:val="0"/>
      <w:marTop w:val="0"/>
      <w:marBottom w:val="0"/>
      <w:divBdr>
        <w:top w:val="none" w:sz="0" w:space="0" w:color="auto"/>
        <w:left w:val="none" w:sz="0" w:space="0" w:color="auto"/>
        <w:bottom w:val="none" w:sz="0" w:space="0" w:color="auto"/>
        <w:right w:val="none" w:sz="0" w:space="0" w:color="auto"/>
      </w:divBdr>
    </w:div>
    <w:div w:id="1763254194">
      <w:bodyDiv w:val="1"/>
      <w:marLeft w:val="0"/>
      <w:marRight w:val="0"/>
      <w:marTop w:val="0"/>
      <w:marBottom w:val="0"/>
      <w:divBdr>
        <w:top w:val="none" w:sz="0" w:space="0" w:color="auto"/>
        <w:left w:val="none" w:sz="0" w:space="0" w:color="auto"/>
        <w:bottom w:val="none" w:sz="0" w:space="0" w:color="auto"/>
        <w:right w:val="none" w:sz="0" w:space="0" w:color="auto"/>
      </w:divBdr>
      <w:divsChild>
        <w:div w:id="681590504">
          <w:marLeft w:val="547"/>
          <w:marRight w:val="0"/>
          <w:marTop w:val="0"/>
          <w:marBottom w:val="0"/>
          <w:divBdr>
            <w:top w:val="none" w:sz="0" w:space="0" w:color="auto"/>
            <w:left w:val="none" w:sz="0" w:space="0" w:color="auto"/>
            <w:bottom w:val="none" w:sz="0" w:space="0" w:color="auto"/>
            <w:right w:val="none" w:sz="0" w:space="0" w:color="auto"/>
          </w:divBdr>
        </w:div>
        <w:div w:id="1070233797">
          <w:marLeft w:val="547"/>
          <w:marRight w:val="0"/>
          <w:marTop w:val="0"/>
          <w:marBottom w:val="0"/>
          <w:divBdr>
            <w:top w:val="none" w:sz="0" w:space="0" w:color="auto"/>
            <w:left w:val="none" w:sz="0" w:space="0" w:color="auto"/>
            <w:bottom w:val="none" w:sz="0" w:space="0" w:color="auto"/>
            <w:right w:val="none" w:sz="0" w:space="0" w:color="auto"/>
          </w:divBdr>
        </w:div>
      </w:divsChild>
    </w:div>
    <w:div w:id="1951157581">
      <w:bodyDiv w:val="1"/>
      <w:marLeft w:val="0"/>
      <w:marRight w:val="0"/>
      <w:marTop w:val="0"/>
      <w:marBottom w:val="0"/>
      <w:divBdr>
        <w:top w:val="none" w:sz="0" w:space="0" w:color="auto"/>
        <w:left w:val="none" w:sz="0" w:space="0" w:color="auto"/>
        <w:bottom w:val="none" w:sz="0" w:space="0" w:color="auto"/>
        <w:right w:val="none" w:sz="0" w:space="0" w:color="auto"/>
      </w:divBdr>
      <w:divsChild>
        <w:div w:id="1076631520">
          <w:marLeft w:val="0"/>
          <w:marRight w:val="0"/>
          <w:marTop w:val="45"/>
          <w:marBottom w:val="0"/>
          <w:divBdr>
            <w:top w:val="none" w:sz="0" w:space="0" w:color="auto"/>
            <w:left w:val="none" w:sz="0" w:space="0" w:color="auto"/>
            <w:bottom w:val="none" w:sz="0" w:space="0" w:color="auto"/>
            <w:right w:val="none" w:sz="0" w:space="0" w:color="auto"/>
          </w:divBdr>
        </w:div>
        <w:div w:id="1514416206">
          <w:marLeft w:val="0"/>
          <w:marRight w:val="0"/>
          <w:marTop w:val="0"/>
          <w:marBottom w:val="0"/>
          <w:divBdr>
            <w:top w:val="none" w:sz="0" w:space="0" w:color="auto"/>
            <w:left w:val="none" w:sz="0" w:space="0" w:color="auto"/>
            <w:bottom w:val="none" w:sz="0" w:space="0" w:color="auto"/>
            <w:right w:val="none" w:sz="0" w:space="0" w:color="auto"/>
          </w:divBdr>
          <w:divsChild>
            <w:div w:id="56657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4DA3D-3BAE-40B7-BB64-C101AFB60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7674</Words>
  <Characters>46045</Characters>
  <Application>Microsoft Office Word</Application>
  <DocSecurity>0</DocSecurity>
  <Lines>383</Lines>
  <Paragraphs>107</Paragraphs>
  <ScaleCrop>false</ScaleCrop>
  <HeadingPairs>
    <vt:vector size="2" baseType="variant">
      <vt:variant>
        <vt:lpstr>Tytuł</vt:lpstr>
      </vt:variant>
      <vt:variant>
        <vt:i4>1</vt:i4>
      </vt:variant>
    </vt:vector>
  </HeadingPairs>
  <TitlesOfParts>
    <vt:vector size="1" baseType="lpstr">
      <vt:lpstr>Decyzja KR II R 63.22 z 14.12.2022 r. wersja cyfrowa [ogłoszono w BIP 12.01.2023 r.]</vt:lpstr>
    </vt:vector>
  </TitlesOfParts>
  <Company/>
  <LinksUpToDate>false</LinksUpToDate>
  <CharactersWithSpaces>53612</CharactersWithSpaces>
  <SharedDoc>false</SharedDoc>
  <HLinks>
    <vt:vector size="48" baseType="variant">
      <vt:variant>
        <vt:i4>2687084</vt:i4>
      </vt:variant>
      <vt:variant>
        <vt:i4>21</vt:i4>
      </vt:variant>
      <vt:variant>
        <vt:i4>0</vt:i4>
      </vt:variant>
      <vt:variant>
        <vt:i4>5</vt:i4>
      </vt:variant>
      <vt:variant>
        <vt:lpwstr>https://sip.legalis.pl/document-view.seam?documentId=mfrxilrsgm4dknjoobqxalrrgezdonrqguyq&amp;refSource=hyplink</vt:lpwstr>
      </vt:variant>
      <vt:variant>
        <vt:lpwstr/>
      </vt:variant>
      <vt:variant>
        <vt:i4>7143545</vt:i4>
      </vt:variant>
      <vt:variant>
        <vt:i4>18</vt:i4>
      </vt:variant>
      <vt:variant>
        <vt:i4>0</vt:i4>
      </vt:variant>
      <vt:variant>
        <vt:i4>5</vt:i4>
      </vt:variant>
      <vt:variant>
        <vt:lpwstr>https://sip.legalis.pl/document-view.seam?documentId=mfrxilrsgm4dknjoobqxalrrgezdonrthe2q&amp;refSource=hyplink</vt:lpwstr>
      </vt:variant>
      <vt:variant>
        <vt:lpwstr/>
      </vt:variant>
      <vt:variant>
        <vt:i4>6553705</vt:i4>
      </vt:variant>
      <vt:variant>
        <vt:i4>15</vt:i4>
      </vt:variant>
      <vt:variant>
        <vt:i4>0</vt:i4>
      </vt:variant>
      <vt:variant>
        <vt:i4>5</vt:i4>
      </vt:variant>
      <vt:variant>
        <vt:lpwstr>https://sip.legalis.pl/document-view.seam?documentId=mrswglrtgy3temrygy3te&amp;refSource=hypdec</vt:lpwstr>
      </vt:variant>
      <vt:variant>
        <vt:lpwstr/>
      </vt:variant>
      <vt:variant>
        <vt:i4>6619234</vt:i4>
      </vt:variant>
      <vt:variant>
        <vt:i4>12</vt:i4>
      </vt:variant>
      <vt:variant>
        <vt:i4>0</vt:i4>
      </vt:variant>
      <vt:variant>
        <vt:i4>5</vt:i4>
      </vt:variant>
      <vt:variant>
        <vt:lpwstr>https://sip.legalis.pl/document-view.seam?documentId=mfrxilrsgm4dknjoobqxalrrga3dqnrs&amp;refSource=hypdec</vt:lpwstr>
      </vt:variant>
      <vt:variant>
        <vt:lpwstr/>
      </vt:variant>
      <vt:variant>
        <vt:i4>4259849</vt:i4>
      </vt:variant>
      <vt:variant>
        <vt:i4>9</vt:i4>
      </vt:variant>
      <vt:variant>
        <vt:i4>0</vt:i4>
      </vt:variant>
      <vt:variant>
        <vt:i4>5</vt:i4>
      </vt:variant>
      <vt:variant>
        <vt:lpwstr>https://sip.legalis.pl/document-view.seam?documentId=mrswglrsha2toojzgqydq&amp;refSource=hyplink</vt:lpwstr>
      </vt:variant>
      <vt:variant>
        <vt:lpwstr/>
      </vt:variant>
      <vt:variant>
        <vt:i4>7143545</vt:i4>
      </vt:variant>
      <vt:variant>
        <vt:i4>6</vt:i4>
      </vt:variant>
      <vt:variant>
        <vt:i4>0</vt:i4>
      </vt:variant>
      <vt:variant>
        <vt:i4>5</vt:i4>
      </vt:variant>
      <vt:variant>
        <vt:lpwstr>https://sip.legalis.pl/document-view.seam?documentId=mfrxilrsgm4dknjoobqxalrrgezdonrthe2q&amp;refSource=hyplink</vt:lpwstr>
      </vt:variant>
      <vt:variant>
        <vt:lpwstr/>
      </vt:variant>
      <vt:variant>
        <vt:i4>7143545</vt:i4>
      </vt:variant>
      <vt:variant>
        <vt:i4>3</vt:i4>
      </vt:variant>
      <vt:variant>
        <vt:i4>0</vt:i4>
      </vt:variant>
      <vt:variant>
        <vt:i4>5</vt:i4>
      </vt:variant>
      <vt:variant>
        <vt:lpwstr>https://sip.legalis.pl/document-view.seam?documentId=mfrxilrsgm4dknjoobqxalrrgezdonrthe2q&amp;refSource=hyplink</vt:lpwstr>
      </vt:variant>
      <vt:variant>
        <vt:lpwstr/>
      </vt:variant>
      <vt:variant>
        <vt:i4>2359352</vt:i4>
      </vt:variant>
      <vt:variant>
        <vt:i4>0</vt:i4>
      </vt:variant>
      <vt:variant>
        <vt:i4>0</vt:i4>
      </vt:variant>
      <vt:variant>
        <vt:i4>5</vt:i4>
      </vt:variant>
      <vt:variant>
        <vt:lpwstr>https://sip.legalis.pl/document-view.seam?documentId=mfrxilrtg4ytinzwgazteltqmfyc4njtgezdgmzzga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KR II R 63.22 z 14.12.2022 r. wersja cyfrowa [ogłoszono w BIP 12.01.2023 r.]</dc:title>
  <dc:subject/>
  <dc:creator>Tomasz Haintze</dc:creator>
  <cp:keywords/>
  <dc:description/>
  <cp:lastModifiedBy>Rzewińska Dorota  (DPA)</cp:lastModifiedBy>
  <cp:revision>5</cp:revision>
  <cp:lastPrinted>2022-12-14T07:33:00Z</cp:lastPrinted>
  <dcterms:created xsi:type="dcterms:W3CDTF">2023-01-12T12:58:00Z</dcterms:created>
  <dcterms:modified xsi:type="dcterms:W3CDTF">2023-01-12T13:19:00Z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4ecd3334ca96a9171c597cbf1272e8a043689ffe63cc9c68adaa062ee7ed2711</vt:lpwstr>
  </property>
</Properties>
</file>