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E3" w:rsidRPr="00241702" w:rsidRDefault="00526936" w:rsidP="00526936">
      <w:pPr>
        <w:jc w:val="center"/>
        <w:rPr>
          <w:rFonts w:cstheme="minorHAnsi"/>
        </w:rPr>
      </w:pPr>
      <w:bookmarkStart w:id="0" w:name="_GoBack"/>
      <w:bookmarkEnd w:id="0"/>
      <w:r w:rsidRPr="00241702">
        <w:rPr>
          <w:rFonts w:cstheme="minorHAnsi"/>
        </w:rPr>
        <w:t>UZASADNIENIE</w:t>
      </w:r>
    </w:p>
    <w:p w:rsidR="00526936" w:rsidRPr="007E4088" w:rsidRDefault="00526936" w:rsidP="00526936">
      <w:pPr>
        <w:jc w:val="center"/>
        <w:rPr>
          <w:rFonts w:cstheme="minorHAnsi"/>
          <w:b/>
        </w:rPr>
      </w:pPr>
    </w:p>
    <w:p w:rsidR="0075066B" w:rsidRPr="007E4088" w:rsidRDefault="00526936" w:rsidP="00526936">
      <w:pPr>
        <w:jc w:val="both"/>
        <w:rPr>
          <w:rFonts w:cstheme="minorHAnsi"/>
        </w:rPr>
      </w:pPr>
      <w:r w:rsidRPr="007E4088">
        <w:rPr>
          <w:rFonts w:cstheme="minorHAnsi"/>
        </w:rPr>
        <w:t xml:space="preserve">Projektowana zmiana zarządzenia nr 256 Prezesa Rady Ministrów </w:t>
      </w:r>
      <w:r w:rsidR="00667DB0" w:rsidRPr="007E4088">
        <w:rPr>
          <w:rFonts w:cstheme="minorHAnsi"/>
        </w:rPr>
        <w:t xml:space="preserve">z dnia 9 listopada 2021 r. </w:t>
      </w:r>
      <w:r w:rsidRPr="007E4088">
        <w:rPr>
          <w:rFonts w:cstheme="minorHAnsi"/>
        </w:rPr>
        <w:t>w sprawie Zespołu do spraw przygotowania i realizacji zabezpieczenia granicy państwowej</w:t>
      </w:r>
      <w:r w:rsidR="00667DB0" w:rsidRPr="007E4088">
        <w:rPr>
          <w:rFonts w:cstheme="minorHAnsi"/>
        </w:rPr>
        <w:t xml:space="preserve"> (M.P. poz. 1042)</w:t>
      </w:r>
      <w:r w:rsidRPr="007E4088">
        <w:rPr>
          <w:rFonts w:cstheme="minorHAnsi"/>
        </w:rPr>
        <w:t xml:space="preserve"> ma na celu uelastycznienie trybu pracy wymienionego </w:t>
      </w:r>
      <w:r w:rsidR="00BF73AD" w:rsidRPr="007E4088">
        <w:rPr>
          <w:rFonts w:cstheme="minorHAnsi"/>
        </w:rPr>
        <w:t xml:space="preserve">Zespołu. Uchylany w § 5 </w:t>
      </w:r>
      <w:r w:rsidR="00667DB0" w:rsidRPr="007E4088">
        <w:rPr>
          <w:rFonts w:cstheme="minorHAnsi"/>
        </w:rPr>
        <w:t xml:space="preserve">ust. 2 </w:t>
      </w:r>
      <w:r w:rsidR="00BF73AD" w:rsidRPr="007E4088">
        <w:rPr>
          <w:rFonts w:cstheme="minorHAnsi"/>
        </w:rPr>
        <w:t>z</w:t>
      </w:r>
      <w:r w:rsidRPr="007E4088">
        <w:rPr>
          <w:rFonts w:cstheme="minorHAnsi"/>
        </w:rPr>
        <w:t>arządzenia w sw</w:t>
      </w:r>
      <w:r w:rsidR="00BF73AD" w:rsidRPr="007E4088">
        <w:rPr>
          <w:rFonts w:cstheme="minorHAnsi"/>
        </w:rPr>
        <w:t>oim obecnym brzmieniu nakłada</w:t>
      </w:r>
      <w:r w:rsidRPr="007E4088">
        <w:rPr>
          <w:rFonts w:cstheme="minorHAnsi"/>
        </w:rPr>
        <w:t xml:space="preserve"> obowiązek zwoływania posiedzenia Zespołu nie rzadziej niż raz </w:t>
      </w:r>
      <w:r w:rsidR="005424F7">
        <w:rPr>
          <w:rFonts w:cstheme="minorHAnsi"/>
        </w:rPr>
        <w:br/>
      </w:r>
      <w:r w:rsidRPr="007E4088">
        <w:rPr>
          <w:rFonts w:cstheme="minorHAnsi"/>
        </w:rPr>
        <w:t xml:space="preserve">w miesiącu. Zauważyć jednakże należy, że obecny końcowy etap realizacji inwestycji w postaci zapory na granicy państwowej pomiędzy Rzecząpospolitą Polską oraz </w:t>
      </w:r>
      <w:r w:rsidR="006A3DEB">
        <w:rPr>
          <w:rFonts w:cstheme="minorHAnsi"/>
        </w:rPr>
        <w:t>Republiką Białorusi</w:t>
      </w:r>
      <w:r w:rsidRPr="007E4088">
        <w:rPr>
          <w:rFonts w:cstheme="minorHAnsi"/>
        </w:rPr>
        <w:t>, jak również przebiegająca bez zakłóceń realizacja inwestycji na granicy państwowej pomiędzy Rzecząpospolitą Polską oraz Federacją Rosyjską</w:t>
      </w:r>
      <w:r w:rsidR="00BA5BB0">
        <w:rPr>
          <w:rFonts w:cstheme="minorHAnsi"/>
        </w:rPr>
        <w:t>,</w:t>
      </w:r>
      <w:r w:rsidRPr="007E4088">
        <w:rPr>
          <w:rFonts w:cstheme="minorHAnsi"/>
        </w:rPr>
        <w:t xml:space="preserve"> pozwalają na odstąpienie od obecnego wymogu częstotliwości zwoływania posiedzeń Zespołu.</w:t>
      </w:r>
    </w:p>
    <w:p w:rsidR="00A751FD" w:rsidRPr="007E4088" w:rsidRDefault="00BA5BB0" w:rsidP="00526936">
      <w:pPr>
        <w:jc w:val="both"/>
        <w:rPr>
          <w:rFonts w:cstheme="minorHAnsi"/>
        </w:rPr>
      </w:pPr>
      <w:r>
        <w:rPr>
          <w:rFonts w:cstheme="minorHAnsi"/>
        </w:rPr>
        <w:t>Bez zmian pozostaje przepis</w:t>
      </w:r>
      <w:r w:rsidR="00A9375E" w:rsidRPr="007E4088">
        <w:rPr>
          <w:rFonts w:cstheme="minorHAnsi"/>
        </w:rPr>
        <w:t xml:space="preserve"> § 3 pkt 1</w:t>
      </w:r>
      <w:r w:rsidR="00A751FD" w:rsidRPr="007E4088">
        <w:rPr>
          <w:rFonts w:cstheme="minorHAnsi"/>
        </w:rPr>
        <w:t xml:space="preserve"> wskazujący, iż Przewodniczący Zespołu zwołuje posiedzenia </w:t>
      </w:r>
      <w:r w:rsidR="006A3DEB" w:rsidRPr="007E4088">
        <w:rPr>
          <w:rFonts w:cstheme="minorHAnsi"/>
        </w:rPr>
        <w:t>z</w:t>
      </w:r>
      <w:r w:rsidR="006A3DEB">
        <w:rPr>
          <w:rFonts w:cstheme="minorHAnsi"/>
        </w:rPr>
        <w:t> </w:t>
      </w:r>
      <w:r w:rsidR="00A751FD" w:rsidRPr="007E4088">
        <w:rPr>
          <w:rFonts w:cstheme="minorHAnsi"/>
        </w:rPr>
        <w:t>własnej inicjatywy lub na wniosek członka Zespołu. Bez zmian pozostanie również przyjęta przez Zespół procedura przesyłania członkom Zespołu comiesięcznych sprawozdań z realizacji inwestycji.</w:t>
      </w:r>
    </w:p>
    <w:p w:rsidR="0075066B" w:rsidRPr="007E4088" w:rsidRDefault="0075066B" w:rsidP="00526936">
      <w:pPr>
        <w:jc w:val="both"/>
        <w:rPr>
          <w:rFonts w:cstheme="minorHAnsi"/>
        </w:rPr>
      </w:pPr>
      <w:r w:rsidRPr="007E4088">
        <w:rPr>
          <w:rFonts w:cstheme="minorHAnsi"/>
        </w:rPr>
        <w:t xml:space="preserve">W chwili obecnej przebieg realizacji inwestycji przedstawia się jak poniżej: </w:t>
      </w:r>
    </w:p>
    <w:p w:rsidR="0075066B" w:rsidRPr="007E4088" w:rsidRDefault="0075066B" w:rsidP="0075066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7E4088">
        <w:rPr>
          <w:rFonts w:cstheme="minorHAnsi"/>
        </w:rPr>
        <w:t>zakończono etap bezpośredniego zakupu przez inwestora surowców budowlanych (stal) czy zamówienia elementów konstrukcyjnych (panele stalowe, słupy konstrukcyjne), gdzie zakupiono łącznie 49 tys. ton stali</w:t>
      </w:r>
      <w:r w:rsidR="006A3DEB">
        <w:rPr>
          <w:rFonts w:cstheme="minorHAnsi"/>
        </w:rPr>
        <w:t>;</w:t>
      </w:r>
    </w:p>
    <w:p w:rsidR="004D39D0" w:rsidRPr="007E4088" w:rsidRDefault="0075066B" w:rsidP="00A751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7E4088">
        <w:rPr>
          <w:rFonts w:cstheme="minorHAnsi"/>
        </w:rPr>
        <w:t xml:space="preserve">sfinalizowano budowę zapory na granicy państwowej pomiędzy Rzecząpospolitą Polską oraz </w:t>
      </w:r>
      <w:r w:rsidR="007E4088">
        <w:rPr>
          <w:rFonts w:cstheme="minorHAnsi"/>
        </w:rPr>
        <w:t xml:space="preserve">Republiką </w:t>
      </w:r>
      <w:r w:rsidRPr="007E4088">
        <w:rPr>
          <w:rFonts w:cstheme="minorHAnsi"/>
        </w:rPr>
        <w:t xml:space="preserve">Białorusi – długość bariery fizycznej wynosi 186 km, a jej wysokość ok. 5,50 m, bariera wykonana jest z ażurowych paneli stalowych o wysokości 4,5 m, natomiast panele osadzone pomiędzy dwuteownikami na podwalinie betonowej zagłębionej na 1 m w głąb gruntu </w:t>
      </w:r>
      <w:r w:rsidR="006A3DEB" w:rsidRPr="007E4088">
        <w:rPr>
          <w:rFonts w:cstheme="minorHAnsi"/>
        </w:rPr>
        <w:t>i</w:t>
      </w:r>
      <w:r w:rsidR="006A3DEB">
        <w:rPr>
          <w:rFonts w:cstheme="minorHAnsi"/>
        </w:rPr>
        <w:t> </w:t>
      </w:r>
      <w:r w:rsidRPr="007E4088">
        <w:rPr>
          <w:rFonts w:cstheme="minorHAnsi"/>
        </w:rPr>
        <w:t xml:space="preserve">wystającej 0,5 m ponad grunt, zwieńczenie bariery wykonane jest z dwóch zwojów </w:t>
      </w:r>
      <w:proofErr w:type="spellStart"/>
      <w:r w:rsidRPr="007E4088">
        <w:rPr>
          <w:rFonts w:cstheme="minorHAnsi"/>
        </w:rPr>
        <w:t>concertiny</w:t>
      </w:r>
      <w:proofErr w:type="spellEnd"/>
      <w:r w:rsidR="006A3DEB">
        <w:rPr>
          <w:rFonts w:cstheme="minorHAnsi"/>
        </w:rPr>
        <w:t>;</w:t>
      </w:r>
    </w:p>
    <w:p w:rsidR="0075066B" w:rsidRPr="007E4088" w:rsidRDefault="004D39D0" w:rsidP="00A751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7E4088">
        <w:rPr>
          <w:rFonts w:cstheme="minorHAnsi"/>
        </w:rPr>
        <w:t>na ukończeniu znajdują się prace dotyczące ba</w:t>
      </w:r>
      <w:r w:rsidR="00A751FD" w:rsidRPr="007E4088">
        <w:rPr>
          <w:rFonts w:cstheme="minorHAnsi"/>
        </w:rPr>
        <w:t>rier</w:t>
      </w:r>
      <w:r w:rsidRPr="007E4088">
        <w:rPr>
          <w:rFonts w:cstheme="minorHAnsi"/>
        </w:rPr>
        <w:t>y</w:t>
      </w:r>
      <w:r w:rsidR="00A751FD" w:rsidRPr="007E4088">
        <w:rPr>
          <w:rFonts w:cstheme="minorHAnsi"/>
        </w:rPr>
        <w:t xml:space="preserve"> elektroniczn</w:t>
      </w:r>
      <w:r w:rsidRPr="007E4088">
        <w:rPr>
          <w:rFonts w:cstheme="minorHAnsi"/>
        </w:rPr>
        <w:t xml:space="preserve">ej, stanowiącej uzupełnienie dla bariery fizycznej, na </w:t>
      </w:r>
      <w:r w:rsidR="00A751FD" w:rsidRPr="007E4088">
        <w:rPr>
          <w:rFonts w:cstheme="minorHAnsi"/>
        </w:rPr>
        <w:t>granic</w:t>
      </w:r>
      <w:r w:rsidRPr="007E4088">
        <w:rPr>
          <w:rFonts w:cstheme="minorHAnsi"/>
        </w:rPr>
        <w:t>y</w:t>
      </w:r>
      <w:r w:rsidR="00A751FD" w:rsidRPr="007E4088">
        <w:rPr>
          <w:rFonts w:cstheme="minorHAnsi"/>
        </w:rPr>
        <w:t xml:space="preserve"> lądow</w:t>
      </w:r>
      <w:r w:rsidRPr="007E4088">
        <w:rPr>
          <w:rFonts w:cstheme="minorHAnsi"/>
        </w:rPr>
        <w:t>ej</w:t>
      </w:r>
      <w:r w:rsidR="00A751FD" w:rsidRPr="007E4088">
        <w:rPr>
          <w:rFonts w:cstheme="minorHAnsi"/>
        </w:rPr>
        <w:t xml:space="preserve"> z</w:t>
      </w:r>
      <w:r w:rsidR="006A3DEB">
        <w:rPr>
          <w:rFonts w:cstheme="minorHAnsi"/>
        </w:rPr>
        <w:t xml:space="preserve"> Republiką</w:t>
      </w:r>
      <w:r w:rsidR="00A751FD" w:rsidRPr="007E4088">
        <w:rPr>
          <w:rFonts w:cstheme="minorHAnsi"/>
        </w:rPr>
        <w:t xml:space="preserve"> Białorusi</w:t>
      </w:r>
      <w:r w:rsidRPr="007E4088">
        <w:rPr>
          <w:rFonts w:cstheme="minorHAnsi"/>
        </w:rPr>
        <w:t xml:space="preserve"> – jej </w:t>
      </w:r>
      <w:r w:rsidR="00A751FD" w:rsidRPr="007E4088">
        <w:rPr>
          <w:rFonts w:cstheme="minorHAnsi"/>
        </w:rPr>
        <w:t xml:space="preserve">długość to </w:t>
      </w:r>
      <w:r w:rsidR="00BA5BB0">
        <w:rPr>
          <w:rFonts w:cstheme="minorHAnsi"/>
        </w:rPr>
        <w:t>ok. 206 km</w:t>
      </w:r>
      <w:r w:rsidRPr="007E4088">
        <w:rPr>
          <w:rFonts w:cstheme="minorHAnsi"/>
        </w:rPr>
        <w:t>,</w:t>
      </w:r>
      <w:r w:rsidR="00A751FD" w:rsidRPr="00667DB0">
        <w:rPr>
          <w:rFonts w:cstheme="minorHAnsi"/>
        </w:rPr>
        <w:t xml:space="preserve"> </w:t>
      </w:r>
      <w:r w:rsidRPr="00667DB0">
        <w:rPr>
          <w:rFonts w:cstheme="minorHAnsi"/>
        </w:rPr>
        <w:t>do</w:t>
      </w:r>
      <w:r w:rsidR="00A751FD" w:rsidRPr="007E4088">
        <w:rPr>
          <w:rFonts w:cstheme="minorHAnsi"/>
        </w:rPr>
        <w:t xml:space="preserve"> jej budowy wykorzystano: ok. 2100 słupów kamerowych, około 3000 kamer (dzienno-nocnych i termowizyjnych), około 400 km kabli detekcyjnych, 200 km kabli zasilających, 200 km kabli transmisyjnych, 11 kontenerów teletechnicznych</w:t>
      </w:r>
      <w:r w:rsidR="006A3DEB">
        <w:rPr>
          <w:rFonts w:cstheme="minorHAnsi"/>
        </w:rPr>
        <w:t>;</w:t>
      </w:r>
    </w:p>
    <w:p w:rsidR="0075066B" w:rsidRPr="00BD41A9" w:rsidRDefault="006A3DEB" w:rsidP="0075066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="00BF73AD" w:rsidRPr="007E4088">
        <w:rPr>
          <w:rFonts w:cstheme="minorHAnsi"/>
        </w:rPr>
        <w:t xml:space="preserve">ez zakłóceń </w:t>
      </w:r>
      <w:r w:rsidR="0075066B" w:rsidRPr="007E4088">
        <w:rPr>
          <w:rFonts w:cstheme="minorHAnsi"/>
        </w:rPr>
        <w:t>przebieg</w:t>
      </w:r>
      <w:r w:rsidR="00BF73AD" w:rsidRPr="007E4088">
        <w:rPr>
          <w:rFonts w:cstheme="minorHAnsi"/>
        </w:rPr>
        <w:t>a</w:t>
      </w:r>
      <w:r w:rsidR="0075066B" w:rsidRPr="007E4088">
        <w:rPr>
          <w:rFonts w:cstheme="minorHAnsi"/>
        </w:rPr>
        <w:t xml:space="preserve"> realizacj</w:t>
      </w:r>
      <w:r w:rsidR="00BF73AD" w:rsidRPr="007E4088">
        <w:rPr>
          <w:rFonts w:cstheme="minorHAnsi"/>
        </w:rPr>
        <w:t>a</w:t>
      </w:r>
      <w:r w:rsidR="0075066B" w:rsidRPr="007E4088">
        <w:rPr>
          <w:rFonts w:cstheme="minorHAnsi"/>
        </w:rPr>
        <w:t xml:space="preserve"> inwestycji na granicy państwowej pomiędzy Rzecząpospolitą Polską oraz Federacją Rosyjską – zaplanowana inwestycja obejmie cały lądowy odcinek </w:t>
      </w:r>
      <w:r w:rsidR="005424F7">
        <w:rPr>
          <w:rFonts w:cstheme="minorHAnsi"/>
        </w:rPr>
        <w:br/>
      </w:r>
      <w:r w:rsidR="0075066B" w:rsidRPr="007E4088">
        <w:rPr>
          <w:rFonts w:cstheme="minorHAnsi"/>
        </w:rPr>
        <w:t>o długości 198,77 km będący w zakresie odpowiedzialności służbowej Warmińsko-Mazurskiego Oddziału Straży Granicznej oraz zintegruje i połączy światłowodowym kablem transmisyjnym wszystkie istniejące wieże obserwacyjne w wybranych miejscowościach, bariera będzie zbudowana z ok. 2100 słupów kamerowych (w tym około 100 zwróconych na dojścia do granicy od strony PL), około 3000 kamer (dzienno-nocnych i termowizyjnych), około 200 km kabli detekcyjnych (pod powierzchnią gruntu), 200 km kabli zasilających, 250 km kabli transmisyjnych, 12 kontenerów elektro-teletechnicznych.</w:t>
      </w:r>
    </w:p>
    <w:p w:rsidR="00526936" w:rsidRDefault="00F06DB6" w:rsidP="00526936">
      <w:pPr>
        <w:jc w:val="both"/>
        <w:rPr>
          <w:rFonts w:cstheme="minorHAnsi"/>
        </w:rPr>
      </w:pPr>
      <w:r w:rsidRPr="007E4088">
        <w:rPr>
          <w:rFonts w:cstheme="minorHAnsi"/>
        </w:rPr>
        <w:t>Proponowane r</w:t>
      </w:r>
      <w:r w:rsidR="00AB1B18" w:rsidRPr="007E4088">
        <w:rPr>
          <w:rFonts w:cstheme="minorHAnsi"/>
        </w:rPr>
        <w:t xml:space="preserve">ozwiązanie, zgodnie z którym Przewodniczący Zespołu będzie zwoływać posiedzenia Zespołu z własnej inicjatywy </w:t>
      </w:r>
      <w:r w:rsidRPr="007E4088">
        <w:rPr>
          <w:rFonts w:cstheme="minorHAnsi"/>
        </w:rPr>
        <w:t>lub na wniosek członka Zespołu,</w:t>
      </w:r>
      <w:r w:rsidR="00AB1B18" w:rsidRPr="007E4088">
        <w:rPr>
          <w:rFonts w:cstheme="minorHAnsi"/>
        </w:rPr>
        <w:t xml:space="preserve"> j</w:t>
      </w:r>
      <w:r w:rsidR="00BF73AD" w:rsidRPr="007E4088">
        <w:rPr>
          <w:rFonts w:cstheme="minorHAnsi"/>
        </w:rPr>
        <w:t xml:space="preserve">est rozwiązaniem wystarczającym </w:t>
      </w:r>
      <w:r w:rsidR="006A3DEB" w:rsidRPr="007E4088">
        <w:rPr>
          <w:rFonts w:cstheme="minorHAnsi"/>
        </w:rPr>
        <w:t>i</w:t>
      </w:r>
      <w:r w:rsidR="006A3DEB">
        <w:rPr>
          <w:rFonts w:cstheme="minorHAnsi"/>
        </w:rPr>
        <w:t> </w:t>
      </w:r>
      <w:r w:rsidR="00BF73AD" w:rsidRPr="007E4088">
        <w:rPr>
          <w:rFonts w:cstheme="minorHAnsi"/>
        </w:rPr>
        <w:t>optymalnym na obecnym etapie zaawansowania realizacji inwestycji.</w:t>
      </w:r>
    </w:p>
    <w:p w:rsidR="005D694C" w:rsidRPr="005D694C" w:rsidRDefault="005D694C" w:rsidP="005D694C">
      <w:pPr>
        <w:spacing w:after="120"/>
        <w:jc w:val="both"/>
        <w:rPr>
          <w:rFonts w:cstheme="minorHAnsi"/>
        </w:rPr>
      </w:pPr>
      <w:r w:rsidRPr="005D694C">
        <w:rPr>
          <w:rFonts w:cstheme="minorHAnsi"/>
          <w:spacing w:val="-2"/>
        </w:rPr>
        <w:t xml:space="preserve">Z uwagi na charakter zarządzenia przewiduje się jego wejście w życie z dniem następującym po dniu ogłoszenia. </w:t>
      </w:r>
    </w:p>
    <w:p w:rsidR="005D694C" w:rsidRPr="005D694C" w:rsidRDefault="005D694C" w:rsidP="005D694C">
      <w:pPr>
        <w:jc w:val="both"/>
        <w:rPr>
          <w:rFonts w:cstheme="minorHAnsi"/>
        </w:rPr>
      </w:pPr>
      <w:r w:rsidRPr="005D694C">
        <w:rPr>
          <w:rFonts w:cstheme="minorHAnsi"/>
        </w:rPr>
        <w:t>Zakres przedmiotowy regulacji nie jest objęty prawem Unii Europejskiej.</w:t>
      </w:r>
    </w:p>
    <w:p w:rsidR="005D694C" w:rsidRPr="005D694C" w:rsidRDefault="005D694C" w:rsidP="005D694C">
      <w:pPr>
        <w:jc w:val="both"/>
        <w:rPr>
          <w:rFonts w:cstheme="minorHAnsi"/>
          <w:color w:val="000000"/>
        </w:rPr>
      </w:pPr>
      <w:r w:rsidRPr="005D694C">
        <w:rPr>
          <w:rFonts w:cstheme="minorHAnsi"/>
        </w:rPr>
        <w:lastRenderedPageBreak/>
        <w:t xml:space="preserve">Projekt zarządzenia nie podlega procedurze notyfikacji określonej w przepisach rozporządzenia Rady Ministrów z dnia 23 grudnia 2002 r. w sprawie sposobu funkcjonowania krajowego systemu notyfikacji norm i aktów prawnych (Dz. U. poz. 2039, z </w:t>
      </w:r>
      <w:proofErr w:type="spellStart"/>
      <w:r w:rsidRPr="005D694C">
        <w:rPr>
          <w:rFonts w:cstheme="minorHAnsi"/>
        </w:rPr>
        <w:t>późn</w:t>
      </w:r>
      <w:proofErr w:type="spellEnd"/>
      <w:r w:rsidRPr="005D694C">
        <w:rPr>
          <w:rFonts w:cstheme="minorHAnsi"/>
        </w:rPr>
        <w:t>. zm</w:t>
      </w:r>
      <w:r>
        <w:rPr>
          <w:rFonts w:cstheme="minorHAnsi"/>
        </w:rPr>
        <w:t>.</w:t>
      </w:r>
      <w:r w:rsidRPr="005D694C">
        <w:rPr>
          <w:rFonts w:cstheme="minorHAnsi"/>
        </w:rPr>
        <w:t>).</w:t>
      </w:r>
    </w:p>
    <w:p w:rsidR="005D694C" w:rsidRPr="005D694C" w:rsidRDefault="005D694C" w:rsidP="005D694C">
      <w:pPr>
        <w:jc w:val="both"/>
        <w:rPr>
          <w:rFonts w:cstheme="minorHAnsi"/>
        </w:rPr>
      </w:pPr>
      <w:r w:rsidRPr="005D694C">
        <w:rPr>
          <w:rFonts w:cstheme="minorHAnsi"/>
        </w:rPr>
        <w:t>Projekt nie podlega dokonaniu oceny OSR przez koordynatora OSR w trybie § 32 uchwały nr 190 Rady Ministrów z dnia 29 października 2013 r. – Regulamin pracy Rady Ministrów (M. P. z 2022 r. poz. 348).</w:t>
      </w:r>
    </w:p>
    <w:p w:rsidR="005D694C" w:rsidRPr="005D694C" w:rsidRDefault="005D694C" w:rsidP="005D694C">
      <w:pPr>
        <w:jc w:val="both"/>
        <w:rPr>
          <w:rFonts w:cstheme="minorHAnsi"/>
        </w:rPr>
      </w:pPr>
      <w:r w:rsidRPr="005D694C">
        <w:rPr>
          <w:rFonts w:cstheme="minorHAnsi"/>
        </w:rPr>
        <w:t>Projekt nie wymaga przedstawienia właściwym organom i instytucjom Unii Europejskiej, w tym Europejskiemu Bankowi Centralnemu, w celu uzyskania opinii, dokonania powiadomienia, konsultacji albo uzgodnienia.</w:t>
      </w:r>
    </w:p>
    <w:p w:rsidR="005D694C" w:rsidRPr="005D694C" w:rsidRDefault="005D694C" w:rsidP="005D694C">
      <w:pPr>
        <w:jc w:val="both"/>
        <w:rPr>
          <w:rFonts w:cstheme="minorHAnsi"/>
        </w:rPr>
      </w:pPr>
      <w:r w:rsidRPr="005D694C">
        <w:rPr>
          <w:rFonts w:cstheme="minorHAnsi"/>
        </w:rPr>
        <w:t>Projektowane zarządzenie nie wpływa na sektor mikro, małych i średnich przedsiębiorstw.</w:t>
      </w:r>
    </w:p>
    <w:p w:rsidR="005D694C" w:rsidRPr="007E4088" w:rsidRDefault="005D694C" w:rsidP="00526936">
      <w:pPr>
        <w:jc w:val="both"/>
        <w:rPr>
          <w:rFonts w:cstheme="minorHAnsi"/>
        </w:rPr>
      </w:pPr>
    </w:p>
    <w:sectPr w:rsidR="005D694C" w:rsidRPr="007E4088" w:rsidSect="002417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11B3F"/>
    <w:multiLevelType w:val="hybridMultilevel"/>
    <w:tmpl w:val="CB588A6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70D5E24"/>
    <w:multiLevelType w:val="hybridMultilevel"/>
    <w:tmpl w:val="AB30FDC6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25"/>
    <w:rsid w:val="001A6307"/>
    <w:rsid w:val="00211FE3"/>
    <w:rsid w:val="00241702"/>
    <w:rsid w:val="00377139"/>
    <w:rsid w:val="003A1C25"/>
    <w:rsid w:val="003D6C73"/>
    <w:rsid w:val="004D39D0"/>
    <w:rsid w:val="004E0205"/>
    <w:rsid w:val="00526936"/>
    <w:rsid w:val="005424F7"/>
    <w:rsid w:val="005D694C"/>
    <w:rsid w:val="00667DB0"/>
    <w:rsid w:val="006A3DEB"/>
    <w:rsid w:val="006A7913"/>
    <w:rsid w:val="0075066B"/>
    <w:rsid w:val="007E4088"/>
    <w:rsid w:val="007F1D81"/>
    <w:rsid w:val="008C652D"/>
    <w:rsid w:val="00A751FD"/>
    <w:rsid w:val="00A9375E"/>
    <w:rsid w:val="00AB1B18"/>
    <w:rsid w:val="00B4641C"/>
    <w:rsid w:val="00BA5BB0"/>
    <w:rsid w:val="00BD41A9"/>
    <w:rsid w:val="00BF73AD"/>
    <w:rsid w:val="00C239E0"/>
    <w:rsid w:val="00D31266"/>
    <w:rsid w:val="00F0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4237C-9F5A-4C5C-8957-094C73E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Sokoła Krzysztof</dc:creator>
  <cp:keywords/>
  <dc:description/>
  <cp:lastModifiedBy>Zając Kinga</cp:lastModifiedBy>
  <cp:revision>2</cp:revision>
  <dcterms:created xsi:type="dcterms:W3CDTF">2023-05-23T09:23:00Z</dcterms:created>
  <dcterms:modified xsi:type="dcterms:W3CDTF">2023-05-23T09:23:00Z</dcterms:modified>
</cp:coreProperties>
</file>