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6B5E3F12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7712005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58DFE292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kompleksowa organizacja i obsługa </w:t>
      </w:r>
      <w:r w:rsidR="008253F6">
        <w:rPr>
          <w:rFonts w:eastAsia="Calibri" w:cstheme="minorHAnsi"/>
          <w:b/>
          <w:bCs/>
          <w:color w:val="000000" w:themeColor="text1"/>
          <w:sz w:val="24"/>
          <w:szCs w:val="24"/>
        </w:rPr>
        <w:t>dwóch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2-dnio</w:t>
      </w:r>
      <w:r w:rsidR="008253F6">
        <w:rPr>
          <w:rFonts w:eastAsia="Calibri" w:cstheme="minorHAnsi"/>
          <w:b/>
          <w:bCs/>
          <w:color w:val="000000" w:themeColor="text1"/>
          <w:sz w:val="24"/>
          <w:szCs w:val="24"/>
        </w:rPr>
        <w:t>wych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konferencji poświęcon</w:t>
      </w:r>
      <w:r w:rsidR="008253F6">
        <w:rPr>
          <w:rFonts w:eastAsia="Calibri" w:cstheme="minorHAnsi"/>
          <w:b/>
          <w:bCs/>
          <w:color w:val="000000" w:themeColor="text1"/>
          <w:sz w:val="24"/>
          <w:szCs w:val="24"/>
        </w:rPr>
        <w:t>ych</w:t>
      </w:r>
      <w:r w:rsidR="00D61E3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dostępności cyfrowej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7777777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25372281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ośrodek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="00E14E37" w:rsidRPr="009F27A4">
        <w:rPr>
          <w:rFonts w:eastAsia="Calibri" w:cstheme="minorHAnsi"/>
          <w:sz w:val="24"/>
          <w:szCs w:val="24"/>
          <w:lang w:eastAsia="ar-SA"/>
        </w:rPr>
        <w:t xml:space="preserve">w </w:t>
      </w:r>
      <w:r w:rsidRPr="009F27A4">
        <w:rPr>
          <w:rFonts w:eastAsia="Calibri" w:cstheme="minorHAnsi"/>
          <w:sz w:val="24"/>
          <w:szCs w:val="24"/>
          <w:lang w:eastAsia="ar-SA"/>
        </w:rPr>
        <w:t>ma</w:t>
      </w:r>
      <w:r w:rsidR="00D61E3E">
        <w:rPr>
          <w:rFonts w:eastAsia="Calibri" w:cstheme="minorHAnsi"/>
          <w:sz w:val="24"/>
          <w:szCs w:val="24"/>
          <w:lang w:eastAsia="ar-SA"/>
        </w:rPr>
        <w:t>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>10</w:t>
      </w:r>
      <w:r w:rsidR="00744B63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km od Dworca Centralnego w</w:t>
      </w:r>
      <w:r w:rsidR="003A470D" w:rsidRPr="009F27A4">
        <w:rPr>
          <w:rFonts w:eastAsia="Calibri" w:cstheme="minorHAnsi"/>
          <w:sz w:val="24"/>
          <w:szCs w:val="24"/>
          <w:lang w:eastAsia="ar-SA"/>
        </w:rPr>
        <w:t xml:space="preserve"> Warszawie w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linii prostej</w:t>
      </w:r>
      <w:r w:rsidR="00494A21" w:rsidRPr="009F27A4">
        <w:rPr>
          <w:rFonts w:eastAsia="Calibri" w:cstheme="minorHAnsi"/>
          <w:sz w:val="24"/>
          <w:szCs w:val="24"/>
          <w:lang w:eastAsia="ar-SA"/>
        </w:rPr>
        <w:t>,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E1E0435" w14:textId="2007D656" w:rsidR="0057074D" w:rsidRPr="009F27A4" w:rsidRDefault="008253F6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W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 xml:space="preserve"> dni powszednie od </w:t>
      </w:r>
      <w:r w:rsidRPr="008253F6">
        <w:rPr>
          <w:rFonts w:eastAsia="Calibri" w:cstheme="minorHAnsi"/>
          <w:sz w:val="24"/>
          <w:szCs w:val="24"/>
          <w:lang w:eastAsia="ar-SA"/>
        </w:rPr>
        <w:t>1 sierpnia 2025 do 30 listopada 2026 r.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 xml:space="preserve">, od godz. </w:t>
      </w:r>
      <w:bookmarkStart w:id="0" w:name="_Hlk169593171"/>
      <w:r w:rsidR="00BB64D4" w:rsidRPr="009F27A4">
        <w:rPr>
          <w:rFonts w:eastAsia="Calibri" w:cstheme="minorHAnsi"/>
          <w:sz w:val="24"/>
          <w:szCs w:val="24"/>
          <w:lang w:eastAsia="ar-SA"/>
        </w:rPr>
        <w:t>09:00 do godz. 17:00.</w:t>
      </w:r>
      <w:bookmarkEnd w:id="0"/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6A577CF0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</w:t>
      </w:r>
      <w:r w:rsidR="008253F6">
        <w:rPr>
          <w:rFonts w:eastAsia="Calibri" w:cstheme="minorHAnsi"/>
          <w:sz w:val="24"/>
          <w:szCs w:val="24"/>
          <w:lang w:eastAsia="ar-SA"/>
        </w:rPr>
        <w:t>dwóch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 2-dniowych konferencji poświęcon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 dostępności cyfrowej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42412BB1" w14:textId="63B36D3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bookmarkStart w:id="1" w:name="_Hlk170984349"/>
      <w:r w:rsidRPr="009F27A4">
        <w:rPr>
          <w:rFonts w:eastAsia="Calibri" w:cstheme="minorHAnsi"/>
          <w:sz w:val="24"/>
          <w:szCs w:val="24"/>
          <w:lang w:eastAsia="ar-SA"/>
        </w:rPr>
        <w:t>Wynajęcie konferansjera;</w:t>
      </w:r>
    </w:p>
    <w:p w14:paraId="058750E7" w14:textId="43E042FA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333769B6" w14:textId="28CF96D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Zestawy konferencyjne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(Pendrive 64GB oraz Notes z długopisem);</w:t>
      </w:r>
    </w:p>
    <w:p w14:paraId="6FDF4301" w14:textId="4DDE023E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 xml:space="preserve"> – 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przerwa kawowa 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 xml:space="preserve">ciągła </w:t>
      </w:r>
      <w:r w:rsidRPr="009F27A4">
        <w:rPr>
          <w:rFonts w:eastAsia="Calibri" w:cstheme="minorHAnsi"/>
          <w:sz w:val="24"/>
          <w:szCs w:val="24"/>
          <w:lang w:eastAsia="ar-SA"/>
        </w:rPr>
        <w:t>i obiad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F97D71C" w14:textId="480D3246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zostających na noc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F244E20" w14:textId="7DF31415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przyjeżdżających dzień wcześniej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1ED5EC55" w14:textId="3C5B2AC5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</w:t>
      </w:r>
      <w:r w:rsidR="00827845">
        <w:rPr>
          <w:rFonts w:eastAsia="Calibri" w:cstheme="minorHAnsi"/>
          <w:sz w:val="24"/>
          <w:szCs w:val="24"/>
          <w:lang w:eastAsia="ar-SA"/>
        </w:rPr>
        <w:t xml:space="preserve">około </w:t>
      </w:r>
      <w:r w:rsidRPr="009F27A4">
        <w:rPr>
          <w:rFonts w:eastAsia="Calibri" w:cstheme="minorHAnsi"/>
          <w:sz w:val="24"/>
          <w:szCs w:val="24"/>
          <w:lang w:eastAsia="ar-SA"/>
        </w:rPr>
        <w:t>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FD83008" w14:textId="493F7B9C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osób przyjeżdżających dzień wcześniej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3B74A64" w14:textId="7CADDDFA" w:rsidR="000C769B" w:rsidRPr="00355EF0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 xml:space="preserve">Zakwaterowanie </w:t>
      </w:r>
      <w:r w:rsidRPr="00355EF0">
        <w:rPr>
          <w:rFonts w:eastAsia="Calibri" w:cstheme="minorHAnsi"/>
          <w:sz w:val="24"/>
          <w:szCs w:val="24"/>
          <w:lang w:eastAsia="ar-SA"/>
        </w:rPr>
        <w:t xml:space="preserve">dla osób zostających po konferencji dla </w:t>
      </w:r>
      <w:r w:rsidR="008F7738" w:rsidRPr="00355EF0">
        <w:rPr>
          <w:rFonts w:eastAsia="Calibri" w:cstheme="minorHAnsi"/>
          <w:sz w:val="24"/>
          <w:szCs w:val="24"/>
          <w:lang w:eastAsia="ar-SA"/>
        </w:rPr>
        <w:t>ok</w:t>
      </w:r>
      <w:r w:rsidR="00D61E3E" w:rsidRPr="00355EF0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355EF0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355EF0">
        <w:rPr>
          <w:rFonts w:eastAsia="Calibri" w:cstheme="minorHAnsi"/>
          <w:sz w:val="24"/>
          <w:szCs w:val="24"/>
          <w:lang w:eastAsia="ar-SA"/>
        </w:rPr>
        <w:t>30 osób</w:t>
      </w:r>
      <w:r w:rsidR="008F7738" w:rsidRPr="00355EF0">
        <w:rPr>
          <w:rFonts w:eastAsia="Calibri" w:cstheme="minorHAnsi"/>
          <w:sz w:val="24"/>
          <w:szCs w:val="24"/>
          <w:lang w:eastAsia="ar-SA"/>
        </w:rPr>
        <w:t>;</w:t>
      </w:r>
    </w:p>
    <w:p w14:paraId="212D7497" w14:textId="061393F2" w:rsidR="000C769B" w:rsidRPr="00355EF0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355EF0">
        <w:rPr>
          <w:rFonts w:eastAsia="Calibri" w:cstheme="minorHAnsi"/>
          <w:sz w:val="24"/>
          <w:szCs w:val="24"/>
          <w:lang w:eastAsia="ar-SA"/>
        </w:rPr>
        <w:t xml:space="preserve">Kolacja osób </w:t>
      </w:r>
      <w:r w:rsidR="00355EF0" w:rsidRPr="00355EF0">
        <w:rPr>
          <w:rFonts w:eastAsia="Calibri" w:cstheme="minorHAnsi"/>
          <w:sz w:val="24"/>
          <w:szCs w:val="24"/>
          <w:lang w:eastAsia="ar-SA"/>
        </w:rPr>
        <w:t>zostających po konferencji dla około 30 osób</w:t>
      </w:r>
      <w:r w:rsidR="00E6101F" w:rsidRPr="00355EF0">
        <w:rPr>
          <w:rFonts w:eastAsia="Calibri" w:cstheme="minorHAnsi"/>
          <w:sz w:val="24"/>
          <w:szCs w:val="24"/>
          <w:lang w:eastAsia="ar-SA"/>
        </w:rPr>
        <w:t>;</w:t>
      </w:r>
    </w:p>
    <w:p w14:paraId="4D94E23E" w14:textId="7F48E00E" w:rsidR="004F2025" w:rsidRPr="009F27A4" w:rsidRDefault="004F2025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355EF0">
        <w:rPr>
          <w:rFonts w:eastAsia="Calibri" w:cstheme="minorHAnsi"/>
          <w:sz w:val="24"/>
          <w:szCs w:val="24"/>
          <w:lang w:eastAsia="ar-SA"/>
        </w:rPr>
        <w:t>Nagrywanie konferencji wraz z dostosowaniem nagrań do wymagań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dostępności cyfrowej (napisy rozszerzone, tłumacz PJM oraz audiodeskrypcja);</w:t>
      </w:r>
    </w:p>
    <w:p w14:paraId="5BC5C667" w14:textId="73CE46DC" w:rsidR="00E6101F" w:rsidRPr="009F27A4" w:rsidRDefault="00E6101F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bookmarkEnd w:id="1"/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03536652" w14:textId="45577463" w:rsidR="00770A61" w:rsidRPr="009F27A4" w:rsidRDefault="00770A61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Przewidywany termin konferencji międzynarodowej: w dni powszednie od </w:t>
      </w:r>
      <w:r w:rsidR="008253F6" w:rsidRPr="008253F6">
        <w:rPr>
          <w:rFonts w:eastAsia="Calibri" w:cstheme="minorHAnsi"/>
          <w:sz w:val="24"/>
          <w:szCs w:val="24"/>
          <w:lang w:eastAsia="ar-SA"/>
        </w:rPr>
        <w:t>1 sierpnia 2025</w:t>
      </w:r>
      <w:r w:rsidR="0015361A">
        <w:rPr>
          <w:rFonts w:eastAsia="Calibri" w:cstheme="minorHAnsi"/>
          <w:sz w:val="24"/>
          <w:szCs w:val="24"/>
          <w:lang w:eastAsia="ar-SA"/>
        </w:rPr>
        <w:t xml:space="preserve"> r.</w:t>
      </w:r>
      <w:r w:rsidR="008253F6" w:rsidRPr="008253F6">
        <w:rPr>
          <w:rFonts w:eastAsia="Calibri" w:cstheme="minorHAnsi"/>
          <w:sz w:val="24"/>
          <w:szCs w:val="24"/>
          <w:lang w:eastAsia="ar-SA"/>
        </w:rPr>
        <w:t xml:space="preserve"> do 30 listopada 2026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2E5EC162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konferencji międzynarodow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to 30</w:t>
      </w:r>
      <w:r w:rsidRPr="009F27A4">
        <w:rPr>
          <w:rFonts w:eastAsia="Calibri" w:cstheme="minorHAnsi"/>
          <w:sz w:val="24"/>
          <w:szCs w:val="24"/>
          <w:lang w:eastAsia="ar-SA"/>
        </w:rPr>
        <w:t>0 osób. 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konferencji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międzynarodow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Pr="009F27A4">
        <w:rPr>
          <w:rFonts w:eastAsia="Calibri" w:cstheme="minorHAnsi"/>
          <w:sz w:val="24"/>
          <w:szCs w:val="24"/>
          <w:lang w:eastAsia="ar-SA"/>
        </w:rPr>
        <w:t>. Wykonawca jest 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Pr="009F27A4">
        <w:rPr>
          <w:rFonts w:eastAsia="Calibri" w:cstheme="minorHAnsi"/>
          <w:sz w:val="24"/>
          <w:szCs w:val="24"/>
          <w:lang w:eastAsia="ar-SA"/>
        </w:rPr>
        <w:t>konferencji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63CA8115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ośrodek w Warszawie w </w:t>
      </w:r>
      <w:r w:rsidR="00D61E3E">
        <w:rPr>
          <w:rFonts w:eastAsia="Calibri" w:cstheme="minorHAnsi"/>
          <w:sz w:val="24"/>
          <w:szCs w:val="24"/>
          <w:lang w:eastAsia="ar-SA"/>
        </w:rPr>
        <w:t>maksymalnej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10 km od Dworca Centralnego w Warszawie w linii prostej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. Miejsce powinno być dobrze skomunikowane 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CF9642D" w14:textId="747C208D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konfer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encji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międzynarodow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8253F6">
        <w:rPr>
          <w:rFonts w:eastAsia="Calibri" w:cstheme="minorHAnsi"/>
          <w:sz w:val="24"/>
          <w:szCs w:val="24"/>
          <w:lang w:eastAsia="ar-SA"/>
        </w:rPr>
        <w:t xml:space="preserve">po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58F9A733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Ponadto Zamawiający zastrzega możliwość skrócenia lub wydłużenia czasu konferencji, jak również zmiany długości poszczególnych punktów programu.</w:t>
      </w:r>
    </w:p>
    <w:p w14:paraId="39EF7B60" w14:textId="27DB088C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konferencji:</w:t>
      </w:r>
    </w:p>
    <w:p w14:paraId="4DA84740" w14:textId="072EF210" w:rsidR="00E32684" w:rsidRPr="009F27A4" w:rsidRDefault="002261C2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="00E32684" w:rsidRPr="009F27A4">
        <w:rPr>
          <w:rFonts w:eastAsia="Calibri" w:cstheme="minorHAnsi"/>
          <w:sz w:val="24"/>
          <w:szCs w:val="24"/>
          <w:lang w:eastAsia="ar-SA"/>
        </w:rPr>
        <w:t xml:space="preserve"> projektu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E6CC16C" w14:textId="1F992AF7" w:rsidR="00211843" w:rsidRPr="009F27A4" w:rsidRDefault="00211843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</w:t>
      </w:r>
      <w:r w:rsidR="007A75BD" w:rsidRPr="009F27A4">
        <w:rPr>
          <w:rFonts w:eastAsia="Calibri" w:cstheme="minorHAnsi"/>
          <w:sz w:val="24"/>
          <w:szCs w:val="24"/>
          <w:lang w:eastAsia="ar-SA"/>
        </w:rPr>
        <w:t>ie wskazani przez Zamawiającego</w:t>
      </w:r>
      <w:r w:rsidR="0015361A">
        <w:rPr>
          <w:rFonts w:eastAsia="Calibri" w:cstheme="minorHAnsi"/>
          <w:sz w:val="24"/>
          <w:szCs w:val="24"/>
          <w:lang w:eastAsia="ar-SA"/>
        </w:rPr>
        <w:t>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467F9322" w14:textId="19D6B24B" w:rsidR="00A70535" w:rsidRPr="009F27A4" w:rsidRDefault="0015361A" w:rsidP="009F27A4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apewnienie miejsca, w którym będzie się odbywać konferencja wraz z niezbędnym wyposażeniem;  </w:t>
      </w:r>
    </w:p>
    <w:p w14:paraId="46596849" w14:textId="1DA6ACA5" w:rsidR="00404B14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04B14" w:rsidRPr="009F27A4">
        <w:rPr>
          <w:rFonts w:eastAsia="Calibri" w:cstheme="minorHAnsi"/>
          <w:sz w:val="24"/>
          <w:szCs w:val="24"/>
          <w:lang w:eastAsia="ar-SA"/>
        </w:rPr>
        <w:t>apewnienie konferansjera;</w:t>
      </w:r>
    </w:p>
    <w:p w14:paraId="524AF2DC" w14:textId="2E46A4D9" w:rsidR="00404B14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04B14" w:rsidRPr="009F27A4">
        <w:rPr>
          <w:rFonts w:eastAsia="Calibri" w:cstheme="minorHAnsi"/>
          <w:sz w:val="24"/>
          <w:szCs w:val="24"/>
          <w:lang w:eastAsia="ar-SA"/>
        </w:rPr>
        <w:t>apewnienie zestawów konferencyjnych dla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404B14" w:rsidRPr="009F27A4">
        <w:rPr>
          <w:rFonts w:eastAsia="Calibri" w:cstheme="minorHAnsi"/>
          <w:sz w:val="24"/>
          <w:szCs w:val="24"/>
          <w:lang w:eastAsia="ar-SA"/>
        </w:rPr>
        <w:t xml:space="preserve"> konferencji (Pendrive 64GB oraz Notes z długopisem);</w:t>
      </w:r>
    </w:p>
    <w:p w14:paraId="0AD55447" w14:textId="0BA28A61" w:rsidR="004E3A8F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lastRenderedPageBreak/>
        <w:t>Z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>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 xml:space="preserve"> konferencji;</w:t>
      </w:r>
    </w:p>
    <w:p w14:paraId="21D799E1" w14:textId="19BCE9E7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apewnienie usługi cateringowej;</w:t>
      </w:r>
    </w:p>
    <w:p w14:paraId="49515321" w14:textId="06B88636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rganizacja szatni i jej obsługa;</w:t>
      </w:r>
    </w:p>
    <w:p w14:paraId="4FEEE7E3" w14:textId="02EE66A3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bsługa recepcyjna podczas konferencji;</w:t>
      </w:r>
    </w:p>
    <w:p w14:paraId="46C3DC23" w14:textId="62EB8D75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znakowanie miejsc, w których będzie się odbywać konferencja i kolacja, zgodnie ze wskazaniami Zamawiającego;</w:t>
      </w:r>
    </w:p>
    <w:p w14:paraId="62E1060D" w14:textId="3DA3262A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apewnienie sprzątania w trakcie i po każdym dniu konferencji; </w:t>
      </w:r>
    </w:p>
    <w:p w14:paraId="6DB20AAB" w14:textId="7C507034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apewnienie sprzętu / oznakowania / materiałów niezbędnych do wypełnienia przez Zamawiającego, jako organizatora, obowiązków wynikających z przepisów / obostrzeń dotyczących organizacji imprez obowiązujących w terminie organizacji konferencji;</w:t>
      </w:r>
    </w:p>
    <w:p w14:paraId="685A214C" w14:textId="1586DA3F" w:rsidR="004E3A8F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apewnienie identyfikatorów dla wszystkich osób zaangażowanych przez Wykonawcę do obsługi konferencji (w formie klipsa i agrafki, zawierających następujące informacje: imię i nazwisko – Obsługa)</w:t>
      </w:r>
      <w:r w:rsidR="004E3A8F" w:rsidRPr="009F27A4">
        <w:rPr>
          <w:rFonts w:cstheme="minorHAnsi"/>
          <w:color w:val="000000" w:themeColor="text1"/>
          <w:sz w:val="24"/>
          <w:szCs w:val="24"/>
        </w:rPr>
        <w:t>;</w:t>
      </w:r>
    </w:p>
    <w:p w14:paraId="3A4E6C3E" w14:textId="6D43B95A" w:rsidR="004E3A8F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>apewnienie nagrania z konferencji wraz z dostosowaniem nagrań do wymagań dostępności cyfrowej (napisy rozszerzone, tłumacz PJM oraz audiodeskrypcja);</w:t>
      </w:r>
    </w:p>
    <w:p w14:paraId="0C8E4A73" w14:textId="54BD9AD1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32AFB99C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Sala główna powinna pomieścić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300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osób</w:t>
      </w:r>
      <w:r w:rsidR="004343F7">
        <w:rPr>
          <w:rFonts w:cstheme="minorHAnsi"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konferencji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019C14AF" w14:textId="0B66ADA8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 Sali powinna zostać ustawiona </w:t>
      </w:r>
      <w:r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5BD232D9" w14:textId="56F85CA7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W Sali głównej powinien zostać ustawiony sprzęt zapewniający sprawną i profesjonalną obsługę oświetlenia i realizację dźwięku. Zamawiający dopuszcza również wykorzystanie innego sprzętu, np. w sytuacji, jeżeli zaproponowana Sala będzie wyposażona w taki sprzęt na stałe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29F58E4B" w14:textId="62CC4957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Na scenie/podwyższeniu powinna zostać ustawiona oznakowana (zgodnie ze wskazówkami Zamawiającego) </w:t>
      </w:r>
      <w:r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30A9EF" w14:textId="2AF9BB9E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t>W Sali głównej powinien być zapewniony dostęp do prądu oraz do Internetu – również bezprzewodowego – oraz stacje do  ładowania komórek,  laptopów i tabletów</w:t>
      </w:r>
      <w:r w:rsidR="0015361A">
        <w:rPr>
          <w:rFonts w:cstheme="minorHAnsi"/>
          <w:sz w:val="24"/>
          <w:szCs w:val="24"/>
        </w:rPr>
        <w:t>;</w:t>
      </w:r>
    </w:p>
    <w:p w14:paraId="42AB4611" w14:textId="61731670" w:rsidR="007C038A" w:rsidRPr="009F27A4" w:rsidRDefault="007C038A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lastRenderedPageBreak/>
        <w:t>Sala powinna spełniać wymogi dostępności dla osób z niepełnosprawnościami.</w:t>
      </w:r>
    </w:p>
    <w:p w14:paraId="37DB42D8" w14:textId="5CA0C067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Zapewnienie </w:t>
      </w:r>
      <w:r w:rsidR="003937DC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nagrania z konferencji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616DF79" w14:textId="01210688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nagranie z konferencji, które zostanie zrealizowane </w:t>
      </w:r>
      <w:r w:rsidRPr="009F27A4">
        <w:rPr>
          <w:rFonts w:cstheme="minorHAnsi"/>
          <w:color w:val="000000" w:themeColor="text1"/>
          <w:sz w:val="24"/>
          <w:szCs w:val="24"/>
        </w:rPr>
        <w:t>w jakości full HD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323FDE9F" w14:textId="5BECA464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F27A4">
        <w:rPr>
          <w:rFonts w:cstheme="minorHAnsi"/>
          <w:color w:val="000000" w:themeColor="text1"/>
          <w:sz w:val="24"/>
          <w:szCs w:val="24"/>
        </w:rPr>
        <w:t>Wykonawca zapewni i dostarczy Zamawiającemu nagranie transmisji w jakości full HD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7CB19D54" w14:textId="07F1F3B7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dostosuje nagranie z konferencji 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do wymogów dostępności cyfrowej.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470DB517" w14:textId="5CEEF15C" w:rsidR="00A70535" w:rsidRPr="004343F7" w:rsidRDefault="00A70535" w:rsidP="004343F7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cateringowa w trakcie konferencji będzie przygotowana dla</w:t>
      </w:r>
      <w:r w:rsidR="004343F7">
        <w:rPr>
          <w:rFonts w:cstheme="minorHAnsi"/>
          <w:color w:val="000000" w:themeColor="text1"/>
          <w:sz w:val="24"/>
          <w:szCs w:val="24"/>
        </w:rPr>
        <w:t xml:space="preserve"> </w:t>
      </w:r>
      <w:r w:rsidR="00D61E3E" w:rsidRPr="004343F7">
        <w:rPr>
          <w:rFonts w:eastAsia="Calibri" w:cstheme="minorHAnsi"/>
          <w:sz w:val="24"/>
          <w:szCs w:val="24"/>
          <w:lang w:eastAsia="ar-SA"/>
        </w:rPr>
        <w:t>około</w:t>
      </w:r>
      <w:r w:rsidRPr="004343F7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4343F7">
        <w:rPr>
          <w:rFonts w:cstheme="minorHAnsi"/>
          <w:color w:val="000000" w:themeColor="text1"/>
          <w:sz w:val="24"/>
          <w:szCs w:val="24"/>
        </w:rPr>
        <w:t>3</w:t>
      </w:r>
      <w:r w:rsidRPr="004343F7">
        <w:rPr>
          <w:rFonts w:cstheme="minorHAnsi"/>
          <w:color w:val="000000" w:themeColor="text1"/>
          <w:sz w:val="24"/>
          <w:szCs w:val="24"/>
        </w:rPr>
        <w:t>00 osób</w:t>
      </w:r>
      <w:r w:rsidR="00F31680" w:rsidRPr="004343F7">
        <w:rPr>
          <w:rFonts w:cstheme="minorHAnsi"/>
          <w:color w:val="000000" w:themeColor="text1"/>
          <w:sz w:val="24"/>
          <w:szCs w:val="24"/>
        </w:rPr>
        <w:t xml:space="preserve"> na konferencji międzynarodowej</w:t>
      </w:r>
      <w:r w:rsidRPr="004343F7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E80B018" w14:textId="2E0DB929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151A498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konferencji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konferencji mieszkających ponad 50 km od miejsca zorganizowania konferencji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532D434F" w14:textId="709B57C2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Zapewnienie tłumaczenia symultanicznego w wariancie</w:t>
      </w:r>
      <w:r w:rsidR="00D203A9" w:rsidRPr="009F27A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zapewnienie tłumacza z języka angielskiego na język polski oraz z języka polskiego na język angielski</w:t>
      </w:r>
    </w:p>
    <w:p w14:paraId="155AEDE0" w14:textId="500385B1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8253F6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konferencyjne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cała organizacja </w:t>
      </w:r>
      <w:r w:rsidR="00070490">
        <w:rPr>
          <w:rFonts w:eastAsia="Calibri" w:cstheme="minorHAnsi"/>
          <w:b/>
          <w:bCs/>
          <w:sz w:val="24"/>
          <w:szCs w:val="24"/>
          <w:lang w:eastAsia="ar-SA"/>
        </w:rPr>
        <w:t>konferencji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FA094" w14:textId="77777777" w:rsidR="000C1D79" w:rsidRDefault="000C1D79" w:rsidP="00EF6D03">
      <w:pPr>
        <w:spacing w:after="0" w:line="240" w:lineRule="auto"/>
      </w:pPr>
      <w:r>
        <w:separator/>
      </w:r>
    </w:p>
  </w:endnote>
  <w:endnote w:type="continuationSeparator" w:id="0">
    <w:p w14:paraId="30CEFBE5" w14:textId="77777777" w:rsidR="000C1D79" w:rsidRDefault="000C1D79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050E0" w14:textId="77777777" w:rsidR="000C1D79" w:rsidRDefault="000C1D79" w:rsidP="00EF6D03">
      <w:pPr>
        <w:spacing w:after="0" w:line="240" w:lineRule="auto"/>
      </w:pPr>
      <w:r>
        <w:separator/>
      </w:r>
    </w:p>
  </w:footnote>
  <w:footnote w:type="continuationSeparator" w:id="0">
    <w:p w14:paraId="5CCDE71D" w14:textId="77777777" w:rsidR="000C1D79" w:rsidRDefault="000C1D79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70490"/>
    <w:rsid w:val="00071C87"/>
    <w:rsid w:val="000922B6"/>
    <w:rsid w:val="000929B6"/>
    <w:rsid w:val="000A4264"/>
    <w:rsid w:val="000B3A64"/>
    <w:rsid w:val="000B6354"/>
    <w:rsid w:val="000C0395"/>
    <w:rsid w:val="000C1D4E"/>
    <w:rsid w:val="000C1D79"/>
    <w:rsid w:val="000C2495"/>
    <w:rsid w:val="000C25A5"/>
    <w:rsid w:val="000C42C5"/>
    <w:rsid w:val="000C4A86"/>
    <w:rsid w:val="000C73A4"/>
    <w:rsid w:val="000C769B"/>
    <w:rsid w:val="000C78FB"/>
    <w:rsid w:val="000D0480"/>
    <w:rsid w:val="000D5125"/>
    <w:rsid w:val="000E09DB"/>
    <w:rsid w:val="000E3332"/>
    <w:rsid w:val="000F0FCF"/>
    <w:rsid w:val="00100AE4"/>
    <w:rsid w:val="00100DF9"/>
    <w:rsid w:val="00124A90"/>
    <w:rsid w:val="00136C05"/>
    <w:rsid w:val="00143F28"/>
    <w:rsid w:val="00146AF8"/>
    <w:rsid w:val="0015361A"/>
    <w:rsid w:val="001729DB"/>
    <w:rsid w:val="001863AC"/>
    <w:rsid w:val="00195794"/>
    <w:rsid w:val="001A120C"/>
    <w:rsid w:val="001A2E6C"/>
    <w:rsid w:val="001A73D7"/>
    <w:rsid w:val="001B488F"/>
    <w:rsid w:val="001C4935"/>
    <w:rsid w:val="001C5EBC"/>
    <w:rsid w:val="001C7A10"/>
    <w:rsid w:val="001D3550"/>
    <w:rsid w:val="001E5FFA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D37"/>
    <w:rsid w:val="002432C6"/>
    <w:rsid w:val="002441A4"/>
    <w:rsid w:val="00252140"/>
    <w:rsid w:val="002557AE"/>
    <w:rsid w:val="00257DC1"/>
    <w:rsid w:val="00263EAE"/>
    <w:rsid w:val="002662D3"/>
    <w:rsid w:val="00270554"/>
    <w:rsid w:val="00275602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3042CA"/>
    <w:rsid w:val="00304644"/>
    <w:rsid w:val="00305C3C"/>
    <w:rsid w:val="00322220"/>
    <w:rsid w:val="00331C19"/>
    <w:rsid w:val="00345955"/>
    <w:rsid w:val="00352DAA"/>
    <w:rsid w:val="00355EF0"/>
    <w:rsid w:val="00364160"/>
    <w:rsid w:val="003653DE"/>
    <w:rsid w:val="003707BA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23BAC"/>
    <w:rsid w:val="004343F7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94A21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501591"/>
    <w:rsid w:val="0051393F"/>
    <w:rsid w:val="00526882"/>
    <w:rsid w:val="005356DC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E3F8B"/>
    <w:rsid w:val="005F0772"/>
    <w:rsid w:val="005F2AB6"/>
    <w:rsid w:val="005F6399"/>
    <w:rsid w:val="005F7882"/>
    <w:rsid w:val="00614128"/>
    <w:rsid w:val="00624D03"/>
    <w:rsid w:val="0063524C"/>
    <w:rsid w:val="00640205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9A7"/>
    <w:rsid w:val="00701C50"/>
    <w:rsid w:val="00702231"/>
    <w:rsid w:val="00702366"/>
    <w:rsid w:val="00704236"/>
    <w:rsid w:val="00707CB1"/>
    <w:rsid w:val="00713E98"/>
    <w:rsid w:val="007147F2"/>
    <w:rsid w:val="00715B64"/>
    <w:rsid w:val="00723C2D"/>
    <w:rsid w:val="00724270"/>
    <w:rsid w:val="00724527"/>
    <w:rsid w:val="00724C4B"/>
    <w:rsid w:val="007272E4"/>
    <w:rsid w:val="00744B63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C55"/>
    <w:rsid w:val="007D2EB1"/>
    <w:rsid w:val="007D50E7"/>
    <w:rsid w:val="007D5559"/>
    <w:rsid w:val="007E6995"/>
    <w:rsid w:val="007F1512"/>
    <w:rsid w:val="00815D17"/>
    <w:rsid w:val="00820964"/>
    <w:rsid w:val="008253F6"/>
    <w:rsid w:val="00827845"/>
    <w:rsid w:val="00837030"/>
    <w:rsid w:val="00837117"/>
    <w:rsid w:val="00842100"/>
    <w:rsid w:val="008427C3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B1129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14F0A"/>
    <w:rsid w:val="009248E5"/>
    <w:rsid w:val="00935E0C"/>
    <w:rsid w:val="009520E6"/>
    <w:rsid w:val="00953432"/>
    <w:rsid w:val="00953582"/>
    <w:rsid w:val="00965C78"/>
    <w:rsid w:val="00966B30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5228"/>
    <w:rsid w:val="00A452B8"/>
    <w:rsid w:val="00A54C75"/>
    <w:rsid w:val="00A56B66"/>
    <w:rsid w:val="00A57010"/>
    <w:rsid w:val="00A61D92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424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1D20"/>
    <w:rsid w:val="00B36473"/>
    <w:rsid w:val="00B404AC"/>
    <w:rsid w:val="00B473EE"/>
    <w:rsid w:val="00B502C8"/>
    <w:rsid w:val="00B63DE8"/>
    <w:rsid w:val="00B71E2F"/>
    <w:rsid w:val="00B77D32"/>
    <w:rsid w:val="00B910ED"/>
    <w:rsid w:val="00B913AF"/>
    <w:rsid w:val="00B944AA"/>
    <w:rsid w:val="00B97B91"/>
    <w:rsid w:val="00BA073C"/>
    <w:rsid w:val="00BA1395"/>
    <w:rsid w:val="00BA44F5"/>
    <w:rsid w:val="00BB64D4"/>
    <w:rsid w:val="00BB76D2"/>
    <w:rsid w:val="00BC564C"/>
    <w:rsid w:val="00BC6C78"/>
    <w:rsid w:val="00BC6D70"/>
    <w:rsid w:val="00BE07C3"/>
    <w:rsid w:val="00BE249F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514C"/>
    <w:rsid w:val="00C45067"/>
    <w:rsid w:val="00C633B1"/>
    <w:rsid w:val="00C64F70"/>
    <w:rsid w:val="00C6552A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31377"/>
    <w:rsid w:val="00D35C20"/>
    <w:rsid w:val="00D61B4C"/>
    <w:rsid w:val="00D61E3E"/>
    <w:rsid w:val="00D6323F"/>
    <w:rsid w:val="00D6688D"/>
    <w:rsid w:val="00D82CEB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1CC5"/>
    <w:rsid w:val="00DF64B3"/>
    <w:rsid w:val="00DF74FB"/>
    <w:rsid w:val="00E04011"/>
    <w:rsid w:val="00E0796C"/>
    <w:rsid w:val="00E141E1"/>
    <w:rsid w:val="00E14E37"/>
    <w:rsid w:val="00E244D8"/>
    <w:rsid w:val="00E32684"/>
    <w:rsid w:val="00E32DD9"/>
    <w:rsid w:val="00E33E8E"/>
    <w:rsid w:val="00E33EB0"/>
    <w:rsid w:val="00E40405"/>
    <w:rsid w:val="00E6101F"/>
    <w:rsid w:val="00E62587"/>
    <w:rsid w:val="00E66DA7"/>
    <w:rsid w:val="00E8004F"/>
    <w:rsid w:val="00E80B3B"/>
    <w:rsid w:val="00E94691"/>
    <w:rsid w:val="00EA0BE8"/>
    <w:rsid w:val="00EA3A75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50C78"/>
    <w:rsid w:val="00F51F01"/>
    <w:rsid w:val="00F522F0"/>
    <w:rsid w:val="00F63032"/>
    <w:rsid w:val="00F76AD3"/>
    <w:rsid w:val="00F84075"/>
    <w:rsid w:val="00F84F57"/>
    <w:rsid w:val="00F90079"/>
    <w:rsid w:val="00F9530A"/>
    <w:rsid w:val="00F95A5F"/>
    <w:rsid w:val="00FA10BD"/>
    <w:rsid w:val="00FB64BB"/>
    <w:rsid w:val="00FB6A5B"/>
    <w:rsid w:val="00FC0DD9"/>
    <w:rsid w:val="00FC1E31"/>
    <w:rsid w:val="00FC4F95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f5c41f09-3d23-4953-9713-2686b5d9af7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/>
  <cp:revision>1</cp:revision>
  <dcterms:created xsi:type="dcterms:W3CDTF">2025-03-11T07:59:00Z</dcterms:created>
  <dcterms:modified xsi:type="dcterms:W3CDTF">2025-03-11T07:59:00Z</dcterms:modified>
</cp:coreProperties>
</file>