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1161415</wp:posOffset>
            </wp:positionH>
            <wp:positionV relativeFrom="paragraph">
              <wp:posOffset>12700</wp:posOffset>
            </wp:positionV>
            <wp:extent cx="969010" cy="107886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69010" cy="10788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2546985</wp:posOffset>
                </wp:positionH>
                <wp:positionV relativeFrom="paragraph">
                  <wp:posOffset>12700</wp:posOffset>
                </wp:positionV>
                <wp:extent cx="2423160" cy="30607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23160" cy="306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Izba Rolnicza w Opolu</w:t>
                            </w:r>
                            <w:bookmarkEnd w:id="0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00.55000000000001pt;margin-top:1.pt;width:190.80000000000001pt;height:24.1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Izba Rolnicza w Opolu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420" w:right="0" w:firstLine="0"/>
        <w:jc w:val="left"/>
      </w:pPr>
      <w:r>
        <w:rPr>
          <w:rStyle w:val="CharStyle13"/>
          <w:color w:val="444444"/>
        </w:rPr>
        <w:t>ul. Północna 2 45-805 Opole tel.77 4572326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leader="hyphen" w:pos="6812" w:val="left"/>
          <w:tab w:leader="hyphen" w:pos="8939" w:val="left"/>
        </w:tabs>
        <w:bidi w:val="0"/>
        <w:spacing w:before="0" w:after="0" w:line="240" w:lineRule="auto"/>
        <w:ind w:left="5800" w:right="0" w:firstLine="0"/>
        <w:jc w:val="left"/>
      </w:pPr>
      <w:r>
        <w:rPr>
          <w:rStyle w:val="CharStyle19"/>
          <w:color w:val="769078"/>
        </w:rPr>
        <w:tab/>
        <w:tab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60" w:line="180" w:lineRule="auto"/>
        <w:ind w:left="5800" w:right="0" w:firstLine="0"/>
        <w:jc w:val="left"/>
        <w:rPr>
          <w:sz w:val="22"/>
          <w:szCs w:val="22"/>
        </w:rPr>
      </w:pPr>
      <w:r>
        <w:rPr>
          <w:rStyle w:val="CharStyle13"/>
          <w:color w:val="444444"/>
          <w:sz w:val="22"/>
          <w:szCs w:val="22"/>
        </w:rPr>
        <w:t xml:space="preserve">Opole, dnia </w:t>
      </w:r>
      <w:r>
        <w:rPr>
          <w:rStyle w:val="CharStyle13"/>
          <w:color w:val="746EA0"/>
          <w:sz w:val="22"/>
          <w:szCs w:val="22"/>
        </w:rPr>
        <w:t xml:space="preserve">LV </w:t>
      </w:r>
      <w:r>
        <w:rPr>
          <w:rStyle w:val="CharStyle13"/>
          <w:color w:val="444444"/>
          <w:sz w:val="22"/>
          <w:szCs w:val="22"/>
        </w:rPr>
        <w:t>czerwca 2025 r.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100" w:line="240" w:lineRule="auto"/>
        <w:ind w:left="0" w:right="0" w:firstLine="0"/>
        <w:jc w:val="left"/>
        <w:rPr>
          <w:sz w:val="16"/>
          <w:szCs w:val="16"/>
        </w:rPr>
      </w:pPr>
      <w:r>
        <w:rPr>
          <w:rStyle w:val="CharStyle5"/>
          <w:b/>
          <w:bCs/>
          <w:color w:val="2F2F2F"/>
          <w:sz w:val="16"/>
          <w:szCs w:val="16"/>
        </w:rPr>
        <w:t>BI</w:t>
      </w:r>
      <w:r>
        <w:rPr>
          <w:rStyle w:val="CharStyle5"/>
          <w:b/>
          <w:bCs/>
          <w:color w:val="444444"/>
          <w:sz w:val="16"/>
          <w:szCs w:val="16"/>
        </w:rPr>
        <w:t xml:space="preserve">R^ </w:t>
      </w:r>
      <w:r>
        <w:rPr>
          <w:rStyle w:val="CharStyle5"/>
          <w:b/>
          <w:bCs/>
          <w:color w:val="746EA0"/>
          <w:sz w:val="16"/>
          <w:szCs w:val="16"/>
        </w:rPr>
        <w:t xml:space="preserve">^ </w:t>
      </w:r>
      <w:r>
        <w:rPr>
          <w:rStyle w:val="CharStyle5"/>
          <w:b/>
          <w:bCs/>
          <w:color w:val="444444"/>
          <w:sz w:val="16"/>
          <w:szCs w:val="16"/>
        </w:rPr>
        <w:t>k/2025/NS/2</w:t>
      </w:r>
      <w:r>
        <w:rPr>
          <w:rStyle w:val="CharStyle5"/>
          <w:b/>
          <w:bCs/>
          <w:color w:val="2F2F2F"/>
          <w:sz w:val="16"/>
          <w:szCs w:val="16"/>
        </w:rPr>
        <w:t>106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440" w:right="0" w:firstLine="0"/>
        <w:jc w:val="left"/>
      </w:pPr>
      <w:r>
        <w:rPr>
          <w:rStyle w:val="CharStyle13"/>
          <w:b/>
          <w:bCs/>
        </w:rPr>
        <w:t>Sz. P.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440" w:right="0" w:firstLine="0"/>
        <w:jc w:val="left"/>
      </w:pPr>
      <w:r>
        <w:rPr>
          <w:rStyle w:val="CharStyle13"/>
          <w:b/>
          <w:bCs/>
        </w:rPr>
        <w:t>Paulina Henning - Kloska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520" w:line="233" w:lineRule="auto"/>
        <w:ind w:left="5440" w:right="0" w:firstLine="0"/>
        <w:jc w:val="left"/>
      </w:pPr>
      <w:r>
        <w:rPr>
          <w:rStyle w:val="CharStyle26"/>
        </w:rPr>
        <w:t>Minister Klimatu i Środowiska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26"/>
        </w:rPr>
        <w:t xml:space="preserve">Zarząd Izby Rolniczej w Opolu wyraża pełne poparcie dla stanowiska Warmińsko- Mazurskiej Izby Rolniczej w sprawie konieczności nowelizacji ustawy z dnia 13 października 1995 r. </w:t>
      </w:r>
      <w:r>
        <w:rPr>
          <w:rStyle w:val="CharStyle26"/>
          <w:color w:val="666666"/>
        </w:rPr>
        <w:t xml:space="preserve">- </w:t>
      </w:r>
      <w:r>
        <w:rPr>
          <w:rStyle w:val="CharStyle26"/>
        </w:rPr>
        <w:t>Prawo łowieckie (Dz. U. z 2023 r. poz. 1082, z późn. zm.), w zakresie likwidacji obowiązku uzyskiwania zezwolenia od zakazu płoszenia zwierząt łownych z terenów upraw rolniczych.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26"/>
        </w:rPr>
        <w:t>Z uwagi na narastający problem szkód wyrządzanych przez zwierzynę łowną na gruntach rolnych a także długotrwałą procedurę w uzyskiwaniu zezwoleń na płoszenie zwierząt, wnioskujemy o uproszczenie przepisów i umożliwienie rolnikom podejmowanie działań zapobiegawczych bez konieczności ubiegania się o odstępstwa.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26"/>
        </w:rPr>
        <w:t>W naszej ocenie obecny stan prawny nie zapewnia rolnikom należytej ochrony ich upraw oraz prowadzi do ogromnych strat ekonomicznych. Zniesienie obowiązku uzyskiwania indywidualnych zgód na płoszenie zwierząt w okresie wegetacyjnym pozwoli na szybkie reagowanie w sytuacjach zagrożenia upraw, przy jednoczesnym zachowaniu zasad racjonalnego gospodarowania zasobami przyrody.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60"/>
        <w:ind w:left="0" w:right="0"/>
        <w:jc w:val="both"/>
      </w:pPr>
      <w:r>
        <w:rPr>
          <w:rStyle w:val="CharStyle26"/>
        </w:rPr>
        <w:t>W związku z powyższym, popieramy wszelkie działania legislacyjne zmierzające do nowelizacji przepisów Prawa łowieckiego w proponowanym zakresie.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320"/>
        <w:ind w:left="0" w:right="2200" w:firstLine="0"/>
        <w:jc w:val="right"/>
      </w:pPr>
      <w:r>
        <w:rPr>
          <w:rStyle w:val="CharStyle26"/>
          <w:i/>
          <w:iCs/>
        </w:rPr>
        <w:t>Z poważaniem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26"/>
          <w:color w:val="444444"/>
          <w:sz w:val="22"/>
          <w:szCs w:val="22"/>
        </w:rPr>
        <w:t>Za ła cznik: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420"/>
        <w:jc w:val="left"/>
        <w:rPr>
          <w:sz w:val="22"/>
          <w:szCs w:val="22"/>
        </w:rPr>
      </w:pPr>
      <w:r>
        <w:rPr>
          <w:rStyle w:val="CharStyle26"/>
          <w:color w:val="444444"/>
          <w:sz w:val="22"/>
          <w:szCs w:val="22"/>
        </w:rPr>
        <w:t>1. Wniosek Warmińsko-Mazurskiej Izby Rolniczej z dnia 2.06.2025 r.</w:t>
      </w:r>
      <w:r>
        <w:br w:type="page"/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drawing>
          <wp:anchor distT="177800" distB="6715760" distL="216535" distR="374015" simplePos="0" relativeHeight="125829381" behindDoc="0" locked="0" layoutInCell="1" allowOverlap="1">
            <wp:simplePos x="0" y="0"/>
            <wp:positionH relativeFrom="page">
              <wp:posOffset>676910</wp:posOffset>
            </wp:positionH>
            <wp:positionV relativeFrom="margin">
              <wp:posOffset>36830</wp:posOffset>
            </wp:positionV>
            <wp:extent cx="814070" cy="777240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14070" cy="77724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243330" distB="177165" distL="177800" distR="177800" simplePos="0" relativeHeight="125829382" behindDoc="0" locked="0" layoutInCell="1" allowOverlap="1">
                <wp:simplePos x="0" y="0"/>
                <wp:positionH relativeFrom="page">
                  <wp:posOffset>638175</wp:posOffset>
                </wp:positionH>
                <wp:positionV relativeFrom="margin">
                  <wp:posOffset>1102360</wp:posOffset>
                </wp:positionV>
                <wp:extent cx="1049020" cy="624776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9020" cy="62477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58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  <w:i/>
                                <w:iCs/>
                                <w:color w:val="2F2F2F"/>
                                <w:sz w:val="16"/>
                                <w:szCs w:val="16"/>
                              </w:rPr>
                              <w:t>Biura terenowe: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40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Bartoszyce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ul. Kętrzyńska 45 A 11-200 Bartoszyce tel/fiuc 89 762-02-55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  <w:color w:val="2F2F2F"/>
                                <w:sz w:val="16"/>
                                <w:szCs w:val="16"/>
                              </w:rPr>
                              <w:t>Elbląg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ul. Nowodworska 10 B 82-300 Elbląg teWax 55 236-77-02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40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Giżycko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uL Przemysłowa 2 11-500 Giżycko tel/fax 87 428-14-94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  <w:color w:val="2F2F2F"/>
                                <w:sz w:val="16"/>
                                <w:szCs w:val="16"/>
                              </w:rPr>
                              <w:t>Nowe Miasto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  <w:color w:val="2F2F2F"/>
                                <w:sz w:val="16"/>
                                <w:szCs w:val="16"/>
                              </w:rPr>
                              <w:t>Lubawskie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ul. Grunwaldzka 3 13-300 N.M.Lubawskie tel/fix 56 474-49-11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  <w:color w:val="2F2F2F"/>
                                <w:sz w:val="16"/>
                                <w:szCs w:val="16"/>
                              </w:rPr>
                              <w:t>Olecko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Aleja Zwycięstwa 10 19-400 Olecko tel/ftx 87 520-10-60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  <w:color w:val="2F2F2F"/>
                                <w:sz w:val="16"/>
                                <w:szCs w:val="16"/>
                              </w:rPr>
                              <w:t>Szczytno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ul. Lipperta 10 12-100 Szczytno tel/&amp;x89 624-01-49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0.25pt;margin-top:86.799999999999997pt;width:82.600000000000009pt;height:491.94999999999999pt;z-index:-125829371;mso-wrap-distance-left:14.pt;mso-wrap-distance-top:97.900000000000006pt;mso-wrap-distance-right:14.pt;mso-wrap-distance-bottom:13.9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8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5"/>
                          <w:b/>
                          <w:bCs/>
                          <w:i/>
                          <w:iCs/>
                          <w:color w:val="2F2F2F"/>
                          <w:sz w:val="16"/>
                          <w:szCs w:val="16"/>
                        </w:rPr>
                        <w:t>Biura terenowe: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40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  <w:sz w:val="16"/>
                          <w:szCs w:val="16"/>
                        </w:rPr>
                        <w:t xml:space="preserve">Bartoszyce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>ul. Kętrzyńska 45 A 11-200 Bartoszyce tel/fiuc 89 762-02-55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5"/>
                          <w:b/>
                          <w:bCs/>
                          <w:color w:val="2F2F2F"/>
                          <w:sz w:val="16"/>
                          <w:szCs w:val="16"/>
                        </w:rPr>
                        <w:t>Elbląg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ul. Nowodworska 10 B 82-300 Elbląg teWax 55 236-77-02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40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  <w:sz w:val="16"/>
                          <w:szCs w:val="16"/>
                        </w:rPr>
                        <w:t xml:space="preserve">Giżycko 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>uL Przemysłowa 2 11-500 Giżycko tel/fax 87 428-14-94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5"/>
                          <w:b/>
                          <w:bCs/>
                          <w:color w:val="2F2F2F"/>
                          <w:sz w:val="16"/>
                          <w:szCs w:val="16"/>
                        </w:rPr>
                        <w:t>Nowe Miasto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5"/>
                          <w:b/>
                          <w:bCs/>
                          <w:color w:val="2F2F2F"/>
                          <w:sz w:val="16"/>
                          <w:szCs w:val="16"/>
                        </w:rPr>
                        <w:t>Lubawskie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ul. Grunwaldzka 3 13-300 N.M.Lubawskie tel/fix 56 474-49-11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5"/>
                          <w:b/>
                          <w:bCs/>
                          <w:color w:val="2F2F2F"/>
                          <w:sz w:val="16"/>
                          <w:szCs w:val="16"/>
                        </w:rPr>
                        <w:t>Olecko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Aleja Zwycięstwa 10 19-400 Olecko tel/ftx 87 520-10-60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5"/>
                          <w:b/>
                          <w:bCs/>
                          <w:color w:val="2F2F2F"/>
                          <w:sz w:val="16"/>
                          <w:szCs w:val="16"/>
                        </w:rPr>
                        <w:t>Szczytno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ul. Lipperta 10 12-100 Szczytno tel/&amp;x89 624-01-49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2" w:name="bookmark2"/>
      <w:r>
        <w:rPr>
          <w:rStyle w:val="CharStyle31"/>
          <w:b/>
          <w:bCs/>
        </w:rPr>
        <w:t>WARMIŃSKO-MAZURSKA IZBA ROLNICZA</w:t>
      </w:r>
      <w:bookmarkEnd w:id="2"/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1580" w:right="0" w:firstLine="0"/>
        <w:jc w:val="left"/>
      </w:pPr>
      <w:r>
        <w:rPr>
          <w:rStyle w:val="CharStyle19"/>
        </w:rPr>
        <w:t>10-416 Olsztyn ul. Towarowa 1, tel/fax 89 534 05 67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135" w:val="left"/>
        </w:tabs>
        <w:bidi w:val="0"/>
        <w:spacing w:before="0" w:after="640" w:line="240" w:lineRule="auto"/>
        <w:ind w:left="0" w:right="0" w:firstLine="0"/>
        <w:jc w:val="center"/>
      </w:pPr>
      <w:r>
        <w:rPr>
          <w:rStyle w:val="CharStyle5"/>
          <w:b/>
          <w:bCs/>
          <w:color w:val="444444"/>
          <w:u w:val="single"/>
          <w:lang w:val="en-US" w:eastAsia="en-US"/>
        </w:rPr>
        <w:t>w</w:t>
      </w:r>
      <w:r>
        <w:rPr>
          <w:rStyle w:val="CharStyle5"/>
          <w:b/>
          <w:bCs/>
          <w:color w:val="444444"/>
          <w:u w:val="single"/>
          <w:lang w:val="en-US" w:eastAsia="en-US"/>
        </w:rPr>
        <w:t>ww.wmirol.org.pl</w:t>
      </w:r>
      <w:r>
        <w:rPr>
          <w:rStyle w:val="CharStyle5"/>
          <w:b/>
          <w:bCs/>
          <w:color w:val="444444"/>
          <w:u w:val="single"/>
          <w:lang w:val="en-US" w:eastAsia="en-US"/>
        </w:rPr>
        <w:tab/>
      </w:r>
      <w:r>
        <w:rPr>
          <w:rStyle w:val="CharStyle5"/>
          <w:b/>
          <w:bCs/>
          <w:color w:val="444444"/>
          <w:u w:val="single"/>
        </w:rPr>
        <w:t xml:space="preserve">e-mail: </w:t>
      </w:r>
      <w:r>
        <w:fldChar w:fldCharType="begin"/>
      </w:r>
      <w:r>
        <w:rPr/>
        <w:instrText> HYPERLINK "mailto:wmirol@wmiroJ.orR" </w:instrText>
      </w:r>
      <w:r>
        <w:fldChar w:fldCharType="separate"/>
      </w:r>
      <w:r>
        <w:rPr>
          <w:rStyle w:val="CharStyle5"/>
          <w:b/>
          <w:bCs/>
          <w:color w:val="444444"/>
          <w:u w:val="single"/>
          <w:lang w:val="en-US" w:eastAsia="en-US"/>
        </w:rPr>
        <w:t>wmirol@wmiroJ.orR</w:t>
      </w:r>
      <w:r>
        <w:fldChar w:fldCharType="end"/>
      </w:r>
      <w:r>
        <w:rPr>
          <w:rStyle w:val="CharStyle5"/>
          <w:b/>
          <w:bCs/>
          <w:color w:val="444444"/>
          <w:lang w:val="en-US" w:eastAsia="en-US"/>
        </w:rPr>
        <w:t>.</w:t>
      </w:r>
      <w:r>
        <w:rPr>
          <w:rStyle w:val="CharStyle5"/>
          <w:b/>
          <w:bCs/>
          <w:color w:val="444444"/>
          <w:u w:val="single"/>
          <w:lang w:val="en-US" w:eastAsia="en-US"/>
        </w:rPr>
        <w:t>p</w:t>
      </w:r>
      <w:r>
        <w:rPr>
          <w:rStyle w:val="CharStyle5"/>
          <w:b/>
          <w:bCs/>
          <w:color w:val="444444"/>
          <w:lang w:val="en-US" w:eastAsia="en-US"/>
        </w:rPr>
        <w:t>l</w:t>
      </w:r>
    </w:p>
    <w:p>
      <w:pPr>
        <w:pStyle w:val="Style34"/>
        <w:keepNext/>
        <w:keepLines/>
        <w:widowControl w:val="0"/>
        <w:shd w:val="clear" w:color="auto" w:fill="auto"/>
        <w:bidi w:val="0"/>
        <w:ind w:left="0" w:right="0" w:firstLine="0"/>
        <w:jc w:val="center"/>
      </w:pPr>
      <w:r>
        <mc:AlternateContent>
          <mc:Choice Requires="wps">
            <w:drawing>
              <wp:anchor distT="98425" distB="0" distL="114300" distR="3749040" simplePos="0" relativeHeight="125829384" behindDoc="0" locked="0" layoutInCell="1" allowOverlap="1">
                <wp:simplePos x="0" y="0"/>
                <wp:positionH relativeFrom="page">
                  <wp:posOffset>1922780</wp:posOffset>
                </wp:positionH>
                <wp:positionV relativeFrom="margin">
                  <wp:posOffset>1175385</wp:posOffset>
                </wp:positionV>
                <wp:extent cx="1421765" cy="23749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1765" cy="2374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  <w:color w:val="2F2F2F"/>
                              </w:rPr>
                              <w:t>L. dz., i? ;/06/2025-RR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51.40000000000001pt;margin-top:92.549999999999997pt;width:111.95pt;height:18.699999999999999pt;z-index:-125829369;mso-wrap-distance-left:9.pt;mso-wrap-distance-top:7.75pt;mso-wrap-distance-right:295.1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  <w:color w:val="2F2F2F"/>
                        </w:rPr>
                        <w:t>L. dz., i? ;/06/2025-RR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175895" distL="3502025" distR="114300" simplePos="0" relativeHeight="125829386" behindDoc="0" locked="0" layoutInCell="1" allowOverlap="1">
                <wp:simplePos x="0" y="0"/>
                <wp:positionH relativeFrom="page">
                  <wp:posOffset>5310505</wp:posOffset>
                </wp:positionH>
                <wp:positionV relativeFrom="margin">
                  <wp:posOffset>1076960</wp:posOffset>
                </wp:positionV>
                <wp:extent cx="1668780" cy="16002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68780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  <w:color w:val="2F2F2F"/>
                              </w:rPr>
                              <w:t>Olsztyn, dnia 2 czerwca 2025 r.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18.15000000000003pt;margin-top:84.799999999999997pt;width:131.40000000000001pt;height:12.6pt;z-index:-125829367;mso-wrap-distance-left:275.75pt;mso-wrap-distance-right:9.pt;mso-wrap-distance-bottom:13.8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  <w:color w:val="2F2F2F"/>
                        </w:rPr>
                        <w:t>Olsztyn, dnia 2 czerwca 2025 r.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4" w:name="bookmark4"/>
      <w:r>
        <w:rPr>
          <w:rStyle w:val="CharStyle35"/>
          <w:b/>
          <w:bCs/>
        </w:rPr>
        <w:t>Pani Paulina Hennig - Kloska</w:t>
        <w:br/>
        <w:t>Minister Klimatu i Środowiska</w:t>
      </w:r>
      <w:bookmarkEnd w:id="4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540"/>
        <w:jc w:val="both"/>
      </w:pPr>
      <w:r>
        <w:rPr>
          <w:rStyle w:val="CharStyle13"/>
          <w:b/>
          <w:bCs/>
        </w:rPr>
        <w:t>Zarząd Warmińsko-Mazurskiej Izby Rolniczej zwraca się z wnioskiem o pilną zmianę Ustawy Prawo łowieckie w zakresie możliwości odstępstw od zakazu płoszenia zwierząt łownych.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540"/>
        <w:jc w:val="both"/>
      </w:pPr>
      <w:r>
        <w:rPr>
          <w:rStyle w:val="CharStyle13"/>
          <w:b/>
          <w:bCs/>
        </w:rPr>
        <w:t xml:space="preserve">Artykuł 9 Ustawy z dnia 13 października 1995 r. Prawo łowieckie mówi o ochronie zwierzyny łownej, w tym ustęp 1. pkt 2 o zakazie - poza polowaniami i odłowami - płoszenia, chwytania, przetrzymywania, ranienia i zabijania zwierzyny. Z kolei artykuł 9a dopuszcza możliwość uzyskania zezwolenia od zakazu płoszenia zwierząt łownych. Ustęp 1 tego artykułu określa, że Marszałek Województwa, po zasięgnięciu opinii PZŁ może zezwolić na odstępstwo od zakazu płoszenia zwierzyny. W ustępie 2 czytamy, że we wniosku należy podać prócz danych wnioskodawcy m.in. nazwę gatunku, którego będą dotyczyły czynności w języku polskim i </w:t>
      </w:r>
      <w:r>
        <w:rPr>
          <w:rStyle w:val="CharStyle13"/>
          <w:b/>
          <w:bCs/>
          <w:u w:val="single"/>
        </w:rPr>
        <w:t>łacińskim</w:t>
      </w:r>
      <w:r>
        <w:rPr>
          <w:rStyle w:val="CharStyle13"/>
          <w:b/>
          <w:bCs/>
        </w:rPr>
        <w:t>. Te same dane zawiera zezwolenie. Obowiązujące prawo dopuszcza składanie wniosku jedynie w wersji papierowej, a za każdy wniosek należy uiścić opłatę skarbową w wysokości 82,00 zł brutto. Należy zaznaczyć, że ani rolnicy, ani pracownicy Urzędów Marszałkowskich mających w dyspozycji wydawanie zezwoleń nie są ornitologami, czy ekspertami przyrodniczymi, aby dokładnie określać gatunek zwierząt i ptaków czyniących szkody w uprawach i płodach rolnych. Ponadto Zarząd W-MIR podkreśla, że o ile gatunek zwierzyny łownej rolnicy są w stanie odróżnić i nazwać w języku polskim, to nie znają nazw łacińskich. Również gatunki ptaków łownych są trudne do oceny i nazwania, zwłaszcza, że nie przebywają one zwykle całorocznie w jednym miejscu na gruntach rolniczych, a tylko czasowo nalatują czyniąc ogromne szkody w uprawach np. kukurydzy.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00" w:line="300" w:lineRule="auto"/>
        <w:ind w:left="0" w:right="0" w:firstLine="540"/>
        <w:jc w:val="both"/>
      </w:pPr>
      <w:r>
        <w:rPr>
          <w:rStyle w:val="CharStyle13"/>
          <w:b/>
          <w:bCs/>
        </w:rPr>
        <w:t>Wiedząc o skali szkód powodowanych przez zwierzynę łowną w uprawach i płodach rolnych większość rolników z pewnością przynajmniej raz miało do czynienia z potrzebą przepłoszenia zwierzyny z pól. Odsetek rolników występujących o zgodę na płoszenie zwierzyny łownej jest znikomy. Przytaczane przepisy określające konieczność ochrony zwierzyny, jak i pozwoleń na płoszenie są zdaniem Zarządu martwe i zbyt daleko idące. Zarząd zwraca także uwagę na to, że ludzie korzystający z dobrodziejstwa lasów czy to jeżdżąc rowerem po lesie, czy zbierając grzyby, jagody również niejednokrotnie stają twarzą w twarz ze zwierzyną łowną. W tym miejscu powstaje pytanie czy zwykli ludzie przebywając w lesie i dokonując swoją osobą płoszenia zwierzyny nawet nieumyślnie, dopuszczają się łamania obowiązującego prawa? Wracając do kwestii związanych z rolnictwem zauważamy, że zwierzyna łowna bardzo często, przepłoszona przez wilki, czy poszukując łatwiejszego dostępu do pożywienia, wylęga z lasów i przebywa na polach uprawnych. Po przeanalizowaniu stanu faktycznego i zwróceniu uwagi na obowiązujące przepisy prawa Zarząd W-MIR ma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1140" w:right="0" w:firstLine="20"/>
        <w:jc w:val="both"/>
      </w:pPr>
      <w:r>
        <w:rPr>
          <w:rStyle w:val="CharStyle13"/>
          <w:b/>
          <w:bCs/>
          <w:color w:val="000000"/>
        </w:rPr>
        <w:t>uzasadnione wątpliwości czy koniecznością jest, by zwykli użytkownicy lasów oraz rolnicy pracujący maszynami na własnych gruntach muszą mieć zawsze aktywne zezwolenie na płoszenie zwierzyny łownej ? Obecnie w dobie pseudoekologów donoszących na uczciwie wykonujących swoją pracę rolników istnieje uzasadniona obawa, że tzw. „zieloni” mogą zacząć traktować prace połowę jako płoszenie zwierzyny łownej i tym samym utrudniać rolnikom prace.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1140" w:right="0" w:firstLine="540"/>
        <w:jc w:val="both"/>
      </w:pPr>
      <w:r>
        <w:rPr>
          <w:rStyle w:val="CharStyle13"/>
          <w:b/>
          <w:bCs/>
          <w:color w:val="000000"/>
        </w:rPr>
        <w:t>Problem dotyczy również myśliwych, którzy aby zapobiec szkodom pilnują upraw i w razie potrzeby odstraszają zwierzynę łowną Czy oni również powinni mieć zezwolenie na wykonywanie takich czynności, za każdym razem, gdy chcąc wspomóc rolników w zabezpieczeniu upraw sprawują pieczę nad uprawami, dyżurując w ambonach itp. Współpracując z ro</w:t>
      </w:r>
      <w:r>
        <w:rPr>
          <w:rStyle w:val="CharStyle13"/>
          <w:b/>
          <w:bCs/>
          <w:color w:val="000000"/>
          <w:u w:val="single"/>
        </w:rPr>
        <w:t>lnikami</w:t>
      </w:r>
      <w:r>
        <w:rPr>
          <w:rStyle w:val="CharStyle13"/>
          <w:b/>
          <w:bCs/>
          <w:color w:val="000000"/>
        </w:rPr>
        <w:t xml:space="preserve"> przy zabezpieczaniu upraw często finansują tzw. pasy czy armatki hukowe. Kto w przypadku takich zabezpieczeń jest zobowiązany do występowania o zgodę na płoszenie rolnik, czy myśliwy, a może obie osoby jednocześnie?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1140" w:right="0" w:firstLine="540"/>
        <w:jc w:val="both"/>
      </w:pPr>
      <w:r>
        <w:rPr>
          <w:rStyle w:val="CharStyle13"/>
          <w:b/>
          <w:bCs/>
          <w:color w:val="000000"/>
        </w:rPr>
        <w:t>Idąc dalej tym tokiem rozumowania czy wykonywanie prac leśnych przez służby leśne jest i powinno być traktowane jako płoszenie zwierzyny łownej? Czy zatem Lasy Państwowe również w myśl obowiązujących przepisów występują o zgodę na wykonywanie prac leśnych, które emitując dźwięki o wiele głośniejsze niż prace rolnicze, z pewnością płoszą zwierzynę, nie tylko łowną ale też prawnie chronioną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1140" w:right="0" w:firstLine="540"/>
        <w:jc w:val="both"/>
      </w:pPr>
      <w:r>
        <w:rPr>
          <w:rStyle w:val="CharStyle13"/>
          <w:b/>
          <w:bCs/>
          <w:color w:val="000000"/>
        </w:rPr>
        <w:t>Mając na uwadze wszelkie wątpliwości wobec obowiązującego prawa Zarząd Warmińsko-Mazurskiej Izby Rolniczej wnioskuje o pilną nowelizację Ustawy Prawo łowieckie w zakresie ochrony zwierzyny łownej oraz zezwoleń na odstępstwo od zakazu płoszenia zwierząt łownych, tak aby umożliwić rolnikom i myśliwym ochronę upraw, bez konieczności uzyskiwania przez nich każdorazowo zgody na płoszenie zwierzyny. Należy też umożliwić zabezpieczanie upraw myśliwym, również bez konieczności uzyskiwania kosztownych zezwoleń. Należy także zadbać o bezpieczeństwo prawne zwykłych użytkowników lasu, którzy również mogą być posądzani o płoszenie zwierzyny podczas zbierania grzybów, jagód czy po prostu rodzinnych spacerów po lesie.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80"/>
        <w:ind w:left="1140" w:right="0" w:firstLine="540"/>
        <w:jc w:val="both"/>
      </w:pPr>
      <w:r>
        <w:rPr>
          <w:rStyle w:val="CharStyle13"/>
          <w:b/>
          <w:bCs/>
          <w:color w:val="000000"/>
        </w:rPr>
        <w:t>Ze względu na złożony problem związany z obowiązującą ustawą Prawo łowieckie Zarząd Warmińsko-Mazurskiej Izby Rolniczej wnioskuje do Pani Minister jak wyżej, zapewniając jednocześnie o pozostawaniu do dyspozycji w kwestii udziału w pracach oraz opiniowania podjętych w tej sprawie nowych rozwiązań w polskim prawie łowieckim.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940" w:line="240" w:lineRule="auto"/>
        <w:ind w:left="5440" w:right="0" w:firstLine="0"/>
        <w:jc w:val="left"/>
      </w:pPr>
      <w:r>
        <w:rPr>
          <w:rStyle w:val="CharStyle13"/>
          <w:b/>
          <w:bCs/>
          <w:color w:val="000000"/>
        </w:rPr>
        <w:t>Z poważaniem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60"/>
        <w:jc w:val="left"/>
      </w:pPr>
      <w:r>
        <w:rPr>
          <w:rStyle w:val="CharStyle5"/>
          <w:b/>
          <w:bCs/>
        </w:rPr>
        <w:t>Do wiadomości: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62" w:val="left"/>
        </w:tabs>
        <w:bidi w:val="0"/>
        <w:spacing w:before="0" w:after="0" w:line="240" w:lineRule="auto"/>
        <w:ind w:left="0" w:right="0" w:firstLine="160"/>
        <w:jc w:val="left"/>
      </w:pPr>
      <w:r>
        <w:rPr>
          <w:rStyle w:val="CharStyle5"/>
          <w:b/>
          <w:bCs/>
        </w:rPr>
        <w:t>Krajowa Rada Izb Rolniczych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62" w:val="left"/>
        </w:tabs>
        <w:bidi w:val="0"/>
        <w:spacing w:before="0" w:after="160" w:line="240" w:lineRule="auto"/>
        <w:ind w:left="0" w:right="0" w:firstLine="160"/>
        <w:jc w:val="left"/>
      </w:pPr>
      <w:r>
        <w:rPr>
          <w:rStyle w:val="CharStyle5"/>
          <w:b/>
          <w:bCs/>
        </w:rPr>
        <w:t>Wojewódzkie Izby Rolnicze (wszystkie)</w:t>
      </w:r>
    </w:p>
    <w:sectPr>
      <w:footerReference w:type="default" r:id="rId9"/>
      <w:footerReference w:type="first" r:id="rId10"/>
      <w:footnotePr>
        <w:pos w:val="pageBottom"/>
        <w:numFmt w:val="decimal"/>
        <w:numRestart w:val="continuous"/>
      </w:footnotePr>
      <w:pgSz w:w="11900" w:h="16840"/>
      <w:pgMar w:top="1112" w:right="894" w:bottom="1412" w:left="1674" w:header="0" w:footer="3" w:gutter="0"/>
      <w:pgNumType w:start="1"/>
      <w:cols w:space="720"/>
      <w:noEndnote/>
      <w:titlePg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1113790</wp:posOffset>
              </wp:positionH>
              <wp:positionV relativeFrom="page">
                <wp:posOffset>10069830</wp:posOffset>
              </wp:positionV>
              <wp:extent cx="5568950" cy="12128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568950" cy="1212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77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6"/>
                              <w:color w:val="444444"/>
                              <w:lang w:val="pl-PL" w:eastAsia="pl-PL"/>
                            </w:rPr>
                            <w:t xml:space="preserve">e- ni a i 1: </w:t>
                          </w:r>
                          <w:r>
                            <w:rPr>
                              <w:rStyle w:val="CharStyle16"/>
                              <w:color w:val="444444"/>
                            </w:rPr>
                            <w:t>dyrektor@izbarolnicza.opole.pl</w:t>
                            <w:tab/>
                            <w:t>www.izbarolnicza.opole.pl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87.700000000000003pt;margin-top:792.89999999999998pt;width:438.5pt;height:9.550000000000000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77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6"/>
                        <w:color w:val="444444"/>
                        <w:lang w:val="pl-PL" w:eastAsia="pl-PL"/>
                      </w:rPr>
                      <w:t xml:space="preserve">e- ni a i 1: </w:t>
                    </w:r>
                    <w:r>
                      <w:rPr>
                        <w:rStyle w:val="CharStyle16"/>
                        <w:color w:val="444444"/>
                      </w:rPr>
                      <w:t>dyrektor@izbarolnicza.opole.pl</w:t>
                      <w:tab/>
                      <w:t>www.izbarolnicza.opole.pl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Nagłówek #2_"/>
    <w:basedOn w:val="DefaultParagraphFont"/>
    <w:link w:val="Style2"/>
    <w:rPr>
      <w:rFonts w:ascii="Times New Roman" w:eastAsia="Times New Roman" w:hAnsi="Times New Roman" w:cs="Times New Roman"/>
      <w:b/>
      <w:bCs/>
      <w:i/>
      <w:iCs/>
      <w:smallCaps w:val="0"/>
      <w:strike w:val="0"/>
      <w:color w:val="444444"/>
      <w:sz w:val="40"/>
      <w:szCs w:val="40"/>
      <w:u w:val="none"/>
    </w:rPr>
  </w:style>
  <w:style w:type="character" w:customStyle="1" w:styleId="CharStyle5">
    <w:name w:val="Tekst treści (4)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8">
    <w:name w:val="Tekst treści (3)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color w:val="2F2F2F"/>
      <w:sz w:val="14"/>
      <w:szCs w:val="14"/>
      <w:u w:val="none"/>
    </w:rPr>
  </w:style>
  <w:style w:type="character" w:customStyle="1" w:styleId="CharStyle13">
    <w:name w:val="Tekst treści_"/>
    <w:basedOn w:val="DefaultParagraphFont"/>
    <w:link w:val="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F2F2F"/>
      <w:sz w:val="20"/>
      <w:szCs w:val="20"/>
      <w:u w:val="none"/>
    </w:rPr>
  </w:style>
  <w:style w:type="character" w:customStyle="1" w:styleId="CharStyle16">
    <w:name w:val="Nagłówek lub stopka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/>
    </w:rPr>
  </w:style>
  <w:style w:type="character" w:customStyle="1" w:styleId="CharStyle19">
    <w:name w:val="Tekst treści (5)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444444"/>
      <w:sz w:val="20"/>
      <w:szCs w:val="20"/>
      <w:u w:val="none"/>
    </w:rPr>
  </w:style>
  <w:style w:type="character" w:customStyle="1" w:styleId="CharStyle26">
    <w:name w:val="Tekst treści (2)_"/>
    <w:basedOn w:val="DefaultParagraphFont"/>
    <w:link w:val="Styl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2F2F"/>
      <w:u w:val="none"/>
    </w:rPr>
  </w:style>
  <w:style w:type="character" w:customStyle="1" w:styleId="CharStyle31">
    <w:name w:val="Nagłówek #1_"/>
    <w:basedOn w:val="DefaultParagraphFont"/>
    <w:link w:val="Style3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444444"/>
      <w:sz w:val="40"/>
      <w:szCs w:val="40"/>
      <w:u w:val="none"/>
    </w:rPr>
  </w:style>
  <w:style w:type="character" w:customStyle="1" w:styleId="CharStyle35">
    <w:name w:val="Nagłówek #3_"/>
    <w:basedOn w:val="DefaultParagraphFont"/>
    <w:link w:val="Style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F2F2F"/>
      <w:u w:val="none"/>
    </w:rPr>
  </w:style>
  <w:style w:type="paragraph" w:customStyle="1" w:styleId="Style2">
    <w:name w:val="Nagłówek #2"/>
    <w:basedOn w:val="Normal"/>
    <w:link w:val="CharStyle3"/>
    <w:pPr>
      <w:widowControl w:val="0"/>
      <w:shd w:val="clear" w:color="auto" w:fill="auto"/>
      <w:outlineLvl w:val="1"/>
    </w:pPr>
    <w:rPr>
      <w:rFonts w:ascii="Times New Roman" w:eastAsia="Times New Roman" w:hAnsi="Times New Roman" w:cs="Times New Roman"/>
      <w:b/>
      <w:bCs/>
      <w:i/>
      <w:iCs/>
      <w:smallCaps w:val="0"/>
      <w:strike w:val="0"/>
      <w:color w:val="444444"/>
      <w:sz w:val="40"/>
      <w:szCs w:val="40"/>
      <w:u w:val="none"/>
    </w:rPr>
  </w:style>
  <w:style w:type="paragraph" w:customStyle="1" w:styleId="Style4">
    <w:name w:val="Tekst treści (4)"/>
    <w:basedOn w:val="Normal"/>
    <w:link w:val="CharStyle5"/>
    <w:pPr>
      <w:widowControl w:val="0"/>
      <w:shd w:val="clear" w:color="auto" w:fill="auto"/>
      <w:spacing w:after="220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7">
    <w:name w:val="Tekst treści (3)"/>
    <w:basedOn w:val="Normal"/>
    <w:link w:val="CharStyle8"/>
    <w:pPr>
      <w:widowControl w:val="0"/>
      <w:shd w:val="clear" w:color="auto" w:fill="auto"/>
      <w:spacing w:after="280" w:line="418" w:lineRule="auto"/>
    </w:pPr>
    <w:rPr>
      <w:rFonts w:ascii="Arial" w:eastAsia="Arial" w:hAnsi="Arial" w:cs="Arial"/>
      <w:b/>
      <w:bCs/>
      <w:i w:val="0"/>
      <w:iCs w:val="0"/>
      <w:smallCaps w:val="0"/>
      <w:strike w:val="0"/>
      <w:color w:val="2F2F2F"/>
      <w:sz w:val="14"/>
      <w:szCs w:val="14"/>
      <w:u w:val="none"/>
    </w:rPr>
  </w:style>
  <w:style w:type="paragraph" w:customStyle="1" w:styleId="Style12">
    <w:name w:val="Tekst treści"/>
    <w:basedOn w:val="Normal"/>
    <w:link w:val="CharStyle13"/>
    <w:pPr>
      <w:widowControl w:val="0"/>
      <w:shd w:val="clear" w:color="auto" w:fill="auto"/>
      <w:spacing w:line="298" w:lineRule="auto"/>
      <w:ind w:firstLine="40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F2F2F"/>
      <w:sz w:val="20"/>
      <w:szCs w:val="20"/>
      <w:u w:val="none"/>
    </w:rPr>
  </w:style>
  <w:style w:type="paragraph" w:customStyle="1" w:styleId="Style15">
    <w:name w:val="Nagłówek lub stopka (2)"/>
    <w:basedOn w:val="Normal"/>
    <w:link w:val="CharStyle1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/>
    </w:rPr>
  </w:style>
  <w:style w:type="paragraph" w:customStyle="1" w:styleId="Style18">
    <w:name w:val="Tekst treści (5)"/>
    <w:basedOn w:val="Normal"/>
    <w:link w:val="CharStyle19"/>
    <w:pPr>
      <w:widowControl w:val="0"/>
      <w:shd w:val="clear" w:color="auto" w:fill="auto"/>
      <w:spacing w:after="30"/>
      <w:ind w:left="369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44444"/>
      <w:sz w:val="20"/>
      <w:szCs w:val="20"/>
      <w:u w:val="none"/>
    </w:rPr>
  </w:style>
  <w:style w:type="paragraph" w:customStyle="1" w:styleId="Style25">
    <w:name w:val="Tekst treści (2)"/>
    <w:basedOn w:val="Normal"/>
    <w:link w:val="CharStyle26"/>
    <w:pPr>
      <w:widowControl w:val="0"/>
      <w:shd w:val="clear" w:color="auto" w:fill="auto"/>
      <w:spacing w:line="276" w:lineRule="auto"/>
      <w:ind w:firstLine="7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2F2F"/>
      <w:u w:val="none"/>
    </w:rPr>
  </w:style>
  <w:style w:type="paragraph" w:customStyle="1" w:styleId="Style30">
    <w:name w:val="Nagłówek #1"/>
    <w:basedOn w:val="Normal"/>
    <w:link w:val="CharStyle31"/>
    <w:pPr>
      <w:widowControl w:val="0"/>
      <w:shd w:val="clear" w:color="auto" w:fill="auto"/>
      <w:spacing w:after="60"/>
      <w:ind w:firstLine="700"/>
      <w:outlineLvl w:val="0"/>
    </w:pPr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444444"/>
      <w:sz w:val="40"/>
      <w:szCs w:val="40"/>
      <w:u w:val="none"/>
    </w:rPr>
  </w:style>
  <w:style w:type="paragraph" w:customStyle="1" w:styleId="Style34">
    <w:name w:val="Nagłówek #3"/>
    <w:basedOn w:val="Normal"/>
    <w:link w:val="CharStyle35"/>
    <w:pPr>
      <w:widowControl w:val="0"/>
      <w:shd w:val="clear" w:color="auto" w:fill="auto"/>
      <w:spacing w:before="300" w:after="300" w:line="377" w:lineRule="auto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F2F2F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KM_C224e-20250616124646</dc:title>
  <dc:subject/>
  <dc:creator/>
  <cp:keywords/>
</cp:coreProperties>
</file>