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BB" w:rsidRPr="00EA16BB" w:rsidRDefault="00EA16BB" w:rsidP="00EA16BB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z w:val="24"/>
          <w:szCs w:val="24"/>
        </w:rPr>
      </w:pPr>
      <w:r w:rsidRPr="00EA16BB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2CA4B377" wp14:editId="4585ABCE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6BB" w:rsidRPr="00EA16BB" w:rsidRDefault="00EA16BB" w:rsidP="00EA16BB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  <w:r w:rsidRPr="00EA16BB">
        <w:rPr>
          <w:rFonts w:asciiTheme="minorHAnsi" w:hAnsiTheme="minorHAnsi" w:cstheme="minorHAnsi"/>
          <w:smallCaps/>
          <w:sz w:val="24"/>
          <w:szCs w:val="24"/>
        </w:rPr>
        <w:t>Generalny Dyrektor</w:t>
      </w:r>
    </w:p>
    <w:p w:rsidR="00D34181" w:rsidRPr="00EA16BB" w:rsidRDefault="00EA16BB" w:rsidP="00EA16BB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EA16BB">
        <w:rPr>
          <w:rFonts w:asciiTheme="minorHAnsi" w:hAnsiTheme="minorHAnsi" w:cstheme="minorHAnsi"/>
          <w:smallCaps/>
          <w:sz w:val="24"/>
          <w:szCs w:val="24"/>
        </w:rPr>
        <w:t>Ochrony Środowiska</w:t>
      </w:r>
    </w:p>
    <w:p w:rsidR="00260F62" w:rsidRPr="00EA16BB" w:rsidRDefault="00EA16BB" w:rsidP="00EA16BB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EA16BB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EA16BB">
        <w:rPr>
          <w:rFonts w:asciiTheme="minorHAnsi" w:hAnsiTheme="minorHAnsi" w:cstheme="minorHAnsi"/>
          <w:sz w:val="24"/>
          <w:szCs w:val="24"/>
        </w:rPr>
        <w:t>28 stycznia 2026</w:t>
      </w:r>
      <w:bookmarkEnd w:id="0"/>
      <w:r w:rsidRPr="00EA16BB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2B12AF" w:rsidRPr="00EA16BB" w:rsidRDefault="00EA16BB" w:rsidP="00EA16BB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EA16BB">
        <w:rPr>
          <w:rFonts w:asciiTheme="minorHAnsi" w:hAnsiTheme="minorHAnsi" w:cstheme="minorHAnsi"/>
          <w:sz w:val="24"/>
          <w:szCs w:val="24"/>
        </w:rPr>
        <w:t>DOOŚ-WDŚI.420.24.2025.MD.10</w:t>
      </w:r>
    </w:p>
    <w:p w:rsidR="002B12AF" w:rsidRPr="00EA16BB" w:rsidRDefault="00EA16BB" w:rsidP="00EA16BB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2B12AF" w:rsidRPr="00EA16BB" w:rsidRDefault="00EA16BB" w:rsidP="00EA16BB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A16BB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2B12AF" w:rsidRPr="00EA16BB" w:rsidRDefault="00EA16BB" w:rsidP="00EA16BB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A16BB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zawiadamia, że postępowanie odwoławcze </w:t>
      </w:r>
      <w:r w:rsidRPr="00EA16BB">
        <w:rPr>
          <w:rFonts w:asciiTheme="minorHAnsi" w:hAnsiTheme="minorHAnsi" w:cstheme="minorHAnsi"/>
          <w:sz w:val="24"/>
          <w:szCs w:val="24"/>
        </w:rPr>
        <w:t xml:space="preserve">od decyzji Regionalnego Dyrektora Ochrony Środowiska w </w:t>
      </w:r>
      <w:r w:rsidRPr="00EA16BB">
        <w:rPr>
          <w:rFonts w:asciiTheme="minorHAnsi" w:hAnsiTheme="minorHAnsi" w:cstheme="minorHAnsi"/>
          <w:color w:val="000000"/>
          <w:sz w:val="24"/>
          <w:szCs w:val="24"/>
        </w:rPr>
        <w:t xml:space="preserve">Katowicach z </w:t>
      </w:r>
      <w:r w:rsidRPr="00EA16BB">
        <w:rPr>
          <w:rFonts w:asciiTheme="minorHAnsi" w:hAnsiTheme="minorHAnsi" w:cstheme="minorHAnsi"/>
          <w:color w:val="000000"/>
          <w:sz w:val="24"/>
          <w:szCs w:val="24"/>
        </w:rPr>
        <w:t xml:space="preserve">14 lipca 2025 r., znak: WOOŚ.420.142.2018.EGK.32, odmawiającej określenia środowiskowych uwarunkowań realizacji przedsięwzięcia pn.: „Wydobywanie węgla i metanu jako kopaliny towarzyszącej ze złoża „Zabrze-Bielszowice” w latach 2020-2045” </w:t>
      </w:r>
      <w:r w:rsidRPr="00EA16BB">
        <w:rPr>
          <w:rFonts w:asciiTheme="minorHAnsi" w:hAnsiTheme="minorHAnsi" w:cstheme="minorHAnsi"/>
          <w:color w:val="000000"/>
          <w:sz w:val="24"/>
          <w:szCs w:val="24"/>
        </w:rPr>
        <w:t>nie mogło być zak</w:t>
      </w:r>
      <w:r w:rsidRPr="00EA16BB">
        <w:rPr>
          <w:rFonts w:asciiTheme="minorHAnsi" w:hAnsiTheme="minorHAnsi" w:cstheme="minorHAnsi"/>
          <w:color w:val="000000"/>
          <w:sz w:val="24"/>
          <w:szCs w:val="24"/>
        </w:rPr>
        <w:t>ończone w wyznaczonym terminie</w:t>
      </w:r>
      <w:r w:rsidRPr="00EA16BB">
        <w:rPr>
          <w:rFonts w:asciiTheme="minorHAnsi" w:hAnsiTheme="minorHAnsi" w:cstheme="minorHAnsi"/>
          <w:color w:val="000000"/>
          <w:sz w:val="24"/>
          <w:szCs w:val="24"/>
        </w:rPr>
        <w:t xml:space="preserve">, oraz </w:t>
      </w:r>
      <w:r w:rsidRPr="00EA16BB">
        <w:rPr>
          <w:rFonts w:asciiTheme="minorHAnsi" w:hAnsiTheme="minorHAnsi" w:cstheme="minorHAnsi"/>
          <w:bCs/>
          <w:color w:val="000000"/>
          <w:sz w:val="24"/>
          <w:szCs w:val="24"/>
        </w:rPr>
        <w:t>wskazuje nowy</w:t>
      </w:r>
      <w:r w:rsidRPr="00EA16B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termin załatwienia sprawy na </w:t>
      </w:r>
      <w:r w:rsidRPr="00EA16BB">
        <w:rPr>
          <w:rFonts w:asciiTheme="minorHAnsi" w:hAnsiTheme="minorHAnsi" w:cstheme="minorHAnsi"/>
          <w:bCs/>
          <w:color w:val="000000"/>
          <w:sz w:val="24"/>
          <w:szCs w:val="24"/>
        </w:rPr>
        <w:t>27 marca 2026</w:t>
      </w:r>
      <w:r w:rsidRPr="00EA16B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</w:t>
      </w:r>
      <w:r w:rsidRPr="00EA16BB">
        <w:rPr>
          <w:rFonts w:asciiTheme="minorHAnsi" w:hAnsiTheme="minorHAnsi" w:cstheme="minorHAnsi"/>
          <w:color w:val="000000"/>
          <w:sz w:val="24"/>
          <w:szCs w:val="24"/>
        </w:rPr>
        <w:t xml:space="preserve"> Przyczyną zwłoki jest </w:t>
      </w:r>
      <w:r w:rsidRPr="00EA16BB">
        <w:rPr>
          <w:rFonts w:asciiTheme="minorHAnsi" w:hAnsiTheme="minorHAnsi" w:cstheme="minorHAnsi"/>
          <w:color w:val="000000"/>
          <w:sz w:val="24"/>
          <w:szCs w:val="24"/>
        </w:rPr>
        <w:t>skomplikowany charakter sprawy</w:t>
      </w:r>
      <w:r w:rsidRPr="00EA16B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2B12AF" w:rsidRPr="00EA16BB" w:rsidRDefault="00EA16BB" w:rsidP="00EA16BB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EA16BB">
        <w:rPr>
          <w:rFonts w:asciiTheme="minorHAnsi" w:hAnsiTheme="minorHAnsi" w:cstheme="minorHAnsi"/>
          <w:color w:val="000000"/>
          <w:sz w:val="24"/>
          <w:szCs w:val="24"/>
        </w:rPr>
        <w:t xml:space="preserve">Równocześnie </w:t>
      </w:r>
      <w:r w:rsidRPr="00EA16BB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</w:t>
      </w:r>
      <w:r w:rsidRPr="00EA16BB">
        <w:rPr>
          <w:rFonts w:asciiTheme="minorHAnsi" w:hAnsiTheme="minorHAnsi" w:cstheme="minorHAnsi"/>
          <w:color w:val="000000"/>
          <w:sz w:val="24"/>
          <w:szCs w:val="24"/>
        </w:rPr>
        <w:t>informuje, że s</w:t>
      </w:r>
      <w:r w:rsidRPr="00EA16BB">
        <w:rPr>
          <w:rFonts w:asciiTheme="minorHAnsi" w:hAnsiTheme="minorHAnsi" w:cstheme="minorHAnsi"/>
          <w:color w:val="000000"/>
          <w:sz w:val="24"/>
          <w:szCs w:val="24"/>
        </w:rPr>
        <w:t xml:space="preserve">tronie służy prawo do wniesienia </w:t>
      </w:r>
      <w:r w:rsidRPr="00EA16BB">
        <w:rPr>
          <w:rFonts w:asciiTheme="minorHAnsi" w:hAnsiTheme="minorHAnsi" w:cstheme="minorHAnsi"/>
          <w:color w:val="000000"/>
          <w:sz w:val="24"/>
          <w:szCs w:val="24"/>
        </w:rPr>
        <w:t>ponaglenia. Ponaglenie wnosi się do Generalnego Dyrektora Ochrony Środowiska, w formie papierowej – na adres siedziby Generalnej D</w:t>
      </w:r>
      <w:r w:rsidRPr="00EA16BB">
        <w:rPr>
          <w:rFonts w:asciiTheme="minorHAnsi" w:hAnsiTheme="minorHAnsi" w:cstheme="minorHAnsi"/>
          <w:color w:val="000000"/>
          <w:sz w:val="24"/>
          <w:szCs w:val="24"/>
        </w:rPr>
        <w:t>yrekcji Ochrony Środowiska: Al. </w:t>
      </w:r>
      <w:r w:rsidRPr="00EA16BB">
        <w:rPr>
          <w:rFonts w:asciiTheme="minorHAnsi" w:hAnsiTheme="minorHAnsi" w:cstheme="minorHAnsi"/>
          <w:color w:val="000000"/>
          <w:sz w:val="24"/>
          <w:szCs w:val="24"/>
        </w:rPr>
        <w:t>Jerozolimskie 136, 02-305 Warszawa albo w formie</w:t>
      </w:r>
      <w:r w:rsidRPr="00EA16BB">
        <w:rPr>
          <w:rFonts w:asciiTheme="minorHAnsi" w:hAnsiTheme="minorHAnsi" w:cstheme="minorHAnsi"/>
          <w:color w:val="000000"/>
          <w:sz w:val="24"/>
          <w:szCs w:val="24"/>
        </w:rPr>
        <w:t xml:space="preserve"> elektronicznej – na adres do e</w:t>
      </w:r>
      <w:r w:rsidRPr="00EA16BB">
        <w:rPr>
          <w:rFonts w:asciiTheme="minorHAnsi" w:hAnsiTheme="minorHAnsi" w:cstheme="minorHAnsi"/>
          <w:color w:val="000000"/>
          <w:sz w:val="24"/>
          <w:szCs w:val="24"/>
        </w:rPr>
        <w:noBreakHyphen/>
      </w:r>
      <w:r w:rsidRPr="00EA16BB">
        <w:rPr>
          <w:rFonts w:asciiTheme="minorHAnsi" w:hAnsiTheme="minorHAnsi" w:cstheme="minorHAnsi"/>
          <w:color w:val="000000"/>
          <w:sz w:val="24"/>
          <w:szCs w:val="24"/>
        </w:rPr>
        <w:t>Doręczeń: AE:P</w:t>
      </w:r>
      <w:r w:rsidRPr="00EA16BB">
        <w:rPr>
          <w:rFonts w:asciiTheme="minorHAnsi" w:hAnsiTheme="minorHAnsi" w:cstheme="minorHAnsi"/>
          <w:color w:val="000000"/>
          <w:sz w:val="24"/>
          <w:szCs w:val="24"/>
        </w:rPr>
        <w:t>L-14966-78422-TRCJH-21.</w:t>
      </w:r>
    </w:p>
    <w:p w:rsidR="002B12AF" w:rsidRPr="00EA16BB" w:rsidRDefault="00EA16BB" w:rsidP="00EA16B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2B12AF" w:rsidRPr="00EA16BB" w:rsidRDefault="00EA16BB" w:rsidP="00EA16B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A16BB">
        <w:rPr>
          <w:rFonts w:asciiTheme="minorHAnsi" w:hAnsiTheme="minorHAnsi" w:cstheme="minorHAnsi"/>
          <w:sz w:val="24"/>
          <w:szCs w:val="24"/>
        </w:rPr>
        <w:t>Z upoważnienia</w:t>
      </w:r>
    </w:p>
    <w:p w:rsidR="002B12AF" w:rsidRPr="00EA16BB" w:rsidRDefault="00EA16BB" w:rsidP="00EA16BB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EA16BB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:rsidR="002B12AF" w:rsidRPr="00EA16BB" w:rsidRDefault="00EA16BB" w:rsidP="00EA16BB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EA16BB">
        <w:rPr>
          <w:rFonts w:asciiTheme="minorHAnsi" w:hAnsiTheme="minorHAnsi" w:cstheme="minorHAnsi"/>
          <w:sz w:val="24"/>
          <w:szCs w:val="24"/>
        </w:rPr>
        <w:t>MARCIN KOŁODYŃSKI</w:t>
      </w:r>
    </w:p>
    <w:p w:rsidR="002B12AF" w:rsidRPr="00EA16BB" w:rsidRDefault="00EA16BB" w:rsidP="00EA16B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A16BB">
        <w:rPr>
          <w:rFonts w:asciiTheme="minorHAnsi" w:hAnsiTheme="minorHAnsi" w:cstheme="minorHAnsi"/>
          <w:sz w:val="24"/>
          <w:szCs w:val="24"/>
        </w:rPr>
        <w:t>Naczelnik Wydziału</w:t>
      </w:r>
    </w:p>
    <w:p w:rsidR="002B12AF" w:rsidRPr="00EA16BB" w:rsidRDefault="00EA16BB" w:rsidP="00EA16BB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EA16BB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:rsidR="002B12AF" w:rsidRPr="00EA16BB" w:rsidRDefault="00EA16BB" w:rsidP="00EA16BB">
      <w:pPr>
        <w:spacing w:after="0" w:line="240" w:lineRule="auto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 w:rsidRPr="00EA16BB">
        <w:rPr>
          <w:rFonts w:asciiTheme="minorHAnsi" w:hAnsiTheme="minorHAnsi" w:cstheme="minorHAnsi"/>
          <w:sz w:val="24"/>
          <w:szCs w:val="24"/>
        </w:rPr>
        <w:t>/podpis elektroniczny/</w:t>
      </w:r>
    </w:p>
    <w:p w:rsidR="002B12AF" w:rsidRPr="00EA16BB" w:rsidRDefault="00EA16BB" w:rsidP="00EA16B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2B12AF" w:rsidRPr="00EA16BB" w:rsidRDefault="00EA16BB" w:rsidP="00EA16B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2B12AF" w:rsidRPr="00EA16BB" w:rsidRDefault="00EA16BB" w:rsidP="00EA16B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A16BB">
        <w:rPr>
          <w:rFonts w:asciiTheme="minorHAnsi" w:hAnsiTheme="minorHAnsi" w:cstheme="minorHAnsi"/>
          <w:sz w:val="24"/>
          <w:szCs w:val="24"/>
        </w:rPr>
        <w:t xml:space="preserve">Zawiadomienie zostało upublicznione w terminie od </w:t>
      </w:r>
      <w:r>
        <w:rPr>
          <w:rFonts w:asciiTheme="minorHAnsi" w:hAnsiTheme="minorHAnsi" w:cstheme="minorHAnsi"/>
          <w:sz w:val="24"/>
          <w:szCs w:val="24"/>
        </w:rPr>
        <w:t>30.01.2026 r.</w:t>
      </w:r>
      <w:r w:rsidRPr="00EA16BB">
        <w:rPr>
          <w:rFonts w:asciiTheme="minorHAnsi" w:hAnsiTheme="minorHAnsi" w:cstheme="minorHAnsi"/>
          <w:sz w:val="24"/>
          <w:szCs w:val="24"/>
        </w:rPr>
        <w:t xml:space="preserve"> do </w:t>
      </w:r>
      <w:r>
        <w:rPr>
          <w:rFonts w:asciiTheme="minorHAnsi" w:hAnsiTheme="minorHAnsi" w:cstheme="minorHAnsi"/>
          <w:sz w:val="24"/>
          <w:szCs w:val="24"/>
        </w:rPr>
        <w:t>14.02.2026 r.</w:t>
      </w:r>
    </w:p>
    <w:p w:rsidR="002B12AF" w:rsidRPr="00EA16BB" w:rsidRDefault="00EA16BB" w:rsidP="00EA16B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A16BB">
        <w:rPr>
          <w:rFonts w:asciiTheme="minorHAnsi" w:hAnsiTheme="minorHAnsi" w:cstheme="minorHAnsi"/>
          <w:sz w:val="24"/>
          <w:szCs w:val="24"/>
        </w:rPr>
        <w:t>Pieczęć urzędu i podpis:</w:t>
      </w:r>
    </w:p>
    <w:p w:rsidR="002B12AF" w:rsidRPr="00EA16BB" w:rsidRDefault="00EA16BB" w:rsidP="00EA16BB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2B12AF" w:rsidRDefault="00EA16BB" w:rsidP="00EA16BB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EA16BB" w:rsidRPr="00EA16BB" w:rsidRDefault="00EA16BB" w:rsidP="00EA16BB">
      <w:pPr>
        <w:pStyle w:val="Bezodstpw1"/>
        <w:spacing w:line="312" w:lineRule="auto"/>
        <w:rPr>
          <w:rFonts w:asciiTheme="minorHAnsi" w:hAnsiTheme="minorHAnsi" w:cstheme="minorHAnsi"/>
        </w:rPr>
      </w:pPr>
      <w:bookmarkStart w:id="1" w:name="_GoBack"/>
      <w:bookmarkEnd w:id="1"/>
    </w:p>
    <w:p w:rsidR="002B12AF" w:rsidRPr="00EA16BB" w:rsidRDefault="00EA16BB" w:rsidP="00EA16BB">
      <w:pPr>
        <w:pStyle w:val="Bezodstpw1"/>
        <w:spacing w:after="60"/>
        <w:rPr>
          <w:rFonts w:asciiTheme="minorHAnsi" w:hAnsiTheme="minorHAnsi" w:cstheme="minorHAnsi"/>
        </w:rPr>
      </w:pPr>
      <w:r w:rsidRPr="00EA16BB">
        <w:rPr>
          <w:rFonts w:asciiTheme="minorHAnsi" w:hAnsiTheme="minorHAnsi" w:cstheme="minorHAnsi"/>
        </w:rPr>
        <w:lastRenderedPageBreak/>
        <w:t xml:space="preserve">Art. 36 ustawy z dnia 14 czerwca 1960 r. – Kodeks postępowania </w:t>
      </w:r>
      <w:r w:rsidRPr="00EA16BB">
        <w:rPr>
          <w:rFonts w:asciiTheme="minorHAnsi" w:hAnsiTheme="minorHAnsi" w:cstheme="minorHAnsi"/>
        </w:rPr>
        <w:t>administracyjnego (Dz. U. z 2025</w:t>
      </w:r>
      <w:r w:rsidRPr="00EA16BB">
        <w:rPr>
          <w:rFonts w:asciiTheme="minorHAnsi" w:hAnsiTheme="minorHAnsi" w:cstheme="minorHAnsi"/>
        </w:rPr>
        <w:t xml:space="preserve"> r. poz.</w:t>
      </w:r>
      <w:r w:rsidRPr="00EA16BB">
        <w:rPr>
          <w:rFonts w:asciiTheme="minorHAnsi" w:hAnsiTheme="minorHAnsi" w:cstheme="minorHAnsi"/>
        </w:rPr>
        <w:t xml:space="preserve"> 1691</w:t>
      </w:r>
      <w:r w:rsidRPr="00EA16BB">
        <w:rPr>
          <w:rFonts w:asciiTheme="minorHAnsi" w:hAnsiTheme="minorHAnsi" w:cstheme="minorHAnsi"/>
        </w:rPr>
        <w:t>), dalej k.</w:t>
      </w:r>
      <w:r w:rsidRPr="00EA16BB">
        <w:rPr>
          <w:rFonts w:asciiTheme="minorHAnsi" w:hAnsiTheme="minorHAnsi" w:cstheme="minorHAnsi"/>
          <w:iCs/>
        </w:rPr>
        <w:t>p.a.:</w:t>
      </w:r>
      <w:r w:rsidRPr="00EA16BB">
        <w:rPr>
          <w:rFonts w:asciiTheme="minorHAnsi" w:hAnsiTheme="minorHAnsi" w:cstheme="minorHAnsi"/>
        </w:rPr>
        <w:t xml:space="preserve"> </w:t>
      </w:r>
      <w:r w:rsidRPr="00EA16BB">
        <w:rPr>
          <w:rFonts w:asciiTheme="minorHAnsi" w:hAnsiTheme="minorHAnsi" w:cstheme="minorHAnsi"/>
        </w:rPr>
        <w:t>O każdym przypadku niezałatwienia sprawy w terminie organ administracji publicznej jest obowiązan</w:t>
      </w:r>
      <w:r w:rsidRPr="00EA16BB">
        <w:rPr>
          <w:rFonts w:asciiTheme="minorHAnsi" w:hAnsiTheme="minorHAnsi" w:cstheme="minorHAnsi"/>
        </w:rPr>
        <w:t>y zawiadomić strony, podając przyczyny zwłoki, wskazując nowy termin załatwienia sprawy oraz pouczając o prawie do wniesienia ponaglenia (</w:t>
      </w:r>
      <w:r w:rsidRPr="00EA16BB">
        <w:rPr>
          <w:rFonts w:asciiTheme="minorHAnsi" w:hAnsiTheme="minorHAnsi" w:cstheme="minorHAnsi"/>
        </w:rPr>
        <w:t>§ 1</w:t>
      </w:r>
      <w:r w:rsidRPr="00EA16BB">
        <w:rPr>
          <w:rFonts w:asciiTheme="minorHAnsi" w:hAnsiTheme="minorHAnsi" w:cstheme="minorHAnsi"/>
        </w:rPr>
        <w:t>).</w:t>
      </w:r>
      <w:r w:rsidRPr="00EA16BB">
        <w:rPr>
          <w:rFonts w:asciiTheme="minorHAnsi" w:hAnsiTheme="minorHAnsi" w:cstheme="minorHAnsi"/>
        </w:rPr>
        <w:t xml:space="preserve"> </w:t>
      </w:r>
      <w:r w:rsidRPr="00EA16BB">
        <w:rPr>
          <w:rFonts w:asciiTheme="minorHAnsi" w:hAnsiTheme="minorHAnsi" w:cstheme="minorHAnsi"/>
        </w:rPr>
        <w:t>Ten sam obowiązek ciąży na organie administracji publicznej również w przypadku zwłoki w załatwieniu sprawy z pr</w:t>
      </w:r>
      <w:r w:rsidRPr="00EA16BB">
        <w:rPr>
          <w:rFonts w:asciiTheme="minorHAnsi" w:hAnsiTheme="minorHAnsi" w:cstheme="minorHAnsi"/>
        </w:rPr>
        <w:t>zyczyn niezależnych od organu (</w:t>
      </w:r>
      <w:r w:rsidRPr="00EA16BB">
        <w:rPr>
          <w:rFonts w:asciiTheme="minorHAnsi" w:hAnsiTheme="minorHAnsi" w:cstheme="minorHAnsi"/>
        </w:rPr>
        <w:t>§ 2</w:t>
      </w:r>
      <w:r w:rsidRPr="00EA16BB">
        <w:rPr>
          <w:rFonts w:asciiTheme="minorHAnsi" w:hAnsiTheme="minorHAnsi" w:cstheme="minorHAnsi"/>
        </w:rPr>
        <w:t>).</w:t>
      </w:r>
    </w:p>
    <w:p w:rsidR="002B12AF" w:rsidRPr="00EA16BB" w:rsidRDefault="00EA16BB" w:rsidP="00EA16BB">
      <w:pPr>
        <w:pStyle w:val="Bezodstpw1"/>
        <w:spacing w:after="60"/>
        <w:rPr>
          <w:rFonts w:asciiTheme="minorHAnsi" w:hAnsiTheme="minorHAnsi" w:cstheme="minorHAnsi"/>
        </w:rPr>
      </w:pPr>
      <w:r w:rsidRPr="00EA16BB">
        <w:rPr>
          <w:rFonts w:asciiTheme="minorHAnsi" w:hAnsiTheme="minorHAnsi" w:cstheme="minorHAnsi"/>
        </w:rPr>
        <w:t xml:space="preserve">Art. 37 § 1 </w:t>
      </w:r>
      <w:r w:rsidRPr="00EA16BB">
        <w:rPr>
          <w:rFonts w:asciiTheme="minorHAnsi" w:hAnsiTheme="minorHAnsi" w:cstheme="minorHAnsi"/>
          <w:iCs/>
        </w:rPr>
        <w:t>k.p.a.:</w:t>
      </w:r>
      <w:r w:rsidRPr="00EA16BB">
        <w:rPr>
          <w:rFonts w:asciiTheme="minorHAnsi" w:hAnsiTheme="minorHAnsi" w:cstheme="minorHAnsi"/>
          <w:iCs/>
        </w:rPr>
        <w:t xml:space="preserve"> </w:t>
      </w:r>
      <w:r w:rsidRPr="00EA16BB">
        <w:rPr>
          <w:rFonts w:asciiTheme="minorHAnsi" w:hAnsiTheme="minorHAnsi" w:cstheme="minorHAnsi"/>
        </w:rPr>
        <w:t xml:space="preserve">Stronie służy prawo do wniesienia ponaglenia, jeżeli: </w:t>
      </w:r>
      <w:r w:rsidRPr="00EA16BB">
        <w:rPr>
          <w:rFonts w:asciiTheme="minorHAnsi" w:hAnsiTheme="minorHAnsi" w:cstheme="minorHAnsi"/>
        </w:rPr>
        <w:t>1</w:t>
      </w:r>
      <w:r w:rsidRPr="00EA16BB">
        <w:rPr>
          <w:rFonts w:asciiTheme="minorHAnsi" w:hAnsiTheme="minorHAnsi" w:cstheme="minorHAnsi"/>
        </w:rPr>
        <w:t>) nie załatwiono sprawy w terminie określonym w art. 35 lub przepisach szczególnych ani w terminie wskazanym zgodnie z art. 36 § 1 (bezczynność)</w:t>
      </w:r>
      <w:r w:rsidRPr="00EA16BB">
        <w:rPr>
          <w:rFonts w:asciiTheme="minorHAnsi" w:hAnsiTheme="minorHAnsi" w:cstheme="minorHAnsi"/>
        </w:rPr>
        <w:t xml:space="preserve">; </w:t>
      </w:r>
      <w:r w:rsidRPr="00EA16BB">
        <w:rPr>
          <w:rFonts w:asciiTheme="minorHAnsi" w:hAnsiTheme="minorHAnsi" w:cstheme="minorHAnsi"/>
        </w:rPr>
        <w:t>2)</w:t>
      </w:r>
      <w:r w:rsidRPr="00EA16BB">
        <w:rPr>
          <w:rFonts w:asciiTheme="minorHAnsi" w:hAnsiTheme="minorHAnsi" w:cstheme="minorHAnsi"/>
        </w:rPr>
        <w:t xml:space="preserve"> postępowanie jest prowadzone dłużej niż jest to niezbędne do załatwienia sprawy (przewlekłość).</w:t>
      </w:r>
    </w:p>
    <w:p w:rsidR="002B12AF" w:rsidRPr="00EA16BB" w:rsidRDefault="00EA16BB" w:rsidP="00EA16BB">
      <w:pPr>
        <w:pStyle w:val="Bezodstpw1"/>
        <w:spacing w:after="60"/>
        <w:rPr>
          <w:rFonts w:asciiTheme="minorHAnsi" w:hAnsiTheme="minorHAnsi" w:cstheme="minorHAnsi"/>
        </w:rPr>
      </w:pPr>
      <w:r w:rsidRPr="00EA16BB">
        <w:rPr>
          <w:rFonts w:asciiTheme="minorHAnsi" w:hAnsiTheme="minorHAnsi" w:cstheme="minorHAnsi"/>
          <w:bCs/>
        </w:rPr>
        <w:t xml:space="preserve">Art. 37 § 1 pkt 2 k.p.a.: </w:t>
      </w:r>
      <w:r w:rsidRPr="00EA16BB">
        <w:rPr>
          <w:rFonts w:asciiTheme="minorHAnsi" w:hAnsiTheme="minorHAnsi" w:cstheme="minorHAnsi"/>
        </w:rPr>
        <w:t>Ponaglenie wnosi się do organu prowadzącego postępowanie - jeżeli nie ma organu wyższego stopnia.</w:t>
      </w:r>
    </w:p>
    <w:p w:rsidR="002B12AF" w:rsidRPr="00EA16BB" w:rsidRDefault="00EA16BB" w:rsidP="00EA16BB">
      <w:pPr>
        <w:pStyle w:val="Bezodstpw1"/>
        <w:spacing w:after="60"/>
        <w:rPr>
          <w:rFonts w:asciiTheme="minorHAnsi" w:hAnsiTheme="minorHAnsi" w:cstheme="minorHAnsi"/>
        </w:rPr>
      </w:pPr>
      <w:r w:rsidRPr="00EA16BB">
        <w:rPr>
          <w:rFonts w:asciiTheme="minorHAnsi" w:hAnsiTheme="minorHAnsi" w:cstheme="minorHAnsi"/>
        </w:rPr>
        <w:t xml:space="preserve">Art. 49 § 1 </w:t>
      </w:r>
      <w:r w:rsidRPr="00EA16BB">
        <w:rPr>
          <w:rFonts w:asciiTheme="minorHAnsi" w:hAnsiTheme="minorHAnsi" w:cstheme="minorHAnsi"/>
          <w:iCs/>
        </w:rPr>
        <w:t>k.p.a.:</w:t>
      </w:r>
      <w:r w:rsidRPr="00EA16BB">
        <w:rPr>
          <w:rFonts w:asciiTheme="minorHAnsi" w:hAnsiTheme="minorHAnsi" w:cstheme="minorHAnsi"/>
        </w:rPr>
        <w:t xml:space="preserve"> </w:t>
      </w:r>
      <w:r w:rsidRPr="00EA16BB">
        <w:rPr>
          <w:rFonts w:asciiTheme="minorHAnsi" w:hAnsiTheme="minorHAnsi" w:cstheme="minorHAnsi"/>
        </w:rPr>
        <w:t>Jeżeli prze</w:t>
      </w:r>
      <w:r w:rsidRPr="00EA16BB">
        <w:rPr>
          <w:rFonts w:asciiTheme="minorHAnsi" w:hAnsiTheme="minorHAnsi" w:cstheme="minorHAnsi"/>
        </w:rPr>
        <w:t>pis szczególny tak stanowi, zawiadomienie stron o decyzjach i innych czynnościach organu administracji publicznej może nastąpić w formie publicznego obwieszczenia, w innej formie publicznego ogłoszenia zwyczajowo przyjętej w danej miejscowości lub przez ud</w:t>
      </w:r>
      <w:r w:rsidRPr="00EA16BB">
        <w:rPr>
          <w:rFonts w:asciiTheme="minorHAnsi" w:hAnsiTheme="minorHAnsi" w:cstheme="minorHAnsi"/>
        </w:rPr>
        <w:t>ostępnienie pisma w Biuletynie Informacji Publicznej na stronie podmiotowej właściwego organu administracji publicznej.</w:t>
      </w:r>
    </w:p>
    <w:p w:rsidR="002B12AF" w:rsidRPr="00EA16BB" w:rsidRDefault="00EA16BB" w:rsidP="00EA16BB">
      <w:pPr>
        <w:pStyle w:val="Bezodstpw1"/>
        <w:spacing w:after="60"/>
        <w:rPr>
          <w:rFonts w:asciiTheme="minorHAnsi" w:hAnsiTheme="minorHAnsi" w:cstheme="minorHAnsi"/>
        </w:rPr>
      </w:pPr>
      <w:r w:rsidRPr="00EA16BB">
        <w:rPr>
          <w:rFonts w:asciiTheme="minorHAnsi" w:hAnsiTheme="minorHAnsi" w:cstheme="minorHAnsi"/>
        </w:rPr>
        <w:t xml:space="preserve">Art. 74 ust. 3 pkt 1 </w:t>
      </w:r>
      <w:r w:rsidRPr="00EA16BB">
        <w:rPr>
          <w:rFonts w:asciiTheme="minorHAnsi" w:hAnsiTheme="minorHAnsi" w:cstheme="minorHAnsi"/>
          <w:iCs/>
        </w:rPr>
        <w:t>ustawy z dnia 3 października 2008 r. o udostępnianiu informacji o środowisku i jego ochronie, udziale społeczeństwa</w:t>
      </w:r>
      <w:r w:rsidRPr="00EA16BB">
        <w:rPr>
          <w:rFonts w:asciiTheme="minorHAnsi" w:hAnsiTheme="minorHAnsi" w:cstheme="minorHAnsi"/>
          <w:iCs/>
        </w:rPr>
        <w:t xml:space="preserve"> w ochronie środowiska oraz o ocenach oddziaływania na środowisko (Dz. U. z 2018 r. poz. 2081):</w:t>
      </w:r>
      <w:r w:rsidRPr="00EA16BB">
        <w:rPr>
          <w:rFonts w:asciiTheme="minorHAnsi" w:hAnsiTheme="minorHAnsi" w:cstheme="minorHAnsi"/>
        </w:rPr>
        <w:t xml:space="preserve"> </w:t>
      </w:r>
      <w:r w:rsidRPr="00EA16BB">
        <w:rPr>
          <w:rFonts w:asciiTheme="minorHAnsi" w:hAnsiTheme="minorHAnsi" w:cstheme="minorHAnsi"/>
        </w:rPr>
        <w:t>Jeżeli liczba stron postępowania o wydanie decyzji o środowiskowych uwarunkowaniach przekracza 20, stosuje się przepis art. 49 Kodeksu postępowania administracy</w:t>
      </w:r>
      <w:r w:rsidRPr="00EA16BB">
        <w:rPr>
          <w:rFonts w:asciiTheme="minorHAnsi" w:hAnsiTheme="minorHAnsi" w:cstheme="minorHAnsi"/>
        </w:rPr>
        <w:t>jnego.</w:t>
      </w:r>
    </w:p>
    <w:p w:rsidR="002B12AF" w:rsidRPr="00EA16BB" w:rsidRDefault="00EA16BB" w:rsidP="00EA16BB">
      <w:pPr>
        <w:pStyle w:val="Bezodstpw1"/>
        <w:spacing w:after="60"/>
        <w:rPr>
          <w:rFonts w:asciiTheme="minorHAnsi" w:hAnsiTheme="minorHAnsi" w:cstheme="minorHAnsi"/>
        </w:rPr>
      </w:pPr>
      <w:r w:rsidRPr="00EA16BB">
        <w:rPr>
          <w:rFonts w:asciiTheme="minorHAnsi" w:hAnsiTheme="minorHAnsi" w:cstheme="minorHAnsi"/>
        </w:rPr>
        <w:t xml:space="preserve">Art. 4 ust. 1 ustawy z dnia 19 lipca 2019 r. </w:t>
      </w:r>
      <w:r w:rsidRPr="00EA16BB">
        <w:rPr>
          <w:rFonts w:asciiTheme="minorHAnsi" w:hAnsiTheme="minorHAnsi" w:cstheme="minorHAns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EA16BB">
        <w:rPr>
          <w:rFonts w:asciiTheme="minorHAnsi" w:hAnsiTheme="minorHAnsi" w:cstheme="minorHAnsi"/>
        </w:rPr>
        <w:t xml:space="preserve"> (Dz. U. poz. 1</w:t>
      </w:r>
      <w:r w:rsidRPr="00EA16BB">
        <w:rPr>
          <w:rFonts w:asciiTheme="minorHAnsi" w:hAnsiTheme="minorHAnsi" w:cstheme="minorHAnsi"/>
        </w:rPr>
        <w:t>712, ze zm.):</w:t>
      </w:r>
      <w:r w:rsidRPr="00EA16BB">
        <w:rPr>
          <w:rFonts w:asciiTheme="minorHAnsi" w:hAnsiTheme="minorHAnsi" w:cstheme="minorHAnsi"/>
        </w:rPr>
        <w:t xml:space="preserve"> Do spraw wszczętych na podstawie ustaw zmienianych w art. 1 oraz w art. 3 i niezakończonych przed dniem wejścia w życie niniejszej ustawy stosuje się przepisy dotychczasowe.</w:t>
      </w:r>
    </w:p>
    <w:p w:rsidR="002B12AF" w:rsidRPr="00EA16BB" w:rsidRDefault="00EA16BB" w:rsidP="00EA16BB">
      <w:pPr>
        <w:pStyle w:val="Bezodstpw1"/>
        <w:spacing w:after="60"/>
        <w:rPr>
          <w:rFonts w:asciiTheme="minorHAnsi" w:hAnsiTheme="minorHAnsi" w:cstheme="minorHAnsi"/>
          <w:bCs/>
        </w:rPr>
      </w:pPr>
      <w:r w:rsidRPr="00EA16BB">
        <w:rPr>
          <w:rFonts w:asciiTheme="minorHAnsi" w:hAnsiTheme="minorHAnsi" w:cstheme="minorHAnsi"/>
          <w:bCs/>
        </w:rPr>
        <w:t>Art. 15 ust. 1 ustawy z dnia 13 lipca 2023 r. o zmianie ustawy o udo</w:t>
      </w:r>
      <w:r w:rsidRPr="00EA16BB">
        <w:rPr>
          <w:rFonts w:asciiTheme="minorHAnsi" w:hAnsiTheme="minorHAnsi" w:cstheme="minorHAnsi"/>
          <w:bCs/>
        </w:rPr>
        <w:t xml:space="preserve">stępnianiu informacji o środowisku i jego ochronie, udziale społeczeństwa w ochronie środowiska oraz o ocenach oddziaływania na środowisko oraz niektórych innych ustaw (Dz. U. poz. 1890): </w:t>
      </w:r>
      <w:r w:rsidRPr="00EA16BB">
        <w:rPr>
          <w:rFonts w:asciiTheme="minorHAnsi" w:hAnsiTheme="minorHAnsi" w:cstheme="minorHAnsi"/>
        </w:rPr>
        <w:t>Do spraw prowadzonych na podstawie ustawy zmienianej w art. 1 wszczę</w:t>
      </w:r>
      <w:r w:rsidRPr="00EA16BB">
        <w:rPr>
          <w:rFonts w:asciiTheme="minorHAnsi" w:hAnsiTheme="minorHAnsi" w:cstheme="minorHAnsi"/>
        </w:rPr>
        <w:t>tych i niezakończonych przed dniem wejścia w życie niniejszej ustawy stosuje się przepisy ustawy zmienianej w art. 1 w brzmieniu dotychczasowym, z wyjątkiem przepisów art. 61 ust. 1, art. 66 ust. 1 pkt 5, art. 82 ust. 1 oraz art. 86f ust. 2 i 4 ustawy zmie</w:t>
      </w:r>
      <w:r w:rsidRPr="00EA16BB">
        <w:rPr>
          <w:rFonts w:asciiTheme="minorHAnsi" w:hAnsiTheme="minorHAnsi" w:cstheme="minorHAnsi"/>
        </w:rPr>
        <w:t>nianej w art. 1, które stosuje się w brzmieniu nadanym niniejszą ustawą, oraz stosuje się przepisy art. 86f ust. 1a, 2a i 8 ustawy zmienianej w art. 1.</w:t>
      </w:r>
    </w:p>
    <w:p w:rsidR="002B12AF" w:rsidRPr="00EA16BB" w:rsidRDefault="00EA16BB" w:rsidP="00EA16BB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:rsidR="00260F62" w:rsidRPr="00EA16BB" w:rsidRDefault="00EA16BB" w:rsidP="00EA16BB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sectPr w:rsidR="00260F62" w:rsidRPr="00EA16BB" w:rsidSect="00F170A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A16BB">
      <w:pPr>
        <w:spacing w:after="0" w:line="240" w:lineRule="auto"/>
      </w:pPr>
      <w:r>
        <w:separator/>
      </w:r>
    </w:p>
  </w:endnote>
  <w:endnote w:type="continuationSeparator" w:id="0">
    <w:p w:rsidR="00000000" w:rsidRDefault="00EA1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260F62" w:rsidRPr="002C58EA" w:rsidRDefault="00EA16B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260F62" w:rsidRDefault="00EA16B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A16BB">
      <w:pPr>
        <w:spacing w:after="0" w:line="240" w:lineRule="auto"/>
      </w:pPr>
      <w:r>
        <w:separator/>
      </w:r>
    </w:p>
  </w:footnote>
  <w:footnote w:type="continuationSeparator" w:id="0">
    <w:p w:rsidR="00000000" w:rsidRDefault="00EA1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62" w:rsidRDefault="00EA16B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12" w:type="dxa"/>
      <w:tblLook w:val="04A0" w:firstRow="1" w:lastRow="0" w:firstColumn="1" w:lastColumn="0" w:noHBand="0" w:noVBand="1"/>
    </w:tblPr>
    <w:tblGrid>
      <w:gridCol w:w="4641"/>
    </w:tblGrid>
    <w:tr w:rsidR="00D111A1" w:rsidTr="00D34181">
      <w:trPr>
        <w:trHeight w:val="470"/>
      </w:trPr>
      <w:tc>
        <w:tcPr>
          <w:tcW w:w="4641" w:type="dxa"/>
          <w:vAlign w:val="center"/>
        </w:tcPr>
        <w:p w:rsidR="00260F62" w:rsidRPr="002B12AF" w:rsidRDefault="00EA16BB" w:rsidP="002B12A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260F62" w:rsidRDefault="00EA16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A1"/>
    <w:rsid w:val="00CC1E58"/>
    <w:rsid w:val="00D111A1"/>
    <w:rsid w:val="00EA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206C"/>
  <w15:docId w15:val="{DD66888B-4A0F-4164-8498-89BD73B2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2B12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0B206-721F-421A-9003-95440C79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2010-12-24T09:23:00Z</cp:lastPrinted>
  <dcterms:created xsi:type="dcterms:W3CDTF">2026-01-30T11:10:00Z</dcterms:created>
  <dcterms:modified xsi:type="dcterms:W3CDTF">2026-01-30T11:12:00Z</dcterms:modified>
</cp:coreProperties>
</file>