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A30DE" w14:textId="799266D3" w:rsidR="00AD4808" w:rsidRPr="00AD4808" w:rsidRDefault="00AD4808" w:rsidP="00AD4808">
      <w:pPr>
        <w:pStyle w:val="OZNPROJEKTUwskazaniedatylubwersjiprojektu"/>
      </w:pPr>
      <w:r w:rsidRPr="00AD4808">
        <w:t xml:space="preserve">Projekt z dnia </w:t>
      </w:r>
      <w:r w:rsidR="0056569E">
        <w:t>0</w:t>
      </w:r>
      <w:r w:rsidR="00266EAB">
        <w:t>2.09</w:t>
      </w:r>
      <w:r w:rsidRPr="00AD4808">
        <w:t xml:space="preserve">.2026 r. </w:t>
      </w:r>
    </w:p>
    <w:p w14:paraId="4E0170AA" w14:textId="77777777" w:rsidR="00AD4808" w:rsidRPr="00AD4808" w:rsidRDefault="00AD4808" w:rsidP="00AD4808">
      <w:pPr>
        <w:rPr>
          <w:lang w:val="pl-PL"/>
        </w:rPr>
      </w:pPr>
    </w:p>
    <w:p w14:paraId="284C168E" w14:textId="77777777" w:rsidR="00AD4808" w:rsidRPr="00AD4808" w:rsidRDefault="00AD4808" w:rsidP="00AD4808">
      <w:pPr>
        <w:pStyle w:val="OZNRODZAKTUtznustawalubrozporzdzenieiorganwydajcy"/>
      </w:pPr>
      <w:r w:rsidRPr="00AD4808">
        <w:t>ROZPORZĄDZENIE</w:t>
      </w:r>
    </w:p>
    <w:p w14:paraId="0A0A158A" w14:textId="77777777" w:rsidR="00AD4808" w:rsidRPr="00AD4808" w:rsidRDefault="00AD4808" w:rsidP="00AD4808">
      <w:pPr>
        <w:pStyle w:val="OZNRODZAKTUtznustawalubrozporzdzenieiorganwydajcy"/>
        <w:rPr>
          <w:rStyle w:val="IGindeksgrny"/>
        </w:rPr>
      </w:pPr>
      <w:r w:rsidRPr="00AD4808">
        <w:t>MINISTRA CYFRYZACJI</w:t>
      </w:r>
      <w:r w:rsidRPr="00AD4808">
        <w:rPr>
          <w:rStyle w:val="Odwoanieprzypisudolnego"/>
        </w:rPr>
        <w:footnoteReference w:id="1"/>
      </w:r>
      <w:r w:rsidRPr="00AD4808">
        <w:rPr>
          <w:rStyle w:val="IGindeksgrny"/>
        </w:rPr>
        <w:t>)</w:t>
      </w:r>
    </w:p>
    <w:p w14:paraId="3FE8FB57" w14:textId="77777777" w:rsidR="00AD4808" w:rsidRPr="00AD4808" w:rsidRDefault="00AD4808" w:rsidP="00AD4808">
      <w:pPr>
        <w:pStyle w:val="DATAAKTUdatauchwalenialubwydaniaaktu"/>
      </w:pPr>
      <w:r w:rsidRPr="00AD4808">
        <w:t>z dnia …………………………</w:t>
      </w:r>
    </w:p>
    <w:p w14:paraId="67FF18E3" w14:textId="77777777" w:rsidR="00AD4808" w:rsidRPr="00AD4808" w:rsidRDefault="00AD4808" w:rsidP="00AD4808">
      <w:pPr>
        <w:pStyle w:val="TYTUAKTUprzedmiotregulacjiustawylubrozporzdzenia"/>
      </w:pPr>
      <w:r w:rsidRPr="00AD4808">
        <w:t>w sprawie wysokości opłaty za udział w piaskownicy regulacyjnej oraz sposobu jej wnoszenia</w:t>
      </w:r>
    </w:p>
    <w:p w14:paraId="406AA5F7" w14:textId="77777777" w:rsidR="00AD4808" w:rsidRPr="00AD4808" w:rsidRDefault="00AD4808" w:rsidP="00AD4808">
      <w:pPr>
        <w:pStyle w:val="NIEARTTEKSTtekstnieartykuowanynppodstprawnarozplubpreambua"/>
      </w:pPr>
      <w:r w:rsidRPr="00AD4808">
        <w:t>Na podstawie art. 93 ust. 4 ustawy z dnia 3 lipca 2026 r. o systemach sztucznej inteligencji (Dz. U. poz. 1003) zarządza się, co następuje:</w:t>
      </w:r>
    </w:p>
    <w:p w14:paraId="566DC4FA" w14:textId="3D95999E" w:rsidR="00AD4808" w:rsidRPr="00AD4808" w:rsidRDefault="00AD4808" w:rsidP="00AD4808">
      <w:pPr>
        <w:pStyle w:val="ARTartustawynprozporzdzenia"/>
      </w:pPr>
      <w:r w:rsidRPr="00AD4808">
        <w:rPr>
          <w:rStyle w:val="Ppogrubienie"/>
        </w:rPr>
        <w:t>§ 1.</w:t>
      </w:r>
      <w:r w:rsidRPr="00AD4808">
        <w:t xml:space="preserve"> Rozporządzenie określa wysokość opłaty za uczestnictwo w piaskownicy regulacyjnej, o której nowa w art. 91 ust. 1 ustawy z dnia 3 lipca 2026 r. o systemach sztucznej inteligencji (Dz. U. poz. 1003)</w:t>
      </w:r>
      <w:r w:rsidR="0056569E">
        <w:t>,</w:t>
      </w:r>
      <w:r w:rsidRPr="00AD4808">
        <w:t xml:space="preserve"> oraz sposób jej wnoszenia.</w:t>
      </w:r>
    </w:p>
    <w:p w14:paraId="4C2A9944" w14:textId="007FB028" w:rsidR="00AD4808" w:rsidRPr="00AD4808" w:rsidRDefault="00AD4808" w:rsidP="00AD4808">
      <w:pPr>
        <w:pStyle w:val="ARTartustawynprozporzdzenia"/>
      </w:pPr>
      <w:r w:rsidRPr="00AD4808">
        <w:rPr>
          <w:rStyle w:val="Ppogrubienie"/>
        </w:rPr>
        <w:t>§ 2.</w:t>
      </w:r>
      <w:r w:rsidRPr="00AD4808">
        <w:t xml:space="preserve"> 1. Wysokość opłaty, o której mowa w § 1</w:t>
      </w:r>
      <w:r w:rsidR="0056569E">
        <w:t>,</w:t>
      </w:r>
      <w:r w:rsidR="001809D5">
        <w:t xml:space="preserve"> dla</w:t>
      </w:r>
      <w:r w:rsidRPr="00AD4808">
        <w:t>:</w:t>
      </w:r>
    </w:p>
    <w:p w14:paraId="19469581" w14:textId="30D986DD" w:rsidR="00AD4808" w:rsidRPr="00AD4808" w:rsidRDefault="00AD4808" w:rsidP="00AD4808">
      <w:pPr>
        <w:pStyle w:val="PKTpunkt"/>
      </w:pPr>
      <w:r w:rsidRPr="00AD4808">
        <w:t>1)</w:t>
      </w:r>
      <w:r w:rsidRPr="00AD4808">
        <w:tab/>
        <w:t>jednost</w:t>
      </w:r>
      <w:r w:rsidR="001809D5">
        <w:t>ki</w:t>
      </w:r>
      <w:r w:rsidRPr="00AD4808">
        <w:t xml:space="preserve"> samorządu terytorialnego wynosi 4806 zł;</w:t>
      </w:r>
    </w:p>
    <w:p w14:paraId="43E23A7F" w14:textId="2F3306E3" w:rsidR="00AD4808" w:rsidRPr="00AD4808" w:rsidRDefault="00AD4808" w:rsidP="00AD4808">
      <w:pPr>
        <w:pStyle w:val="PKTpunkt"/>
      </w:pPr>
      <w:r w:rsidRPr="00AD4808">
        <w:t>2)</w:t>
      </w:r>
      <w:r w:rsidRPr="00AD4808">
        <w:tab/>
        <w:t>podmiot</w:t>
      </w:r>
      <w:r w:rsidR="00FC1983">
        <w:t>u</w:t>
      </w:r>
      <w:r w:rsidRPr="00AD4808">
        <w:t xml:space="preserve"> </w:t>
      </w:r>
      <w:r w:rsidR="00FC1983" w:rsidRPr="00AD4808">
        <w:t>inn</w:t>
      </w:r>
      <w:r w:rsidR="00FC1983">
        <w:t>ego</w:t>
      </w:r>
      <w:r w:rsidR="00FC1983" w:rsidRPr="00AD4808">
        <w:t xml:space="preserve"> </w:t>
      </w:r>
      <w:r w:rsidRPr="00AD4808">
        <w:t>niż mikroprzedsięb</w:t>
      </w:r>
      <w:r w:rsidR="0056569E">
        <w:t>i</w:t>
      </w:r>
      <w:r w:rsidRPr="00AD4808">
        <w:t xml:space="preserve">orcy, mali i średni przedsiębiorcy </w:t>
      </w:r>
      <w:r w:rsidR="000408A6">
        <w:t>oraz</w:t>
      </w:r>
      <w:r w:rsidR="000408A6" w:rsidRPr="00AD4808">
        <w:t xml:space="preserve"> </w:t>
      </w:r>
      <w:r w:rsidRPr="00AD4808">
        <w:t>podmioty wskazane w pkt 1 wynosi 14 418 zł.</w:t>
      </w:r>
    </w:p>
    <w:p w14:paraId="58EB02A9" w14:textId="67F55DCC" w:rsidR="00AD4808" w:rsidRPr="00AD4808" w:rsidRDefault="00AD4808" w:rsidP="00AD4808">
      <w:pPr>
        <w:pStyle w:val="USTustnpkodeksu"/>
      </w:pPr>
      <w:r w:rsidRPr="00AD4808">
        <w:t>2. Opłata jest wnoszona jednorazowo na rachunek bankowy urzędu obsługującego ministra właściwego do spraw informatyzacji</w:t>
      </w:r>
      <w:r w:rsidR="001809D5">
        <w:t>.</w:t>
      </w:r>
    </w:p>
    <w:p w14:paraId="4AD1F625" w14:textId="77777777" w:rsidR="00AD4808" w:rsidRPr="00AD4808" w:rsidRDefault="00AD4808" w:rsidP="00AD4808">
      <w:pPr>
        <w:pStyle w:val="ARTartustawynprozporzdzenia"/>
      </w:pPr>
      <w:r w:rsidRPr="00AD4808">
        <w:rPr>
          <w:rStyle w:val="Ppogrubienie"/>
        </w:rPr>
        <w:t>§ 3.</w:t>
      </w:r>
      <w:r w:rsidRPr="00AD4808">
        <w:t xml:space="preserve"> Rozporządzenie wchodzi w życie po upływie 14 dni od dnia ogłoszenia.</w:t>
      </w:r>
    </w:p>
    <w:p w14:paraId="73DCC0BB" w14:textId="77777777" w:rsidR="00AD4808" w:rsidRPr="00AD4808" w:rsidRDefault="00AD4808" w:rsidP="00AD4808">
      <w:pPr>
        <w:pStyle w:val="NAZORGWYDnazwaorganuwydajcegoprojektowanyakt"/>
      </w:pPr>
    </w:p>
    <w:p w14:paraId="76DAB739" w14:textId="77777777" w:rsidR="00AD4808" w:rsidRDefault="00AD4808" w:rsidP="00AD4808">
      <w:pPr>
        <w:pStyle w:val="NAZORGWYDnazwaorganuwydajcegoprojektowanyakt"/>
      </w:pPr>
      <w:r w:rsidRPr="00AD4808">
        <w:t>Minister Cyfryzacji</w:t>
      </w:r>
    </w:p>
    <w:p w14:paraId="4FB975A0" w14:textId="77777777" w:rsidR="00167101" w:rsidRDefault="00167101" w:rsidP="00167101">
      <w:pPr>
        <w:pStyle w:val="NAZORGWYDnazwaorganuwydajcegoprojektowanyakt"/>
        <w:ind w:left="0"/>
        <w:jc w:val="left"/>
      </w:pPr>
    </w:p>
    <w:p w14:paraId="2BBC3C7D" w14:textId="77777777" w:rsidR="00167101" w:rsidRPr="004650C1" w:rsidRDefault="00167101" w:rsidP="00167101">
      <w:pPr>
        <w:pStyle w:val="OZNPARAFYADNOTACJE"/>
        <w:rPr>
          <w:rFonts w:eastAsia="Times New Roman"/>
        </w:rPr>
      </w:pPr>
      <w:r w:rsidRPr="004650C1">
        <w:rPr>
          <w:rFonts w:eastAsia="Times New Roman"/>
        </w:rPr>
        <w:t>Za zgodność pod względem prawnym,</w:t>
      </w:r>
    </w:p>
    <w:p w14:paraId="6F6957E1" w14:textId="77777777" w:rsidR="00167101" w:rsidRPr="004650C1" w:rsidRDefault="00167101" w:rsidP="00167101">
      <w:pPr>
        <w:pStyle w:val="OZNPARAFYADNOTACJE"/>
        <w:rPr>
          <w:rFonts w:eastAsia="Times New Roman"/>
        </w:rPr>
      </w:pPr>
      <w:r w:rsidRPr="004650C1">
        <w:rPr>
          <w:rFonts w:eastAsia="Times New Roman"/>
        </w:rPr>
        <w:t>legislacyjnym i redakcyjnym</w:t>
      </w:r>
    </w:p>
    <w:p w14:paraId="375D5617" w14:textId="77777777" w:rsidR="00167101" w:rsidRPr="004650C1" w:rsidRDefault="00167101" w:rsidP="00167101">
      <w:pPr>
        <w:pStyle w:val="OZNPARAFYADNOTACJE"/>
        <w:rPr>
          <w:rFonts w:eastAsia="Times New Roman"/>
        </w:rPr>
      </w:pPr>
      <w:r>
        <w:t>Magdalena Witkowska-Krzymowska</w:t>
      </w:r>
    </w:p>
    <w:p w14:paraId="12BC73DE" w14:textId="77777777" w:rsidR="00167101" w:rsidRPr="004650C1" w:rsidRDefault="00167101" w:rsidP="00167101">
      <w:pPr>
        <w:pStyle w:val="OZNPARAFYADNOTACJE"/>
        <w:rPr>
          <w:rFonts w:eastAsia="Times New Roman"/>
        </w:rPr>
      </w:pPr>
      <w:r w:rsidRPr="004650C1">
        <w:rPr>
          <w:rFonts w:eastAsia="Times New Roman"/>
        </w:rPr>
        <w:t>Dyrektor Departamentu Prawnego</w:t>
      </w:r>
    </w:p>
    <w:p w14:paraId="62B5D860" w14:textId="77777777" w:rsidR="00167101" w:rsidRPr="004650C1" w:rsidRDefault="00167101" w:rsidP="00167101">
      <w:pPr>
        <w:pStyle w:val="OZNPARAFYADNOTACJE"/>
        <w:rPr>
          <w:rFonts w:eastAsia="Times New Roman"/>
        </w:rPr>
      </w:pPr>
      <w:r w:rsidRPr="004650C1">
        <w:rPr>
          <w:rFonts w:eastAsia="Times New Roman"/>
        </w:rPr>
        <w:t>w Ministerstwie Cyfryzacji</w:t>
      </w:r>
    </w:p>
    <w:p w14:paraId="79545AD6" w14:textId="251A0ECA" w:rsidR="00167101" w:rsidRPr="00266EAB" w:rsidRDefault="00167101" w:rsidP="00266EAB">
      <w:pPr>
        <w:pStyle w:val="OZNPARAFYADNOTACJE"/>
        <w:rPr>
          <w:rFonts w:ascii="Open Sans" w:eastAsia="Calibri" w:hAnsi="Open Sans"/>
          <w:sz w:val="22"/>
          <w:szCs w:val="22"/>
          <w:lang w:eastAsia="en-US"/>
        </w:rPr>
      </w:pPr>
      <w:r w:rsidRPr="004650C1">
        <w:rPr>
          <w:rFonts w:eastAsia="Times New Roman"/>
        </w:rPr>
        <w:t>/podpisano elektronicznie/</w:t>
      </w:r>
    </w:p>
    <w:p w14:paraId="3FB3F81F" w14:textId="77777777" w:rsidR="00AD4808" w:rsidRPr="00AD4808" w:rsidRDefault="00AD4808" w:rsidP="00AD4808">
      <w:pPr>
        <w:rPr>
          <w:lang w:val="pl-PL"/>
        </w:rPr>
      </w:pPr>
      <w:r w:rsidRPr="00AD4808">
        <w:rPr>
          <w:lang w:val="pl-PL"/>
        </w:rPr>
        <w:br w:type="page"/>
      </w:r>
    </w:p>
    <w:p w14:paraId="7642A52F" w14:textId="77777777" w:rsidR="00AD4808" w:rsidRPr="00AD4808" w:rsidRDefault="00AD4808" w:rsidP="00AD4808">
      <w:pPr>
        <w:pStyle w:val="TYTUAKTUprzedmiotregulacjiustawylubrozporzdzenia"/>
      </w:pPr>
      <w:r w:rsidRPr="00AD4808">
        <w:lastRenderedPageBreak/>
        <w:t>Uzasadnienie</w:t>
      </w:r>
    </w:p>
    <w:p w14:paraId="75C7F9CD" w14:textId="75A69978" w:rsidR="00AD4808" w:rsidRPr="00AD4808" w:rsidRDefault="00AD4808" w:rsidP="00AD4808">
      <w:pPr>
        <w:pStyle w:val="ARTartustawynprozporzdzenia"/>
      </w:pPr>
      <w:r w:rsidRPr="00AD4808">
        <w:t xml:space="preserve">Ustawa z dnia 3 lipca 2026 roku o systemach sztucznej inteligencji (Dz. U. poz. 1003), zwanej dalej </w:t>
      </w:r>
      <w:r w:rsidR="000408A6">
        <w:t>„</w:t>
      </w:r>
      <w:r w:rsidRPr="00AD4808">
        <w:t>ustawą</w:t>
      </w:r>
      <w:r w:rsidR="000408A6">
        <w:t>”</w:t>
      </w:r>
      <w:r w:rsidRPr="00AD4808">
        <w:t>, reguluje krajowe ramy prawne funkcjonowania piaskownicy regulacyjnej w obszarze sztucznej inteligencji zgodnie z rozporządzeniem Parlamentu Europejskiego i Rady (UE) 2024/1689 z dnia 13 czerwca 2024 r. sprawie ustanowienia zharmonizowanych przepisów dotyczących sztucznej inteligencji oraz zmiany rozporządzeń (WE) nr 300/2008, (UE) nr 167/2013, (UE) nr 168/2013, (UE) 2018/858, (UE) 2018/1139 i</w:t>
      </w:r>
      <w:r w:rsidR="00266EAB">
        <w:t> </w:t>
      </w:r>
      <w:r w:rsidRPr="00AD4808">
        <w:t xml:space="preserve">(UE) 2019/2144 oraz dyrektyw 2014/90/UE, (UE) 2016/797 i (UE) 2020/1828 (akt w sprawie sztucznej inteligencji) (Dz. Urz. UE. L. z 12.07.2024), zwanym dalej </w:t>
      </w:r>
      <w:r w:rsidR="00002FC3">
        <w:t>„</w:t>
      </w:r>
      <w:r w:rsidRPr="00AD4808">
        <w:t>rozporządzenie</w:t>
      </w:r>
      <w:r w:rsidR="00266EAB">
        <w:t>m</w:t>
      </w:r>
      <w:r w:rsidRPr="00AD4808">
        <w:t xml:space="preserve"> 2024/1689</w:t>
      </w:r>
      <w:r w:rsidR="00002FC3">
        <w:t>”</w:t>
      </w:r>
      <w:r w:rsidRPr="00AD4808">
        <w:t xml:space="preserve">. Tym samym wykonuje obowiązek państw członkowskich do określenia zasad organizacji takiej piaskownicy oraz warunków udzielania odstępstw od stosowania niektórych wymogów technicznych i proceduralnych, niezbędnych do przeprowadzenia projektów pilotażowych. Mechanizm określony w ustawie ma na celu wsparcie rozwoju nowatorskich rozwiązań technologicznych na terenie kraju, szczególnie w obszarze AI, przy jednoczesnym zapewnieniu odpowiednich zabezpieczeń dla użytkowników i społeczeństwa. </w:t>
      </w:r>
    </w:p>
    <w:p w14:paraId="13C725E3" w14:textId="77777777" w:rsidR="00AD4808" w:rsidRPr="00AD4808" w:rsidRDefault="00AD4808" w:rsidP="00AD4808">
      <w:pPr>
        <w:pStyle w:val="ARTartustawynprozporzdzenia"/>
      </w:pPr>
      <w:r w:rsidRPr="00AD4808">
        <w:t xml:space="preserve">Projekt rozporządzenia stanowi realizację upoważnienia ustawowego zawartego w art. 93 ust. 4 ustawy, które zobowiązuje ministra właściwego do spraw informatyzacji do określenia wysokości opłaty za udział w piaskownicy regulacyjnej oraz sposobu jej wnoszenia. </w:t>
      </w:r>
    </w:p>
    <w:p w14:paraId="5A05250B" w14:textId="42F22F68" w:rsidR="00AD4808" w:rsidRPr="00AD4808" w:rsidRDefault="00AD4808" w:rsidP="00AD4808">
      <w:pPr>
        <w:pStyle w:val="ARTartustawynprozporzdzenia"/>
      </w:pPr>
      <w:r w:rsidRPr="00AD4808">
        <w:t>Art. 91 ust. 1 ustawy przyznaje Komisji kompetencję do ustanawiania piaskownic regulacyjnych oraz udzielania uczestnikom zgody na czasowe odstępstwo od określonych wymogów rozporządzenia 2024/1689 lub wsparcia w zakresie osiągania zgodności z tymi wymogami.</w:t>
      </w:r>
    </w:p>
    <w:p w14:paraId="126AFDF3" w14:textId="60117B47" w:rsidR="00AD4808" w:rsidRPr="00AD4808" w:rsidRDefault="00AD4808" w:rsidP="00AD4808">
      <w:pPr>
        <w:pStyle w:val="ARTartustawynprozporzdzenia"/>
      </w:pPr>
      <w:r w:rsidRPr="00AD4808">
        <w:t>Zakres możliwych odstępstw określony w art. 91 ust. 3 ustawy ograniczono do obowiązków o charakterze proceduralnym i dokumentacyjnym, takich jak wymagania dotyczące dokumentacji technicznej, zarządzania ryzykiem, jakości danych, ocen zgodności czy obowiązków rejestracyjnych. Rozwiązanie to pozwoli na prowadzenie testów i prac rozwojowych bez nadmiernych obciążeń administracyjnych, przy zachowaniu podstawowych gwarancji bezpieczeństwa.</w:t>
      </w:r>
    </w:p>
    <w:p w14:paraId="2D9D1CC9" w14:textId="32CAA65B" w:rsidR="00AD4808" w:rsidRPr="00AD4808" w:rsidRDefault="00AD4808" w:rsidP="00AD4808">
      <w:pPr>
        <w:pStyle w:val="ARTartustawynprozporzdzenia"/>
      </w:pPr>
      <w:r w:rsidRPr="00AD4808">
        <w:t>Zakres piaskownicy regulacyjnej obejmuje także:</w:t>
      </w:r>
    </w:p>
    <w:p w14:paraId="7F6605C3" w14:textId="2D2E1FCA" w:rsidR="00AD4808" w:rsidRPr="00AD4808" w:rsidRDefault="00AD4808" w:rsidP="00AD4808">
      <w:pPr>
        <w:pStyle w:val="ARTartustawynprozporzdzenia"/>
      </w:pPr>
      <w:r w:rsidRPr="00AD4808">
        <w:t>1</w:t>
      </w:r>
      <w:r w:rsidR="00002FC3" w:rsidRPr="00AD4808">
        <w:t>)</w:t>
      </w:r>
      <w:r w:rsidR="00002FC3">
        <w:tab/>
      </w:r>
      <w:r w:rsidRPr="00AD4808">
        <w:t xml:space="preserve">limit łącznej liczby użytkowników i innych podmiotów, na które mogą jednocześnie oddziaływać projekty w piaskownicy regulacyjnej, uwzględniający możliwości organizacyjne </w:t>
      </w:r>
      <w:r w:rsidRPr="00AD4808">
        <w:lastRenderedPageBreak/>
        <w:t>Komisji, przewidywane zainteresowanie uczestnictwem w piaskownicy regulacyjnej i</w:t>
      </w:r>
      <w:r w:rsidR="00037322">
        <w:t> </w:t>
      </w:r>
      <w:r w:rsidRPr="00AD4808">
        <w:t>przewidywany wpływ piaskownicy regulacyjnej na poziom innowacyjności przedsiębiorstw w obszarze sztucznej inteligencji;</w:t>
      </w:r>
    </w:p>
    <w:p w14:paraId="07F7F345" w14:textId="7C1D46F8" w:rsidR="00AD4808" w:rsidRPr="00AD4808" w:rsidRDefault="00AD4808" w:rsidP="00AD4808">
      <w:pPr>
        <w:pStyle w:val="ARTartustawynprozporzdzenia"/>
      </w:pPr>
      <w:r w:rsidRPr="00AD4808">
        <w:t>2</w:t>
      </w:r>
      <w:r w:rsidR="00002FC3" w:rsidRPr="00AD4808">
        <w:t>)</w:t>
      </w:r>
      <w:r w:rsidR="00002FC3">
        <w:tab/>
      </w:r>
      <w:r w:rsidRPr="00AD4808">
        <w:t>czas trwania piaskownicy regulacyjnej na poziomie nie mniej niż 6 i nie więcej niż 12</w:t>
      </w:r>
      <w:r w:rsidR="00037322">
        <w:t> </w:t>
      </w:r>
      <w:r w:rsidRPr="00AD4808">
        <w:t>miesięcy;</w:t>
      </w:r>
    </w:p>
    <w:p w14:paraId="4E3C410F" w14:textId="196B0960" w:rsidR="00AD4808" w:rsidRPr="00AD4808" w:rsidRDefault="00AD4808" w:rsidP="00AD4808">
      <w:pPr>
        <w:pStyle w:val="ARTartustawynprozporzdzenia"/>
      </w:pPr>
      <w:r w:rsidRPr="00AD4808">
        <w:t>3</w:t>
      </w:r>
      <w:r w:rsidR="00002FC3" w:rsidRPr="00AD4808">
        <w:t>)</w:t>
      </w:r>
      <w:r w:rsidR="00002FC3">
        <w:tab/>
      </w:r>
      <w:r w:rsidRPr="00AD4808">
        <w:t>inne obowiązki określone w aktach wykonawczych Komisji Europejskiej, o których mowa w art. 58 rozporządzenia 2024/1689.</w:t>
      </w:r>
    </w:p>
    <w:p w14:paraId="7898AF9E" w14:textId="6686F27C" w:rsidR="00AD4808" w:rsidRPr="00AD4808" w:rsidRDefault="00AD4808" w:rsidP="00AD4808">
      <w:pPr>
        <w:pStyle w:val="ARTartustawynprozporzdzenia"/>
      </w:pPr>
      <w:r w:rsidRPr="00AD4808">
        <w:t>Jednocześnie przepis art. 91 ust. 6 ustawy umożliwia Komisji zapewnienie uczestnikom odpowiedniego zaplecza technologicznego do testowania systemów sztucznej inteligencji w</w:t>
      </w:r>
      <w:r w:rsidR="00037322">
        <w:t> </w:t>
      </w:r>
      <w:r w:rsidRPr="00AD4808">
        <w:t>kontrolowanym środowisku. Rozwiązanie to ma szczególne znaczenie dla małych i średnich przedsiębiorstw oraz startupów, które często nie dysponują własną infrastrukturą umożliwiającą przeprowadzanie zaawansowanych testów.</w:t>
      </w:r>
    </w:p>
    <w:p w14:paraId="14963211" w14:textId="784503E7" w:rsidR="00AD4808" w:rsidRPr="00AD4808" w:rsidRDefault="00AD4808" w:rsidP="00AD4808">
      <w:pPr>
        <w:pStyle w:val="ARTartustawynprozporzdzenia"/>
      </w:pPr>
      <w:r w:rsidRPr="00AD4808">
        <w:t>Określony w ustawie zakres i czas piaskownicy regulacyjnej służy zachowaniu równowagi pomiędzy potrzebą zapewnienia uczestnikom odpowiedniego czasu na przeprowadzenie testów i osiągnięcie zgodności z wymaganiami rozporządzenia 2024/1689</w:t>
      </w:r>
      <w:r w:rsidR="00002FC3">
        <w:t>,</w:t>
      </w:r>
      <w:r w:rsidR="00037322">
        <w:t xml:space="preserve"> </w:t>
      </w:r>
      <w:r w:rsidRPr="00AD4808">
        <w:t>a</w:t>
      </w:r>
      <w:r w:rsidR="00037322">
        <w:t> </w:t>
      </w:r>
      <w:r w:rsidRPr="00AD4808">
        <w:t>koniecznością sprawnego funkcjonowania mechanizmu oraz zapewnienia dostępu do niego kolejnym podmiotom.</w:t>
      </w:r>
    </w:p>
    <w:p w14:paraId="610B7EC8" w14:textId="2D2EC2FC" w:rsidR="00AD4808" w:rsidRPr="00AD4808" w:rsidRDefault="00AD4808" w:rsidP="00AD4808">
      <w:pPr>
        <w:pStyle w:val="ARTartustawynprozporzdzenia"/>
      </w:pPr>
      <w:r w:rsidRPr="00AD4808">
        <w:t>W celu zapewnienia przejrzystości i równego dostępu do udziału w piaskownicach regulacyjnych ustawa przewiduje organizację konkursowego naboru projektów, w ramach którego Komisja określi warunki uczestnictwa, sposób składania ofert oraz kryteria wyboru przedsięwzięć kwalifikowanych do realizacji. Komisja Rozwoju i Bezpieczeństwa Sztucznej Inteligencji udziela zgody, na funkcjonowanie piaskownicy wybranym podmiotom, co stwarza możliwość testowania nowych technologii w bezpiecznych warunkach.</w:t>
      </w:r>
    </w:p>
    <w:p w14:paraId="110B98E0" w14:textId="75FB1A3B" w:rsidR="00AD4808" w:rsidRPr="00AD4808" w:rsidRDefault="00AD4808" w:rsidP="00AD4808">
      <w:pPr>
        <w:pStyle w:val="ARTartustawynprozporzdzenia"/>
      </w:pPr>
      <w:r w:rsidRPr="00AD4808">
        <w:t>W zakresie opłat za uczestnictwo w</w:t>
      </w:r>
      <w:r w:rsidR="00002FC3">
        <w:t xml:space="preserve"> </w:t>
      </w:r>
      <w:r w:rsidRPr="00AD4808">
        <w:t>piaskownicy regulacyjnej przyjęto rozwiązanie zapewniające zgodność z ustawą. Ustalając wysokości opłaty za udział w piaskownicy regulacyjnej wzięto pod uwagę zakres piaskownicy rodzaj podmiotu, zakres piaskownicy regulacyjnej określony w art. 91 ustawy oraz konieczność prawidłowej i efektywnej jej obsługi.</w:t>
      </w:r>
    </w:p>
    <w:p w14:paraId="04F4712A" w14:textId="2F17125C" w:rsidR="00AD4808" w:rsidRPr="00AD4808" w:rsidRDefault="00AD4808" w:rsidP="00AD4808">
      <w:pPr>
        <w:pStyle w:val="ARTartustawynprozporzdzenia"/>
      </w:pPr>
      <w:r w:rsidRPr="00AD4808">
        <w:t>Udział mikroprze</w:t>
      </w:r>
      <w:r w:rsidR="0056569E">
        <w:t>d</w:t>
      </w:r>
      <w:r w:rsidRPr="00AD4808">
        <w:t xml:space="preserve">siębiorców, małych i średnich przedsiębiorców jest nieodpłatny, co stanowi zachętę do korzystania z piaskownicy przez podmioty o największym potencjale innowacyjnym, a jednocześnie często dysponujące ograniczonymi zasobami finansowymi. Rozwiązanie to jest zgodne z polityką UE w zakresie wsparcia małych i średnich </w:t>
      </w:r>
      <w:r w:rsidRPr="00AD4808">
        <w:lastRenderedPageBreak/>
        <w:t>przedsiębiorstw. Dla jednostek samorządu terytorialnego wynosi 4806 zł, co stanowi jednokrotność minimalnego wynagrodzenia za pracę, o którym mowa w art. 2 ust. 3 ustawy z</w:t>
      </w:r>
      <w:r w:rsidR="00F807E6">
        <w:t> </w:t>
      </w:r>
      <w:r w:rsidRPr="00AD4808">
        <w:t xml:space="preserve">dnia 10 października 2002 r. o minimalnym wynagrodzeniu za pracę (Dz. U. z 2024 r. poz. 1773). Dla pozostałych podmiotów ustalono jednorazową opłatę w wysokości 14 418 zł, co stanowi trzykrotność minimalnego wynagrodzenia za pracę. Kwoty te mieszczą się w ustawowym określonym art. 93 ust. 2 i 3 ustawy limicie i mają na celu pokrycie kosztów obsługowych, organizacyjnych i administracyjnych funkcjonowania piaskownicy regulacyjnej, przy jednoczesnym zachowaniu proporcjonalności i dostępności instrumentu dla dużych przedsiębiorstw. </w:t>
      </w:r>
    </w:p>
    <w:p w14:paraId="30A61D0B" w14:textId="2328209A" w:rsidR="00AD4808" w:rsidRPr="00AD4808" w:rsidRDefault="00AD4808" w:rsidP="00AD4808">
      <w:pPr>
        <w:pStyle w:val="ARTartustawynprozporzdzenia"/>
      </w:pPr>
      <w:r w:rsidRPr="00AD4808">
        <w:t>Rozporządzenie określa również sposób wnoszenia opłaty</w:t>
      </w:r>
      <w:r w:rsidR="001809D5">
        <w:t>.</w:t>
      </w:r>
      <w:r w:rsidR="0056569E">
        <w:t xml:space="preserve"> </w:t>
      </w:r>
      <w:r w:rsidRPr="00AD4808">
        <w:t>Takie rozwiązanie zapewnia pewność i przejrzystość procedury oraz pozwala na sprawne rozpoczęcie udziału podmiotów w działaniach prowadzonych w ramach piaskownicy. Wskazanie rachunku bankowego urzędu obsługującego ministra właściwego do spraw informatyzacji upraszcza proces płatności i</w:t>
      </w:r>
      <w:r w:rsidR="00F807E6">
        <w:t> </w:t>
      </w:r>
      <w:r w:rsidRPr="00AD4808">
        <w:t>pozwala na jednoznaczne przypisanie dokonanej wpłaty do konkretnego uczestnika.</w:t>
      </w:r>
    </w:p>
    <w:p w14:paraId="6FB4FF18" w14:textId="77777777" w:rsidR="00AD4808" w:rsidRPr="00AD4808" w:rsidRDefault="00AD4808" w:rsidP="00AD4808">
      <w:pPr>
        <w:pStyle w:val="NIEARTTEKSTtekstnieartykuowanynppodstprawnarozplubpreambua"/>
      </w:pPr>
      <w:r w:rsidRPr="00AD4808">
        <w:t xml:space="preserve">Rozporządzenie wejdzie w życie po upływie 14 dni od dnia ogłoszenia zapewniając odpowiedni okres </w:t>
      </w:r>
      <w:r w:rsidRPr="002572C3">
        <w:rPr>
          <w:rStyle w:val="Kkursywa"/>
        </w:rPr>
        <w:t>vacatio legis</w:t>
      </w:r>
      <w:r w:rsidRPr="00AD4808">
        <w:t xml:space="preserve">. </w:t>
      </w:r>
    </w:p>
    <w:p w14:paraId="0DAB1C3B" w14:textId="1943487E" w:rsidR="00AD4808" w:rsidRPr="00AD4808" w:rsidRDefault="00AD4808" w:rsidP="00AD4808">
      <w:pPr>
        <w:pStyle w:val="ARTartustawynprozporzdzenia"/>
      </w:pPr>
      <w:r w:rsidRPr="00AD4808">
        <w:t>Wejście w życie projektowanego rozporządzenia nie będzie miało wpływu na działalność mikroprzedsiębiorców, małych i średnich przedsiębiorców, o których mowa w ustawie z dnia 6 marca 2018 r. – Prawo przedsiębiorców (Dz. U. z 2025 r. poz. 1480, z późn. zm.), z uwagi na zawarte w ustawie z dnia 3 lipce 2026 r. o systemach sztucznej inteligencji zwolnienie z</w:t>
      </w:r>
      <w:r w:rsidR="00F807E6">
        <w:t> </w:t>
      </w:r>
      <w:r w:rsidRPr="00AD4808">
        <w:t>opłat za udział w piaskownicach regulacyjnych tej grupy przedsiębiorców.</w:t>
      </w:r>
    </w:p>
    <w:p w14:paraId="7866B51C" w14:textId="77777777" w:rsidR="00AD4808" w:rsidRPr="00AD4808" w:rsidRDefault="00AD4808" w:rsidP="00AD4808">
      <w:pPr>
        <w:pStyle w:val="NIEARTTEKSTtekstnieartykuowanynppodstprawnarozplubpreambua"/>
      </w:pPr>
      <w:r w:rsidRPr="00AD4808">
        <w:t>Projektowana regulacja nie zawiera przepisów technicznych w rozumieniu rozporządzenia Rady Ministrów z dnia 23 grudnia 2002 r. w sprawie sposobu funkcjonowania krajowego systemu notyfikacji norm i aktów prawnych (Dz. U. poz. 2039, z późn. zm.) i nie podlega notyfikacji Komisji Europejskiej.</w:t>
      </w:r>
    </w:p>
    <w:p w14:paraId="173EDD6C" w14:textId="43753E1A" w:rsidR="00AD4808" w:rsidRPr="00AD4808" w:rsidRDefault="00AD4808" w:rsidP="00AD4808">
      <w:pPr>
        <w:pStyle w:val="NIEARTTEKSTtekstnieartykuowanynppodstprawnarozplubpreambua"/>
      </w:pPr>
      <w:r w:rsidRPr="00AD4808">
        <w:t xml:space="preserve">Projektowana regulacja nie będzie wymagała notyfikacji Komisji Europejskiej w trybie ustawy z dnia 30 kwietnia 2004 r. o postępowaniu w sprawach dotyczących pomocy publicznej (Dz. U. z </w:t>
      </w:r>
      <w:r w:rsidR="00532805" w:rsidRPr="00AD4808">
        <w:t>202</w:t>
      </w:r>
      <w:r w:rsidR="00532805">
        <w:t>6</w:t>
      </w:r>
      <w:r w:rsidR="00532805" w:rsidRPr="00AD4808">
        <w:t xml:space="preserve"> </w:t>
      </w:r>
      <w:r w:rsidRPr="00AD4808">
        <w:t xml:space="preserve">r. poz. </w:t>
      </w:r>
      <w:r w:rsidR="00532805">
        <w:t>500</w:t>
      </w:r>
      <w:r w:rsidRPr="00AD4808">
        <w:t>).</w:t>
      </w:r>
    </w:p>
    <w:p w14:paraId="4DFE1106" w14:textId="77777777" w:rsidR="00AD4808" w:rsidRPr="00AD4808" w:rsidRDefault="00AD4808" w:rsidP="00532805">
      <w:pPr>
        <w:pStyle w:val="NIEARTTEKSTtekstnieartykuowanynppodstprawnarozplubpreambua"/>
      </w:pPr>
      <w:r w:rsidRPr="00AD4808">
        <w:t xml:space="preserve">Projekt rozporządzenia nie wymaga przedłożenia instytucjom i organom Unii Europejskiej, w tym Europejskiemu Bankowi Centralnemu, w celu uzyskania opinii, dokonania powiadomienia, konsultacji albo uzgodnienia. </w:t>
      </w:r>
    </w:p>
    <w:p w14:paraId="26E004D9" w14:textId="77777777" w:rsidR="00AD4808" w:rsidRPr="00AD4808" w:rsidRDefault="00AD4808" w:rsidP="00AD4808">
      <w:pPr>
        <w:pStyle w:val="NIEARTTEKSTtekstnieartykuowanynppodstprawnarozplubpreambua"/>
      </w:pPr>
      <w:r w:rsidRPr="00AD4808">
        <w:lastRenderedPageBreak/>
        <w:t>Projekt rozporządzenia nie jest sprzeczny z prawem Unii Europejskiej.</w:t>
      </w:r>
    </w:p>
    <w:p w14:paraId="7B26C15C" w14:textId="48BCE215" w:rsidR="00AD4808" w:rsidRPr="00AD4808" w:rsidRDefault="00AD4808" w:rsidP="00AD4808">
      <w:pPr>
        <w:pStyle w:val="NIEARTTEKSTtekstnieartykuowanynppodstprawnarozplubpreambua"/>
      </w:pPr>
      <w:bookmarkStart w:id="0" w:name="_Hlk222733973"/>
      <w:r w:rsidRPr="00AD4808">
        <w:t xml:space="preserve">Projekt zostanie udostępniony w Biuletynie Informacji Publicznej na stronie Rządowego Centrum Legislacji w zakładce Rządowy Proces Legislacyjny zgodnie z § 52 uchwały nr 190 Rady Ministrów z dnia 29 października 2013 r. – Regulamin pracy Rady Ministrów (M.P. z 2026 r. poz. </w:t>
      </w:r>
      <w:r w:rsidR="00002FC3">
        <w:t>4</w:t>
      </w:r>
      <w:r w:rsidR="00002FC3" w:rsidRPr="00AD4808">
        <w:t>04</w:t>
      </w:r>
      <w:r w:rsidRPr="00AD4808">
        <w:t>) oraz w</w:t>
      </w:r>
      <w:r w:rsidR="00002FC3">
        <w:t xml:space="preserve"> </w:t>
      </w:r>
      <w:r w:rsidRPr="00AD4808">
        <w:t xml:space="preserve">Biuletynie Informacji Publicznej na stronie podmiotowej Ministra Cyfryzacji stosownie do wymogów art. 5 ustawy z dnia 7 lipca 2005 r. o działalności lobbingowej w procesie stanowienia prawa (Dz. U. z </w:t>
      </w:r>
      <w:r w:rsidR="00532805" w:rsidRPr="00AD4808">
        <w:t>202</w:t>
      </w:r>
      <w:r w:rsidR="00532805">
        <w:t>6</w:t>
      </w:r>
      <w:r w:rsidR="00532805" w:rsidRPr="00AD4808">
        <w:t xml:space="preserve"> </w:t>
      </w:r>
      <w:r w:rsidRPr="00AD4808">
        <w:t xml:space="preserve">r. poz. </w:t>
      </w:r>
      <w:r w:rsidR="00532805">
        <w:t>936</w:t>
      </w:r>
      <w:r w:rsidRPr="00AD4808">
        <w:t>)</w:t>
      </w:r>
      <w:bookmarkEnd w:id="0"/>
      <w:r w:rsidRPr="00AD4808">
        <w:t>.</w:t>
      </w:r>
    </w:p>
    <w:p w14:paraId="4945BEFC" w14:textId="29219011" w:rsidR="00261A16" w:rsidRPr="00D46BD3" w:rsidRDefault="00AD4808" w:rsidP="003877C2">
      <w:pPr>
        <w:pStyle w:val="ARTartustawynprozporzdzenia"/>
      </w:pPr>
      <w:r w:rsidRPr="00AD4808">
        <w:t>Projekt nie dotyczy warunków określonych w uchwale nr 20 Rady Ministrów z dnia 18</w:t>
      </w:r>
      <w:r w:rsidR="00037322">
        <w:t> </w:t>
      </w:r>
      <w:r w:rsidRPr="00AD4808">
        <w:t>lutego 2014 r. w sprawie zaleceń ujednolicenia terminów wejścia w życie niektórych aktów normatywnych (M.P. poz. 205).</w:t>
      </w:r>
    </w:p>
    <w:sectPr w:rsidR="00261A16" w:rsidRPr="00D46BD3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DEAA7" w14:textId="77777777" w:rsidR="002A3EAE" w:rsidRDefault="002A3EAE">
      <w:r>
        <w:separator/>
      </w:r>
    </w:p>
  </w:endnote>
  <w:endnote w:type="continuationSeparator" w:id="0">
    <w:p w14:paraId="2A8F098F" w14:textId="77777777" w:rsidR="002A3EAE" w:rsidRDefault="002A3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1040A" w14:textId="77777777" w:rsidR="002A3EAE" w:rsidRDefault="002A3EAE">
      <w:r>
        <w:separator/>
      </w:r>
    </w:p>
  </w:footnote>
  <w:footnote w:type="continuationSeparator" w:id="0">
    <w:p w14:paraId="2E9555DE" w14:textId="77777777" w:rsidR="002A3EAE" w:rsidRDefault="002A3EAE">
      <w:r>
        <w:continuationSeparator/>
      </w:r>
    </w:p>
  </w:footnote>
  <w:footnote w:id="1">
    <w:p w14:paraId="4C7039FE" w14:textId="2BFAB672" w:rsidR="00AD4808" w:rsidRDefault="00AD4808" w:rsidP="00AD4808">
      <w:pPr>
        <w:pStyle w:val="ODNONIKtreodnonika"/>
      </w:pPr>
      <w:r>
        <w:rPr>
          <w:rStyle w:val="Odwoanieprzypisudolnego"/>
        </w:rPr>
        <w:footnoteRef/>
      </w:r>
      <w:r w:rsidR="00266EAB">
        <w:rPr>
          <w:rStyle w:val="IGindeksgrny"/>
        </w:rPr>
        <w:t>)</w:t>
      </w:r>
      <w:r>
        <w:t xml:space="preserve"> Minister Cyfryzacji kieruje działem administracji rządowej – informatyzacja, na podstawie § 1 ust. 2 rozporządzenia Prezesa Rady Ministrów z dnia 18 grudnia 2023 r. w sprawie szczegółowego zakresu działania Ministra Cyfryzacji (Dz. U. poz. 2720).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81B33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2622346">
    <w:abstractNumId w:val="23"/>
  </w:num>
  <w:num w:numId="2" w16cid:durableId="96677541">
    <w:abstractNumId w:val="23"/>
  </w:num>
  <w:num w:numId="3" w16cid:durableId="1684673958">
    <w:abstractNumId w:val="18"/>
  </w:num>
  <w:num w:numId="4" w16cid:durableId="2125731839">
    <w:abstractNumId w:val="18"/>
  </w:num>
  <w:num w:numId="5" w16cid:durableId="1146704226">
    <w:abstractNumId w:val="35"/>
  </w:num>
  <w:num w:numId="6" w16cid:durableId="210465157">
    <w:abstractNumId w:val="31"/>
  </w:num>
  <w:num w:numId="7" w16cid:durableId="1583679476">
    <w:abstractNumId w:val="35"/>
  </w:num>
  <w:num w:numId="8" w16cid:durableId="511073975">
    <w:abstractNumId w:val="31"/>
  </w:num>
  <w:num w:numId="9" w16cid:durableId="842165418">
    <w:abstractNumId w:val="35"/>
  </w:num>
  <w:num w:numId="10" w16cid:durableId="627853437">
    <w:abstractNumId w:val="31"/>
  </w:num>
  <w:num w:numId="11" w16cid:durableId="1910579989">
    <w:abstractNumId w:val="14"/>
  </w:num>
  <w:num w:numId="12" w16cid:durableId="1964916648">
    <w:abstractNumId w:val="10"/>
  </w:num>
  <w:num w:numId="13" w16cid:durableId="115880759">
    <w:abstractNumId w:val="15"/>
  </w:num>
  <w:num w:numId="14" w16cid:durableId="1228033189">
    <w:abstractNumId w:val="26"/>
  </w:num>
  <w:num w:numId="15" w16cid:durableId="1063675882">
    <w:abstractNumId w:val="14"/>
  </w:num>
  <w:num w:numId="16" w16cid:durableId="1670979502">
    <w:abstractNumId w:val="16"/>
  </w:num>
  <w:num w:numId="17" w16cid:durableId="2006009822">
    <w:abstractNumId w:val="8"/>
  </w:num>
  <w:num w:numId="18" w16cid:durableId="198786368">
    <w:abstractNumId w:val="3"/>
  </w:num>
  <w:num w:numId="19" w16cid:durableId="37630947">
    <w:abstractNumId w:val="2"/>
  </w:num>
  <w:num w:numId="20" w16cid:durableId="1073233258">
    <w:abstractNumId w:val="1"/>
  </w:num>
  <w:num w:numId="21" w16cid:durableId="1882788787">
    <w:abstractNumId w:val="0"/>
  </w:num>
  <w:num w:numId="22" w16cid:durableId="770587387">
    <w:abstractNumId w:val="9"/>
  </w:num>
  <w:num w:numId="23" w16cid:durableId="540634256">
    <w:abstractNumId w:val="7"/>
  </w:num>
  <w:num w:numId="24" w16cid:durableId="1207718839">
    <w:abstractNumId w:val="6"/>
  </w:num>
  <w:num w:numId="25" w16cid:durableId="2034306160">
    <w:abstractNumId w:val="5"/>
  </w:num>
  <w:num w:numId="26" w16cid:durableId="1670518243">
    <w:abstractNumId w:val="4"/>
  </w:num>
  <w:num w:numId="27" w16cid:durableId="26832961">
    <w:abstractNumId w:val="33"/>
  </w:num>
  <w:num w:numId="28" w16cid:durableId="776170408">
    <w:abstractNumId w:val="25"/>
  </w:num>
  <w:num w:numId="29" w16cid:durableId="670719378">
    <w:abstractNumId w:val="36"/>
  </w:num>
  <w:num w:numId="30" w16cid:durableId="647631944">
    <w:abstractNumId w:val="32"/>
  </w:num>
  <w:num w:numId="31" w16cid:durableId="820005411">
    <w:abstractNumId w:val="19"/>
  </w:num>
  <w:num w:numId="32" w16cid:durableId="1694258214">
    <w:abstractNumId w:val="11"/>
  </w:num>
  <w:num w:numId="33" w16cid:durableId="1847864846">
    <w:abstractNumId w:val="30"/>
  </w:num>
  <w:num w:numId="34" w16cid:durableId="1896089047">
    <w:abstractNumId w:val="20"/>
  </w:num>
  <w:num w:numId="35" w16cid:durableId="1116024621">
    <w:abstractNumId w:val="17"/>
  </w:num>
  <w:num w:numId="36" w16cid:durableId="1224292474">
    <w:abstractNumId w:val="22"/>
  </w:num>
  <w:num w:numId="37" w16cid:durableId="425463087">
    <w:abstractNumId w:val="27"/>
  </w:num>
  <w:num w:numId="38" w16cid:durableId="1452019704">
    <w:abstractNumId w:val="24"/>
  </w:num>
  <w:num w:numId="39" w16cid:durableId="1639451060">
    <w:abstractNumId w:val="13"/>
  </w:num>
  <w:num w:numId="40" w16cid:durableId="29765609">
    <w:abstractNumId w:val="29"/>
  </w:num>
  <w:num w:numId="41" w16cid:durableId="559756554">
    <w:abstractNumId w:val="28"/>
  </w:num>
  <w:num w:numId="42" w16cid:durableId="1812668511">
    <w:abstractNumId w:val="21"/>
  </w:num>
  <w:num w:numId="43" w16cid:durableId="327170971">
    <w:abstractNumId w:val="34"/>
  </w:num>
  <w:num w:numId="44" w16cid:durableId="10654967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22"/>
    <w:rsid w:val="000012DA"/>
    <w:rsid w:val="0000246E"/>
    <w:rsid w:val="00002FC3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322"/>
    <w:rsid w:val="00037E1A"/>
    <w:rsid w:val="000408A6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019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9C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7101"/>
    <w:rsid w:val="00172F7A"/>
    <w:rsid w:val="00173150"/>
    <w:rsid w:val="00173390"/>
    <w:rsid w:val="001736F0"/>
    <w:rsid w:val="00173BB3"/>
    <w:rsid w:val="001740D0"/>
    <w:rsid w:val="00174F2C"/>
    <w:rsid w:val="001809D5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46CE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04EFB"/>
    <w:rsid w:val="002114EF"/>
    <w:rsid w:val="002166AD"/>
    <w:rsid w:val="00217871"/>
    <w:rsid w:val="00221ED8"/>
    <w:rsid w:val="002231EA"/>
    <w:rsid w:val="00223FDF"/>
    <w:rsid w:val="002279C0"/>
    <w:rsid w:val="0023231C"/>
    <w:rsid w:val="0023727E"/>
    <w:rsid w:val="00242081"/>
    <w:rsid w:val="00243777"/>
    <w:rsid w:val="002441CD"/>
    <w:rsid w:val="002501A3"/>
    <w:rsid w:val="0025166C"/>
    <w:rsid w:val="00253371"/>
    <w:rsid w:val="002555D4"/>
    <w:rsid w:val="002572C3"/>
    <w:rsid w:val="00261A16"/>
    <w:rsid w:val="00263522"/>
    <w:rsid w:val="00264EC6"/>
    <w:rsid w:val="00266EAB"/>
    <w:rsid w:val="00267FEE"/>
    <w:rsid w:val="00271013"/>
    <w:rsid w:val="00273FE4"/>
    <w:rsid w:val="002765B4"/>
    <w:rsid w:val="00276A94"/>
    <w:rsid w:val="0029405D"/>
    <w:rsid w:val="00294FA6"/>
    <w:rsid w:val="00295A6F"/>
    <w:rsid w:val="002A20C4"/>
    <w:rsid w:val="002A3EAE"/>
    <w:rsid w:val="002A4D6F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85B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27E73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7C2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2805"/>
    <w:rsid w:val="005363AB"/>
    <w:rsid w:val="00544247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6569E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A25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B58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026"/>
    <w:rsid w:val="00764A67"/>
    <w:rsid w:val="00770F6B"/>
    <w:rsid w:val="00771883"/>
    <w:rsid w:val="00776DC2"/>
    <w:rsid w:val="00780122"/>
    <w:rsid w:val="0078214B"/>
    <w:rsid w:val="0078498A"/>
    <w:rsid w:val="00786658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4373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4B22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2FA1"/>
    <w:rsid w:val="00894F19"/>
    <w:rsid w:val="0089602E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D5ECA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0B5E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3B13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B7089"/>
    <w:rsid w:val="00AC00F2"/>
    <w:rsid w:val="00AC31B5"/>
    <w:rsid w:val="00AC4EA1"/>
    <w:rsid w:val="00AC5381"/>
    <w:rsid w:val="00AC5920"/>
    <w:rsid w:val="00AD0E65"/>
    <w:rsid w:val="00AD2BF2"/>
    <w:rsid w:val="00AD4808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2E3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7D7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5199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6BD3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4CF7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2F21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07E6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1983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D8554C"/>
  <w15:docId w15:val="{42B052E5-9593-4C57-B24D-E92CDD4C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4808"/>
    <w:pPr>
      <w:spacing w:after="160" w:line="276" w:lineRule="auto"/>
    </w:pPr>
    <w:rPr>
      <w:rFonts w:asciiTheme="minorHAnsi" w:eastAsiaTheme="minorEastAsia" w:hAnsiTheme="minorHAnsi" w:cstheme="minorBidi"/>
      <w:kern w:val="2"/>
      <w:lang w:val="en-US" w:eastAsia="ja-JP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uppressAutoHyphens/>
      <w:spacing w:before="480" w:after="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val="pl-PL"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lang w:val="pl-PL" w:eastAsia="ar-SA"/>
      <w14:ligatures w14:val="none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lang w:val="pl-PL" w:eastAsia="ar-SA"/>
      <w14:ligatures w14:val="none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Cs w:val="16"/>
      <w:lang w:val="pl-PL" w:eastAsia="ar-SA"/>
      <w14:ligatures w14:val="none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kern w:val="0"/>
      <w:lang w:val="pl-PL"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kern w:val="0"/>
      <w:lang w:val="pl-PL"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 w:cs="Arial"/>
      <w:b/>
      <w:i/>
      <w:kern w:val="0"/>
      <w:szCs w:val="20"/>
      <w:lang w:val="pl-PL" w:eastAsia="pl-PL"/>
      <w14:ligatures w14:val="none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after="0" w:line="240" w:lineRule="auto"/>
      <w:ind w:left="283" w:hanging="170"/>
    </w:pPr>
    <w:rPr>
      <w:rFonts w:ascii="Times New Roman" w:hAnsi="Times New Roman" w:cs="Arial"/>
      <w:kern w:val="0"/>
      <w:sz w:val="20"/>
      <w:szCs w:val="20"/>
      <w:lang w:val="pl-PL" w:eastAsia="pl-PL"/>
      <w14:ligatures w14:val="none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hAnsi="Times" w:cs="Arial"/>
      <w:bCs/>
      <w:kern w:val="24"/>
      <w:szCs w:val="20"/>
      <w:lang w:val="pl-PL" w:eastAsia="pl-PL"/>
      <w14:ligatures w14:val="none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hAnsi="Times" w:cs="Arial"/>
      <w:bCs/>
      <w:kern w:val="24"/>
      <w:szCs w:val="20"/>
      <w:lang w:val="pl-PL" w:eastAsia="pl-PL"/>
      <w14:ligatures w14:val="none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0408A6"/>
    <w:pPr>
      <w:spacing w:line="240" w:lineRule="auto"/>
    </w:pPr>
    <w:rPr>
      <w:rFonts w:asciiTheme="minorHAnsi" w:eastAsiaTheme="minorEastAsia" w:hAnsiTheme="minorHAnsi" w:cstheme="minorBidi"/>
      <w:kern w:val="2"/>
      <w:lang w:val="en-US" w:eastAsia="ja-JP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iekart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22</TotalTime>
  <Pages>1</Pages>
  <Words>1290</Words>
  <Characters>7742</Characters>
  <Application>Microsoft Office Word</Application>
  <DocSecurity>0</DocSecurity>
  <Lines>64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Lewandowski Mariusz</dc:creator>
  <cp:lastModifiedBy>Witkowska-Krzymowska Magdalena</cp:lastModifiedBy>
  <cp:revision>12</cp:revision>
  <cp:lastPrinted>2012-04-23T06:39:00Z</cp:lastPrinted>
  <dcterms:created xsi:type="dcterms:W3CDTF">2026-08-28T11:17:00Z</dcterms:created>
  <dcterms:modified xsi:type="dcterms:W3CDTF">2026-09-02T12:11:00Z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