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keepNext w:val="0"/>
        <w:keepLines w:val="0"/>
        <w:numPr>
          <w:ilvl w:val="0"/>
          <w:numId w:val="0"/>
        </w:numPr>
        <w:spacing w:before="0" w:after="30" w:line="306" w:lineRule="atLeast"/>
        <w:ind w:left="0" w:right="0" w:firstLine="1020"/>
        <w:jc w:val="left"/>
        <w:rPr>
          <w:rFonts w:ascii="Times New Roman" w:eastAsia="Times New Roman" w:hAnsi="Times New Roman" w:cs="Times New Roman"/>
          <w:strike w:val="0"/>
          <w:color w:val="000000"/>
          <w:vertAlign w:val="baseline"/>
        </w:rPr>
      </w:pPr>
      <w:r>
        <w:rPr>
          <w:rFonts w:ascii="Times New Roman" w:eastAsia="Times New Roman" w:hAnsi="Times New Roman" w:cs="Times New Roman"/>
          <w:strike w:val="0"/>
          <w:color w:val="000000"/>
          <w:vertAlign w:val="baseline"/>
        </w:rPr>
        <w:drawing>
          <wp:inline>
            <wp:extent cx="723900" cy="6667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numPr>
          <w:ilvl w:val="0"/>
          <w:numId w:val="0"/>
        </w:numPr>
        <w:spacing w:before="30" w:after="0" w:line="400" w:lineRule="exact"/>
        <w:ind w:left="0" w:right="0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8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8"/>
          <w:u w:val="none"/>
          <w:vertAlign w:val="baseline"/>
        </w:rPr>
        <w:t>WOJEWODA OPOLSKI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5655" w:right="0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Opole</w:t>
      </w:r>
      <w:r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  <w:t xml:space="preserve">,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 xml:space="preserve">dnia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20 stycznia 2022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 r</w:t>
      </w:r>
      <w:r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  <w:t>.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5655" w:right="0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PN.III.4131.12.2022</w:t>
      </w:r>
    </w:p>
    <w:p w:rsidR="00A77B3E">
      <w:pPr>
        <w:keepNext w:val="0"/>
        <w:keepLines w:val="0"/>
        <w:numPr>
          <w:ilvl w:val="0"/>
          <w:numId w:val="0"/>
        </w:numPr>
        <w:spacing w:before="84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Pan 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Mariusz Migała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Przewodniczący Rady Miejskiej w Głuchołazach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 xml:space="preserve">ul. Rynek 15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 xml:space="preserve">48-340 Głuchołazy </w:t>
      </w:r>
    </w:p>
    <w:p w:rsidR="00A77B3E">
      <w:pPr>
        <w:keepNext w:val="0"/>
        <w:keepLines w:val="0"/>
        <w:numPr>
          <w:ilvl w:val="0"/>
          <w:numId w:val="0"/>
        </w:numPr>
        <w:spacing w:before="720" w:after="0" w:line="432" w:lineRule="exact"/>
        <w:ind w:left="0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Rozstrzygnięcie nadzorcze</w:t>
      </w:r>
    </w:p>
    <w:p w:rsidR="00A77B3E">
      <w:pPr>
        <w:keepNext w:val="0"/>
        <w:keepLines w:val="0"/>
        <w:numPr>
          <w:ilvl w:val="0"/>
          <w:numId w:val="0"/>
        </w:numPr>
        <w:spacing w:before="12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Na podstawie art. 91 ust. 1 i 3 ustawy z dnia 8 marca 1990 r. o samorządzie gminnym (Dz. U. z 2021 r. poz.1372)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stwierdzam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nieważność uchwały Nr XLI/392/21 Rady Miejskiej w Głuchołazach z dnia 22 grudnia 2021 r. w sprawie nadania nazwy osiedla w obrębie wsi Charbielin – z powodu istotnego naruszenia prawa.</w:t>
      </w:r>
    </w:p>
    <w:p w:rsidR="00A77B3E">
      <w:pPr>
        <w:keepNext w:val="0"/>
        <w:keepLines w:val="0"/>
        <w:numPr>
          <w:ilvl w:val="0"/>
          <w:numId w:val="0"/>
        </w:numPr>
        <w:spacing w:before="300" w:after="90" w:line="432" w:lineRule="exact"/>
        <w:ind w:left="15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Uzasadnienie</w:t>
      </w:r>
    </w:p>
    <w:p w:rsidR="00A77B3E">
      <w:pPr>
        <w:keepNext w:val="0"/>
        <w:keepLines w:val="0"/>
        <w:numPr>
          <w:ilvl w:val="0"/>
          <w:numId w:val="0"/>
        </w:numPr>
        <w:spacing w:before="300" w:after="120" w:line="432" w:lineRule="exact"/>
        <w:ind w:left="0" w:right="0" w:firstLine="57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W dniu 22 grudnia 2021 r. Rada Miejska w Głuchołazach, powołując się art. 18 ust. 2 pkt 13 ustawy o samorządzie gminnym w związku z art. 8 ust. 1a ustawy z dnia 21 marca 1985 r. o drogach publicznych (Dz. U. 2021, poz. 1376 z późn. zm.) podjęła uchwałę nr 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XLI/392/21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 w sprawie nadania nazwy osiedla w obrębie wsi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Charbielin.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Przedmiotowa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 uchwała wpłynęła do tut. urzędu 22 grudnia 2021 r.</w:t>
      </w:r>
    </w:p>
    <w:p w:rsidR="00A77B3E">
      <w:pPr>
        <w:keepNext w:val="0"/>
        <w:keepLines w:val="0"/>
        <w:numPr>
          <w:ilvl w:val="0"/>
          <w:numId w:val="0"/>
        </w:numPr>
        <w:spacing w:before="225" w:after="105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Kwestionowany akt został wydany z przekroczeniem delegacji ustawowej, wynikającej z art. 18 ust. 2 pkt 13 ustawy o samorządzie gminnym. Przepis ten nie daje radzie gminy podstawy do podjęcia uchwały w sprawie nadania nazwy osiedla. Art. 18 ust. 2 pkt 13 ustawy o samorządzie gminnym stanowi, że do wyłącznej właściwości rady gminy należy podejmowanie uchwał w sprawach herbu gminy, nazw ulic i placów będących drogami publicznymi lub nazw dróg wewnętrznych, a także wznoszenia pomników. Brak jest zatem w tym przepisie upoważnienia do nadawania przez organ stanowiący gminy nazwy osiedlom. Takie też stanowisko wyraził Naczelny Sąd Administracyjny w wyroku z dnia 12 stycznia 2018 r., sygn. akt II OSK 2894/17. W uzasadnieniu orzeczenia sąd wskazuje, że w ustawie o samorządzie gminnym występuje pojęcie osiedla, a kompetencje organu stanowiącego nie mogą "w odniesieniu do jednostki określanej mianem osiedla nie mogą abstrahować od pojęcia normatywnego sformułowanego w tej ustawie". Mowa tutaj o art. 5 ustawy o samorządzie gminnym i uprawnieniu rady gminy do tworzenia jednostek pomocniczych, m. in. osiedli. Nie ulega wątpliwości, że utworzenie jednostki pomocniczej wiąże się z nadaniem jej nazwy. Konieczne jest jednak zaistnienie faktu utworzenia jednostki pomocniczej gminy w formie osiedla. Dopiero potem można takowemu osiedlu nadać nazwę. Przedmiotowa uchwała nie stanowi jednak aktu tworzącego jednostkę pomocniczą i nadającego tej jednostce nazwę. Słusznie wskazuje NSA w przywołanym wyżej wyroku, że "na tle unormowań ustawy o samorządzie gminnym nie ma podstaw do konstruowania pojęcia osiedla innego, niż osiedle rozumiane jako jednostka pomocnicza gminy".</w:t>
      </w:r>
    </w:p>
    <w:p w:rsidR="00A77B3E">
      <w:pPr>
        <w:keepNext w:val="0"/>
        <w:keepLines w:val="0"/>
        <w:numPr>
          <w:ilvl w:val="0"/>
          <w:numId w:val="0"/>
        </w:numPr>
        <w:spacing w:before="450" w:after="0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Ustawodawca, kształtując upoważnienie rady do wydania uchwały w tym przedmiocie, precyzyjnie wskazał, które kwestie pozostawił regulacji jednostki samorządu terytorialnego. W przypadku aktów prawa miejscowego przekroczenie delegacji ustawowej stanowi istotne naruszenie prawa. Rada gminy obowiązana jest przestrzegać zakresu udzielonego przez ustawę upoważnienia w zakresie tworzenia przepisów wykonawczych, a w tych działaniach nie może tego upoważniania zawężać i przekraczać. Wydając akty będące źródłem powszechnie obowiązującego prawa Rzeczpospolitej Polskiej na obszarze danej gminy (art. 87 ust. 2 Konstytucji RP) musi respektować zakres delegacji zawartej w aktach prawnych wyższego rzędu, powstrzymując się od wypełniania ich treści postanowieniami ustawy (por. wyrok NSA z dnia 28 lutego 2003 r., sygn. akt I SA/Lu 882/02).</w:t>
      </w:r>
    </w:p>
    <w:p w:rsidR="00A77B3E">
      <w:pPr>
        <w:keepNext w:val="0"/>
        <w:keepLines w:val="0"/>
        <w:numPr>
          <w:ilvl w:val="0"/>
          <w:numId w:val="0"/>
        </w:numPr>
        <w:spacing w:before="12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Mając na uwadze powyższe, stwierdzam jak na wstępie.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Na podstawie art. 98 ust. 1 ustawy z dnia 8 marca 1990 r. o samorządzie gminnym, w związku z art. 54 § 1 ustawy z dnia 30 sierpnia 2002 r. o postępowaniu przed sądami administracyjnymi (Dz. U. z 2019 r. poz. 2325) niniejsze rozstrzygnięcie nadzorcze może być zaskarżone do Wojewódzkiego Sądu Administracyjnego w Opolu za pośrednictwem Wojewody Opolskiego w terminie 30 dni od dnia jego doręczenia.</w:t>
      </w:r>
    </w:p>
    <w:p w:rsidR="00A77B3E">
      <w:pPr>
        <w:keepNext w:val="0"/>
        <w:keepLines w:val="0"/>
        <w:numPr>
          <w:ilvl w:val="0"/>
          <w:numId w:val="0"/>
        </w:numPr>
        <w:spacing w:before="57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 xml:space="preserve">Z up. Wojewody Opolskiego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</w:p>
    <w:p w:rsidR="00A77B3E">
      <w:pPr>
        <w:keepNext w:val="0"/>
        <w:keepLines w:val="0"/>
        <w:numPr>
          <w:ilvl w:val="0"/>
          <w:numId w:val="0"/>
        </w:numPr>
        <w:spacing w:before="225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>Barbara  Zwierzewicz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 xml:space="preserve">Dyrektor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>Wydział Prawny i Nadzoru</w:t>
      </w:r>
    </w:p>
    <w:p w:rsidR="00A77B3E">
      <w:pPr>
        <w:keepNext w:val="0"/>
        <w:keepLines w:val="0"/>
        <w:numPr>
          <w:ilvl w:val="0"/>
          <w:numId w:val="0"/>
        </w:numPr>
        <w:spacing w:before="540" w:after="270" w:line="432" w:lineRule="exact"/>
        <w:ind w:left="0" w:right="15" w:firstLine="495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</w:p>
    <w:p w:rsidR="00A77B3E">
      <w:pPr>
        <w:keepNext w:val="0"/>
        <w:keepLines w:val="0"/>
        <w:numPr>
          <w:ilvl w:val="0"/>
          <w:numId w:val="0"/>
        </w:numPr>
        <w:spacing w:before="1095" w:after="0" w:line="275" w:lineRule="exact"/>
        <w:ind w:left="0" w:right="15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sectPr>
          <w:headerReference w:type="default" r:id="rId5"/>
          <w:footerReference w:type="default" r:id="rId6"/>
          <w:headerReference w:type="first" r:id="rId7"/>
          <w:footerReference w:type="first" r:id="rId8"/>
          <w:endnotePr>
            <w:numFmt w:val="decimal"/>
          </w:endnotePr>
          <w:pgSz w:w="11906" w:h="16838"/>
          <w:pgMar w:top="1115" w:right="1060" w:bottom="1115" w:left="1060" w:header="0" w:footer="0" w:gutter="0"/>
          <w:cols w:space="708"/>
          <w:titlePg/>
          <w:docGrid w:linePitch="360"/>
        </w:sect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Prowadzący sprawę: Wojciech Cybulski  Referent prawny, Wydział Prawny i Nadzoru, tel. 77 45 24 549.</w:t>
      </w:r>
    </w:p>
    <w:p w:rsidR="00A77B3E">
      <w:pPr>
        <w:keepNext w:val="0"/>
        <w:keepLines w:val="0"/>
        <w:numPr>
          <w:ilvl w:val="0"/>
          <w:numId w:val="0"/>
        </w:numPr>
        <w:spacing w:before="105" w:after="105" w:line="306" w:lineRule="atLeast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trike w:val="0"/>
          <w:color w:val="000000"/>
          <w:vertAlign w:val="baseline"/>
        </w:rPr>
        <w:drawing>
          <wp:inline>
            <wp:extent cx="304800" cy="304800"/>
            <wp:docPr id="16159092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0926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 w:val="0"/>
          <w:strike w:val="0"/>
          <w:color w:val="000000"/>
          <w:sz w:val="22"/>
          <w:u w:val="none"/>
          <w:vertAlign w:val="baseline"/>
        </w:rPr>
        <w:t>POTWIERDZENIE ZGODNOŚCI KOPII Z DOKUMENTEM ELEKTRONICZNYM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310"/>
        <w:gridCol w:w="7155"/>
        <w:gridCol w:w="1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Typ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Rozstrzygnięcie nadzorcze w całości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Tytuł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43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43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Sygnatura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PN.III.4131.12.2022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Data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2022-01-20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Data złożenia podpisu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2022-01-20 15:25:15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Osoba podpisująca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Barbara Jadwiga Zwierzewicz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Wystawca certyfikatu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2.5.4.97=VATPL-5260300517, CN=COPE SZAFIR - Kwalifikowany, O=Krajowa Izba Rozliczeniowa S.A., C=PL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Identyfikator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D649E010-1E96-4FEA-8FEE-AC14E37AB599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</w:tbl>
    <w:p w:rsidR="00A77B3E">
      <w:pPr>
        <w:keepNext w:val="0"/>
        <w:keepLines w:val="0"/>
        <w:numPr>
          <w:ilvl w:val="0"/>
          <w:numId w:val="0"/>
        </w:numPr>
        <w:spacing w:before="105" w:after="0" w:line="314" w:lineRule="exact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  <w:t>Data wydruku: 8 marca 2022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14" w:lineRule="exact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  <w:t>Autor wydruku: Wojciech Cybulski</w:t>
      </w:r>
    </w:p>
    <w:sectPr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15" w:right="1060" w:bottom="1115" w:left="1060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D649E010-1E96-4FEA-8FEE-AC14E37AB599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1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D649E010-1E96-4FEA-8FEE-AC14E37AB599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D649E010-1E96-4FEA-8FEE-AC14E37AB599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D649E010-1E96-4FEA-8FEE-AC14E37AB599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eader" Target="header4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