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A1B66" w14:textId="43FDE61E" w:rsidR="00CE38CD" w:rsidRPr="00023B68" w:rsidRDefault="00CE38CD" w:rsidP="00D84432">
      <w:pPr>
        <w:jc w:val="center"/>
        <w:rPr>
          <w:rFonts w:ascii="Arial Narrow" w:hAnsi="Arial Narrow"/>
          <w:b/>
          <w:bCs/>
        </w:rPr>
      </w:pPr>
      <w:r w:rsidRPr="00023B68">
        <w:rPr>
          <w:rFonts w:ascii="Arial Narrow" w:hAnsi="Arial Narrow"/>
          <w:b/>
          <w:bCs/>
        </w:rPr>
        <w:t>PROJEKT CADA- STANOWISKA PARTNERÓW SPOŁECZNYCH</w:t>
      </w:r>
    </w:p>
    <w:tbl>
      <w:tblPr>
        <w:tblStyle w:val="Tabela-Siatka"/>
        <w:tblW w:w="0" w:type="auto"/>
        <w:tblLook w:val="04A0" w:firstRow="1" w:lastRow="0" w:firstColumn="1" w:lastColumn="0" w:noHBand="0" w:noVBand="1"/>
      </w:tblPr>
      <w:tblGrid>
        <w:gridCol w:w="2903"/>
        <w:gridCol w:w="1654"/>
        <w:gridCol w:w="9437"/>
      </w:tblGrid>
      <w:tr w:rsidR="00D84432" w:rsidRPr="00023B68" w14:paraId="7A0BE536" w14:textId="77777777" w:rsidTr="00040008">
        <w:tc>
          <w:tcPr>
            <w:tcW w:w="0" w:type="auto"/>
          </w:tcPr>
          <w:p w14:paraId="363CA412" w14:textId="795BB849" w:rsidR="00D84432" w:rsidRPr="00023B68" w:rsidRDefault="00D84432" w:rsidP="00CE38CD">
            <w:pPr>
              <w:pStyle w:val="Default"/>
              <w:rPr>
                <w:b/>
                <w:bCs/>
                <w:sz w:val="20"/>
                <w:szCs w:val="20"/>
              </w:rPr>
            </w:pPr>
            <w:r w:rsidRPr="00023B68">
              <w:rPr>
                <w:b/>
                <w:bCs/>
                <w:sz w:val="20"/>
                <w:szCs w:val="20"/>
              </w:rPr>
              <w:t>Jednostka redakcyjna projektu</w:t>
            </w:r>
          </w:p>
        </w:tc>
        <w:tc>
          <w:tcPr>
            <w:tcW w:w="0" w:type="auto"/>
          </w:tcPr>
          <w:p w14:paraId="4F6F107E" w14:textId="5CB3A101" w:rsidR="00D84432" w:rsidRPr="00023B68" w:rsidRDefault="00D84432" w:rsidP="00CE38CD">
            <w:pPr>
              <w:pStyle w:val="Default"/>
              <w:rPr>
                <w:b/>
                <w:bCs/>
                <w:sz w:val="20"/>
                <w:szCs w:val="20"/>
              </w:rPr>
            </w:pPr>
            <w:r w:rsidRPr="00023B68">
              <w:rPr>
                <w:b/>
                <w:bCs/>
                <w:sz w:val="20"/>
                <w:szCs w:val="20"/>
              </w:rPr>
              <w:t>Podmiot zgłaszający uwagę</w:t>
            </w:r>
          </w:p>
        </w:tc>
        <w:tc>
          <w:tcPr>
            <w:tcW w:w="0" w:type="auto"/>
          </w:tcPr>
          <w:p w14:paraId="4E10E3C0" w14:textId="77777777" w:rsidR="00D84432" w:rsidRPr="00023B68" w:rsidRDefault="00D84432" w:rsidP="00CE38CD">
            <w:pPr>
              <w:pStyle w:val="Default"/>
              <w:rPr>
                <w:b/>
                <w:bCs/>
                <w:sz w:val="20"/>
                <w:szCs w:val="20"/>
              </w:rPr>
            </w:pPr>
            <w:r w:rsidRPr="00023B68">
              <w:rPr>
                <w:b/>
                <w:bCs/>
                <w:sz w:val="20"/>
                <w:szCs w:val="20"/>
              </w:rPr>
              <w:t>Treść uwagi</w:t>
            </w:r>
          </w:p>
          <w:p w14:paraId="72D89653" w14:textId="70FF1096" w:rsidR="00D84432" w:rsidRPr="00023B68" w:rsidRDefault="00D84432" w:rsidP="00CE38CD">
            <w:pPr>
              <w:pStyle w:val="Default"/>
              <w:rPr>
                <w:b/>
                <w:bCs/>
                <w:sz w:val="20"/>
                <w:szCs w:val="20"/>
              </w:rPr>
            </w:pPr>
          </w:p>
        </w:tc>
      </w:tr>
      <w:tr w:rsidR="00D84432" w:rsidRPr="00023B68" w14:paraId="5AC49B11" w14:textId="77777777" w:rsidTr="00040008">
        <w:tc>
          <w:tcPr>
            <w:tcW w:w="0" w:type="auto"/>
          </w:tcPr>
          <w:p w14:paraId="35653A96" w14:textId="40C11CF4" w:rsidR="00D84432" w:rsidRPr="00023B68" w:rsidRDefault="00D84432" w:rsidP="00CE38CD">
            <w:pPr>
              <w:pStyle w:val="Default"/>
              <w:rPr>
                <w:sz w:val="20"/>
                <w:szCs w:val="20"/>
              </w:rPr>
            </w:pPr>
            <w:r w:rsidRPr="00023B68">
              <w:rPr>
                <w:sz w:val="20"/>
                <w:szCs w:val="20"/>
              </w:rPr>
              <w:t>Ogólne założenia</w:t>
            </w:r>
          </w:p>
        </w:tc>
        <w:tc>
          <w:tcPr>
            <w:tcW w:w="0" w:type="auto"/>
          </w:tcPr>
          <w:p w14:paraId="07854A9D" w14:textId="2414897B" w:rsidR="00D84432" w:rsidRPr="00023B68" w:rsidRDefault="00D84432" w:rsidP="00CE38CD">
            <w:pPr>
              <w:pStyle w:val="Default"/>
              <w:rPr>
                <w:sz w:val="20"/>
                <w:szCs w:val="20"/>
              </w:rPr>
            </w:pPr>
            <w:r w:rsidRPr="00023B68">
              <w:rPr>
                <w:sz w:val="20"/>
                <w:szCs w:val="20"/>
              </w:rPr>
              <w:t xml:space="preserve">Sekcja AI Poland KIGEIT (SAIPL </w:t>
            </w:r>
            <w:proofErr w:type="spellStart"/>
            <w:r w:rsidRPr="00023B68">
              <w:rPr>
                <w:sz w:val="20"/>
                <w:szCs w:val="20"/>
              </w:rPr>
              <w:t>KIGEiT</w:t>
            </w:r>
            <w:proofErr w:type="spellEnd"/>
            <w:r w:rsidRPr="00023B68">
              <w:rPr>
                <w:sz w:val="20"/>
                <w:szCs w:val="20"/>
              </w:rPr>
              <w:t>)</w:t>
            </w:r>
          </w:p>
        </w:tc>
        <w:tc>
          <w:tcPr>
            <w:tcW w:w="0" w:type="auto"/>
          </w:tcPr>
          <w:p w14:paraId="12F2B3F6" w14:textId="77777777" w:rsidR="00252B36" w:rsidRPr="00023B68" w:rsidRDefault="00D84432" w:rsidP="006261E8">
            <w:pPr>
              <w:pStyle w:val="Default"/>
              <w:rPr>
                <w:sz w:val="20"/>
                <w:szCs w:val="20"/>
              </w:rPr>
            </w:pPr>
            <w:r w:rsidRPr="00023B68">
              <w:rPr>
                <w:sz w:val="20"/>
                <w:szCs w:val="20"/>
              </w:rPr>
              <w:t xml:space="preserve">Popiera cele CADA w zakresie wzmocnienia europejskiej suwerenności technologicznej, lecz ocenia, że projekt w obecnej formie nie osiągnie tych celów bez istotnych poprawek. </w:t>
            </w:r>
          </w:p>
          <w:p w14:paraId="771DFEC7" w14:textId="77777777" w:rsidR="00252B36" w:rsidRPr="00023B68" w:rsidRDefault="00252B36" w:rsidP="006261E8">
            <w:pPr>
              <w:pStyle w:val="Default"/>
              <w:rPr>
                <w:sz w:val="20"/>
                <w:szCs w:val="20"/>
              </w:rPr>
            </w:pPr>
          </w:p>
          <w:p w14:paraId="490BAC56" w14:textId="03EEB18C" w:rsidR="006261E8" w:rsidRPr="00023B68" w:rsidRDefault="00D84432" w:rsidP="006261E8">
            <w:pPr>
              <w:pStyle w:val="Default"/>
              <w:rPr>
                <w:sz w:val="20"/>
                <w:szCs w:val="20"/>
              </w:rPr>
            </w:pPr>
            <w:r w:rsidRPr="00023B68">
              <w:rPr>
                <w:sz w:val="20"/>
                <w:szCs w:val="20"/>
              </w:rPr>
              <w:t xml:space="preserve">Kluczowe słabości to: brak prawnie wiążącej definicji suwerennej chmury, dobrowolność mechanizmów zamówień publicznych, nieefektywna walka z </w:t>
            </w:r>
            <w:proofErr w:type="spellStart"/>
            <w:r w:rsidRPr="00023B68">
              <w:rPr>
                <w:sz w:val="20"/>
                <w:szCs w:val="20"/>
              </w:rPr>
              <w:t>sovereignty</w:t>
            </w:r>
            <w:proofErr w:type="spellEnd"/>
            <w:r w:rsidRPr="00023B68">
              <w:rPr>
                <w:sz w:val="20"/>
                <w:szCs w:val="20"/>
              </w:rPr>
              <w:t xml:space="preserve"> </w:t>
            </w:r>
            <w:proofErr w:type="spellStart"/>
            <w:r w:rsidRPr="00023B68">
              <w:rPr>
                <w:sz w:val="20"/>
                <w:szCs w:val="20"/>
              </w:rPr>
              <w:t>washing</w:t>
            </w:r>
            <w:proofErr w:type="spellEnd"/>
            <w:r w:rsidRPr="00023B68">
              <w:rPr>
                <w:sz w:val="20"/>
                <w:szCs w:val="20"/>
              </w:rPr>
              <w:t xml:space="preserve"> oraz zbyt słabe przepisy o oprogramowaniu open </w:t>
            </w:r>
            <w:proofErr w:type="spellStart"/>
            <w:r w:rsidRPr="00023B68">
              <w:rPr>
                <w:sz w:val="20"/>
                <w:szCs w:val="20"/>
              </w:rPr>
              <w:t>source</w:t>
            </w:r>
            <w:proofErr w:type="spellEnd"/>
            <w:r w:rsidRPr="00023B68">
              <w:rPr>
                <w:sz w:val="20"/>
                <w:szCs w:val="20"/>
              </w:rPr>
              <w:t>.</w:t>
            </w:r>
            <w:r w:rsidR="00252B36" w:rsidRPr="00023B68">
              <w:rPr>
                <w:sz w:val="20"/>
                <w:szCs w:val="20"/>
              </w:rPr>
              <w:t xml:space="preserve"> </w:t>
            </w:r>
            <w:r w:rsidR="006261E8" w:rsidRPr="00023B68">
              <w:rPr>
                <w:sz w:val="20"/>
                <w:szCs w:val="20"/>
              </w:rPr>
              <w:t>CADA stanowi historyczną szansę na realną przebudowę europejskiego rynku usług chmurowych w kierunku suwerenności i konkurencyjności. Jednak szansa ta może zostać zmarnowana, jeżeli w toku procesu legislacyjnego nie zostaną wprowadzone zmiany.</w:t>
            </w:r>
            <w:r w:rsidR="00252B36" w:rsidRPr="00023B68">
              <w:rPr>
                <w:sz w:val="20"/>
                <w:szCs w:val="20"/>
              </w:rPr>
              <w:t xml:space="preserve"> </w:t>
            </w:r>
            <w:r w:rsidR="006261E8" w:rsidRPr="00023B68">
              <w:rPr>
                <w:sz w:val="20"/>
                <w:szCs w:val="20"/>
              </w:rPr>
              <w:t>Suwerenność chmurowa Europy wymaga nie tylko infrastruktury na terenie UE, ale przede wszystkim rzeczywistej kontroli prawnej, technologicznej i ekonomicznej sprawowanej przez europejskie podmioty. Bez wiążących definicji, egzekwowalnych celów zamówień publicznych i skutecznych mechanizmów anty-</w:t>
            </w:r>
            <w:proofErr w:type="spellStart"/>
            <w:r w:rsidR="006261E8" w:rsidRPr="00023B68">
              <w:rPr>
                <w:sz w:val="20"/>
                <w:szCs w:val="20"/>
              </w:rPr>
              <w:t>sovereignty</w:t>
            </w:r>
            <w:proofErr w:type="spellEnd"/>
            <w:r w:rsidR="006261E8" w:rsidRPr="00023B68">
              <w:rPr>
                <w:sz w:val="20"/>
                <w:szCs w:val="20"/>
              </w:rPr>
              <w:t xml:space="preserve"> </w:t>
            </w:r>
            <w:proofErr w:type="spellStart"/>
            <w:r w:rsidR="006261E8" w:rsidRPr="00023B68">
              <w:rPr>
                <w:sz w:val="20"/>
                <w:szCs w:val="20"/>
              </w:rPr>
              <w:t>washing</w:t>
            </w:r>
            <w:proofErr w:type="spellEnd"/>
            <w:r w:rsidR="006261E8" w:rsidRPr="00023B68">
              <w:rPr>
                <w:sz w:val="20"/>
                <w:szCs w:val="20"/>
              </w:rPr>
              <w:t xml:space="preserve"> CADA stanie się kolejnym dokumentem deklaratywnym, który nie zmieni struktury rynku zdominowanego przez trzech zewnętrznych </w:t>
            </w:r>
            <w:proofErr w:type="spellStart"/>
            <w:r w:rsidR="006261E8" w:rsidRPr="00023B68">
              <w:rPr>
                <w:sz w:val="20"/>
                <w:szCs w:val="20"/>
              </w:rPr>
              <w:t>hiperscalerów</w:t>
            </w:r>
            <w:proofErr w:type="spellEnd"/>
            <w:r w:rsidR="006261E8" w:rsidRPr="00023B68">
              <w:rPr>
                <w:sz w:val="20"/>
                <w:szCs w:val="20"/>
              </w:rPr>
              <w:t>.</w:t>
            </w:r>
          </w:p>
          <w:p w14:paraId="1F8C0C67" w14:textId="72DE9021" w:rsidR="00033236" w:rsidRPr="00023B68" w:rsidRDefault="00033236" w:rsidP="00CE38CD">
            <w:pPr>
              <w:pStyle w:val="Default"/>
              <w:rPr>
                <w:sz w:val="20"/>
                <w:szCs w:val="20"/>
              </w:rPr>
            </w:pPr>
          </w:p>
        </w:tc>
      </w:tr>
      <w:tr w:rsidR="008F406D" w:rsidRPr="00023B68" w14:paraId="2BCCF757" w14:textId="77777777" w:rsidTr="00040008">
        <w:tc>
          <w:tcPr>
            <w:tcW w:w="0" w:type="auto"/>
          </w:tcPr>
          <w:p w14:paraId="270DCB12" w14:textId="763DA021" w:rsidR="008F406D" w:rsidRPr="00023B68" w:rsidRDefault="008F406D" w:rsidP="00CE38CD">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57343C17" w14:textId="2E87BAE0" w:rsidR="008F406D" w:rsidRPr="00023B68" w:rsidRDefault="008F406D" w:rsidP="00CE38CD">
            <w:pPr>
              <w:pStyle w:val="Default"/>
              <w:rPr>
                <w:sz w:val="20"/>
                <w:szCs w:val="20"/>
              </w:rPr>
            </w:pPr>
            <w:r w:rsidRPr="00023B68">
              <w:rPr>
                <w:sz w:val="20"/>
                <w:szCs w:val="20"/>
              </w:rPr>
              <w:t>Polski Związek Centrów Danych (PLDCA)</w:t>
            </w:r>
          </w:p>
        </w:tc>
        <w:tc>
          <w:tcPr>
            <w:tcW w:w="0" w:type="auto"/>
          </w:tcPr>
          <w:p w14:paraId="3633507C" w14:textId="4D023090" w:rsidR="008F406D" w:rsidRPr="00023B68" w:rsidRDefault="00F23482" w:rsidP="008F406D">
            <w:pPr>
              <w:pStyle w:val="Default"/>
              <w:rPr>
                <w:sz w:val="20"/>
                <w:szCs w:val="20"/>
              </w:rPr>
            </w:pPr>
            <w:r w:rsidRPr="00023B68">
              <w:rPr>
                <w:sz w:val="20"/>
                <w:szCs w:val="20"/>
              </w:rPr>
              <w:t>O</w:t>
            </w:r>
            <w:r w:rsidR="008F406D" w:rsidRPr="00023B68">
              <w:rPr>
                <w:sz w:val="20"/>
                <w:szCs w:val="20"/>
              </w:rPr>
              <w:t xml:space="preserve">cenia propozycję </w:t>
            </w:r>
            <w:proofErr w:type="spellStart"/>
            <w:r w:rsidR="008F406D" w:rsidRPr="00023B68">
              <w:rPr>
                <w:sz w:val="20"/>
                <w:szCs w:val="20"/>
              </w:rPr>
              <w:t>Cloud</w:t>
            </w:r>
            <w:proofErr w:type="spellEnd"/>
            <w:r w:rsidR="008F406D" w:rsidRPr="00023B68">
              <w:rPr>
                <w:sz w:val="20"/>
                <w:szCs w:val="20"/>
              </w:rPr>
              <w:t xml:space="preserve"> and AI Development </w:t>
            </w:r>
            <w:proofErr w:type="spellStart"/>
            <w:r w:rsidR="008F406D" w:rsidRPr="00023B68">
              <w:rPr>
                <w:sz w:val="20"/>
                <w:szCs w:val="20"/>
              </w:rPr>
              <w:t>Act</w:t>
            </w:r>
            <w:proofErr w:type="spellEnd"/>
            <w:r w:rsidR="008F406D" w:rsidRPr="00023B68">
              <w:rPr>
                <w:sz w:val="20"/>
                <w:szCs w:val="20"/>
              </w:rPr>
              <w:t xml:space="preserve"> (CADA) jako jedną z najważniejszych inicjatyw dla przyszłości europejskiej infrastruktury cyfrowej. Kierunkowo popieramy jej główne cele, w szczególności zwiększenie europejskich mocy obliczeniowych, usprawnienie procesów inwestycyjnych oraz poprawę dostępu do energii, gruntów, infrastruktury telekomunikacyjnej i finansowania.</w:t>
            </w:r>
          </w:p>
          <w:p w14:paraId="69A38135" w14:textId="77777777" w:rsidR="008F406D" w:rsidRPr="00023B68" w:rsidRDefault="008F406D" w:rsidP="008F406D">
            <w:pPr>
              <w:pStyle w:val="Default"/>
              <w:rPr>
                <w:sz w:val="20"/>
                <w:szCs w:val="20"/>
              </w:rPr>
            </w:pPr>
            <w:r w:rsidRPr="00023B68">
              <w:rPr>
                <w:sz w:val="20"/>
                <w:szCs w:val="20"/>
              </w:rPr>
              <w:t>Z perspektywy Polski szczególne znaczenie ma cel bardziej zrównoważonego geograficznie rozwoju infrastruktury cyfrowej w UE, jak i proponowane usprawnienie procesu inwestycyjnego. Polska posiada istotny potencjał wynikający m.in. z położenia geograficznego, rozwijającej się infrastruktury energetycznej, dostępności terenów oraz korzystnych warunków klimatycznych, a jednocześnie jej udział w europejskiej infrastrukturze przetwarzania danych pozostaje nieproporcjonalnie niski. Według danych branżowych Polska odpowiada dziś za mniej niż 2% mocy przyłączeniowych centrów danych w Europie, a jej udział maleje wobec szybszego wzrostu mocy obliczeniowej w innych częściach kontynentu.</w:t>
            </w:r>
          </w:p>
          <w:p w14:paraId="5D5E8AB3" w14:textId="77777777" w:rsidR="008F406D" w:rsidRPr="00023B68" w:rsidRDefault="008F406D" w:rsidP="008F406D">
            <w:pPr>
              <w:pStyle w:val="Default"/>
              <w:rPr>
                <w:sz w:val="20"/>
                <w:szCs w:val="20"/>
              </w:rPr>
            </w:pPr>
            <w:r w:rsidRPr="00023B68">
              <w:rPr>
                <w:sz w:val="20"/>
                <w:szCs w:val="20"/>
              </w:rPr>
              <w:t xml:space="preserve">CADA może pomóc wykorzystać potencjał naszego kraju poprzez wyznaczanie stref przyspieszonego rozwoju centrów danych, utworzenie punktu kompleksowej obsługi inwestora oraz skrócenie procedur administracyjnych i środowiskowych umożliwiających uzyskanie pozwolenia na budowę do maksymalnie 12 miesięcy. Ma to szczególne znaczenie w Polsce, gdzie proces uzyskiwania wszystkich niezbędnych decyzji, trwa średnio 24 miesiące, a w przypadku większych inwestycji w data </w:t>
            </w:r>
            <w:proofErr w:type="spellStart"/>
            <w:r w:rsidRPr="00023B68">
              <w:rPr>
                <w:sz w:val="20"/>
                <w:szCs w:val="20"/>
              </w:rPr>
              <w:t>center</w:t>
            </w:r>
            <w:proofErr w:type="spellEnd"/>
            <w:r w:rsidRPr="00023B68">
              <w:rPr>
                <w:sz w:val="20"/>
                <w:szCs w:val="20"/>
              </w:rPr>
              <w:t xml:space="preserve"> (powyżej 150MW mocy) może trwać nawet 3 lata. Ograniczenie tego czasu mogłoby więc usunąć jedną z najważniejszych barier rozwoju sektora i zwiększyć konkurencyjność Polski w pozyskiwaniu nowych inwestycji. Ma to szczególne znaczenie w warunkach kontynentalnej oraz globalnej konkurencji o projekty cyfrowe, w której czas przygotowania inwestycji jest jednym z głównych kryteriów wyboru lokalizacji. Już obecnie niektóre państwa europejskie prowadzą procedury administracyjne dla centrów danych w ramach około 9–12 miesięcy, zanim jeszcze rozwiązania przewidziane w CADA zaczną obowiązywać. Utrzymanie w Polsce postępowań trwających od dwóch do trzech lat zwiększa zatem ryzyko wyboru przez inwestorów innych rynków.</w:t>
            </w:r>
          </w:p>
          <w:p w14:paraId="09F2344C" w14:textId="40A0B821" w:rsidR="008F406D" w:rsidRPr="00023B68" w:rsidRDefault="008F406D" w:rsidP="008F406D">
            <w:pPr>
              <w:pStyle w:val="Default"/>
              <w:rPr>
                <w:sz w:val="20"/>
                <w:szCs w:val="20"/>
              </w:rPr>
            </w:pPr>
          </w:p>
        </w:tc>
      </w:tr>
      <w:tr w:rsidR="009552CE" w:rsidRPr="00023B68" w14:paraId="44E27A37" w14:textId="77777777" w:rsidTr="00040008">
        <w:tc>
          <w:tcPr>
            <w:tcW w:w="0" w:type="auto"/>
          </w:tcPr>
          <w:p w14:paraId="72E5BF84" w14:textId="68787E11" w:rsidR="009552CE" w:rsidRPr="00023B68" w:rsidRDefault="009552CE" w:rsidP="00CE38CD">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72F1132D" w14:textId="58C037FB" w:rsidR="009552CE" w:rsidRPr="00023B68" w:rsidRDefault="009552CE" w:rsidP="00CE38CD">
            <w:pPr>
              <w:pStyle w:val="Default"/>
              <w:rPr>
                <w:sz w:val="20"/>
                <w:szCs w:val="20"/>
              </w:rPr>
            </w:pPr>
            <w:r w:rsidRPr="00023B68">
              <w:rPr>
                <w:sz w:val="20"/>
                <w:szCs w:val="20"/>
              </w:rPr>
              <w:t>ZPP</w:t>
            </w:r>
          </w:p>
        </w:tc>
        <w:tc>
          <w:tcPr>
            <w:tcW w:w="0" w:type="auto"/>
          </w:tcPr>
          <w:p w14:paraId="7C21CD9C" w14:textId="77777777" w:rsidR="009552CE" w:rsidRPr="00023B68" w:rsidRDefault="009552CE" w:rsidP="009552CE">
            <w:pPr>
              <w:pStyle w:val="Default"/>
              <w:rPr>
                <w:sz w:val="20"/>
                <w:szCs w:val="20"/>
              </w:rPr>
            </w:pPr>
            <w:r w:rsidRPr="00023B68">
              <w:rPr>
                <w:sz w:val="20"/>
                <w:szCs w:val="20"/>
              </w:rPr>
              <w:t>CADA może istotnie wzmocnić europejską odporność cyfrową, bezpieczeństwo gospodarcze i konkurencyjność przemysłu. Warunkiem powodzenia regulacji będzie stworzenie ram, które jednocześnie przyspieszają rozwój europejskich zdolności, ograniczają nadmierną koncentrację, zapewniają rzeczywistą kontrolę nad danymi i ciągłością usług oraz pozostawiają przestrzeń dla innowacji technologicznych.</w:t>
            </w:r>
          </w:p>
          <w:p w14:paraId="37C3F901" w14:textId="77777777" w:rsidR="009552CE" w:rsidRPr="00023B68" w:rsidRDefault="009552CE" w:rsidP="009552CE">
            <w:pPr>
              <w:pStyle w:val="Default"/>
              <w:rPr>
                <w:sz w:val="20"/>
                <w:szCs w:val="20"/>
              </w:rPr>
            </w:pPr>
            <w:r w:rsidRPr="00023B68">
              <w:rPr>
                <w:sz w:val="20"/>
                <w:szCs w:val="20"/>
              </w:rPr>
              <w:t>W ocenie ZPP europejska suwerenność technologiczna powinna być rozumiana jako zdolność do samodzielnego działania, podejmowania decyzji i zapewnienia ciągłości kluczowych usług. Powinna opierać się na rozwoju własnej infrastruktury, dywersyfikacji dostawców, interoperacyjności i skutecznej kontroli operacyjnej, przy zachowaniu możliwości bezpiecznej współpracy technologicznej wspierającej rozwój europejskich kompetencji i zdolności.</w:t>
            </w:r>
          </w:p>
          <w:p w14:paraId="257998AA" w14:textId="37D9CDBD" w:rsidR="009552CE" w:rsidRPr="00023B68" w:rsidRDefault="009552CE" w:rsidP="009552CE">
            <w:pPr>
              <w:pStyle w:val="Default"/>
              <w:rPr>
                <w:sz w:val="20"/>
                <w:szCs w:val="20"/>
              </w:rPr>
            </w:pPr>
          </w:p>
        </w:tc>
      </w:tr>
      <w:tr w:rsidR="00FA6F21" w:rsidRPr="00023B68" w14:paraId="5E1C2E4C" w14:textId="77777777" w:rsidTr="00040008">
        <w:tc>
          <w:tcPr>
            <w:tcW w:w="0" w:type="auto"/>
          </w:tcPr>
          <w:p w14:paraId="4564516A" w14:textId="74BAB25F" w:rsidR="00FA6F21" w:rsidRPr="00023B68" w:rsidRDefault="00FA6F21" w:rsidP="00CE38CD">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3494242E" w14:textId="30A134EB" w:rsidR="00FA6F21" w:rsidRPr="00023B68" w:rsidRDefault="00FA6F21" w:rsidP="00CE38CD">
            <w:pPr>
              <w:pStyle w:val="Default"/>
              <w:rPr>
                <w:sz w:val="20"/>
                <w:szCs w:val="20"/>
              </w:rPr>
            </w:pPr>
            <w:proofErr w:type="spellStart"/>
            <w:r w:rsidRPr="00023B68">
              <w:rPr>
                <w:sz w:val="20"/>
                <w:szCs w:val="20"/>
              </w:rPr>
              <w:t>PIIiT</w:t>
            </w:r>
            <w:proofErr w:type="spellEnd"/>
          </w:p>
        </w:tc>
        <w:tc>
          <w:tcPr>
            <w:tcW w:w="0" w:type="auto"/>
          </w:tcPr>
          <w:p w14:paraId="4CFFADDA" w14:textId="77777777" w:rsidR="00FA6F21" w:rsidRPr="00023B68" w:rsidRDefault="00FA6F21" w:rsidP="00FA6F21">
            <w:pPr>
              <w:pStyle w:val="Default"/>
              <w:rPr>
                <w:sz w:val="20"/>
                <w:szCs w:val="20"/>
              </w:rPr>
            </w:pPr>
            <w:r w:rsidRPr="00023B68">
              <w:rPr>
                <w:sz w:val="20"/>
                <w:szCs w:val="20"/>
              </w:rPr>
              <w:t xml:space="preserve">PIIT kwestionuje art. 114 TFUE jako podstawę prawną. Przepis art. 114 TFUE nie daje ogólnej kompetencji do regulowania rynku wewnętrznego. Środek ciężkości aktu leży poza harmonizacją rynku. Konkretne przepisy dotyczą zmiana w prawie zamówień publicznych oraz powołania nowych form organizacyjno-prawnych dla współpracy, obok istniejących. Właściwą podstawą prawną pozostają art. 53 ust. 1, art. 62 oraz dodatkowo art. 114 </w:t>
            </w:r>
            <w:proofErr w:type="spellStart"/>
            <w:r w:rsidRPr="00023B68">
              <w:rPr>
                <w:sz w:val="20"/>
                <w:szCs w:val="20"/>
              </w:rPr>
              <w:t>tfue</w:t>
            </w:r>
            <w:proofErr w:type="spellEnd"/>
            <w:r w:rsidRPr="00023B68">
              <w:rPr>
                <w:sz w:val="20"/>
                <w:szCs w:val="20"/>
              </w:rPr>
              <w:t>. Do katalogu celów wystarczyłby komunikat, wnioski Rady lub najwyżej dyrektywa. Postulujemy nowelizację dyrektywy o zamówieniach zamiast nowego rozporządzenia.</w:t>
            </w:r>
          </w:p>
          <w:p w14:paraId="323CB5EE" w14:textId="6F7C8B5D" w:rsidR="00FA6F21" w:rsidRPr="00023B68" w:rsidRDefault="00FA6F21" w:rsidP="00FA6F21">
            <w:pPr>
              <w:pStyle w:val="Default"/>
              <w:rPr>
                <w:sz w:val="20"/>
                <w:szCs w:val="20"/>
              </w:rPr>
            </w:pPr>
          </w:p>
        </w:tc>
      </w:tr>
      <w:tr w:rsidR="00661642" w:rsidRPr="00023B68" w14:paraId="72214E6B" w14:textId="77777777" w:rsidTr="00040008">
        <w:tc>
          <w:tcPr>
            <w:tcW w:w="0" w:type="auto"/>
          </w:tcPr>
          <w:p w14:paraId="3A224167" w14:textId="4E496A65" w:rsidR="00661642" w:rsidRPr="00023B68" w:rsidRDefault="00661642" w:rsidP="00CE38CD">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4F33D5FF" w14:textId="057EA75E" w:rsidR="00661642" w:rsidRPr="00023B68" w:rsidRDefault="00675195" w:rsidP="00CE38CD">
            <w:pPr>
              <w:pStyle w:val="Default"/>
              <w:rPr>
                <w:sz w:val="20"/>
                <w:szCs w:val="20"/>
              </w:rPr>
            </w:pPr>
            <w:proofErr w:type="spellStart"/>
            <w:r w:rsidRPr="00023B68">
              <w:rPr>
                <w:sz w:val="20"/>
                <w:szCs w:val="20"/>
              </w:rPr>
              <w:t>PIIiT</w:t>
            </w:r>
            <w:proofErr w:type="spellEnd"/>
          </w:p>
        </w:tc>
        <w:tc>
          <w:tcPr>
            <w:tcW w:w="0" w:type="auto"/>
          </w:tcPr>
          <w:p w14:paraId="594F68D6" w14:textId="77777777" w:rsidR="00661642" w:rsidRPr="00023B68" w:rsidRDefault="00661642" w:rsidP="00661642">
            <w:pPr>
              <w:pStyle w:val="Default"/>
              <w:rPr>
                <w:sz w:val="20"/>
                <w:szCs w:val="20"/>
              </w:rPr>
            </w:pPr>
            <w:r w:rsidRPr="00023B68">
              <w:rPr>
                <w:sz w:val="20"/>
                <w:szCs w:val="20"/>
              </w:rPr>
              <w:t xml:space="preserve">PIIT popiera podniesienie poziomu bezpieczeństwa systemów IT używanych w sektorze publicznym, jak również wyeliminowanie nieuczciwej konkurencji w postaci niedozwolonej pomocy publicznej. Ze zrozumieniem odnosi się do ograniczenia, a nawet wyeliminowania ryzyka korzystania przez państwa spoza Unii z </w:t>
            </w:r>
            <w:proofErr w:type="spellStart"/>
            <w:r w:rsidRPr="00023B68">
              <w:rPr>
                <w:sz w:val="20"/>
                <w:szCs w:val="20"/>
              </w:rPr>
              <w:t>ekstraterytorialnych</w:t>
            </w:r>
            <w:proofErr w:type="spellEnd"/>
            <w:r w:rsidRPr="00023B68">
              <w:rPr>
                <w:sz w:val="20"/>
                <w:szCs w:val="20"/>
              </w:rPr>
              <w:t xml:space="preserve"> narzędzi prawnych i technicznych do sięgania po dane sektora publicznego, bez jego wyraźnej zgody. Izba popiera suwerenność cyfrową, która odpowiada powyższym celom, ale nie eliminuje technologicznych partnerów tylko na podstawie kryterium geograficznego. Zbyt radykalne stanowisko grozi odizolowaniem UE od innowacji i zakłóceniem globalnych łańcuchów dostaw, dotykającym również europejskich dostawców.</w:t>
            </w:r>
          </w:p>
          <w:p w14:paraId="12A57FB7" w14:textId="5D4FF15E" w:rsidR="00661642" w:rsidRPr="00023B68" w:rsidRDefault="00661642" w:rsidP="00661642">
            <w:pPr>
              <w:pStyle w:val="Default"/>
              <w:rPr>
                <w:sz w:val="20"/>
                <w:szCs w:val="20"/>
              </w:rPr>
            </w:pPr>
          </w:p>
        </w:tc>
      </w:tr>
      <w:tr w:rsidR="00675195" w:rsidRPr="00023B68" w14:paraId="72F1E26F" w14:textId="77777777" w:rsidTr="00040008">
        <w:tc>
          <w:tcPr>
            <w:tcW w:w="0" w:type="auto"/>
          </w:tcPr>
          <w:p w14:paraId="7782C10C" w14:textId="2519F4B1" w:rsidR="00675195" w:rsidRPr="00023B68" w:rsidRDefault="00675195" w:rsidP="00CE38CD">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6E34D6AD" w14:textId="2FE7C0AF" w:rsidR="00675195" w:rsidRPr="00023B68" w:rsidRDefault="00675195" w:rsidP="00CE38CD">
            <w:pPr>
              <w:pStyle w:val="Default"/>
              <w:rPr>
                <w:sz w:val="20"/>
                <w:szCs w:val="20"/>
              </w:rPr>
            </w:pPr>
            <w:proofErr w:type="spellStart"/>
            <w:r w:rsidRPr="00023B68">
              <w:rPr>
                <w:sz w:val="20"/>
                <w:szCs w:val="20"/>
              </w:rPr>
              <w:t>PIIiT</w:t>
            </w:r>
            <w:proofErr w:type="spellEnd"/>
          </w:p>
        </w:tc>
        <w:tc>
          <w:tcPr>
            <w:tcW w:w="0" w:type="auto"/>
          </w:tcPr>
          <w:p w14:paraId="6FF9032A" w14:textId="77777777" w:rsidR="00675195" w:rsidRPr="00023B68" w:rsidRDefault="00675195" w:rsidP="00661642">
            <w:pPr>
              <w:pStyle w:val="Default"/>
              <w:rPr>
                <w:sz w:val="20"/>
                <w:szCs w:val="20"/>
              </w:rPr>
            </w:pPr>
            <w:r w:rsidRPr="00023B68">
              <w:rPr>
                <w:sz w:val="20"/>
                <w:szCs w:val="20"/>
              </w:rPr>
              <w:t>Izba zwraca uwagę, że ryzyko systemowej zależności i koncentracji, któremu rozporządzenie ma przeciwdziałać, jest związane przede wszystkim ze strukturą rynku największych dostawców infrastruktury. Znaczna część kosztów wdrożenia może zostać przeniesiona na mniejszych dostawców aplikacji, integratorów i podwykonawców, czyli na podmioty, które nie kontrolują właściwości infrastruktury, za które mogą formalnie odpowiadać. W rezultacie regulacja może niezamierzenie zwiększyć bariery wejścia i pogłębić koncentrację, którą ma ograniczać.</w:t>
            </w:r>
          </w:p>
          <w:p w14:paraId="7C1CABA5" w14:textId="085C2E0C" w:rsidR="00675195" w:rsidRPr="00023B68" w:rsidRDefault="00675195" w:rsidP="00661642">
            <w:pPr>
              <w:pStyle w:val="Default"/>
              <w:rPr>
                <w:sz w:val="20"/>
                <w:szCs w:val="20"/>
              </w:rPr>
            </w:pPr>
          </w:p>
        </w:tc>
      </w:tr>
      <w:tr w:rsidR="00607C0D" w:rsidRPr="00023B68" w14:paraId="4840555D" w14:textId="77777777" w:rsidTr="00040008">
        <w:tc>
          <w:tcPr>
            <w:tcW w:w="0" w:type="auto"/>
          </w:tcPr>
          <w:p w14:paraId="271ACA93" w14:textId="652D59C0" w:rsidR="00607C0D" w:rsidRPr="00023B68" w:rsidRDefault="00764C33" w:rsidP="00CE38CD">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49DA1F0D" w14:textId="781E7428" w:rsidR="00607C0D" w:rsidRPr="00023B68" w:rsidRDefault="00764C33" w:rsidP="00CE38CD">
            <w:pPr>
              <w:pStyle w:val="Default"/>
              <w:rPr>
                <w:sz w:val="20"/>
                <w:szCs w:val="20"/>
              </w:rPr>
            </w:pPr>
            <w:r w:rsidRPr="00023B68">
              <w:rPr>
                <w:sz w:val="20"/>
                <w:szCs w:val="20"/>
              </w:rPr>
              <w:t>Amerykańska Izba Handlowa (</w:t>
            </w:r>
            <w:proofErr w:type="spellStart"/>
            <w:r w:rsidRPr="00023B68">
              <w:rPr>
                <w:sz w:val="20"/>
                <w:szCs w:val="20"/>
              </w:rPr>
              <w:t>AmCham</w:t>
            </w:r>
            <w:proofErr w:type="spellEnd"/>
            <w:r w:rsidRPr="00023B68">
              <w:rPr>
                <w:sz w:val="20"/>
                <w:szCs w:val="20"/>
              </w:rPr>
              <w:t>)</w:t>
            </w:r>
          </w:p>
        </w:tc>
        <w:tc>
          <w:tcPr>
            <w:tcW w:w="0" w:type="auto"/>
          </w:tcPr>
          <w:p w14:paraId="43137752" w14:textId="755563D7" w:rsidR="00607C0D" w:rsidRPr="00023B68" w:rsidRDefault="00607C0D" w:rsidP="00607C0D">
            <w:pPr>
              <w:pStyle w:val="Default"/>
              <w:rPr>
                <w:sz w:val="20"/>
                <w:szCs w:val="20"/>
              </w:rPr>
            </w:pPr>
            <w:r w:rsidRPr="00023B68">
              <w:rPr>
                <w:sz w:val="20"/>
                <w:szCs w:val="20"/>
              </w:rPr>
              <w:t>Cele pakietu na rzecz suwerenności technologicznej – budowanie europejskiego potencjału w</w:t>
            </w:r>
            <w:r w:rsidR="00EA186E" w:rsidRPr="00023B68">
              <w:rPr>
                <w:sz w:val="20"/>
                <w:szCs w:val="20"/>
              </w:rPr>
              <w:t> </w:t>
            </w:r>
            <w:r w:rsidRPr="00023B68">
              <w:rPr>
                <w:sz w:val="20"/>
                <w:szCs w:val="20"/>
              </w:rPr>
              <w:t>zakresie technologii krytycznych oraz przyspieszenie inwestycji w sztuczną inteligencję (AI) –</w:t>
            </w:r>
            <w:r w:rsidR="00EA186E" w:rsidRPr="00023B68">
              <w:rPr>
                <w:sz w:val="20"/>
                <w:szCs w:val="20"/>
              </w:rPr>
              <w:t> </w:t>
            </w:r>
            <w:r w:rsidRPr="00023B68">
              <w:rPr>
                <w:sz w:val="20"/>
                <w:szCs w:val="20"/>
              </w:rPr>
              <w:t>są w pełni uzasadnione, a jego ukierunkowanie na interoperacyjność należy przyjąć z</w:t>
            </w:r>
            <w:r w:rsidR="00EA186E" w:rsidRPr="00023B68">
              <w:rPr>
                <w:sz w:val="20"/>
                <w:szCs w:val="20"/>
              </w:rPr>
              <w:t> </w:t>
            </w:r>
            <w:r w:rsidRPr="00023B68">
              <w:rPr>
                <w:sz w:val="20"/>
                <w:szCs w:val="20"/>
              </w:rPr>
              <w:t>zadowoleniem.</w:t>
            </w:r>
            <w:r w:rsidR="005657FB" w:rsidRPr="00023B68">
              <w:rPr>
                <w:sz w:val="20"/>
                <w:szCs w:val="20"/>
              </w:rPr>
              <w:t xml:space="preserve"> </w:t>
            </w:r>
            <w:r w:rsidRPr="00023B68">
              <w:rPr>
                <w:b/>
                <w:bCs/>
                <w:sz w:val="20"/>
                <w:szCs w:val="20"/>
              </w:rPr>
              <w:t>Propozycja Komisji nie spełnia jednak jej własnego założenia, by oprzeć przyjętą strategię na</w:t>
            </w:r>
            <w:r w:rsidR="00EA186E" w:rsidRPr="00023B68">
              <w:rPr>
                <w:sz w:val="20"/>
                <w:szCs w:val="20"/>
              </w:rPr>
              <w:t> </w:t>
            </w:r>
            <w:r w:rsidRPr="00023B68">
              <w:rPr>
                <w:b/>
                <w:bCs/>
                <w:sz w:val="20"/>
                <w:szCs w:val="20"/>
              </w:rPr>
              <w:t>„otwartości, partnerstwie i uczciwej konkurencji”.</w:t>
            </w:r>
            <w:r w:rsidR="00EA186E" w:rsidRPr="00023B68">
              <w:rPr>
                <w:b/>
                <w:bCs/>
                <w:sz w:val="20"/>
                <w:szCs w:val="20"/>
              </w:rPr>
              <w:t> </w:t>
            </w:r>
            <w:r w:rsidRPr="00023B68">
              <w:rPr>
                <w:sz w:val="20"/>
                <w:szCs w:val="20"/>
              </w:rPr>
              <w:t>Współpraca z zaufanymi partnerami globalnymi stanowi kluczowy element dobrobytu i</w:t>
            </w:r>
            <w:r w:rsidR="00EA186E" w:rsidRPr="00023B68">
              <w:rPr>
                <w:sz w:val="20"/>
                <w:szCs w:val="20"/>
              </w:rPr>
              <w:t> </w:t>
            </w:r>
            <w:r w:rsidRPr="00023B68">
              <w:rPr>
                <w:sz w:val="20"/>
                <w:szCs w:val="20"/>
              </w:rPr>
              <w:t xml:space="preserve">bezpieczeństwa Europy, dlatego </w:t>
            </w:r>
            <w:proofErr w:type="spellStart"/>
            <w:r w:rsidRPr="00023B68">
              <w:rPr>
                <w:sz w:val="20"/>
                <w:szCs w:val="20"/>
              </w:rPr>
              <w:t>AmCham</w:t>
            </w:r>
            <w:proofErr w:type="spellEnd"/>
            <w:r w:rsidRPr="00023B68">
              <w:rPr>
                <w:sz w:val="20"/>
                <w:szCs w:val="20"/>
              </w:rPr>
              <w:t xml:space="preserve"> popiera pakiet oparty na koncepcji „otwartej</w:t>
            </w:r>
            <w:r w:rsidR="00EA186E" w:rsidRPr="00023B68">
              <w:rPr>
                <w:sz w:val="20"/>
                <w:szCs w:val="20"/>
              </w:rPr>
              <w:t> </w:t>
            </w:r>
            <w:r w:rsidRPr="00023B68">
              <w:rPr>
                <w:sz w:val="20"/>
                <w:szCs w:val="20"/>
              </w:rPr>
              <w:t>suwerenności” oraz na podejściu polegającym na tworzeniu rozwiązań z Europą (</w:t>
            </w:r>
            <w:proofErr w:type="spellStart"/>
            <w:r w:rsidRPr="00023B68">
              <w:rPr>
                <w:sz w:val="20"/>
                <w:szCs w:val="20"/>
              </w:rPr>
              <w:t>Made</w:t>
            </w:r>
            <w:proofErr w:type="spellEnd"/>
            <w:r w:rsidRPr="00023B68">
              <w:rPr>
                <w:sz w:val="20"/>
                <w:szCs w:val="20"/>
              </w:rPr>
              <w:t xml:space="preserve"> with</w:t>
            </w:r>
            <w:r w:rsidR="00EA186E" w:rsidRPr="00023B68">
              <w:rPr>
                <w:sz w:val="20"/>
                <w:szCs w:val="20"/>
              </w:rPr>
              <w:t> </w:t>
            </w:r>
            <w:r w:rsidRPr="00023B68">
              <w:rPr>
                <w:sz w:val="20"/>
                <w:szCs w:val="20"/>
              </w:rPr>
              <w:t>Europe), służącym wzmacnianiu suwerennej kontroli Europy.</w:t>
            </w:r>
            <w:r w:rsidR="00EA186E" w:rsidRPr="00023B68">
              <w:rPr>
                <w:sz w:val="20"/>
                <w:szCs w:val="20"/>
              </w:rPr>
              <w:t> </w:t>
            </w:r>
            <w:r w:rsidRPr="00023B68">
              <w:rPr>
                <w:sz w:val="20"/>
                <w:szCs w:val="20"/>
              </w:rPr>
              <w:t>Proponowane kryteria suwerenności, które przesądzą o tym, w jaki sposób państwa</w:t>
            </w:r>
            <w:r w:rsidR="00EA186E" w:rsidRPr="00023B68">
              <w:rPr>
                <w:sz w:val="20"/>
                <w:szCs w:val="20"/>
              </w:rPr>
              <w:t> </w:t>
            </w:r>
            <w:r w:rsidRPr="00023B68">
              <w:rPr>
                <w:sz w:val="20"/>
                <w:szCs w:val="20"/>
              </w:rPr>
              <w:t>członkowskie będą stosować wymogi suwerenności wobec krajowego sektora publicznego i</w:t>
            </w:r>
            <w:r w:rsidR="00EA186E" w:rsidRPr="00023B68">
              <w:rPr>
                <w:sz w:val="20"/>
                <w:szCs w:val="20"/>
              </w:rPr>
              <w:t> </w:t>
            </w:r>
            <w:r w:rsidRPr="00023B68">
              <w:rPr>
                <w:sz w:val="20"/>
                <w:szCs w:val="20"/>
              </w:rPr>
              <w:t>sektorów krytycznych, nie zapewnią otwartości ani partnerstwa. Zamiast tego Komisja</w:t>
            </w:r>
            <w:r w:rsidR="00EA186E" w:rsidRPr="00023B68">
              <w:rPr>
                <w:sz w:val="20"/>
                <w:szCs w:val="20"/>
              </w:rPr>
              <w:t> </w:t>
            </w:r>
            <w:r w:rsidRPr="00023B68">
              <w:rPr>
                <w:sz w:val="20"/>
                <w:szCs w:val="20"/>
              </w:rPr>
              <w:t xml:space="preserve">proponuje wykluczenie dostawców spoza UE ze znaczącej </w:t>
            </w:r>
            <w:r w:rsidRPr="00023B68">
              <w:rPr>
                <w:sz w:val="20"/>
                <w:szCs w:val="20"/>
              </w:rPr>
              <w:lastRenderedPageBreak/>
              <w:t>części rynku, wykraczając poza</w:t>
            </w:r>
            <w:r w:rsidR="00EA186E" w:rsidRPr="00023B68">
              <w:rPr>
                <w:sz w:val="20"/>
                <w:szCs w:val="20"/>
              </w:rPr>
              <w:t> </w:t>
            </w:r>
            <w:r w:rsidRPr="00023B68">
              <w:rPr>
                <w:sz w:val="20"/>
                <w:szCs w:val="20"/>
              </w:rPr>
              <w:t>najbardziej rygorystyczne ramy suwerenności funkcjonujące obecnie na poziomie państw</w:t>
            </w:r>
            <w:r w:rsidR="00EA186E" w:rsidRPr="00023B68">
              <w:rPr>
                <w:sz w:val="20"/>
                <w:szCs w:val="20"/>
              </w:rPr>
              <w:t> </w:t>
            </w:r>
            <w:r w:rsidRPr="00023B68">
              <w:rPr>
                <w:sz w:val="20"/>
                <w:szCs w:val="20"/>
              </w:rPr>
              <w:t>członkowskich, które przewidują rolę dla zaufanych partnerów globalnych. Uprawnienia</w:t>
            </w:r>
            <w:r w:rsidR="00EA186E" w:rsidRPr="00023B68">
              <w:rPr>
                <w:sz w:val="20"/>
                <w:szCs w:val="20"/>
              </w:rPr>
              <w:t> </w:t>
            </w:r>
            <w:r w:rsidRPr="00023B68">
              <w:rPr>
                <w:sz w:val="20"/>
                <w:szCs w:val="20"/>
              </w:rPr>
              <w:t>Komisji do rozstrzygania, czy jacykolwiek dostawcy spoza UE powinni zostać dopuszczeni,</w:t>
            </w:r>
            <w:r w:rsidR="00EA186E" w:rsidRPr="00023B68">
              <w:rPr>
                <w:sz w:val="20"/>
                <w:szCs w:val="20"/>
              </w:rPr>
              <w:t> </w:t>
            </w:r>
            <w:r w:rsidRPr="00023B68">
              <w:rPr>
                <w:sz w:val="20"/>
                <w:szCs w:val="20"/>
              </w:rPr>
              <w:t>oraz do uchylania decyzji państw członkowskich dotyczących kryteriów suwerenności, w</w:t>
            </w:r>
            <w:r w:rsidR="00EA186E" w:rsidRPr="00023B68">
              <w:rPr>
                <w:sz w:val="20"/>
                <w:szCs w:val="20"/>
              </w:rPr>
              <w:t> </w:t>
            </w:r>
            <w:r w:rsidRPr="00023B68">
              <w:rPr>
                <w:sz w:val="20"/>
                <w:szCs w:val="20"/>
              </w:rPr>
              <w:t>istotny sposób ingerują w kompetencje państw członkowskich w zakresie bezpieczeństwa</w:t>
            </w:r>
            <w:r w:rsidR="00EA186E" w:rsidRPr="00023B68">
              <w:rPr>
                <w:sz w:val="20"/>
                <w:szCs w:val="20"/>
              </w:rPr>
              <w:t> </w:t>
            </w:r>
            <w:r w:rsidRPr="00023B68">
              <w:rPr>
                <w:sz w:val="20"/>
                <w:szCs w:val="20"/>
              </w:rPr>
              <w:t>narodowego.</w:t>
            </w:r>
            <w:r w:rsidR="00EA186E" w:rsidRPr="00023B68">
              <w:rPr>
                <w:sz w:val="20"/>
                <w:szCs w:val="20"/>
              </w:rPr>
              <w:t> </w:t>
            </w:r>
            <w:r w:rsidRPr="00023B68">
              <w:rPr>
                <w:sz w:val="20"/>
                <w:szCs w:val="20"/>
              </w:rPr>
              <w:t>Podejście oparte na wykluczeniu grozi odizolowaniem UE od innowacyjnych technologii oraz</w:t>
            </w:r>
            <w:r w:rsidR="00EA186E" w:rsidRPr="00023B68">
              <w:rPr>
                <w:sz w:val="20"/>
                <w:szCs w:val="20"/>
              </w:rPr>
              <w:t> </w:t>
            </w:r>
            <w:r w:rsidRPr="00023B68">
              <w:rPr>
                <w:sz w:val="20"/>
                <w:szCs w:val="20"/>
              </w:rPr>
              <w:t>od rozwoju infrastruktury danych, które są pilnie potrzebne dla zwiększenia jej</w:t>
            </w:r>
            <w:r w:rsidR="00EA186E" w:rsidRPr="00023B68">
              <w:rPr>
                <w:sz w:val="20"/>
                <w:szCs w:val="20"/>
              </w:rPr>
              <w:t xml:space="preserve"> </w:t>
            </w:r>
            <w:r w:rsidRPr="00023B68">
              <w:rPr>
                <w:sz w:val="20"/>
                <w:szCs w:val="20"/>
              </w:rPr>
              <w:t>konkurencyjności. Doprowadzi także do powstania rynku dwóch prędkości, na którym korzyści</w:t>
            </w:r>
            <w:r w:rsidR="00EA186E" w:rsidRPr="00023B68">
              <w:rPr>
                <w:sz w:val="20"/>
                <w:szCs w:val="20"/>
              </w:rPr>
              <w:t xml:space="preserve"> </w:t>
            </w:r>
            <w:r w:rsidRPr="00023B68">
              <w:rPr>
                <w:sz w:val="20"/>
                <w:szCs w:val="20"/>
              </w:rPr>
              <w:t>płynące z innowacji będą ograniczone dla podmiotów pełniących krytyczne funkcje w zakresie</w:t>
            </w:r>
            <w:r w:rsidR="00EA186E" w:rsidRPr="00023B68">
              <w:rPr>
                <w:sz w:val="20"/>
                <w:szCs w:val="20"/>
              </w:rPr>
              <w:t xml:space="preserve"> </w:t>
            </w:r>
            <w:r w:rsidRPr="00023B68">
              <w:rPr>
                <w:sz w:val="20"/>
                <w:szCs w:val="20"/>
              </w:rPr>
              <w:t>bezpieczeństwa publicznego. Suwerenność powinna zapewniać użytkownikom końcowym</w:t>
            </w:r>
            <w:r w:rsidR="00EA186E" w:rsidRPr="00023B68">
              <w:rPr>
                <w:sz w:val="20"/>
                <w:szCs w:val="20"/>
              </w:rPr>
              <w:t> </w:t>
            </w:r>
            <w:r w:rsidRPr="00023B68">
              <w:rPr>
                <w:sz w:val="20"/>
                <w:szCs w:val="20"/>
              </w:rPr>
              <w:t>większy, a nie mniejszy wybór, bez poświęcania innowacyjności i bezpieczeństwa, a drogą do</w:t>
            </w:r>
            <w:r w:rsidR="00EA186E" w:rsidRPr="00023B68">
              <w:rPr>
                <w:sz w:val="20"/>
                <w:szCs w:val="20"/>
              </w:rPr>
              <w:t> </w:t>
            </w:r>
            <w:r w:rsidRPr="00023B68">
              <w:rPr>
                <w:sz w:val="20"/>
                <w:szCs w:val="20"/>
              </w:rPr>
              <w:t>osiągnięcia obu tych celów jednocześnie jest ukierunkowanie na interoperacyjność, otwarte</w:t>
            </w:r>
            <w:r w:rsidR="00EA186E" w:rsidRPr="00023B68">
              <w:rPr>
                <w:sz w:val="20"/>
                <w:szCs w:val="20"/>
              </w:rPr>
              <w:t> </w:t>
            </w:r>
            <w:r w:rsidRPr="00023B68">
              <w:rPr>
                <w:sz w:val="20"/>
                <w:szCs w:val="20"/>
              </w:rPr>
              <w:t>technologie oraz przeciwdziałanie uzależnieniu od jednego dostawcy.</w:t>
            </w:r>
            <w:r w:rsidR="00EA186E" w:rsidRPr="00023B68">
              <w:rPr>
                <w:sz w:val="20"/>
                <w:szCs w:val="20"/>
              </w:rPr>
              <w:t> </w:t>
            </w:r>
          </w:p>
          <w:p w14:paraId="4FE611A9" w14:textId="1DB68671" w:rsidR="00EA186E" w:rsidRPr="00023B68" w:rsidRDefault="00EA186E" w:rsidP="00607C0D">
            <w:pPr>
              <w:pStyle w:val="Default"/>
              <w:rPr>
                <w:sz w:val="20"/>
                <w:szCs w:val="20"/>
              </w:rPr>
            </w:pPr>
          </w:p>
        </w:tc>
      </w:tr>
      <w:tr w:rsidR="000E0C7D" w:rsidRPr="00023B68" w14:paraId="0EB1D820" w14:textId="77777777" w:rsidTr="00040008">
        <w:tc>
          <w:tcPr>
            <w:tcW w:w="0" w:type="auto"/>
          </w:tcPr>
          <w:p w14:paraId="0D6C8893" w14:textId="474DBC44" w:rsidR="000E0C7D" w:rsidRPr="00023B68" w:rsidRDefault="000E0C7D" w:rsidP="00CE38CD">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17C0323E" w14:textId="72DE37D8" w:rsidR="000E0C7D" w:rsidRPr="00023B68" w:rsidRDefault="000E0C7D" w:rsidP="00CE38CD">
            <w:pPr>
              <w:pStyle w:val="Default"/>
              <w:rPr>
                <w:sz w:val="20"/>
                <w:szCs w:val="20"/>
              </w:rPr>
            </w:pPr>
            <w:r w:rsidRPr="00023B68">
              <w:rPr>
                <w:sz w:val="20"/>
                <w:szCs w:val="20"/>
              </w:rPr>
              <w:t>Zw. Cyfrowa Polska</w:t>
            </w:r>
          </w:p>
        </w:tc>
        <w:tc>
          <w:tcPr>
            <w:tcW w:w="0" w:type="auto"/>
          </w:tcPr>
          <w:p w14:paraId="617F6B3B" w14:textId="3D8D7C22" w:rsidR="000E0C7D" w:rsidRPr="00023B68" w:rsidRDefault="000E0C7D" w:rsidP="000E0C7D">
            <w:pPr>
              <w:pStyle w:val="Default"/>
              <w:rPr>
                <w:sz w:val="20"/>
                <w:szCs w:val="20"/>
              </w:rPr>
            </w:pPr>
            <w:r w:rsidRPr="00023B68">
              <w:rPr>
                <w:sz w:val="20"/>
                <w:szCs w:val="20"/>
              </w:rPr>
              <w:t xml:space="preserve">W ocenie Związku cele pakietu na rzecz suwerenności technologicznej, czyli budowanie europejskiego potencjału w zakresie technologii krytycznych oraz przyspieszenie inwestycji w sztuczną inteligencję (AI), są w pełni uzasadnione, a jego ukierunkowanie na interoperacyjność należy przyjąć z zadowoleniem. Z uznaniem przyjmujemy również deklarowane cele </w:t>
            </w:r>
            <w:proofErr w:type="spellStart"/>
            <w:r w:rsidRPr="00023B68">
              <w:rPr>
                <w:sz w:val="20"/>
                <w:szCs w:val="20"/>
              </w:rPr>
              <w:t>Cloud</w:t>
            </w:r>
            <w:proofErr w:type="spellEnd"/>
            <w:r w:rsidRPr="00023B68">
              <w:rPr>
                <w:sz w:val="20"/>
                <w:szCs w:val="20"/>
              </w:rPr>
              <w:t xml:space="preserve"> and AI Development </w:t>
            </w:r>
            <w:proofErr w:type="spellStart"/>
            <w:r w:rsidRPr="00023B68">
              <w:rPr>
                <w:sz w:val="20"/>
                <w:szCs w:val="20"/>
              </w:rPr>
              <w:t>Act</w:t>
            </w:r>
            <w:proofErr w:type="spellEnd"/>
            <w:r w:rsidRPr="00023B68">
              <w:rPr>
                <w:sz w:val="20"/>
                <w:szCs w:val="20"/>
              </w:rPr>
              <w:t xml:space="preserve"> (CADA): wzmocnienie europejskiego środowiska chmurowego, rozwój sztucznej inteligencji, stymulowanie inwestycji oraz zapewnienie ciągłości operacyjnej i odporności usług chmurowych (w szczególności w odniesieniu do sektora publicznego). </w:t>
            </w:r>
          </w:p>
          <w:p w14:paraId="6B8DE4C0" w14:textId="77777777" w:rsidR="000E0C7D" w:rsidRPr="00023B68" w:rsidRDefault="000E0C7D" w:rsidP="000E0C7D">
            <w:pPr>
              <w:pStyle w:val="Default"/>
              <w:rPr>
                <w:sz w:val="20"/>
                <w:szCs w:val="20"/>
              </w:rPr>
            </w:pPr>
            <w:r w:rsidRPr="00023B68">
              <w:rPr>
                <w:sz w:val="20"/>
                <w:szCs w:val="20"/>
              </w:rPr>
              <w:t>W naszej ocenie propozycja pakietu Komisji nie spełnia jednak jej własnego założenia, by oprzeć przyjętą strategię na „otwartości, partnerstwie i uczciwej konkurencji”, a osiągnięcie celów CADA wymaga, by ta regulacja była spójna z otwartym, konkurencyjnym jednolitym rynkiem, który stwarza długoterminowe zachęty inwestycyjne w europejską infrastrukturę cyfrową i sprzyja współpracy ze wszystkimi dostawcami, wykazującymi weryfikowalną zgodność z wymogami technicznymi.</w:t>
            </w:r>
          </w:p>
          <w:p w14:paraId="42F1F201" w14:textId="77777777" w:rsidR="000F5FE1" w:rsidRPr="00023B68" w:rsidRDefault="0049590D" w:rsidP="0049590D">
            <w:pPr>
              <w:pStyle w:val="Default"/>
              <w:rPr>
                <w:sz w:val="20"/>
                <w:szCs w:val="20"/>
              </w:rPr>
            </w:pPr>
            <w:r w:rsidRPr="00023B68">
              <w:rPr>
                <w:sz w:val="20"/>
                <w:szCs w:val="20"/>
              </w:rPr>
              <w:t xml:space="preserve">Proponowane kryteria suwerenności, które przesądzą o tym, w jaki sposób państwa członkowskie będą stosować wymogi suwerenności wobec krajowego sektora publicznego i sektorów krytycznych, nie zapewnią otwartości ani partnerstwa. Zamiast tego Komisja proponuje wykluczenie dostawców spoza UE ze znaczącej części rynku, wykraczając poza najbardziej rygorystyczne ramy suwerenności funkcjonujące obecnie na poziomie państw członkowskich, które przewidują rolę dla zaufanych partnerów globalnych. </w:t>
            </w:r>
          </w:p>
          <w:p w14:paraId="0E5CD275" w14:textId="579D271A" w:rsidR="0049590D" w:rsidRPr="00023B68" w:rsidRDefault="0049590D" w:rsidP="0049590D">
            <w:pPr>
              <w:pStyle w:val="Default"/>
              <w:rPr>
                <w:sz w:val="20"/>
                <w:szCs w:val="20"/>
              </w:rPr>
            </w:pPr>
            <w:r w:rsidRPr="00023B68">
              <w:rPr>
                <w:sz w:val="20"/>
                <w:szCs w:val="20"/>
              </w:rPr>
              <w:t xml:space="preserve">Uprawnienia Komisji do rozstrzygania, czy jacykolwiek dostawcy spoza UE powinni zostać dopuszczeni, oraz do uchylania decyzji państw członkowskich dotyczących kryteriów suwerenności w istotny sposób ingerują w kompetencje państw członkowskich w zakresie bezpieczeństwa narodowego. </w:t>
            </w:r>
          </w:p>
          <w:p w14:paraId="5D4B6A42" w14:textId="77777777" w:rsidR="005F23BD" w:rsidRPr="00023B68" w:rsidRDefault="005F23BD" w:rsidP="0049590D">
            <w:pPr>
              <w:pStyle w:val="Default"/>
              <w:rPr>
                <w:sz w:val="20"/>
                <w:szCs w:val="20"/>
              </w:rPr>
            </w:pPr>
          </w:p>
          <w:p w14:paraId="6FA6AB29" w14:textId="2385C10A" w:rsidR="0049590D" w:rsidRPr="00023B68" w:rsidRDefault="0049590D" w:rsidP="0049590D">
            <w:pPr>
              <w:pStyle w:val="Default"/>
              <w:rPr>
                <w:sz w:val="20"/>
                <w:szCs w:val="20"/>
              </w:rPr>
            </w:pPr>
            <w:r w:rsidRPr="00023B68">
              <w:rPr>
                <w:sz w:val="20"/>
                <w:szCs w:val="20"/>
              </w:rPr>
              <w:t xml:space="preserve">W naszej ocenie głównym problemem proponowanej regulacji jest utożsamianie suwerenności z „narodowością” firm-usługodawców, czyli pochodzeniem kapitału oraz ostatecznego beneficjenta, a nie z weryfikowalnymi wymogami technicznymi i operacyjnymi. Takie podejście może ograniczyć europejskim klientom, w tym polskiej administracji publicznej i podmiotom objętym NIS2 - swobodę wyboru rozwiązań niezbędnych do zachowania bezpieczeństwa i konkurencyjności. </w:t>
            </w:r>
          </w:p>
          <w:p w14:paraId="69798AAC" w14:textId="68013C74" w:rsidR="000E0C7D" w:rsidRPr="00023B68" w:rsidRDefault="0049590D" w:rsidP="0049590D">
            <w:pPr>
              <w:pStyle w:val="Default"/>
              <w:rPr>
                <w:sz w:val="20"/>
                <w:szCs w:val="20"/>
              </w:rPr>
            </w:pPr>
            <w:r w:rsidRPr="00023B68">
              <w:rPr>
                <w:sz w:val="20"/>
                <w:szCs w:val="20"/>
              </w:rPr>
              <w:t>W tych rozważaniach istotne jest, czy organizacja może zachować kontrolę nad swoimi danymi, utrzymać krytyczne systemy w sytuacji kryzysowej, przenosić obciążenia robocze między dostawcami i korzystać z najlepszych usługodawców. Tylko parametry techniczne, szeroki zakres usług i niezależnie audytowane kontrole mogą i powinny wyłaniać najlepszych dostawców. Cel taki nie zostanie osiągnięty poprzez wymogi narodowościowe.</w:t>
            </w:r>
          </w:p>
          <w:p w14:paraId="3C7D2FC6" w14:textId="77777777" w:rsidR="0049590D" w:rsidRPr="00023B68" w:rsidRDefault="0049590D" w:rsidP="000E0C7D">
            <w:pPr>
              <w:pStyle w:val="Default"/>
              <w:rPr>
                <w:sz w:val="20"/>
                <w:szCs w:val="20"/>
              </w:rPr>
            </w:pPr>
          </w:p>
          <w:p w14:paraId="121881E6" w14:textId="6C74D23A" w:rsidR="00412BF3" w:rsidRPr="00023B68" w:rsidRDefault="00412BF3" w:rsidP="00412BF3">
            <w:pPr>
              <w:pStyle w:val="Default"/>
              <w:rPr>
                <w:sz w:val="20"/>
                <w:szCs w:val="20"/>
              </w:rPr>
            </w:pPr>
            <w:r w:rsidRPr="00023B68">
              <w:rPr>
                <w:sz w:val="20"/>
                <w:szCs w:val="20"/>
              </w:rPr>
              <w:lastRenderedPageBreak/>
              <w:t xml:space="preserve">Propozycja grozi wytworzeniem niepewności w wielu sektorach oraz powstaniem rynku dwóch prędkości w zakresie wdrażania chmury i AI pomiędzy sektorem publicznym a prywatnym. </w:t>
            </w:r>
          </w:p>
          <w:p w14:paraId="513C0FE6" w14:textId="77777777" w:rsidR="00412BF3" w:rsidRPr="00023B68" w:rsidRDefault="00412BF3" w:rsidP="00412BF3">
            <w:pPr>
              <w:pStyle w:val="Default"/>
              <w:rPr>
                <w:sz w:val="20"/>
                <w:szCs w:val="20"/>
              </w:rPr>
            </w:pPr>
            <w:r w:rsidRPr="00023B68">
              <w:rPr>
                <w:sz w:val="20"/>
                <w:szCs w:val="20"/>
              </w:rPr>
              <w:t xml:space="preserve">Zakres wymogów dotyczących suwerenności jest niejasny, jednak wydaje się, że zamiarem jest objęcie nimi przedsiębiorstw prywatnych, które mogą potencjalnie oddziaływać na „porządek publiczny”. </w:t>
            </w:r>
          </w:p>
          <w:p w14:paraId="083ABF01" w14:textId="77777777" w:rsidR="00412BF3" w:rsidRPr="00023B68" w:rsidRDefault="00412BF3" w:rsidP="00412BF3">
            <w:pPr>
              <w:pStyle w:val="Default"/>
              <w:rPr>
                <w:sz w:val="20"/>
                <w:szCs w:val="20"/>
              </w:rPr>
            </w:pPr>
            <w:r w:rsidRPr="00023B68">
              <w:rPr>
                <w:sz w:val="20"/>
                <w:szCs w:val="20"/>
              </w:rPr>
              <w:t>Mogłoby to obejmować znaczną część europejskiej gospodarki, w tym bankowość, energetykę, gospodarkę wodną oraz przedsiębiorstwa użyteczności publicznej. Ta niejednoznaczność wywoła istotną niepewność wśród europejskich przedsiębiorstw posiadających globalne łańcuchy dostaw. Jeżeli zamiarem Komisji jest ograniczenie restrykcji do sektora publicznego, doprowadzi to do powstania luki w zakresie produktywności, innowacyjności i bezpieczeństwa pomiędzy przedsiębiorstwami publicznymi a prywatnymi w całej Europie.</w:t>
            </w:r>
          </w:p>
          <w:p w14:paraId="435428E6" w14:textId="775D183A" w:rsidR="00412BF3" w:rsidRPr="00023B68" w:rsidRDefault="00412BF3" w:rsidP="000E0C7D">
            <w:pPr>
              <w:pStyle w:val="Default"/>
              <w:rPr>
                <w:sz w:val="20"/>
                <w:szCs w:val="20"/>
              </w:rPr>
            </w:pPr>
          </w:p>
        </w:tc>
      </w:tr>
      <w:tr w:rsidR="00B35B87" w:rsidRPr="00023B68" w14:paraId="2A6D5560" w14:textId="77777777" w:rsidTr="00040008">
        <w:tc>
          <w:tcPr>
            <w:tcW w:w="0" w:type="auto"/>
          </w:tcPr>
          <w:p w14:paraId="2CEF3C89" w14:textId="4A149FE1" w:rsidR="00B35B87" w:rsidRPr="00023B68" w:rsidRDefault="00B35B87" w:rsidP="00CE38CD">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70F219D3" w14:textId="1195C145" w:rsidR="00B35B87" w:rsidRPr="00023B68" w:rsidRDefault="00B35B87" w:rsidP="00CE38CD">
            <w:pPr>
              <w:pStyle w:val="Default"/>
              <w:rPr>
                <w:sz w:val="20"/>
                <w:szCs w:val="20"/>
              </w:rPr>
            </w:pPr>
            <w:r w:rsidRPr="00023B68">
              <w:rPr>
                <w:sz w:val="20"/>
                <w:szCs w:val="20"/>
              </w:rPr>
              <w:t>Fundacja IT Leader Club Polska</w:t>
            </w:r>
          </w:p>
        </w:tc>
        <w:tc>
          <w:tcPr>
            <w:tcW w:w="0" w:type="auto"/>
          </w:tcPr>
          <w:p w14:paraId="3F7109DC" w14:textId="77777777" w:rsidR="00B35B87" w:rsidRPr="00023B68" w:rsidRDefault="00B35B87" w:rsidP="00B35B87">
            <w:pPr>
              <w:pStyle w:val="Default"/>
              <w:rPr>
                <w:sz w:val="20"/>
                <w:szCs w:val="20"/>
              </w:rPr>
            </w:pPr>
            <w:r w:rsidRPr="00023B68">
              <w:rPr>
                <w:sz w:val="20"/>
                <w:szCs w:val="20"/>
              </w:rPr>
              <w:t xml:space="preserve">Fundacja IT Leader Club Polska pozytywnie ocenia kierunek przedstawionego przez Komisję Europejską projektu </w:t>
            </w:r>
            <w:proofErr w:type="spellStart"/>
            <w:r w:rsidRPr="00023B68">
              <w:rPr>
                <w:sz w:val="20"/>
                <w:szCs w:val="20"/>
              </w:rPr>
              <w:t>Cloud</w:t>
            </w:r>
            <w:proofErr w:type="spellEnd"/>
            <w:r w:rsidRPr="00023B68">
              <w:rPr>
                <w:sz w:val="20"/>
                <w:szCs w:val="20"/>
              </w:rPr>
              <w:t xml:space="preserve"> and AI Development </w:t>
            </w:r>
            <w:proofErr w:type="spellStart"/>
            <w:r w:rsidRPr="00023B68">
              <w:rPr>
                <w:sz w:val="20"/>
                <w:szCs w:val="20"/>
              </w:rPr>
              <w:t>Act</w:t>
            </w:r>
            <w:proofErr w:type="spellEnd"/>
            <w:r w:rsidRPr="00023B68">
              <w:rPr>
                <w:sz w:val="20"/>
                <w:szCs w:val="20"/>
              </w:rPr>
              <w:t>, w szczególności jego cele związane z:</w:t>
            </w:r>
          </w:p>
          <w:p w14:paraId="6E94096C" w14:textId="77777777" w:rsidR="00B35B87" w:rsidRPr="00023B68" w:rsidRDefault="00B35B87" w:rsidP="00A42C26">
            <w:pPr>
              <w:pStyle w:val="Default"/>
              <w:numPr>
                <w:ilvl w:val="0"/>
                <w:numId w:val="7"/>
              </w:numPr>
              <w:rPr>
                <w:sz w:val="20"/>
                <w:szCs w:val="20"/>
              </w:rPr>
            </w:pPr>
            <w:r w:rsidRPr="00023B68">
              <w:rPr>
                <w:sz w:val="20"/>
                <w:szCs w:val="20"/>
              </w:rPr>
              <w:t>rozwojem europejskiej infrastruktury chmurowej i obliczeniowej dla AI;</w:t>
            </w:r>
          </w:p>
          <w:p w14:paraId="403A5F88" w14:textId="77777777" w:rsidR="00B35B87" w:rsidRPr="00023B68" w:rsidRDefault="00B35B87" w:rsidP="00A42C26">
            <w:pPr>
              <w:pStyle w:val="Default"/>
              <w:numPr>
                <w:ilvl w:val="0"/>
                <w:numId w:val="7"/>
              </w:numPr>
              <w:rPr>
                <w:sz w:val="20"/>
                <w:szCs w:val="20"/>
              </w:rPr>
            </w:pPr>
            <w:r w:rsidRPr="00023B68">
              <w:rPr>
                <w:sz w:val="20"/>
                <w:szCs w:val="20"/>
              </w:rPr>
              <w:t>ograniczeniem krytycznych zależności technologicznych;</w:t>
            </w:r>
          </w:p>
          <w:p w14:paraId="1A6FC272" w14:textId="77777777" w:rsidR="00B35B87" w:rsidRPr="00023B68" w:rsidRDefault="00B35B87" w:rsidP="00A42C26">
            <w:pPr>
              <w:pStyle w:val="Default"/>
              <w:numPr>
                <w:ilvl w:val="0"/>
                <w:numId w:val="7"/>
              </w:numPr>
              <w:rPr>
                <w:sz w:val="20"/>
                <w:szCs w:val="20"/>
              </w:rPr>
            </w:pPr>
            <w:r w:rsidRPr="00023B68">
              <w:rPr>
                <w:sz w:val="20"/>
                <w:szCs w:val="20"/>
              </w:rPr>
              <w:t>zwiększeniem odporności cyfrowej administracji publicznej i sektorów strategicznych;</w:t>
            </w:r>
          </w:p>
          <w:p w14:paraId="4C834151" w14:textId="77777777" w:rsidR="00B35B87" w:rsidRPr="00023B68" w:rsidRDefault="00B35B87" w:rsidP="00A42C26">
            <w:pPr>
              <w:pStyle w:val="Default"/>
              <w:numPr>
                <w:ilvl w:val="0"/>
                <w:numId w:val="7"/>
              </w:numPr>
              <w:rPr>
                <w:sz w:val="20"/>
                <w:szCs w:val="20"/>
              </w:rPr>
            </w:pPr>
            <w:r w:rsidRPr="00023B68">
              <w:rPr>
                <w:sz w:val="20"/>
                <w:szCs w:val="20"/>
              </w:rPr>
              <w:t>stworzeniem wspólnych europejskich poziomów zapewnienia suwerenności usług chmurowych;</w:t>
            </w:r>
          </w:p>
          <w:p w14:paraId="626D9937" w14:textId="77777777" w:rsidR="00B35B87" w:rsidRPr="00023B68" w:rsidRDefault="00B35B87" w:rsidP="00A42C26">
            <w:pPr>
              <w:pStyle w:val="Default"/>
              <w:numPr>
                <w:ilvl w:val="0"/>
                <w:numId w:val="7"/>
              </w:numPr>
              <w:rPr>
                <w:sz w:val="20"/>
                <w:szCs w:val="20"/>
              </w:rPr>
            </w:pPr>
            <w:r w:rsidRPr="00023B68">
              <w:rPr>
                <w:sz w:val="20"/>
                <w:szCs w:val="20"/>
              </w:rPr>
              <w:t xml:space="preserve">wsparciem europejskich dostawców, innowacyjnych MŚP i rozwiązań open </w:t>
            </w:r>
            <w:proofErr w:type="spellStart"/>
            <w:r w:rsidRPr="00023B68">
              <w:rPr>
                <w:sz w:val="20"/>
                <w:szCs w:val="20"/>
              </w:rPr>
              <w:t>source</w:t>
            </w:r>
            <w:proofErr w:type="spellEnd"/>
            <w:r w:rsidRPr="00023B68">
              <w:rPr>
                <w:sz w:val="20"/>
                <w:szCs w:val="20"/>
              </w:rPr>
              <w:t>;</w:t>
            </w:r>
          </w:p>
          <w:p w14:paraId="219BB630" w14:textId="77777777" w:rsidR="00B35B87" w:rsidRPr="00023B68" w:rsidRDefault="00B35B87" w:rsidP="00A42C26">
            <w:pPr>
              <w:pStyle w:val="Default"/>
              <w:numPr>
                <w:ilvl w:val="0"/>
                <w:numId w:val="7"/>
              </w:numPr>
              <w:rPr>
                <w:sz w:val="20"/>
                <w:szCs w:val="20"/>
              </w:rPr>
            </w:pPr>
            <w:r w:rsidRPr="00023B68">
              <w:rPr>
                <w:sz w:val="20"/>
                <w:szCs w:val="20"/>
              </w:rPr>
              <w:t>rozwojem kompetencji związanych z chmurą obliczeniową i sztuczną inteligencją.</w:t>
            </w:r>
          </w:p>
          <w:p w14:paraId="7F828129" w14:textId="77777777" w:rsidR="00B35B87" w:rsidRPr="00023B68" w:rsidRDefault="00B35B87" w:rsidP="00661642">
            <w:pPr>
              <w:pStyle w:val="Default"/>
              <w:rPr>
                <w:sz w:val="20"/>
                <w:szCs w:val="20"/>
              </w:rPr>
            </w:pPr>
          </w:p>
          <w:p w14:paraId="0D49F1E1" w14:textId="77777777" w:rsidR="00C9241C" w:rsidRPr="00023B68" w:rsidRDefault="00C9241C" w:rsidP="00C9241C">
            <w:pPr>
              <w:pStyle w:val="Default"/>
              <w:rPr>
                <w:sz w:val="20"/>
                <w:szCs w:val="20"/>
              </w:rPr>
            </w:pPr>
            <w:r w:rsidRPr="00023B68">
              <w:rPr>
                <w:sz w:val="20"/>
                <w:szCs w:val="20"/>
              </w:rPr>
              <w:t>Fundacja uważa jednak, że projekt wymaga istotnego uzupełnienia. W obecnym kształcie jest on relatywnie mocny w zakresie infrastruktury i zamówień publicznych, ale znacznie słabszy w obszarze:</w:t>
            </w:r>
          </w:p>
          <w:p w14:paraId="68D0F7EA" w14:textId="77777777" w:rsidR="00C9241C" w:rsidRPr="00023B68" w:rsidRDefault="00C9241C" w:rsidP="00A42C26">
            <w:pPr>
              <w:pStyle w:val="Default"/>
              <w:numPr>
                <w:ilvl w:val="0"/>
                <w:numId w:val="8"/>
              </w:numPr>
              <w:rPr>
                <w:sz w:val="20"/>
                <w:szCs w:val="20"/>
              </w:rPr>
            </w:pPr>
            <w:r w:rsidRPr="00023B68">
              <w:rPr>
                <w:sz w:val="20"/>
                <w:szCs w:val="20"/>
              </w:rPr>
              <w:t>kompetencji i certyfikacji specjalistów;</w:t>
            </w:r>
          </w:p>
          <w:p w14:paraId="33C3A82C" w14:textId="77777777" w:rsidR="00C9241C" w:rsidRPr="00023B68" w:rsidRDefault="00C9241C" w:rsidP="00A42C26">
            <w:pPr>
              <w:pStyle w:val="Default"/>
              <w:numPr>
                <w:ilvl w:val="0"/>
                <w:numId w:val="8"/>
              </w:numPr>
              <w:rPr>
                <w:sz w:val="20"/>
                <w:szCs w:val="20"/>
              </w:rPr>
            </w:pPr>
            <w:r w:rsidRPr="00023B68">
              <w:rPr>
                <w:sz w:val="20"/>
                <w:szCs w:val="20"/>
              </w:rPr>
              <w:t>praktycznego zarządzania ryzykiem AI;</w:t>
            </w:r>
          </w:p>
          <w:p w14:paraId="7417637E" w14:textId="77777777" w:rsidR="00C9241C" w:rsidRPr="00023B68" w:rsidRDefault="00C9241C" w:rsidP="00A42C26">
            <w:pPr>
              <w:pStyle w:val="Default"/>
              <w:numPr>
                <w:ilvl w:val="0"/>
                <w:numId w:val="8"/>
              </w:numPr>
              <w:rPr>
                <w:sz w:val="20"/>
                <w:szCs w:val="20"/>
              </w:rPr>
            </w:pPr>
            <w:r w:rsidRPr="00023B68">
              <w:rPr>
                <w:sz w:val="20"/>
                <w:szCs w:val="20"/>
              </w:rPr>
              <w:t>finansowania migracji i transformacji organizacyjnej;</w:t>
            </w:r>
          </w:p>
          <w:p w14:paraId="4050CBDD" w14:textId="77777777" w:rsidR="00C9241C" w:rsidRPr="00023B68" w:rsidRDefault="00C9241C" w:rsidP="00A42C26">
            <w:pPr>
              <w:pStyle w:val="Default"/>
              <w:numPr>
                <w:ilvl w:val="0"/>
                <w:numId w:val="8"/>
              </w:numPr>
              <w:rPr>
                <w:sz w:val="20"/>
                <w:szCs w:val="20"/>
              </w:rPr>
            </w:pPr>
            <w:r w:rsidRPr="00023B68">
              <w:rPr>
                <w:sz w:val="20"/>
                <w:szCs w:val="20"/>
              </w:rPr>
              <w:t>interoperacyjności z istniejącymi regulacjami;</w:t>
            </w:r>
          </w:p>
          <w:p w14:paraId="76A9B71F" w14:textId="77777777" w:rsidR="00C9241C" w:rsidRPr="00023B68" w:rsidRDefault="00C9241C" w:rsidP="00A42C26">
            <w:pPr>
              <w:pStyle w:val="Default"/>
              <w:numPr>
                <w:ilvl w:val="0"/>
                <w:numId w:val="8"/>
              </w:numPr>
              <w:rPr>
                <w:sz w:val="20"/>
                <w:szCs w:val="20"/>
              </w:rPr>
            </w:pPr>
            <w:r w:rsidRPr="00023B68">
              <w:rPr>
                <w:sz w:val="20"/>
                <w:szCs w:val="20"/>
              </w:rPr>
              <w:t>nadzoru nad audytorami;</w:t>
            </w:r>
          </w:p>
          <w:p w14:paraId="67E3184B" w14:textId="77777777" w:rsidR="00C9241C" w:rsidRPr="00023B68" w:rsidRDefault="00C9241C" w:rsidP="00A42C26">
            <w:pPr>
              <w:pStyle w:val="Default"/>
              <w:numPr>
                <w:ilvl w:val="0"/>
                <w:numId w:val="8"/>
              </w:numPr>
              <w:rPr>
                <w:sz w:val="20"/>
                <w:szCs w:val="20"/>
              </w:rPr>
            </w:pPr>
            <w:r w:rsidRPr="00023B68">
              <w:rPr>
                <w:sz w:val="20"/>
                <w:szCs w:val="20"/>
              </w:rPr>
              <w:t>rzeczywistej, a nie tylko formalnej suwerenności operacyjnej;</w:t>
            </w:r>
          </w:p>
          <w:p w14:paraId="0E27F527" w14:textId="77777777" w:rsidR="00C9241C" w:rsidRPr="00023B68" w:rsidRDefault="00C9241C" w:rsidP="00A42C26">
            <w:pPr>
              <w:pStyle w:val="Default"/>
              <w:numPr>
                <w:ilvl w:val="0"/>
                <w:numId w:val="8"/>
              </w:numPr>
              <w:rPr>
                <w:sz w:val="20"/>
                <w:szCs w:val="20"/>
              </w:rPr>
            </w:pPr>
            <w:r w:rsidRPr="00023B68">
              <w:rPr>
                <w:sz w:val="20"/>
                <w:szCs w:val="20"/>
              </w:rPr>
              <w:t>objęcia ramami suwerenności również systemów i modeli AI.</w:t>
            </w:r>
          </w:p>
          <w:p w14:paraId="6A9E3F9B" w14:textId="77777777" w:rsidR="004F1040" w:rsidRPr="00023B68" w:rsidRDefault="004F1040" w:rsidP="00C9241C">
            <w:pPr>
              <w:pStyle w:val="Default"/>
              <w:rPr>
                <w:sz w:val="20"/>
                <w:szCs w:val="20"/>
              </w:rPr>
            </w:pPr>
          </w:p>
          <w:p w14:paraId="2DF48EF8" w14:textId="2EC58579" w:rsidR="00C9241C" w:rsidRPr="00023B68" w:rsidRDefault="00C9241C" w:rsidP="00C9241C">
            <w:pPr>
              <w:pStyle w:val="Default"/>
              <w:rPr>
                <w:sz w:val="20"/>
                <w:szCs w:val="20"/>
              </w:rPr>
            </w:pPr>
            <w:r w:rsidRPr="00023B68">
              <w:rPr>
                <w:sz w:val="20"/>
                <w:szCs w:val="20"/>
              </w:rPr>
              <w:t xml:space="preserve">Fundacja opowiada się zatem za </w:t>
            </w:r>
            <w:r w:rsidRPr="00023B68">
              <w:rPr>
                <w:b/>
                <w:bCs/>
                <w:sz w:val="20"/>
                <w:szCs w:val="20"/>
              </w:rPr>
              <w:t>przyjęciem rozporządzenia po wprowadzeniu poprawek zapewniających jego wykonalność, proporcjonalność i operacyjny charakter</w:t>
            </w:r>
            <w:r w:rsidRPr="00023B68">
              <w:rPr>
                <w:sz w:val="20"/>
                <w:szCs w:val="20"/>
              </w:rPr>
              <w:t>.</w:t>
            </w:r>
          </w:p>
          <w:p w14:paraId="791710F7" w14:textId="77777777" w:rsidR="00C9241C" w:rsidRPr="00023B68" w:rsidRDefault="00C9241C" w:rsidP="00661642">
            <w:pPr>
              <w:pStyle w:val="Default"/>
              <w:rPr>
                <w:sz w:val="20"/>
                <w:szCs w:val="20"/>
              </w:rPr>
            </w:pPr>
          </w:p>
          <w:p w14:paraId="04F2CE3E" w14:textId="77777777" w:rsidR="005A5987" w:rsidRPr="00023B68" w:rsidRDefault="005A5987" w:rsidP="005A5987">
            <w:pPr>
              <w:pStyle w:val="Default"/>
              <w:rPr>
                <w:sz w:val="20"/>
                <w:szCs w:val="20"/>
              </w:rPr>
            </w:pPr>
            <w:proofErr w:type="spellStart"/>
            <w:r w:rsidRPr="00023B68">
              <w:rPr>
                <w:sz w:val="20"/>
                <w:szCs w:val="20"/>
              </w:rPr>
              <w:t>Cloud</w:t>
            </w:r>
            <w:proofErr w:type="spellEnd"/>
            <w:r w:rsidRPr="00023B68">
              <w:rPr>
                <w:sz w:val="20"/>
                <w:szCs w:val="20"/>
              </w:rPr>
              <w:t xml:space="preserve"> and AI Development </w:t>
            </w:r>
            <w:proofErr w:type="spellStart"/>
            <w:r w:rsidRPr="00023B68">
              <w:rPr>
                <w:sz w:val="20"/>
                <w:szCs w:val="20"/>
              </w:rPr>
              <w:t>Act</w:t>
            </w:r>
            <w:proofErr w:type="spellEnd"/>
            <w:r w:rsidRPr="00023B68">
              <w:rPr>
                <w:sz w:val="20"/>
                <w:szCs w:val="20"/>
              </w:rPr>
              <w:t xml:space="preserve"> może stać się jednym z najważniejszych europejskich instrumentów budowania odporności cyfrowej, autonomii technologicznej i konkurencyjności europejskiego rynku.</w:t>
            </w:r>
          </w:p>
          <w:p w14:paraId="71DEDEF0" w14:textId="77777777" w:rsidR="005A5987" w:rsidRPr="00023B68" w:rsidRDefault="005A5987" w:rsidP="005A5987">
            <w:pPr>
              <w:pStyle w:val="Default"/>
              <w:rPr>
                <w:sz w:val="20"/>
                <w:szCs w:val="20"/>
              </w:rPr>
            </w:pPr>
            <w:r w:rsidRPr="00023B68">
              <w:rPr>
                <w:sz w:val="20"/>
                <w:szCs w:val="20"/>
              </w:rPr>
              <w:t>Samo zwiększenie mocy centrów danych oraz stworzenie formalnych poziomów suwerenności nie będzie jednak wystarczające. Europa potrzebuje jednocześnie:</w:t>
            </w:r>
          </w:p>
          <w:p w14:paraId="0E1B82CB" w14:textId="77777777" w:rsidR="005A5987" w:rsidRPr="00023B68" w:rsidRDefault="005A5987" w:rsidP="00A42C26">
            <w:pPr>
              <w:pStyle w:val="Default"/>
              <w:numPr>
                <w:ilvl w:val="0"/>
                <w:numId w:val="39"/>
              </w:numPr>
              <w:rPr>
                <w:sz w:val="20"/>
                <w:szCs w:val="20"/>
              </w:rPr>
            </w:pPr>
            <w:r w:rsidRPr="00023B68">
              <w:rPr>
                <w:sz w:val="20"/>
                <w:szCs w:val="20"/>
              </w:rPr>
              <w:t>kompetentnych kadr;</w:t>
            </w:r>
          </w:p>
          <w:p w14:paraId="507564E9" w14:textId="77777777" w:rsidR="005A5987" w:rsidRPr="00023B68" w:rsidRDefault="005A5987" w:rsidP="00A42C26">
            <w:pPr>
              <w:pStyle w:val="Default"/>
              <w:numPr>
                <w:ilvl w:val="0"/>
                <w:numId w:val="39"/>
              </w:numPr>
              <w:rPr>
                <w:sz w:val="20"/>
                <w:szCs w:val="20"/>
              </w:rPr>
            </w:pPr>
            <w:r w:rsidRPr="00023B68">
              <w:rPr>
                <w:sz w:val="20"/>
                <w:szCs w:val="20"/>
              </w:rPr>
              <w:t>niezależnych mechanizmów walidacji i certyfikacji;</w:t>
            </w:r>
          </w:p>
          <w:p w14:paraId="42AD1D34" w14:textId="77777777" w:rsidR="005A5987" w:rsidRPr="00023B68" w:rsidRDefault="005A5987" w:rsidP="00A42C26">
            <w:pPr>
              <w:pStyle w:val="Default"/>
              <w:numPr>
                <w:ilvl w:val="0"/>
                <w:numId w:val="39"/>
              </w:numPr>
              <w:rPr>
                <w:sz w:val="20"/>
                <w:szCs w:val="20"/>
              </w:rPr>
            </w:pPr>
            <w:proofErr w:type="spellStart"/>
            <w:r w:rsidRPr="00023B68">
              <w:rPr>
                <w:sz w:val="20"/>
                <w:szCs w:val="20"/>
              </w:rPr>
              <w:lastRenderedPageBreak/>
              <w:t>interoperacyjnych</w:t>
            </w:r>
            <w:proofErr w:type="spellEnd"/>
            <w:r w:rsidRPr="00023B68">
              <w:rPr>
                <w:sz w:val="20"/>
                <w:szCs w:val="20"/>
              </w:rPr>
              <w:t xml:space="preserve"> standardów;</w:t>
            </w:r>
          </w:p>
          <w:p w14:paraId="06463693" w14:textId="77777777" w:rsidR="005A5987" w:rsidRPr="00023B68" w:rsidRDefault="005A5987" w:rsidP="00A42C26">
            <w:pPr>
              <w:pStyle w:val="Default"/>
              <w:numPr>
                <w:ilvl w:val="0"/>
                <w:numId w:val="39"/>
              </w:numPr>
              <w:rPr>
                <w:sz w:val="20"/>
                <w:szCs w:val="20"/>
              </w:rPr>
            </w:pPr>
            <w:r w:rsidRPr="00023B68">
              <w:rPr>
                <w:sz w:val="20"/>
                <w:szCs w:val="20"/>
              </w:rPr>
              <w:t>zdolności migracyjnych;</w:t>
            </w:r>
          </w:p>
          <w:p w14:paraId="4EA86158" w14:textId="77777777" w:rsidR="005A5987" w:rsidRPr="00023B68" w:rsidRDefault="005A5987" w:rsidP="00A42C26">
            <w:pPr>
              <w:pStyle w:val="Default"/>
              <w:numPr>
                <w:ilvl w:val="0"/>
                <w:numId w:val="39"/>
              </w:numPr>
              <w:rPr>
                <w:sz w:val="20"/>
                <w:szCs w:val="20"/>
              </w:rPr>
            </w:pPr>
            <w:r w:rsidRPr="00023B68">
              <w:rPr>
                <w:sz w:val="20"/>
                <w:szCs w:val="20"/>
              </w:rPr>
              <w:t>skutecznego nadzoru;</w:t>
            </w:r>
          </w:p>
          <w:p w14:paraId="2CAB52CC" w14:textId="77777777" w:rsidR="005A5987" w:rsidRPr="00023B68" w:rsidRDefault="005A5987" w:rsidP="00A42C26">
            <w:pPr>
              <w:pStyle w:val="Default"/>
              <w:numPr>
                <w:ilvl w:val="0"/>
                <w:numId w:val="39"/>
              </w:numPr>
              <w:rPr>
                <w:sz w:val="20"/>
                <w:szCs w:val="20"/>
              </w:rPr>
            </w:pPr>
            <w:r w:rsidRPr="00023B68">
              <w:rPr>
                <w:sz w:val="20"/>
                <w:szCs w:val="20"/>
              </w:rPr>
              <w:t>dojrzałego zarządzania ryzykiem;</w:t>
            </w:r>
          </w:p>
          <w:p w14:paraId="4394302E" w14:textId="77777777" w:rsidR="005A5987" w:rsidRPr="00023B68" w:rsidRDefault="005A5987" w:rsidP="00A42C26">
            <w:pPr>
              <w:pStyle w:val="Default"/>
              <w:numPr>
                <w:ilvl w:val="0"/>
                <w:numId w:val="39"/>
              </w:numPr>
              <w:rPr>
                <w:sz w:val="20"/>
                <w:szCs w:val="20"/>
              </w:rPr>
            </w:pPr>
            <w:r w:rsidRPr="00023B68">
              <w:rPr>
                <w:sz w:val="20"/>
                <w:szCs w:val="20"/>
              </w:rPr>
              <w:t xml:space="preserve">bezpiecznego ekosystemu open </w:t>
            </w:r>
            <w:proofErr w:type="spellStart"/>
            <w:r w:rsidRPr="00023B68">
              <w:rPr>
                <w:sz w:val="20"/>
                <w:szCs w:val="20"/>
              </w:rPr>
              <w:t>source</w:t>
            </w:r>
            <w:proofErr w:type="spellEnd"/>
            <w:r w:rsidRPr="00023B68">
              <w:rPr>
                <w:sz w:val="20"/>
                <w:szCs w:val="20"/>
              </w:rPr>
              <w:t>;</w:t>
            </w:r>
          </w:p>
          <w:p w14:paraId="270926E9" w14:textId="77777777" w:rsidR="005A5987" w:rsidRPr="00023B68" w:rsidRDefault="005A5987" w:rsidP="00A42C26">
            <w:pPr>
              <w:pStyle w:val="Default"/>
              <w:numPr>
                <w:ilvl w:val="0"/>
                <w:numId w:val="39"/>
              </w:numPr>
              <w:rPr>
                <w:sz w:val="20"/>
                <w:szCs w:val="20"/>
              </w:rPr>
            </w:pPr>
            <w:r w:rsidRPr="00023B68">
              <w:rPr>
                <w:sz w:val="20"/>
                <w:szCs w:val="20"/>
              </w:rPr>
              <w:t>realnego dostępu MŚP do rynku;</w:t>
            </w:r>
          </w:p>
          <w:p w14:paraId="25267616" w14:textId="77777777" w:rsidR="005A5987" w:rsidRPr="00023B68" w:rsidRDefault="005A5987" w:rsidP="00A42C26">
            <w:pPr>
              <w:pStyle w:val="Default"/>
              <w:numPr>
                <w:ilvl w:val="0"/>
                <w:numId w:val="39"/>
              </w:numPr>
              <w:rPr>
                <w:sz w:val="20"/>
                <w:szCs w:val="20"/>
              </w:rPr>
            </w:pPr>
            <w:r w:rsidRPr="00023B68">
              <w:rPr>
                <w:sz w:val="20"/>
                <w:szCs w:val="20"/>
              </w:rPr>
              <w:t>finansowania transformacji organizacyjnej.</w:t>
            </w:r>
          </w:p>
          <w:p w14:paraId="4F8D01BC" w14:textId="77777777" w:rsidR="005A5987" w:rsidRPr="00023B68" w:rsidRDefault="005A5987" w:rsidP="005A5987">
            <w:pPr>
              <w:pStyle w:val="Default"/>
              <w:rPr>
                <w:sz w:val="20"/>
                <w:szCs w:val="20"/>
              </w:rPr>
            </w:pPr>
            <w:r w:rsidRPr="00023B68">
              <w:rPr>
                <w:sz w:val="20"/>
                <w:szCs w:val="20"/>
              </w:rPr>
              <w:t xml:space="preserve">Suwerenność cyfrowa nie powinna być rozumiana jako izolacja europejskiego rynku. Powinna oznaczać </w:t>
            </w:r>
            <w:r w:rsidRPr="00023B68">
              <w:rPr>
                <w:b/>
                <w:bCs/>
                <w:sz w:val="20"/>
                <w:szCs w:val="20"/>
              </w:rPr>
              <w:t>zdolność Europy do samodzielnego podejmowania decyzji, utrzymania krytycznych usług, ochrony danych, kontrolowania technologicznych zależności oraz bezpiecznego współdziałania z partnerami zewnętrznymi</w:t>
            </w:r>
            <w:r w:rsidRPr="00023B68">
              <w:rPr>
                <w:sz w:val="20"/>
                <w:szCs w:val="20"/>
              </w:rPr>
              <w:t>.</w:t>
            </w:r>
          </w:p>
          <w:p w14:paraId="12D5AD7D" w14:textId="77777777" w:rsidR="005A5987" w:rsidRPr="00023B68" w:rsidRDefault="005A5987" w:rsidP="00661642">
            <w:pPr>
              <w:pStyle w:val="Default"/>
              <w:rPr>
                <w:sz w:val="20"/>
                <w:szCs w:val="20"/>
              </w:rPr>
            </w:pPr>
          </w:p>
        </w:tc>
      </w:tr>
      <w:tr w:rsidR="00D84432" w:rsidRPr="00023B68" w14:paraId="4D2A5D66" w14:textId="77777777" w:rsidTr="00040008">
        <w:tc>
          <w:tcPr>
            <w:tcW w:w="0" w:type="auto"/>
          </w:tcPr>
          <w:p w14:paraId="0C65ACF2" w14:textId="05B47DCA" w:rsidR="001A3DB6" w:rsidRPr="00023B68" w:rsidRDefault="00033236" w:rsidP="00CE38CD">
            <w:pPr>
              <w:pStyle w:val="Default"/>
              <w:rPr>
                <w:sz w:val="20"/>
                <w:szCs w:val="20"/>
              </w:rPr>
            </w:pPr>
            <w:r w:rsidRPr="00023B68">
              <w:rPr>
                <w:sz w:val="20"/>
                <w:szCs w:val="20"/>
              </w:rPr>
              <w:lastRenderedPageBreak/>
              <w:t>Art</w:t>
            </w:r>
            <w:r w:rsidR="001A3DB6" w:rsidRPr="00023B68">
              <w:rPr>
                <w:sz w:val="20"/>
                <w:szCs w:val="20"/>
              </w:rPr>
              <w:t>ykuł</w:t>
            </w:r>
            <w:r w:rsidRPr="00023B68">
              <w:rPr>
                <w:sz w:val="20"/>
                <w:szCs w:val="20"/>
              </w:rPr>
              <w:t xml:space="preserve"> 2 </w:t>
            </w:r>
          </w:p>
          <w:p w14:paraId="437DB83D" w14:textId="47831FBF" w:rsidR="00D84432" w:rsidRPr="00023B68" w:rsidRDefault="00033236" w:rsidP="00CE38CD">
            <w:pPr>
              <w:pStyle w:val="Default"/>
              <w:rPr>
                <w:i/>
                <w:iCs/>
                <w:sz w:val="20"/>
                <w:szCs w:val="20"/>
              </w:rPr>
            </w:pPr>
            <w:proofErr w:type="spellStart"/>
            <w:r w:rsidRPr="00023B68">
              <w:rPr>
                <w:i/>
                <w:iCs/>
                <w:sz w:val="20"/>
                <w:szCs w:val="20"/>
              </w:rPr>
              <w:t>Definitions</w:t>
            </w:r>
            <w:proofErr w:type="spellEnd"/>
          </w:p>
        </w:tc>
        <w:tc>
          <w:tcPr>
            <w:tcW w:w="0" w:type="auto"/>
          </w:tcPr>
          <w:p w14:paraId="4911C690" w14:textId="0F3C3849" w:rsidR="00D84432" w:rsidRPr="00023B68" w:rsidRDefault="00033236" w:rsidP="00CE38CD">
            <w:pPr>
              <w:pStyle w:val="Default"/>
              <w:rPr>
                <w:sz w:val="20"/>
                <w:szCs w:val="20"/>
              </w:rPr>
            </w:pPr>
            <w:r w:rsidRPr="00023B68">
              <w:rPr>
                <w:sz w:val="20"/>
                <w:szCs w:val="20"/>
              </w:rPr>
              <w:t>SIAPL KIGEIT</w:t>
            </w:r>
          </w:p>
        </w:tc>
        <w:tc>
          <w:tcPr>
            <w:tcW w:w="0" w:type="auto"/>
          </w:tcPr>
          <w:p w14:paraId="5F38D3D1" w14:textId="196B0E82" w:rsidR="00913353" w:rsidRPr="00023B68" w:rsidRDefault="00913353" w:rsidP="00913353">
            <w:pPr>
              <w:pStyle w:val="Default"/>
              <w:rPr>
                <w:sz w:val="20"/>
                <w:szCs w:val="20"/>
              </w:rPr>
            </w:pPr>
            <w:r w:rsidRPr="00023B68">
              <w:rPr>
                <w:sz w:val="20"/>
                <w:szCs w:val="20"/>
              </w:rPr>
              <w:t>Brak prawnie wiążącej definicji „suwerennej chmury”</w:t>
            </w:r>
          </w:p>
          <w:p w14:paraId="1B932E56" w14:textId="3C50D0A6" w:rsidR="00D84432" w:rsidRPr="00023B68" w:rsidRDefault="00033236" w:rsidP="00033236">
            <w:pPr>
              <w:pStyle w:val="Default"/>
              <w:rPr>
                <w:sz w:val="20"/>
                <w:szCs w:val="20"/>
              </w:rPr>
            </w:pPr>
            <w:r w:rsidRPr="00023B68">
              <w:rPr>
                <w:sz w:val="20"/>
                <w:szCs w:val="20"/>
              </w:rPr>
              <w:t xml:space="preserve">CADA nie zawiera prawnie egzekwowalnej definicji "suwerennej chmury" ani "suwerennego dostawcy chmury". Czterostopniowe ramy Union </w:t>
            </w:r>
            <w:proofErr w:type="spellStart"/>
            <w:r w:rsidRPr="00023B68">
              <w:rPr>
                <w:sz w:val="20"/>
                <w:szCs w:val="20"/>
              </w:rPr>
              <w:t>assurance</w:t>
            </w:r>
            <w:proofErr w:type="spellEnd"/>
            <w:r w:rsidRPr="00023B68">
              <w:rPr>
                <w:sz w:val="20"/>
                <w:szCs w:val="20"/>
              </w:rPr>
              <w:t xml:space="preserve"> </w:t>
            </w:r>
            <w:proofErr w:type="spellStart"/>
            <w:r w:rsidRPr="00023B68">
              <w:rPr>
                <w:sz w:val="20"/>
                <w:szCs w:val="20"/>
              </w:rPr>
              <w:t>levels</w:t>
            </w:r>
            <w:proofErr w:type="spellEnd"/>
            <w:r w:rsidRPr="00023B68">
              <w:rPr>
                <w:sz w:val="20"/>
                <w:szCs w:val="20"/>
              </w:rPr>
              <w:t xml:space="preserve"> opisują techniczne i operacyjne kryteria, lecz nie tworzą kategorii prawnej, która mogłaby stanowić podstawę preferencji zakupowych, wsparcia publicznego lub </w:t>
            </w:r>
            <w:proofErr w:type="spellStart"/>
            <w:r w:rsidRPr="00023B68">
              <w:rPr>
                <w:sz w:val="20"/>
                <w:szCs w:val="20"/>
              </w:rPr>
              <w:t>priorytetyzacji</w:t>
            </w:r>
            <w:proofErr w:type="spellEnd"/>
            <w:r w:rsidRPr="00023B68">
              <w:rPr>
                <w:sz w:val="20"/>
                <w:szCs w:val="20"/>
              </w:rPr>
              <w:t xml:space="preserve"> w zamówieniach. Brak takiej definicji otwiera drzwi do „</w:t>
            </w:r>
            <w:proofErr w:type="spellStart"/>
            <w:r w:rsidRPr="00023B68">
              <w:rPr>
                <w:sz w:val="20"/>
                <w:szCs w:val="20"/>
              </w:rPr>
              <w:t>sovereignty</w:t>
            </w:r>
            <w:proofErr w:type="spellEnd"/>
            <w:r w:rsidRPr="00023B68">
              <w:rPr>
                <w:sz w:val="20"/>
                <w:szCs w:val="20"/>
              </w:rPr>
              <w:t xml:space="preserve"> </w:t>
            </w:r>
            <w:proofErr w:type="spellStart"/>
            <w:r w:rsidRPr="00023B68">
              <w:rPr>
                <w:sz w:val="20"/>
                <w:szCs w:val="20"/>
              </w:rPr>
              <w:t>washing</w:t>
            </w:r>
            <w:proofErr w:type="spellEnd"/>
            <w:r w:rsidRPr="00023B68">
              <w:rPr>
                <w:sz w:val="20"/>
                <w:szCs w:val="20"/>
              </w:rPr>
              <w:t>” – zjawiska, w którym podmiot spoza UE, spełniając jedynie minimalne wymogi formalne (np. rejestracja europejskiej spółki zależnej, umieszczenie serwerów w UE), uzyskuje dostęp do wszystkich benefitów przewidzianych dla europejskich podmiotów.</w:t>
            </w:r>
          </w:p>
          <w:p w14:paraId="304C59D1" w14:textId="77777777" w:rsidR="00913353" w:rsidRPr="00023B68" w:rsidRDefault="00913353" w:rsidP="00033236">
            <w:pPr>
              <w:pStyle w:val="Default"/>
              <w:rPr>
                <w:sz w:val="20"/>
                <w:szCs w:val="20"/>
              </w:rPr>
            </w:pPr>
          </w:p>
          <w:p w14:paraId="11BF52AA" w14:textId="77777777" w:rsidR="00913353" w:rsidRPr="00023B68" w:rsidRDefault="00913353" w:rsidP="00913353">
            <w:pPr>
              <w:pStyle w:val="Default"/>
              <w:rPr>
                <w:sz w:val="20"/>
                <w:szCs w:val="20"/>
              </w:rPr>
            </w:pPr>
            <w:r w:rsidRPr="00023B68">
              <w:rPr>
                <w:sz w:val="20"/>
                <w:szCs w:val="20"/>
              </w:rPr>
              <w:t>CADA musi zawierać w art. 2 lub w odrębnym artykule definicji jasną, egzekwowalną definicję "suwerennej chmury" i "suwerennego europejskiego dostawcy chmury" obejmującą:</w:t>
            </w:r>
          </w:p>
          <w:p w14:paraId="73D2F6DB" w14:textId="77777777" w:rsidR="00913353" w:rsidRPr="00023B68" w:rsidRDefault="00913353" w:rsidP="00913353">
            <w:pPr>
              <w:pStyle w:val="Default"/>
              <w:rPr>
                <w:sz w:val="20"/>
                <w:szCs w:val="20"/>
              </w:rPr>
            </w:pPr>
            <w:r w:rsidRPr="00023B68">
              <w:rPr>
                <w:sz w:val="20"/>
                <w:szCs w:val="20"/>
              </w:rPr>
              <w:t xml:space="preserve">• Kontrolę prawną: siedziba i centralna administracja w UE/EEA/EFTA; europejska większość własności i praw głosu (weryfikacja UBO); brak jurysdykcyjnej ekspozycji na prawa </w:t>
            </w:r>
            <w:proofErr w:type="spellStart"/>
            <w:r w:rsidRPr="00023B68">
              <w:rPr>
                <w:sz w:val="20"/>
                <w:szCs w:val="20"/>
              </w:rPr>
              <w:t>extraterytorialne</w:t>
            </w:r>
            <w:proofErr w:type="spellEnd"/>
            <w:r w:rsidRPr="00023B68">
              <w:rPr>
                <w:sz w:val="20"/>
                <w:szCs w:val="20"/>
              </w:rPr>
              <w:t xml:space="preserve"> (U.S. CLOUD </w:t>
            </w:r>
            <w:proofErr w:type="spellStart"/>
            <w:r w:rsidRPr="00023B68">
              <w:rPr>
                <w:sz w:val="20"/>
                <w:szCs w:val="20"/>
              </w:rPr>
              <w:t>Act</w:t>
            </w:r>
            <w:proofErr w:type="spellEnd"/>
            <w:r w:rsidRPr="00023B68">
              <w:rPr>
                <w:sz w:val="20"/>
                <w:szCs w:val="20"/>
              </w:rPr>
              <w:t>, FISA).</w:t>
            </w:r>
          </w:p>
          <w:p w14:paraId="7F552B1D" w14:textId="77777777" w:rsidR="00913353" w:rsidRPr="00023B68" w:rsidRDefault="00913353" w:rsidP="00913353">
            <w:pPr>
              <w:pStyle w:val="Default"/>
              <w:rPr>
                <w:sz w:val="20"/>
                <w:szCs w:val="20"/>
              </w:rPr>
            </w:pPr>
            <w:r w:rsidRPr="00023B68">
              <w:rPr>
                <w:sz w:val="20"/>
                <w:szCs w:val="20"/>
              </w:rPr>
              <w:t>• Kontrolę operacyjną: cała infrastruktura (</w:t>
            </w:r>
            <w:proofErr w:type="spellStart"/>
            <w:r w:rsidRPr="00023B68">
              <w:rPr>
                <w:sz w:val="20"/>
                <w:szCs w:val="20"/>
              </w:rPr>
              <w:t>datacenter</w:t>
            </w:r>
            <w:proofErr w:type="spellEnd"/>
            <w:r w:rsidRPr="00023B68">
              <w:rPr>
                <w:sz w:val="20"/>
                <w:szCs w:val="20"/>
              </w:rPr>
              <w:t>, DR, backup) w UE; większość działalności R&amp;D w EU/EEA/EFTA; skuteczna kontrola łańcucha dostaw dla komponentów krytycznych.</w:t>
            </w:r>
          </w:p>
          <w:p w14:paraId="03AE5F9B" w14:textId="77777777" w:rsidR="00033236" w:rsidRPr="00023B68" w:rsidRDefault="00913353" w:rsidP="00913353">
            <w:pPr>
              <w:pStyle w:val="Default"/>
              <w:rPr>
                <w:sz w:val="20"/>
                <w:szCs w:val="20"/>
              </w:rPr>
            </w:pPr>
            <w:r w:rsidRPr="00023B68">
              <w:rPr>
                <w:sz w:val="20"/>
                <w:szCs w:val="20"/>
              </w:rPr>
              <w:t xml:space="preserve">• Zakaz </w:t>
            </w:r>
            <w:proofErr w:type="spellStart"/>
            <w:r w:rsidRPr="00023B68">
              <w:rPr>
                <w:sz w:val="20"/>
                <w:szCs w:val="20"/>
              </w:rPr>
              <w:t>sovereignty</w:t>
            </w:r>
            <w:proofErr w:type="spellEnd"/>
            <w:r w:rsidRPr="00023B68">
              <w:rPr>
                <w:sz w:val="20"/>
                <w:szCs w:val="20"/>
              </w:rPr>
              <w:t xml:space="preserve"> </w:t>
            </w:r>
            <w:proofErr w:type="spellStart"/>
            <w:r w:rsidRPr="00023B68">
              <w:rPr>
                <w:sz w:val="20"/>
                <w:szCs w:val="20"/>
              </w:rPr>
              <w:t>washing</w:t>
            </w:r>
            <w:proofErr w:type="spellEnd"/>
            <w:r w:rsidRPr="00023B68">
              <w:rPr>
                <w:sz w:val="20"/>
                <w:szCs w:val="20"/>
              </w:rPr>
              <w:t xml:space="preserve">: definicja powinna wyraźnie wykluczać podmioty kontrolowane przez </w:t>
            </w:r>
            <w:proofErr w:type="spellStart"/>
            <w:r w:rsidRPr="00023B68">
              <w:rPr>
                <w:sz w:val="20"/>
                <w:szCs w:val="20"/>
              </w:rPr>
              <w:t>entity</w:t>
            </w:r>
            <w:proofErr w:type="spellEnd"/>
            <w:r w:rsidRPr="00023B68">
              <w:rPr>
                <w:sz w:val="20"/>
                <w:szCs w:val="20"/>
              </w:rPr>
              <w:t xml:space="preserve"> spoza UE przez joint venture lub umowy licencyjne, nawet jeśli formalnie zarejestrowane w UE.</w:t>
            </w:r>
          </w:p>
          <w:p w14:paraId="49FB6A50" w14:textId="0163E59C" w:rsidR="00913353" w:rsidRPr="00023B68" w:rsidRDefault="00913353" w:rsidP="00913353">
            <w:pPr>
              <w:pStyle w:val="Default"/>
              <w:rPr>
                <w:sz w:val="20"/>
                <w:szCs w:val="20"/>
              </w:rPr>
            </w:pPr>
          </w:p>
        </w:tc>
      </w:tr>
      <w:tr w:rsidR="000004A0" w:rsidRPr="00023B68" w14:paraId="2A21D0C3" w14:textId="77777777" w:rsidTr="00040008">
        <w:tc>
          <w:tcPr>
            <w:tcW w:w="0" w:type="auto"/>
          </w:tcPr>
          <w:p w14:paraId="51AA82A0" w14:textId="25735DF6" w:rsidR="000004A0" w:rsidRPr="00023B68" w:rsidRDefault="000004A0" w:rsidP="00CE38CD">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1562280B" w14:textId="21A2EFA3" w:rsidR="000004A0" w:rsidRPr="00023B68" w:rsidRDefault="000004A0" w:rsidP="00CE38CD">
            <w:pPr>
              <w:pStyle w:val="Default"/>
              <w:rPr>
                <w:sz w:val="20"/>
                <w:szCs w:val="20"/>
              </w:rPr>
            </w:pPr>
            <w:proofErr w:type="spellStart"/>
            <w:r w:rsidRPr="00023B68">
              <w:rPr>
                <w:sz w:val="20"/>
                <w:szCs w:val="20"/>
              </w:rPr>
              <w:t>PIIiT</w:t>
            </w:r>
            <w:proofErr w:type="spellEnd"/>
          </w:p>
        </w:tc>
        <w:tc>
          <w:tcPr>
            <w:tcW w:w="0" w:type="auto"/>
          </w:tcPr>
          <w:p w14:paraId="2C44DC72" w14:textId="77777777" w:rsidR="000004A0" w:rsidRPr="00023B68" w:rsidRDefault="000004A0" w:rsidP="000004A0">
            <w:pPr>
              <w:pStyle w:val="Default"/>
              <w:rPr>
                <w:sz w:val="20"/>
                <w:szCs w:val="20"/>
              </w:rPr>
            </w:pPr>
            <w:r w:rsidRPr="00023B68">
              <w:rPr>
                <w:sz w:val="20"/>
                <w:szCs w:val="20"/>
              </w:rPr>
              <w:t xml:space="preserve">Definicja usługi chmurowej w projekcie obejmuje zdalny, skalowalny dostęp do zasobów obliczeniowych, w tym zdalne udostępnianie systemów sztucznej inteligencji. W konsekwencji dostawca aplikacji AI świadczonej jako usługa może sam być dostawcą usługi chmurowej w rozumieniu rozporządzenia, a globalnego operatora infrastruktury traktować jako swojego podwykonawcę. Projekt może więc uczynić dostawcę warstwy aplikacyjnej bezpośrednio odpowiedzialnym za spełnienie kryteriów dotyczących infrastruktury jego podwykonawcy, mimo że dostawca aplikacji nie ma technicznych ani kontraktowych środków pozwalających samodzielnie zapewnić lub zweryfikować tę zgodność. Przykładowo wymóg z Załącznika II sekcja 1.1(c), aby dane klienta, w tym metadane i dane telemetryczne, pozostawały wyłącznie w UE, obejmuje również podwykonawców dostawcy — dostawca warstwy aplikacyjnej nie jest w stanie samodzielnie wykazać zgodności architektury telemetrycznej globalnego operatora, na którego infrastrukturze buduje. Do tego dochodzi kaskada kontraktowa: doświadczenia z wdrażania rozporządzenia DORA i dyrektywy NIS2 wskazują, że można oczekiwać przenoszenia wymogów i </w:t>
            </w:r>
            <w:r w:rsidRPr="00023B68">
              <w:rPr>
                <w:sz w:val="20"/>
                <w:szCs w:val="20"/>
              </w:rPr>
              <w:lastRenderedPageBreak/>
              <w:t xml:space="preserve">ryzyka kontraktowego na dalsze ogniwa łańcucha dostaw, które nie dysponują ani zapleczem prawnym, ani wpływem na przedmiot wymogu. </w:t>
            </w:r>
          </w:p>
          <w:p w14:paraId="032C2CF2" w14:textId="77777777" w:rsidR="000004A0" w:rsidRPr="00023B68" w:rsidRDefault="000004A0" w:rsidP="000004A0">
            <w:pPr>
              <w:pStyle w:val="Default"/>
              <w:rPr>
                <w:sz w:val="20"/>
                <w:szCs w:val="20"/>
              </w:rPr>
            </w:pPr>
            <w:r w:rsidRPr="00023B68">
              <w:rPr>
                <w:sz w:val="20"/>
                <w:szCs w:val="20"/>
              </w:rPr>
              <w:t>PIIT postuluje, aby rozporządzenie wprost rozgraniczało odpowiedzialność za właściwości infrastruktury bazowej — lokalizację danych, telemetrię, kontrolę operacyjną, personel i strukturę podwykonawców — od odpowiedzialności podmiotów budujących usługi na tej infrastrukturze. Dostawca warstwy aplikacyjnej powinien odpowiadać za wybór podwykonawcy posiadającego uznanie na wymaganym poziomie UAL, a nie za samodzielne wykazanie właściwości jego infrastruktury. Bez takiego rozgraniczenia każdy poziom UAL wytworzy warstwę zgodności pozornej: zobowiązania, których dalsze ogniwa łańcucha nie są w stanie ani spełnić, ani zweryfikować.</w:t>
            </w:r>
          </w:p>
          <w:p w14:paraId="71A6E165" w14:textId="68C9DA0D" w:rsidR="000004A0" w:rsidRPr="00023B68" w:rsidRDefault="000004A0" w:rsidP="000004A0">
            <w:pPr>
              <w:pStyle w:val="Default"/>
              <w:rPr>
                <w:sz w:val="20"/>
                <w:szCs w:val="20"/>
              </w:rPr>
            </w:pPr>
          </w:p>
        </w:tc>
      </w:tr>
      <w:tr w:rsidR="0075507E" w:rsidRPr="00023B68" w14:paraId="4BAE9980" w14:textId="77777777" w:rsidTr="00040008">
        <w:tc>
          <w:tcPr>
            <w:tcW w:w="0" w:type="auto"/>
          </w:tcPr>
          <w:p w14:paraId="06003558" w14:textId="77777777" w:rsidR="0075507E" w:rsidRPr="00023B68" w:rsidRDefault="0075507E" w:rsidP="0075507E">
            <w:pPr>
              <w:pStyle w:val="Default"/>
              <w:rPr>
                <w:b/>
                <w:bCs/>
                <w:sz w:val="20"/>
                <w:szCs w:val="20"/>
              </w:rPr>
            </w:pPr>
            <w:r w:rsidRPr="00023B68">
              <w:rPr>
                <w:b/>
                <w:bCs/>
                <w:sz w:val="20"/>
                <w:szCs w:val="20"/>
              </w:rPr>
              <w:lastRenderedPageBreak/>
              <w:t>TITLE II</w:t>
            </w:r>
          </w:p>
          <w:p w14:paraId="13FFCFF7" w14:textId="77777777" w:rsidR="0075507E" w:rsidRPr="00023B68" w:rsidRDefault="0075507E" w:rsidP="0075507E">
            <w:pPr>
              <w:pStyle w:val="Default"/>
              <w:rPr>
                <w:b/>
                <w:bCs/>
                <w:sz w:val="20"/>
                <w:szCs w:val="20"/>
              </w:rPr>
            </w:pPr>
            <w:r w:rsidRPr="00023B68">
              <w:rPr>
                <w:b/>
                <w:bCs/>
                <w:sz w:val="20"/>
                <w:szCs w:val="20"/>
              </w:rPr>
              <w:t>RESEARCH, DEVELOPMENT AND DEPLOYMENT ACTIVITIES FOR THE CLOUD AND AI ECOSYSTEM</w:t>
            </w:r>
          </w:p>
          <w:p w14:paraId="15F0B125" w14:textId="21EEA512" w:rsidR="00E97C05" w:rsidRPr="00023B68" w:rsidRDefault="00E97C05" w:rsidP="0075507E">
            <w:pPr>
              <w:pStyle w:val="Default"/>
              <w:rPr>
                <w:b/>
                <w:bCs/>
                <w:sz w:val="20"/>
                <w:szCs w:val="20"/>
              </w:rPr>
            </w:pPr>
            <w:r w:rsidRPr="00023B68">
              <w:rPr>
                <w:b/>
                <w:bCs/>
                <w:sz w:val="20"/>
                <w:szCs w:val="20"/>
              </w:rPr>
              <w:t>Art. 3 – 9</w:t>
            </w:r>
          </w:p>
          <w:p w14:paraId="138BD71E" w14:textId="78884E7B" w:rsidR="00E97C05" w:rsidRPr="00023B68" w:rsidRDefault="00E97C05" w:rsidP="0075507E">
            <w:pPr>
              <w:pStyle w:val="Default"/>
              <w:rPr>
                <w:b/>
                <w:bCs/>
                <w:sz w:val="20"/>
                <w:szCs w:val="20"/>
              </w:rPr>
            </w:pPr>
          </w:p>
        </w:tc>
        <w:tc>
          <w:tcPr>
            <w:tcW w:w="0" w:type="auto"/>
          </w:tcPr>
          <w:p w14:paraId="76C85996" w14:textId="77777777" w:rsidR="0075507E" w:rsidRPr="00023B68" w:rsidRDefault="0075507E" w:rsidP="00CE38CD">
            <w:pPr>
              <w:pStyle w:val="Default"/>
              <w:rPr>
                <w:b/>
                <w:bCs/>
                <w:sz w:val="20"/>
                <w:szCs w:val="20"/>
              </w:rPr>
            </w:pPr>
          </w:p>
        </w:tc>
        <w:tc>
          <w:tcPr>
            <w:tcW w:w="0" w:type="auto"/>
          </w:tcPr>
          <w:p w14:paraId="7F21B877" w14:textId="77777777" w:rsidR="0075507E" w:rsidRPr="00023B68" w:rsidRDefault="0075507E" w:rsidP="000004A0">
            <w:pPr>
              <w:pStyle w:val="Default"/>
              <w:rPr>
                <w:b/>
                <w:bCs/>
                <w:sz w:val="20"/>
                <w:szCs w:val="20"/>
              </w:rPr>
            </w:pPr>
          </w:p>
        </w:tc>
      </w:tr>
      <w:tr w:rsidR="000505DE" w:rsidRPr="00023B68" w14:paraId="62D24794" w14:textId="77777777" w:rsidTr="00040008">
        <w:tc>
          <w:tcPr>
            <w:tcW w:w="0" w:type="auto"/>
          </w:tcPr>
          <w:p w14:paraId="4B480580" w14:textId="77777777" w:rsidR="00B4295D" w:rsidRPr="00023B68" w:rsidRDefault="00990967" w:rsidP="00CE38CD">
            <w:pPr>
              <w:pStyle w:val="Default"/>
              <w:rPr>
                <w:sz w:val="20"/>
                <w:szCs w:val="20"/>
              </w:rPr>
            </w:pPr>
            <w:r w:rsidRPr="00023B68">
              <w:rPr>
                <w:sz w:val="20"/>
                <w:szCs w:val="20"/>
              </w:rPr>
              <w:t xml:space="preserve">Artykuł 3 </w:t>
            </w:r>
          </w:p>
          <w:p w14:paraId="18ACC440" w14:textId="1DB627B1" w:rsidR="00B4295D" w:rsidRPr="00023B68" w:rsidRDefault="001A3DB6" w:rsidP="00CE38CD">
            <w:pPr>
              <w:pStyle w:val="Default"/>
              <w:rPr>
                <w:i/>
                <w:iCs/>
                <w:sz w:val="20"/>
                <w:szCs w:val="20"/>
              </w:rPr>
            </w:pPr>
            <w:r w:rsidRPr="00023B68">
              <w:rPr>
                <w:i/>
                <w:iCs/>
                <w:sz w:val="20"/>
                <w:szCs w:val="20"/>
              </w:rPr>
              <w:t xml:space="preserve">General </w:t>
            </w:r>
            <w:proofErr w:type="spellStart"/>
            <w:r w:rsidRPr="00023B68">
              <w:rPr>
                <w:i/>
                <w:iCs/>
                <w:sz w:val="20"/>
                <w:szCs w:val="20"/>
              </w:rPr>
              <w:t>objective</w:t>
            </w:r>
            <w:proofErr w:type="spellEnd"/>
            <w:r w:rsidRPr="00023B68">
              <w:rPr>
                <w:i/>
                <w:iCs/>
                <w:sz w:val="20"/>
                <w:szCs w:val="20"/>
              </w:rPr>
              <w:t xml:space="preserve"> of the </w:t>
            </w:r>
            <w:proofErr w:type="spellStart"/>
            <w:r w:rsidRPr="00023B68">
              <w:rPr>
                <w:i/>
                <w:iCs/>
                <w:sz w:val="20"/>
                <w:szCs w:val="20"/>
              </w:rPr>
              <w:t>Cloud</w:t>
            </w:r>
            <w:proofErr w:type="spellEnd"/>
            <w:r w:rsidRPr="00023B68">
              <w:rPr>
                <w:i/>
                <w:iCs/>
                <w:sz w:val="20"/>
                <w:szCs w:val="20"/>
              </w:rPr>
              <w:t xml:space="preserve"> and AI </w:t>
            </w:r>
            <w:proofErr w:type="spellStart"/>
            <w:r w:rsidRPr="00023B68">
              <w:rPr>
                <w:i/>
                <w:iCs/>
                <w:sz w:val="20"/>
                <w:szCs w:val="20"/>
              </w:rPr>
              <w:t>Leadership</w:t>
            </w:r>
            <w:proofErr w:type="spellEnd"/>
            <w:r w:rsidRPr="00023B68">
              <w:rPr>
                <w:i/>
                <w:iCs/>
                <w:sz w:val="20"/>
                <w:szCs w:val="20"/>
              </w:rPr>
              <w:t xml:space="preserve"> </w:t>
            </w:r>
            <w:proofErr w:type="spellStart"/>
            <w:r w:rsidRPr="00023B68">
              <w:rPr>
                <w:i/>
                <w:iCs/>
                <w:sz w:val="20"/>
                <w:szCs w:val="20"/>
              </w:rPr>
              <w:t>Initiatives</w:t>
            </w:r>
            <w:proofErr w:type="spellEnd"/>
          </w:p>
          <w:p w14:paraId="6A946BDC" w14:textId="77777777" w:rsidR="00B4295D" w:rsidRPr="00023B68" w:rsidRDefault="00B4295D" w:rsidP="00CE38CD">
            <w:pPr>
              <w:pStyle w:val="Default"/>
              <w:rPr>
                <w:sz w:val="20"/>
                <w:szCs w:val="20"/>
              </w:rPr>
            </w:pPr>
          </w:p>
          <w:p w14:paraId="4FA636B3" w14:textId="225AAD9E" w:rsidR="000505DE" w:rsidRPr="00023B68" w:rsidRDefault="00B4295D" w:rsidP="00CE38CD">
            <w:pPr>
              <w:pStyle w:val="Default"/>
              <w:rPr>
                <w:sz w:val="20"/>
                <w:szCs w:val="20"/>
              </w:rPr>
            </w:pPr>
            <w:r w:rsidRPr="00023B68">
              <w:rPr>
                <w:sz w:val="20"/>
                <w:szCs w:val="20"/>
              </w:rPr>
              <w:t xml:space="preserve">Artykuł </w:t>
            </w:r>
            <w:r w:rsidR="00990967" w:rsidRPr="00023B68">
              <w:rPr>
                <w:sz w:val="20"/>
                <w:szCs w:val="20"/>
              </w:rPr>
              <w:t xml:space="preserve">4 </w:t>
            </w:r>
          </w:p>
          <w:p w14:paraId="5C8D0CAA" w14:textId="0A630723" w:rsidR="00B4295D" w:rsidRPr="00023B68" w:rsidRDefault="00B4295D" w:rsidP="00CE38CD">
            <w:pPr>
              <w:pStyle w:val="Default"/>
              <w:rPr>
                <w:i/>
                <w:iCs/>
                <w:sz w:val="20"/>
                <w:szCs w:val="20"/>
              </w:rPr>
            </w:pPr>
            <w:proofErr w:type="spellStart"/>
            <w:r w:rsidRPr="00023B68">
              <w:rPr>
                <w:i/>
                <w:iCs/>
                <w:sz w:val="20"/>
                <w:szCs w:val="20"/>
              </w:rPr>
              <w:t>Operational</w:t>
            </w:r>
            <w:proofErr w:type="spellEnd"/>
            <w:r w:rsidRPr="00023B68">
              <w:rPr>
                <w:i/>
                <w:iCs/>
                <w:sz w:val="20"/>
                <w:szCs w:val="20"/>
              </w:rPr>
              <w:t xml:space="preserve"> </w:t>
            </w:r>
            <w:proofErr w:type="spellStart"/>
            <w:r w:rsidRPr="00023B68">
              <w:rPr>
                <w:i/>
                <w:iCs/>
                <w:sz w:val="20"/>
                <w:szCs w:val="20"/>
              </w:rPr>
              <w:t>objectives</w:t>
            </w:r>
            <w:proofErr w:type="spellEnd"/>
            <w:r w:rsidRPr="00023B68">
              <w:rPr>
                <w:i/>
                <w:iCs/>
                <w:sz w:val="20"/>
                <w:szCs w:val="20"/>
              </w:rPr>
              <w:t xml:space="preserve"> of the </w:t>
            </w:r>
            <w:proofErr w:type="spellStart"/>
            <w:r w:rsidRPr="00023B68">
              <w:rPr>
                <w:i/>
                <w:iCs/>
                <w:sz w:val="20"/>
                <w:szCs w:val="20"/>
              </w:rPr>
              <w:t>Cloud</w:t>
            </w:r>
            <w:proofErr w:type="spellEnd"/>
            <w:r w:rsidRPr="00023B68">
              <w:rPr>
                <w:i/>
                <w:iCs/>
                <w:sz w:val="20"/>
                <w:szCs w:val="20"/>
              </w:rPr>
              <w:t xml:space="preserve"> and AI </w:t>
            </w:r>
            <w:proofErr w:type="spellStart"/>
            <w:r w:rsidRPr="00023B68">
              <w:rPr>
                <w:i/>
                <w:iCs/>
                <w:sz w:val="20"/>
                <w:szCs w:val="20"/>
              </w:rPr>
              <w:t>Leadership</w:t>
            </w:r>
            <w:proofErr w:type="spellEnd"/>
            <w:r w:rsidRPr="00023B68">
              <w:rPr>
                <w:i/>
                <w:iCs/>
                <w:sz w:val="20"/>
                <w:szCs w:val="20"/>
              </w:rPr>
              <w:t xml:space="preserve"> </w:t>
            </w:r>
            <w:proofErr w:type="spellStart"/>
            <w:r w:rsidRPr="00023B68">
              <w:rPr>
                <w:i/>
                <w:iCs/>
                <w:sz w:val="20"/>
                <w:szCs w:val="20"/>
              </w:rPr>
              <w:t>Initiatives</w:t>
            </w:r>
            <w:proofErr w:type="spellEnd"/>
          </w:p>
          <w:p w14:paraId="62BD40DA" w14:textId="7907D5FF" w:rsidR="00990967" w:rsidRPr="00023B68" w:rsidRDefault="00990967" w:rsidP="00CE38CD">
            <w:pPr>
              <w:pStyle w:val="Default"/>
              <w:rPr>
                <w:sz w:val="20"/>
                <w:szCs w:val="20"/>
              </w:rPr>
            </w:pPr>
          </w:p>
        </w:tc>
        <w:tc>
          <w:tcPr>
            <w:tcW w:w="0" w:type="auto"/>
          </w:tcPr>
          <w:p w14:paraId="116DE4CF" w14:textId="1654338C" w:rsidR="000505DE" w:rsidRPr="00023B68" w:rsidRDefault="000505DE" w:rsidP="00CE38CD">
            <w:pPr>
              <w:pStyle w:val="Default"/>
              <w:rPr>
                <w:sz w:val="20"/>
                <w:szCs w:val="20"/>
              </w:rPr>
            </w:pPr>
            <w:proofErr w:type="spellStart"/>
            <w:r w:rsidRPr="00023B68">
              <w:rPr>
                <w:sz w:val="20"/>
                <w:szCs w:val="20"/>
              </w:rPr>
              <w:t>PIIiT</w:t>
            </w:r>
            <w:proofErr w:type="spellEnd"/>
          </w:p>
        </w:tc>
        <w:tc>
          <w:tcPr>
            <w:tcW w:w="0" w:type="auto"/>
          </w:tcPr>
          <w:p w14:paraId="52EC393C" w14:textId="77777777" w:rsidR="000505DE" w:rsidRPr="00023B68" w:rsidRDefault="000505DE" w:rsidP="000004A0">
            <w:pPr>
              <w:pStyle w:val="Default"/>
              <w:rPr>
                <w:sz w:val="20"/>
                <w:szCs w:val="20"/>
              </w:rPr>
            </w:pPr>
            <w:r w:rsidRPr="00023B68">
              <w:rPr>
                <w:sz w:val="20"/>
                <w:szCs w:val="20"/>
              </w:rPr>
              <w:t>W opinii PIIT cele i zadania ujęte w treści artykułów 3 i 4 mają charakter deklaratywny. Przewidziane w projekcie obowiązki państw członkowskich i przedsiębiorców nie przyczynią się do ich realizacji. Obowiązki są konkretne i wymagają poważnych nakładów finansowych.</w:t>
            </w:r>
          </w:p>
          <w:p w14:paraId="3FEF851C" w14:textId="77E57385" w:rsidR="00835CFB" w:rsidRPr="00023B68" w:rsidRDefault="00835CFB" w:rsidP="000004A0">
            <w:pPr>
              <w:pStyle w:val="Default"/>
              <w:rPr>
                <w:sz w:val="20"/>
                <w:szCs w:val="20"/>
              </w:rPr>
            </w:pPr>
          </w:p>
        </w:tc>
      </w:tr>
      <w:tr w:rsidR="00184293" w:rsidRPr="00023B68" w14:paraId="473764A7" w14:textId="77777777" w:rsidTr="00040008">
        <w:tc>
          <w:tcPr>
            <w:tcW w:w="0" w:type="auto"/>
          </w:tcPr>
          <w:p w14:paraId="4E6D464E" w14:textId="434D592D" w:rsidR="00184293" w:rsidRPr="00023B68" w:rsidRDefault="007777B0" w:rsidP="00CE38CD">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512F0643" w14:textId="551222BC" w:rsidR="00184293" w:rsidRPr="00023B68" w:rsidRDefault="00184293" w:rsidP="00CE38CD">
            <w:pPr>
              <w:pStyle w:val="Default"/>
              <w:rPr>
                <w:sz w:val="20"/>
                <w:szCs w:val="20"/>
              </w:rPr>
            </w:pPr>
            <w:r w:rsidRPr="00023B68">
              <w:rPr>
                <w:sz w:val="20"/>
                <w:szCs w:val="20"/>
              </w:rPr>
              <w:t>Fundacja IT Leader Club Polska</w:t>
            </w:r>
          </w:p>
        </w:tc>
        <w:tc>
          <w:tcPr>
            <w:tcW w:w="0" w:type="auto"/>
          </w:tcPr>
          <w:p w14:paraId="5BD6D368" w14:textId="77777777" w:rsidR="00184293" w:rsidRPr="00023B68" w:rsidRDefault="00184293" w:rsidP="00184293">
            <w:pPr>
              <w:pStyle w:val="Default"/>
              <w:rPr>
                <w:sz w:val="20"/>
                <w:szCs w:val="20"/>
              </w:rPr>
            </w:pPr>
            <w:r w:rsidRPr="00023B68">
              <w:rPr>
                <w:sz w:val="20"/>
                <w:szCs w:val="20"/>
              </w:rPr>
              <w:t>Artykuł 4 ust. 8 lit. b przewiduje opracowanie wspólnego programu nauczania dotyczącego chmury i AI, a Centra AI mają zapewniać dostęp do programów podnoszenia i zmiany kwalifikacji. Projekt nie ustanawia jednak zasad certyfikowania kompetencji, akredytowania programów ani wzajemnego uznawania kwalifikacji. </w:t>
            </w:r>
          </w:p>
          <w:p w14:paraId="5B792C6C" w14:textId="402E60B7" w:rsidR="00184293" w:rsidRPr="00023B68" w:rsidRDefault="00184293" w:rsidP="00184293">
            <w:pPr>
              <w:pStyle w:val="Default"/>
              <w:rPr>
                <w:sz w:val="20"/>
                <w:szCs w:val="20"/>
              </w:rPr>
            </w:pPr>
            <w:r w:rsidRPr="00023B68">
              <w:rPr>
                <w:sz w:val="20"/>
                <w:szCs w:val="20"/>
              </w:rPr>
              <w:t>Jest to szczególnie istotna luka, ponieważ w ocenie skutków regulacji K</w:t>
            </w:r>
            <w:r w:rsidR="00C85190" w:rsidRPr="00023B68">
              <w:rPr>
                <w:sz w:val="20"/>
                <w:szCs w:val="20"/>
              </w:rPr>
              <w:t>E</w:t>
            </w:r>
            <w:r w:rsidRPr="00023B68">
              <w:rPr>
                <w:sz w:val="20"/>
                <w:szCs w:val="20"/>
              </w:rPr>
              <w:t xml:space="preserve"> analizowała osobny mechanizm </w:t>
            </w:r>
            <w:proofErr w:type="spellStart"/>
            <w:r w:rsidRPr="00023B68">
              <w:rPr>
                <w:b/>
                <w:bCs/>
                <w:sz w:val="20"/>
                <w:szCs w:val="20"/>
              </w:rPr>
              <w:t>Vendor-neutral</w:t>
            </w:r>
            <w:proofErr w:type="spellEnd"/>
            <w:r w:rsidRPr="00023B68">
              <w:rPr>
                <w:b/>
                <w:bCs/>
                <w:sz w:val="20"/>
                <w:szCs w:val="20"/>
              </w:rPr>
              <w:t xml:space="preserve"> EU </w:t>
            </w:r>
            <w:proofErr w:type="spellStart"/>
            <w:r w:rsidRPr="00023B68">
              <w:rPr>
                <w:b/>
                <w:bCs/>
                <w:sz w:val="20"/>
                <w:szCs w:val="20"/>
              </w:rPr>
              <w:t>cloud</w:t>
            </w:r>
            <w:proofErr w:type="spellEnd"/>
            <w:r w:rsidRPr="00023B68">
              <w:rPr>
                <w:b/>
                <w:bCs/>
                <w:sz w:val="20"/>
                <w:szCs w:val="20"/>
              </w:rPr>
              <w:t xml:space="preserve">/AI </w:t>
            </w:r>
            <w:proofErr w:type="spellStart"/>
            <w:r w:rsidRPr="00023B68">
              <w:rPr>
                <w:b/>
                <w:bCs/>
                <w:sz w:val="20"/>
                <w:szCs w:val="20"/>
              </w:rPr>
              <w:t>skill</w:t>
            </w:r>
            <w:proofErr w:type="spellEnd"/>
            <w:r w:rsidRPr="00023B68">
              <w:rPr>
                <w:b/>
                <w:bCs/>
                <w:sz w:val="20"/>
                <w:szCs w:val="20"/>
              </w:rPr>
              <w:t xml:space="preserve"> </w:t>
            </w:r>
            <w:proofErr w:type="spellStart"/>
            <w:r w:rsidRPr="00023B68">
              <w:rPr>
                <w:b/>
                <w:bCs/>
                <w:sz w:val="20"/>
                <w:szCs w:val="20"/>
              </w:rPr>
              <w:t>certificates</w:t>
            </w:r>
            <w:proofErr w:type="spellEnd"/>
            <w:r w:rsidRPr="00023B68">
              <w:rPr>
                <w:sz w:val="20"/>
                <w:szCs w:val="20"/>
              </w:rPr>
              <w:t>. K</w:t>
            </w:r>
            <w:r w:rsidR="00BD3039" w:rsidRPr="00023B68">
              <w:rPr>
                <w:sz w:val="20"/>
                <w:szCs w:val="20"/>
              </w:rPr>
              <w:t>E</w:t>
            </w:r>
            <w:r w:rsidRPr="00023B68">
              <w:rPr>
                <w:sz w:val="20"/>
                <w:szCs w:val="20"/>
              </w:rPr>
              <w:t xml:space="preserve"> wskazała, że obecne certyfikacje największych dostawców są powiązane z konkretnymi technologiami, podczas gdy na rynku brakuje neutralnych kompetencji obejmujących architekturę chmurową, </w:t>
            </w:r>
            <w:proofErr w:type="spellStart"/>
            <w:r w:rsidRPr="00023B68">
              <w:rPr>
                <w:sz w:val="20"/>
                <w:szCs w:val="20"/>
              </w:rPr>
              <w:t>cloud</w:t>
            </w:r>
            <w:proofErr w:type="spellEnd"/>
            <w:r w:rsidRPr="00023B68">
              <w:rPr>
                <w:sz w:val="20"/>
                <w:szCs w:val="20"/>
              </w:rPr>
              <w:t xml:space="preserve"> native, AI services, </w:t>
            </w:r>
            <w:proofErr w:type="spellStart"/>
            <w:r w:rsidRPr="00023B68">
              <w:rPr>
                <w:sz w:val="20"/>
                <w:szCs w:val="20"/>
              </w:rPr>
              <w:t>DevOps</w:t>
            </w:r>
            <w:proofErr w:type="spellEnd"/>
            <w:r w:rsidRPr="00023B68">
              <w:rPr>
                <w:sz w:val="20"/>
                <w:szCs w:val="20"/>
              </w:rPr>
              <w:t xml:space="preserve">, </w:t>
            </w:r>
            <w:proofErr w:type="spellStart"/>
            <w:r w:rsidRPr="00023B68">
              <w:rPr>
                <w:sz w:val="20"/>
                <w:szCs w:val="20"/>
              </w:rPr>
              <w:t>AIOps</w:t>
            </w:r>
            <w:proofErr w:type="spellEnd"/>
            <w:r w:rsidRPr="00023B68">
              <w:rPr>
                <w:sz w:val="20"/>
                <w:szCs w:val="20"/>
              </w:rPr>
              <w:t xml:space="preserve"> i </w:t>
            </w:r>
            <w:proofErr w:type="spellStart"/>
            <w:r w:rsidRPr="00023B68">
              <w:rPr>
                <w:sz w:val="20"/>
                <w:szCs w:val="20"/>
              </w:rPr>
              <w:t>FinOps</w:t>
            </w:r>
            <w:proofErr w:type="spellEnd"/>
            <w:r w:rsidRPr="00023B68">
              <w:rPr>
                <w:sz w:val="20"/>
                <w:szCs w:val="20"/>
              </w:rPr>
              <w:t>. Ocena skutków zakładała opracowanie materiałów, egzaminów, 15 kursów i mechanizmu akredytowania szkoleń. Elementy te nie zostały jednak dostatecznie przeniesione do normatywnej części projektu. </w:t>
            </w:r>
          </w:p>
          <w:p w14:paraId="537CDB57" w14:textId="77777777" w:rsidR="00CC39EA" w:rsidRPr="00023B68" w:rsidRDefault="00CC39EA" w:rsidP="00184293">
            <w:pPr>
              <w:pStyle w:val="Default"/>
              <w:rPr>
                <w:sz w:val="20"/>
                <w:szCs w:val="20"/>
              </w:rPr>
            </w:pPr>
          </w:p>
          <w:p w14:paraId="52AA1DCD" w14:textId="77777777" w:rsidR="00184293" w:rsidRPr="00023B68" w:rsidRDefault="00184293" w:rsidP="00184293">
            <w:pPr>
              <w:pStyle w:val="Default"/>
              <w:rPr>
                <w:sz w:val="20"/>
                <w:szCs w:val="20"/>
              </w:rPr>
            </w:pPr>
            <w:r w:rsidRPr="00023B68">
              <w:rPr>
                <w:sz w:val="20"/>
                <w:szCs w:val="20"/>
              </w:rPr>
              <w:t>Fundacja rekomenduje ustanowienie:</w:t>
            </w:r>
          </w:p>
          <w:p w14:paraId="634610E5" w14:textId="77777777" w:rsidR="00184293" w:rsidRPr="00023B68" w:rsidRDefault="00184293" w:rsidP="00184293">
            <w:pPr>
              <w:pStyle w:val="Default"/>
              <w:rPr>
                <w:sz w:val="20"/>
                <w:szCs w:val="20"/>
              </w:rPr>
            </w:pPr>
            <w:r w:rsidRPr="00023B68">
              <w:rPr>
                <w:b/>
                <w:bCs/>
                <w:sz w:val="20"/>
                <w:szCs w:val="20"/>
              </w:rPr>
              <w:t>Europejskich Ram Kompetencji Chmury, AI i Suwerenności Cyfrowej</w:t>
            </w:r>
          </w:p>
          <w:p w14:paraId="12030FB7" w14:textId="77777777" w:rsidR="00184293" w:rsidRPr="00023B68" w:rsidRDefault="00184293" w:rsidP="00184293">
            <w:pPr>
              <w:pStyle w:val="Default"/>
              <w:rPr>
                <w:sz w:val="20"/>
                <w:szCs w:val="20"/>
              </w:rPr>
            </w:pPr>
            <w:r w:rsidRPr="00023B68">
              <w:rPr>
                <w:sz w:val="20"/>
                <w:szCs w:val="20"/>
              </w:rPr>
              <w:t>Ramy powinny obejmować co najmniej:</w:t>
            </w:r>
          </w:p>
          <w:p w14:paraId="1A7E8FE3" w14:textId="77777777" w:rsidR="00184293" w:rsidRPr="00023B68" w:rsidRDefault="00184293" w:rsidP="00A42C26">
            <w:pPr>
              <w:pStyle w:val="Default"/>
              <w:numPr>
                <w:ilvl w:val="0"/>
                <w:numId w:val="10"/>
              </w:numPr>
              <w:rPr>
                <w:sz w:val="20"/>
                <w:szCs w:val="20"/>
              </w:rPr>
            </w:pPr>
            <w:r w:rsidRPr="00023B68">
              <w:rPr>
                <w:sz w:val="20"/>
                <w:szCs w:val="20"/>
              </w:rPr>
              <w:t xml:space="preserve">architekturę chmurową i </w:t>
            </w:r>
            <w:proofErr w:type="spellStart"/>
            <w:r w:rsidRPr="00023B68">
              <w:rPr>
                <w:sz w:val="20"/>
                <w:szCs w:val="20"/>
              </w:rPr>
              <w:t>cloud</w:t>
            </w:r>
            <w:proofErr w:type="spellEnd"/>
            <w:r w:rsidRPr="00023B68">
              <w:rPr>
                <w:sz w:val="20"/>
                <w:szCs w:val="20"/>
              </w:rPr>
              <w:t xml:space="preserve"> native;</w:t>
            </w:r>
          </w:p>
          <w:p w14:paraId="0462B7FB" w14:textId="77777777" w:rsidR="00184293" w:rsidRPr="00023B68" w:rsidRDefault="00184293" w:rsidP="00A42C26">
            <w:pPr>
              <w:pStyle w:val="Default"/>
              <w:numPr>
                <w:ilvl w:val="0"/>
                <w:numId w:val="10"/>
              </w:numPr>
              <w:rPr>
                <w:sz w:val="20"/>
                <w:szCs w:val="20"/>
              </w:rPr>
            </w:pPr>
            <w:r w:rsidRPr="00023B68">
              <w:rPr>
                <w:sz w:val="20"/>
                <w:szCs w:val="20"/>
              </w:rPr>
              <w:t>bezpieczeństwo chmury;</w:t>
            </w:r>
          </w:p>
          <w:p w14:paraId="5A38DAB8" w14:textId="77777777" w:rsidR="00184293" w:rsidRPr="00023B68" w:rsidRDefault="00184293" w:rsidP="00A42C26">
            <w:pPr>
              <w:pStyle w:val="Default"/>
              <w:numPr>
                <w:ilvl w:val="0"/>
                <w:numId w:val="10"/>
              </w:numPr>
              <w:rPr>
                <w:sz w:val="20"/>
                <w:szCs w:val="20"/>
              </w:rPr>
            </w:pPr>
            <w:r w:rsidRPr="00023B68">
              <w:rPr>
                <w:sz w:val="20"/>
                <w:szCs w:val="20"/>
              </w:rPr>
              <w:t xml:space="preserve">AI </w:t>
            </w:r>
            <w:proofErr w:type="spellStart"/>
            <w:r w:rsidRPr="00023B68">
              <w:rPr>
                <w:sz w:val="20"/>
                <w:szCs w:val="20"/>
              </w:rPr>
              <w:t>governance</w:t>
            </w:r>
            <w:proofErr w:type="spellEnd"/>
            <w:r w:rsidRPr="00023B68">
              <w:rPr>
                <w:sz w:val="20"/>
                <w:szCs w:val="20"/>
              </w:rPr>
              <w:t xml:space="preserve"> i odpowiedzialne AI;</w:t>
            </w:r>
          </w:p>
          <w:p w14:paraId="522BAA12" w14:textId="77777777" w:rsidR="00184293" w:rsidRPr="00023B68" w:rsidRDefault="00184293" w:rsidP="00A42C26">
            <w:pPr>
              <w:pStyle w:val="Default"/>
              <w:numPr>
                <w:ilvl w:val="0"/>
                <w:numId w:val="10"/>
              </w:numPr>
              <w:rPr>
                <w:sz w:val="20"/>
                <w:szCs w:val="20"/>
              </w:rPr>
            </w:pPr>
            <w:r w:rsidRPr="00023B68">
              <w:rPr>
                <w:sz w:val="20"/>
                <w:szCs w:val="20"/>
              </w:rPr>
              <w:t>zarządzanie ryzykiem modeli i agentów AI;</w:t>
            </w:r>
          </w:p>
          <w:p w14:paraId="70285D96" w14:textId="77777777" w:rsidR="00184293" w:rsidRPr="00023B68" w:rsidRDefault="00184293" w:rsidP="00A42C26">
            <w:pPr>
              <w:pStyle w:val="Default"/>
              <w:numPr>
                <w:ilvl w:val="0"/>
                <w:numId w:val="10"/>
              </w:numPr>
              <w:rPr>
                <w:sz w:val="20"/>
                <w:szCs w:val="20"/>
                <w:lang w:val="en-GB"/>
              </w:rPr>
            </w:pPr>
            <w:proofErr w:type="spellStart"/>
            <w:r w:rsidRPr="00023B68">
              <w:rPr>
                <w:sz w:val="20"/>
                <w:szCs w:val="20"/>
                <w:lang w:val="en-GB"/>
              </w:rPr>
              <w:lastRenderedPageBreak/>
              <w:t>MLOps</w:t>
            </w:r>
            <w:proofErr w:type="spellEnd"/>
            <w:r w:rsidRPr="00023B68">
              <w:rPr>
                <w:sz w:val="20"/>
                <w:szCs w:val="20"/>
                <w:lang w:val="en-GB"/>
              </w:rPr>
              <w:t xml:space="preserve">, AIOps, </w:t>
            </w:r>
            <w:proofErr w:type="spellStart"/>
            <w:r w:rsidRPr="00023B68">
              <w:rPr>
                <w:sz w:val="20"/>
                <w:szCs w:val="20"/>
                <w:lang w:val="en-GB"/>
              </w:rPr>
              <w:t>DevSecOps</w:t>
            </w:r>
            <w:proofErr w:type="spellEnd"/>
            <w:r w:rsidRPr="00023B68">
              <w:rPr>
                <w:sz w:val="20"/>
                <w:szCs w:val="20"/>
                <w:lang w:val="en-GB"/>
              </w:rPr>
              <w:t xml:space="preserve"> i FinOps;</w:t>
            </w:r>
          </w:p>
          <w:p w14:paraId="579B36A8" w14:textId="77777777" w:rsidR="00184293" w:rsidRPr="00023B68" w:rsidRDefault="00184293" w:rsidP="00A42C26">
            <w:pPr>
              <w:pStyle w:val="Default"/>
              <w:numPr>
                <w:ilvl w:val="0"/>
                <w:numId w:val="10"/>
              </w:numPr>
              <w:rPr>
                <w:sz w:val="20"/>
                <w:szCs w:val="20"/>
              </w:rPr>
            </w:pPr>
            <w:r w:rsidRPr="00023B68">
              <w:rPr>
                <w:sz w:val="20"/>
                <w:szCs w:val="20"/>
              </w:rPr>
              <w:t>zarządzanie danymi i ich pochodzeniem;</w:t>
            </w:r>
          </w:p>
          <w:p w14:paraId="788CABE9" w14:textId="77777777" w:rsidR="00184293" w:rsidRPr="00023B68" w:rsidRDefault="00184293" w:rsidP="00A42C26">
            <w:pPr>
              <w:pStyle w:val="Default"/>
              <w:numPr>
                <w:ilvl w:val="0"/>
                <w:numId w:val="10"/>
              </w:numPr>
              <w:rPr>
                <w:sz w:val="20"/>
                <w:szCs w:val="20"/>
                <w:lang w:val="en-GB"/>
              </w:rPr>
            </w:pPr>
            <w:proofErr w:type="spellStart"/>
            <w:r w:rsidRPr="00023B68">
              <w:rPr>
                <w:sz w:val="20"/>
                <w:szCs w:val="20"/>
                <w:lang w:val="en-GB"/>
              </w:rPr>
              <w:t>wymagania</w:t>
            </w:r>
            <w:proofErr w:type="spellEnd"/>
            <w:r w:rsidRPr="00023B68">
              <w:rPr>
                <w:sz w:val="20"/>
                <w:szCs w:val="20"/>
                <w:lang w:val="en-GB"/>
              </w:rPr>
              <w:t xml:space="preserve"> AI Act, NIS2, DORA, RODO, Data Act </w:t>
            </w:r>
            <w:proofErr w:type="spellStart"/>
            <w:r w:rsidRPr="00023B68">
              <w:rPr>
                <w:sz w:val="20"/>
                <w:szCs w:val="20"/>
                <w:lang w:val="en-GB"/>
              </w:rPr>
              <w:t>oraz</w:t>
            </w:r>
            <w:proofErr w:type="spellEnd"/>
            <w:r w:rsidRPr="00023B68">
              <w:rPr>
                <w:sz w:val="20"/>
                <w:szCs w:val="20"/>
                <w:lang w:val="en-GB"/>
              </w:rPr>
              <w:t xml:space="preserve"> Cyber Resilience Act;</w:t>
            </w:r>
          </w:p>
          <w:p w14:paraId="47AC0487" w14:textId="77777777" w:rsidR="00184293" w:rsidRPr="00023B68" w:rsidRDefault="00184293" w:rsidP="00A42C26">
            <w:pPr>
              <w:pStyle w:val="Default"/>
              <w:numPr>
                <w:ilvl w:val="0"/>
                <w:numId w:val="10"/>
              </w:numPr>
              <w:rPr>
                <w:sz w:val="20"/>
                <w:szCs w:val="20"/>
              </w:rPr>
            </w:pPr>
            <w:r w:rsidRPr="00023B68">
              <w:rPr>
                <w:sz w:val="20"/>
                <w:szCs w:val="20"/>
              </w:rPr>
              <w:t>interoperacyjność i otwarte standardy;</w:t>
            </w:r>
          </w:p>
          <w:p w14:paraId="2D3684B0" w14:textId="77777777" w:rsidR="00184293" w:rsidRPr="00023B68" w:rsidRDefault="00184293" w:rsidP="00A42C26">
            <w:pPr>
              <w:pStyle w:val="Default"/>
              <w:numPr>
                <w:ilvl w:val="0"/>
                <w:numId w:val="10"/>
              </w:numPr>
              <w:rPr>
                <w:sz w:val="20"/>
                <w:szCs w:val="20"/>
              </w:rPr>
            </w:pPr>
            <w:r w:rsidRPr="00023B68">
              <w:rPr>
                <w:sz w:val="20"/>
                <w:szCs w:val="20"/>
              </w:rPr>
              <w:t>zarządzanie dostawcami i ryzykiem koncentracji;</w:t>
            </w:r>
          </w:p>
          <w:p w14:paraId="1F8D1F05" w14:textId="77777777" w:rsidR="00184293" w:rsidRPr="00023B68" w:rsidRDefault="00184293" w:rsidP="00A42C26">
            <w:pPr>
              <w:pStyle w:val="Default"/>
              <w:numPr>
                <w:ilvl w:val="0"/>
                <w:numId w:val="10"/>
              </w:numPr>
              <w:rPr>
                <w:sz w:val="20"/>
                <w:szCs w:val="20"/>
              </w:rPr>
            </w:pPr>
            <w:r w:rsidRPr="00023B68">
              <w:rPr>
                <w:sz w:val="20"/>
                <w:szCs w:val="20"/>
              </w:rPr>
              <w:t>przygotowywanie strategii wyjścia i migracji;</w:t>
            </w:r>
          </w:p>
          <w:p w14:paraId="03EBB672" w14:textId="77777777" w:rsidR="00184293" w:rsidRPr="00023B68" w:rsidRDefault="00184293" w:rsidP="00A42C26">
            <w:pPr>
              <w:pStyle w:val="Default"/>
              <w:numPr>
                <w:ilvl w:val="0"/>
                <w:numId w:val="10"/>
              </w:numPr>
              <w:rPr>
                <w:sz w:val="20"/>
                <w:szCs w:val="20"/>
              </w:rPr>
            </w:pPr>
            <w:r w:rsidRPr="00023B68">
              <w:rPr>
                <w:sz w:val="20"/>
                <w:szCs w:val="20"/>
              </w:rPr>
              <w:t xml:space="preserve">zarządzanie rozwiązaniami open </w:t>
            </w:r>
            <w:proofErr w:type="spellStart"/>
            <w:r w:rsidRPr="00023B68">
              <w:rPr>
                <w:sz w:val="20"/>
                <w:szCs w:val="20"/>
              </w:rPr>
              <w:t>source</w:t>
            </w:r>
            <w:proofErr w:type="spellEnd"/>
            <w:r w:rsidRPr="00023B68">
              <w:rPr>
                <w:sz w:val="20"/>
                <w:szCs w:val="20"/>
              </w:rPr>
              <w:t>;</w:t>
            </w:r>
          </w:p>
          <w:p w14:paraId="04C2ECAA" w14:textId="77777777" w:rsidR="00184293" w:rsidRPr="00023B68" w:rsidRDefault="00184293" w:rsidP="00A42C26">
            <w:pPr>
              <w:pStyle w:val="Default"/>
              <w:numPr>
                <w:ilvl w:val="0"/>
                <w:numId w:val="10"/>
              </w:numPr>
              <w:rPr>
                <w:sz w:val="20"/>
                <w:szCs w:val="20"/>
              </w:rPr>
            </w:pPr>
            <w:r w:rsidRPr="00023B68">
              <w:rPr>
                <w:sz w:val="20"/>
                <w:szCs w:val="20"/>
              </w:rPr>
              <w:t xml:space="preserve">zamówienia publiczne na rozwiązania </w:t>
            </w:r>
            <w:proofErr w:type="spellStart"/>
            <w:r w:rsidRPr="00023B68">
              <w:rPr>
                <w:sz w:val="20"/>
                <w:szCs w:val="20"/>
              </w:rPr>
              <w:t>cloud</w:t>
            </w:r>
            <w:proofErr w:type="spellEnd"/>
            <w:r w:rsidRPr="00023B68">
              <w:rPr>
                <w:sz w:val="20"/>
                <w:szCs w:val="20"/>
              </w:rPr>
              <w:t xml:space="preserve"> i AI;</w:t>
            </w:r>
          </w:p>
          <w:p w14:paraId="44FDE08B" w14:textId="77777777" w:rsidR="00184293" w:rsidRPr="00023B68" w:rsidRDefault="00184293" w:rsidP="00A42C26">
            <w:pPr>
              <w:pStyle w:val="Default"/>
              <w:numPr>
                <w:ilvl w:val="0"/>
                <w:numId w:val="10"/>
              </w:numPr>
              <w:rPr>
                <w:sz w:val="20"/>
                <w:szCs w:val="20"/>
              </w:rPr>
            </w:pPr>
            <w:r w:rsidRPr="00023B68">
              <w:rPr>
                <w:sz w:val="20"/>
                <w:szCs w:val="20"/>
              </w:rPr>
              <w:t>bezpieczeństwo łańcucha dostaw oprogramowania;</w:t>
            </w:r>
          </w:p>
          <w:p w14:paraId="5A9C0378" w14:textId="77777777" w:rsidR="00184293" w:rsidRPr="00023B68" w:rsidRDefault="00184293" w:rsidP="00A42C26">
            <w:pPr>
              <w:pStyle w:val="Default"/>
              <w:numPr>
                <w:ilvl w:val="0"/>
                <w:numId w:val="10"/>
              </w:numPr>
              <w:rPr>
                <w:sz w:val="20"/>
                <w:szCs w:val="20"/>
              </w:rPr>
            </w:pPr>
            <w:r w:rsidRPr="00023B68">
              <w:rPr>
                <w:sz w:val="20"/>
                <w:szCs w:val="20"/>
              </w:rPr>
              <w:t>zarządzanie ciągłością działania i odpornością operacyjną.</w:t>
            </w:r>
          </w:p>
          <w:p w14:paraId="2E3DFDAB" w14:textId="77777777" w:rsidR="00184293" w:rsidRPr="00023B68" w:rsidRDefault="00184293" w:rsidP="00184293">
            <w:pPr>
              <w:pStyle w:val="Default"/>
              <w:rPr>
                <w:sz w:val="20"/>
                <w:szCs w:val="20"/>
              </w:rPr>
            </w:pPr>
            <w:r w:rsidRPr="00023B68">
              <w:rPr>
                <w:sz w:val="20"/>
                <w:szCs w:val="20"/>
              </w:rPr>
              <w:t>System powinien:</w:t>
            </w:r>
          </w:p>
          <w:p w14:paraId="1B395241" w14:textId="77777777" w:rsidR="00184293" w:rsidRPr="00023B68" w:rsidRDefault="00184293" w:rsidP="00A42C26">
            <w:pPr>
              <w:pStyle w:val="Default"/>
              <w:numPr>
                <w:ilvl w:val="0"/>
                <w:numId w:val="11"/>
              </w:numPr>
              <w:rPr>
                <w:sz w:val="20"/>
                <w:szCs w:val="20"/>
              </w:rPr>
            </w:pPr>
            <w:r w:rsidRPr="00023B68">
              <w:rPr>
                <w:sz w:val="20"/>
                <w:szCs w:val="20"/>
              </w:rPr>
              <w:t>być neutralny względem dostawców i technologii;</w:t>
            </w:r>
          </w:p>
          <w:p w14:paraId="011545E2" w14:textId="77777777" w:rsidR="00184293" w:rsidRPr="00023B68" w:rsidRDefault="00184293" w:rsidP="00A42C26">
            <w:pPr>
              <w:pStyle w:val="Default"/>
              <w:numPr>
                <w:ilvl w:val="0"/>
                <w:numId w:val="11"/>
              </w:numPr>
              <w:rPr>
                <w:sz w:val="20"/>
                <w:szCs w:val="20"/>
              </w:rPr>
            </w:pPr>
            <w:r w:rsidRPr="00023B68">
              <w:rPr>
                <w:sz w:val="20"/>
                <w:szCs w:val="20"/>
              </w:rPr>
              <w:t xml:space="preserve">umożliwiać zdobywanie </w:t>
            </w:r>
            <w:proofErr w:type="spellStart"/>
            <w:r w:rsidRPr="00023B68">
              <w:rPr>
                <w:sz w:val="20"/>
                <w:szCs w:val="20"/>
              </w:rPr>
              <w:t>mikropoświadczeń</w:t>
            </w:r>
            <w:proofErr w:type="spellEnd"/>
            <w:r w:rsidRPr="00023B68">
              <w:rPr>
                <w:sz w:val="20"/>
                <w:szCs w:val="20"/>
              </w:rPr>
              <w:t xml:space="preserve"> i pełnych certyfikatów;</w:t>
            </w:r>
          </w:p>
          <w:p w14:paraId="2826A068" w14:textId="77777777" w:rsidR="00184293" w:rsidRPr="00023B68" w:rsidRDefault="00184293" w:rsidP="00A42C26">
            <w:pPr>
              <w:pStyle w:val="Default"/>
              <w:numPr>
                <w:ilvl w:val="0"/>
                <w:numId w:val="11"/>
              </w:numPr>
              <w:rPr>
                <w:sz w:val="20"/>
                <w:szCs w:val="20"/>
              </w:rPr>
            </w:pPr>
            <w:r w:rsidRPr="00023B68">
              <w:rPr>
                <w:sz w:val="20"/>
                <w:szCs w:val="20"/>
              </w:rPr>
              <w:t>przewidywać niezależne egzaminy i walidację efektów uczenia się;</w:t>
            </w:r>
          </w:p>
          <w:p w14:paraId="6CE47D30" w14:textId="77777777" w:rsidR="00184293" w:rsidRPr="00023B68" w:rsidRDefault="00184293" w:rsidP="00A42C26">
            <w:pPr>
              <w:pStyle w:val="Default"/>
              <w:numPr>
                <w:ilvl w:val="0"/>
                <w:numId w:val="11"/>
              </w:numPr>
              <w:rPr>
                <w:sz w:val="20"/>
                <w:szCs w:val="20"/>
              </w:rPr>
            </w:pPr>
            <w:r w:rsidRPr="00023B68">
              <w:rPr>
                <w:sz w:val="20"/>
                <w:szCs w:val="20"/>
              </w:rPr>
              <w:t>umożliwiać akredytowanie uczelni, organizacji branżowych, fundacji, niezależnych organizacji szkoleniowych i certyfikujących oraz Centrów AI;</w:t>
            </w:r>
          </w:p>
          <w:p w14:paraId="14A383C1" w14:textId="77777777" w:rsidR="00184293" w:rsidRPr="00023B68" w:rsidRDefault="00184293" w:rsidP="00A42C26">
            <w:pPr>
              <w:pStyle w:val="Default"/>
              <w:numPr>
                <w:ilvl w:val="0"/>
                <w:numId w:val="11"/>
              </w:numPr>
              <w:rPr>
                <w:sz w:val="20"/>
                <w:szCs w:val="20"/>
              </w:rPr>
            </w:pPr>
            <w:r w:rsidRPr="00023B68">
              <w:rPr>
                <w:sz w:val="20"/>
                <w:szCs w:val="20"/>
              </w:rPr>
              <w:t>podlegać wspólnym zasadom jakości i okresowej aktualizacji;</w:t>
            </w:r>
          </w:p>
          <w:p w14:paraId="60022ECB" w14:textId="77777777" w:rsidR="00184293" w:rsidRPr="00023B68" w:rsidRDefault="00184293" w:rsidP="00A42C26">
            <w:pPr>
              <w:pStyle w:val="Default"/>
              <w:numPr>
                <w:ilvl w:val="0"/>
                <w:numId w:val="11"/>
              </w:numPr>
              <w:rPr>
                <w:sz w:val="20"/>
                <w:szCs w:val="20"/>
              </w:rPr>
            </w:pPr>
            <w:r w:rsidRPr="00023B68">
              <w:rPr>
                <w:sz w:val="20"/>
                <w:szCs w:val="20"/>
              </w:rPr>
              <w:t>zapewniać wzajemne uznawanie kwalifikacji w państwach członkowskich;</w:t>
            </w:r>
          </w:p>
          <w:p w14:paraId="4ECA1DFA" w14:textId="77777777" w:rsidR="00184293" w:rsidRPr="00023B68" w:rsidRDefault="00184293" w:rsidP="00A42C26">
            <w:pPr>
              <w:pStyle w:val="Default"/>
              <w:numPr>
                <w:ilvl w:val="0"/>
                <w:numId w:val="11"/>
              </w:numPr>
              <w:rPr>
                <w:sz w:val="20"/>
                <w:szCs w:val="20"/>
              </w:rPr>
            </w:pPr>
            <w:r w:rsidRPr="00023B68">
              <w:rPr>
                <w:sz w:val="20"/>
                <w:szCs w:val="20"/>
              </w:rPr>
              <w:t>obejmować zarówno specjalistów technicznych, jak i kadrę zarządzającą, zamawiających, audytorów, prawników, inspektorów ochrony danych oraz osoby odpowiedzialne za ryzyko.</w:t>
            </w:r>
          </w:p>
          <w:p w14:paraId="3AECDFCE" w14:textId="77777777" w:rsidR="00184293" w:rsidRPr="00023B68" w:rsidRDefault="00184293" w:rsidP="00184293">
            <w:pPr>
              <w:pStyle w:val="Default"/>
              <w:rPr>
                <w:sz w:val="20"/>
                <w:szCs w:val="20"/>
              </w:rPr>
            </w:pPr>
            <w:r w:rsidRPr="00023B68">
              <w:rPr>
                <w:sz w:val="20"/>
                <w:szCs w:val="20"/>
              </w:rPr>
              <w:t>System nie powinien zostać zmonopolizowany przez jedną instytucję europejską ani przez największych dostawców technologii. Centra AI powinny pełnić funkcję koordynacyjną, natomiast szkolenia, walidację i certyfikację powinien realizować pluralistyczny ekosystem uprawnionych podmiotów.</w:t>
            </w:r>
          </w:p>
          <w:p w14:paraId="5FFD8E88" w14:textId="77777777" w:rsidR="005B0AB0" w:rsidRPr="00023B68" w:rsidRDefault="005B0AB0" w:rsidP="00184293">
            <w:pPr>
              <w:pStyle w:val="Default"/>
              <w:rPr>
                <w:sz w:val="20"/>
                <w:szCs w:val="20"/>
              </w:rPr>
            </w:pPr>
          </w:p>
          <w:p w14:paraId="2C52AF77" w14:textId="77777777" w:rsidR="00184293" w:rsidRPr="00023B68" w:rsidRDefault="00184293" w:rsidP="00184293">
            <w:pPr>
              <w:pStyle w:val="Default"/>
              <w:rPr>
                <w:sz w:val="20"/>
                <w:szCs w:val="20"/>
              </w:rPr>
            </w:pPr>
            <w:r w:rsidRPr="00023B68">
              <w:rPr>
                <w:b/>
                <w:bCs/>
                <w:sz w:val="20"/>
                <w:szCs w:val="20"/>
              </w:rPr>
              <w:t>Proponowane uzupełnienie art. 4 ust. 8 lit. b</w:t>
            </w:r>
          </w:p>
          <w:p w14:paraId="7B222299" w14:textId="77777777" w:rsidR="00184293" w:rsidRPr="00023B68" w:rsidRDefault="00184293" w:rsidP="00184293">
            <w:pPr>
              <w:pStyle w:val="Default"/>
              <w:rPr>
                <w:sz w:val="20"/>
                <w:szCs w:val="20"/>
              </w:rPr>
            </w:pPr>
            <w:r w:rsidRPr="00023B68">
              <w:rPr>
                <w:sz w:val="20"/>
                <w:szCs w:val="20"/>
              </w:rPr>
              <w:t xml:space="preserve">„opracowują i utrzymują wspólne, neutralne technologicznie europejskie ramy kompetencji w zakresie chmury obliczeniowej, sztucznej inteligencji, </w:t>
            </w:r>
            <w:proofErr w:type="spellStart"/>
            <w:r w:rsidRPr="00023B68">
              <w:rPr>
                <w:sz w:val="20"/>
                <w:szCs w:val="20"/>
              </w:rPr>
              <w:t>cyberbezpieczeństwa</w:t>
            </w:r>
            <w:proofErr w:type="spellEnd"/>
            <w:r w:rsidRPr="00023B68">
              <w:rPr>
                <w:sz w:val="20"/>
                <w:szCs w:val="20"/>
              </w:rPr>
              <w:t xml:space="preserve"> i suwerenności cyfrowej, wraz z systemem dobrowolnych </w:t>
            </w:r>
            <w:proofErr w:type="spellStart"/>
            <w:r w:rsidRPr="00023B68">
              <w:rPr>
                <w:sz w:val="20"/>
                <w:szCs w:val="20"/>
              </w:rPr>
              <w:t>mikropoświadczeń</w:t>
            </w:r>
            <w:proofErr w:type="spellEnd"/>
            <w:r w:rsidRPr="00023B68">
              <w:rPr>
                <w:sz w:val="20"/>
                <w:szCs w:val="20"/>
              </w:rPr>
              <w:t xml:space="preserve"> i certyfikatów oraz mechanizmem akredytacji niezależnych podmiotów szkoleniowych, walidujących i certyfikujących”.</w:t>
            </w:r>
          </w:p>
          <w:p w14:paraId="14100FB6" w14:textId="77777777" w:rsidR="00184293" w:rsidRPr="00023B68" w:rsidRDefault="00184293" w:rsidP="000004A0">
            <w:pPr>
              <w:pStyle w:val="Default"/>
              <w:rPr>
                <w:sz w:val="20"/>
                <w:szCs w:val="20"/>
              </w:rPr>
            </w:pPr>
          </w:p>
        </w:tc>
      </w:tr>
      <w:tr w:rsidR="00835CFB" w:rsidRPr="00023B68" w14:paraId="4341FADC" w14:textId="77777777" w:rsidTr="00040008">
        <w:tc>
          <w:tcPr>
            <w:tcW w:w="0" w:type="auto"/>
          </w:tcPr>
          <w:p w14:paraId="6CA8FF96" w14:textId="77777777" w:rsidR="00835CFB" w:rsidRPr="00023B68" w:rsidRDefault="00835CFB" w:rsidP="00CE38CD">
            <w:pPr>
              <w:pStyle w:val="Default"/>
              <w:rPr>
                <w:sz w:val="20"/>
                <w:szCs w:val="20"/>
              </w:rPr>
            </w:pPr>
            <w:r w:rsidRPr="00023B68">
              <w:rPr>
                <w:sz w:val="20"/>
                <w:szCs w:val="20"/>
              </w:rPr>
              <w:lastRenderedPageBreak/>
              <w:t>Artykuł 5</w:t>
            </w:r>
          </w:p>
          <w:p w14:paraId="7E59CCF1" w14:textId="77ADC17F" w:rsidR="00B4295D" w:rsidRPr="00023B68" w:rsidRDefault="00B4295D" w:rsidP="00CE38CD">
            <w:pPr>
              <w:pStyle w:val="Default"/>
              <w:rPr>
                <w:i/>
                <w:iCs/>
                <w:sz w:val="20"/>
                <w:szCs w:val="20"/>
              </w:rPr>
            </w:pPr>
            <w:proofErr w:type="spellStart"/>
            <w:r w:rsidRPr="00023B68">
              <w:rPr>
                <w:i/>
                <w:iCs/>
                <w:sz w:val="20"/>
                <w:szCs w:val="20"/>
              </w:rPr>
              <w:t>Experience</w:t>
            </w:r>
            <w:proofErr w:type="spellEnd"/>
            <w:r w:rsidRPr="00023B68">
              <w:rPr>
                <w:i/>
                <w:iCs/>
                <w:sz w:val="20"/>
                <w:szCs w:val="20"/>
              </w:rPr>
              <w:t xml:space="preserve"> and Acceleration </w:t>
            </w:r>
            <w:proofErr w:type="spellStart"/>
            <w:r w:rsidRPr="00023B68">
              <w:rPr>
                <w:i/>
                <w:iCs/>
                <w:sz w:val="20"/>
                <w:szCs w:val="20"/>
              </w:rPr>
              <w:t>Centres</w:t>
            </w:r>
            <w:proofErr w:type="spellEnd"/>
            <w:r w:rsidRPr="00023B68">
              <w:rPr>
                <w:i/>
                <w:iCs/>
                <w:sz w:val="20"/>
                <w:szCs w:val="20"/>
              </w:rPr>
              <w:t xml:space="preserve"> for AI</w:t>
            </w:r>
          </w:p>
        </w:tc>
        <w:tc>
          <w:tcPr>
            <w:tcW w:w="0" w:type="auto"/>
          </w:tcPr>
          <w:p w14:paraId="56183555" w14:textId="1E0877EC" w:rsidR="00835CFB" w:rsidRPr="00023B68" w:rsidRDefault="00835CFB" w:rsidP="00CE38CD">
            <w:pPr>
              <w:pStyle w:val="Default"/>
              <w:rPr>
                <w:sz w:val="20"/>
                <w:szCs w:val="20"/>
              </w:rPr>
            </w:pPr>
            <w:proofErr w:type="spellStart"/>
            <w:r w:rsidRPr="00023B68">
              <w:rPr>
                <w:sz w:val="20"/>
                <w:szCs w:val="20"/>
              </w:rPr>
              <w:t>PIIiT</w:t>
            </w:r>
            <w:proofErr w:type="spellEnd"/>
          </w:p>
        </w:tc>
        <w:tc>
          <w:tcPr>
            <w:tcW w:w="0" w:type="auto"/>
          </w:tcPr>
          <w:p w14:paraId="49A50F21" w14:textId="77777777" w:rsidR="00835CFB" w:rsidRPr="00023B68" w:rsidRDefault="00835CFB" w:rsidP="000004A0">
            <w:pPr>
              <w:pStyle w:val="Default"/>
              <w:rPr>
                <w:b/>
                <w:bCs/>
                <w:sz w:val="20"/>
                <w:szCs w:val="20"/>
              </w:rPr>
            </w:pPr>
            <w:r w:rsidRPr="00023B68">
              <w:rPr>
                <w:sz w:val="20"/>
                <w:szCs w:val="20"/>
              </w:rPr>
              <w:t xml:space="preserve">Założeniem projektu jest rozbudowa i wzmocnienie systemu EDIH poprzez centralizację zarządzania nimi (art. 5 ust. 1 i 4 projektu). Jest to zaskakujące. Według sprawozdania JRC za rok 2025 w Unii działa 225 </w:t>
            </w:r>
            <w:proofErr w:type="spellStart"/>
            <w:r w:rsidRPr="00023B68">
              <w:rPr>
                <w:sz w:val="20"/>
                <w:szCs w:val="20"/>
              </w:rPr>
              <w:t>hubów</w:t>
            </w:r>
            <w:proofErr w:type="spellEnd"/>
            <w:r w:rsidRPr="00023B68">
              <w:rPr>
                <w:sz w:val="20"/>
                <w:szCs w:val="20"/>
              </w:rPr>
              <w:t xml:space="preserve"> / 2 355 organizacji. Zapewnia to pokrycie ~90% regionów. 151 jest finansowanych z programu „Cyfrowej Europy”. Na poziomie UE działa publiczny, przejrzysty monitoring aktywności EDIH. Jednakże raport za rok 2025 zawiera przyznanie, że nie da się ocenić efektywności działania tej sieci (brak grupy kontrolnej, nie da się przypisać efektu przyczynowo), tylko 202 wiarygodne pary przed/po, dane </w:t>
            </w:r>
            <w:proofErr w:type="spellStart"/>
            <w:r w:rsidRPr="00023B68">
              <w:rPr>
                <w:sz w:val="20"/>
                <w:szCs w:val="20"/>
              </w:rPr>
              <w:t>samodeklarowane</w:t>
            </w:r>
            <w:proofErr w:type="spellEnd"/>
            <w:r w:rsidRPr="00023B68">
              <w:rPr>
                <w:sz w:val="20"/>
                <w:szCs w:val="20"/>
              </w:rPr>
              <w:t xml:space="preserve">, opóźnienia w podpisywaniu umów, 44 ze 151 </w:t>
            </w:r>
            <w:proofErr w:type="spellStart"/>
            <w:r w:rsidRPr="00023B68">
              <w:rPr>
                <w:sz w:val="20"/>
                <w:szCs w:val="20"/>
              </w:rPr>
              <w:t>hubów</w:t>
            </w:r>
            <w:proofErr w:type="spellEnd"/>
            <w:r w:rsidRPr="00023B68">
              <w:rPr>
                <w:sz w:val="20"/>
                <w:szCs w:val="20"/>
              </w:rPr>
              <w:t xml:space="preserve"> bez zaraportowanych usług. To monitoring opisowy, cyt. „5 016 wydarzeń, 212 602 uczestników, 17 583 usług, 11 026 klientów (90% MŚP)”. Podobnie analizy zlecone przez PARP dla działania FENG 2.22 pozwalają na (pozytywną) ocenę systemu i kryteriów wyboru, a nie ocenę efektywności ex post działania </w:t>
            </w:r>
            <w:proofErr w:type="spellStart"/>
            <w:r w:rsidRPr="00023B68">
              <w:rPr>
                <w:sz w:val="20"/>
                <w:szCs w:val="20"/>
              </w:rPr>
              <w:t>hubów</w:t>
            </w:r>
            <w:proofErr w:type="spellEnd"/>
            <w:r w:rsidRPr="00023B68">
              <w:rPr>
                <w:sz w:val="20"/>
                <w:szCs w:val="20"/>
              </w:rPr>
              <w:t xml:space="preserve"> EDIH. Zarówno na poziomie UE, jak i PARP odnotowano uwagi o znaczących obciążeniach biurokratycznych. </w:t>
            </w:r>
            <w:r w:rsidRPr="00023B68">
              <w:rPr>
                <w:b/>
                <w:bCs/>
                <w:sz w:val="20"/>
                <w:szCs w:val="20"/>
              </w:rPr>
              <w:lastRenderedPageBreak/>
              <w:t>W tej sytuacji odpowiedzią K</w:t>
            </w:r>
            <w:r w:rsidR="00631083" w:rsidRPr="00023B68">
              <w:rPr>
                <w:b/>
                <w:bCs/>
                <w:sz w:val="20"/>
                <w:szCs w:val="20"/>
              </w:rPr>
              <w:t>E</w:t>
            </w:r>
            <w:r w:rsidRPr="00023B68">
              <w:rPr>
                <w:b/>
                <w:bCs/>
                <w:sz w:val="20"/>
                <w:szCs w:val="20"/>
              </w:rPr>
              <w:t xml:space="preserve"> jest stworzenie kolejnych struktur zarządczych i próby ujednolicenia z Brukseli zasad działania </w:t>
            </w:r>
            <w:proofErr w:type="spellStart"/>
            <w:r w:rsidRPr="00023B68">
              <w:rPr>
                <w:b/>
                <w:bCs/>
                <w:sz w:val="20"/>
                <w:szCs w:val="20"/>
              </w:rPr>
              <w:t>hubów</w:t>
            </w:r>
            <w:proofErr w:type="spellEnd"/>
            <w:r w:rsidRPr="00023B68">
              <w:rPr>
                <w:b/>
                <w:bCs/>
                <w:sz w:val="20"/>
                <w:szCs w:val="20"/>
              </w:rPr>
              <w:t>.</w:t>
            </w:r>
          </w:p>
          <w:p w14:paraId="79C2DA6A" w14:textId="3F9E2F33" w:rsidR="00631083" w:rsidRPr="00023B68" w:rsidRDefault="00631083" w:rsidP="000004A0">
            <w:pPr>
              <w:pStyle w:val="Default"/>
              <w:rPr>
                <w:sz w:val="20"/>
                <w:szCs w:val="20"/>
              </w:rPr>
            </w:pPr>
          </w:p>
        </w:tc>
      </w:tr>
      <w:tr w:rsidR="005632B6" w:rsidRPr="00023B68" w14:paraId="04158112" w14:textId="77777777" w:rsidTr="00040008">
        <w:tc>
          <w:tcPr>
            <w:tcW w:w="0" w:type="auto"/>
          </w:tcPr>
          <w:p w14:paraId="26D2F398" w14:textId="6A8A53F7" w:rsidR="00462D3E" w:rsidRPr="00023B68" w:rsidRDefault="008957DD" w:rsidP="00462D3E">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05D7DD7F" w14:textId="2617FFA5" w:rsidR="005632B6" w:rsidRPr="00023B68" w:rsidRDefault="00184293" w:rsidP="00CE38CD">
            <w:pPr>
              <w:pStyle w:val="Default"/>
              <w:rPr>
                <w:sz w:val="20"/>
                <w:szCs w:val="20"/>
              </w:rPr>
            </w:pPr>
            <w:r w:rsidRPr="00023B68">
              <w:rPr>
                <w:sz w:val="20"/>
                <w:szCs w:val="20"/>
              </w:rPr>
              <w:t>Fundacja IT Leader Club Polska</w:t>
            </w:r>
          </w:p>
        </w:tc>
        <w:tc>
          <w:tcPr>
            <w:tcW w:w="0" w:type="auto"/>
          </w:tcPr>
          <w:p w14:paraId="09FA6201" w14:textId="77777777" w:rsidR="005632B6" w:rsidRPr="00023B68" w:rsidRDefault="005632B6" w:rsidP="005632B6">
            <w:pPr>
              <w:pStyle w:val="Default"/>
              <w:rPr>
                <w:sz w:val="20"/>
                <w:szCs w:val="20"/>
              </w:rPr>
            </w:pPr>
            <w:r w:rsidRPr="00023B68">
              <w:rPr>
                <w:sz w:val="20"/>
                <w:szCs w:val="20"/>
              </w:rPr>
              <w:t xml:space="preserve">Artykuły 5 i 7 nakazują państwom członkowskim oraz Centrom AI wspierać adopcję technologii zgodnie z zasadą „AI </w:t>
            </w:r>
            <w:proofErr w:type="spellStart"/>
            <w:r w:rsidRPr="00023B68">
              <w:rPr>
                <w:sz w:val="20"/>
                <w:szCs w:val="20"/>
              </w:rPr>
              <w:t>first</w:t>
            </w:r>
            <w:proofErr w:type="spellEnd"/>
            <w:r w:rsidRPr="00023B68">
              <w:rPr>
                <w:sz w:val="20"/>
                <w:szCs w:val="20"/>
              </w:rPr>
              <w:t>”. Motyw 32 wskazuje wprawdzie, że organizacje powinny analizować swoje procesy i możliwości zastosowania AI z uwzględnieniem ryzyka, jednak zasada ta nie została wystarczająco operacyjnie zdefiniowana w przepisach rozporządzenia. </w:t>
            </w:r>
          </w:p>
          <w:p w14:paraId="658E8598" w14:textId="77777777" w:rsidR="005632B6" w:rsidRPr="00023B68" w:rsidRDefault="005632B6" w:rsidP="005632B6">
            <w:pPr>
              <w:pStyle w:val="Default"/>
              <w:rPr>
                <w:sz w:val="20"/>
                <w:szCs w:val="20"/>
              </w:rPr>
            </w:pPr>
            <w:r w:rsidRPr="00023B68">
              <w:rPr>
                <w:sz w:val="20"/>
                <w:szCs w:val="20"/>
              </w:rPr>
              <w:t xml:space="preserve">Fundacja rekomenduje doprecyzowanie, że „AI </w:t>
            </w:r>
            <w:proofErr w:type="spellStart"/>
            <w:r w:rsidRPr="00023B68">
              <w:rPr>
                <w:sz w:val="20"/>
                <w:szCs w:val="20"/>
              </w:rPr>
              <w:t>first</w:t>
            </w:r>
            <w:proofErr w:type="spellEnd"/>
            <w:r w:rsidRPr="00023B68">
              <w:rPr>
                <w:sz w:val="20"/>
                <w:szCs w:val="20"/>
              </w:rPr>
              <w:t xml:space="preserve">” oznacza obowiązek </w:t>
            </w:r>
            <w:r w:rsidRPr="00023B68">
              <w:rPr>
                <w:b/>
                <w:bCs/>
                <w:sz w:val="20"/>
                <w:szCs w:val="20"/>
              </w:rPr>
              <w:t>rozważenia AI jako jednej z możliwych metod realizacji celu</w:t>
            </w:r>
            <w:r w:rsidRPr="00023B68">
              <w:rPr>
                <w:sz w:val="20"/>
                <w:szCs w:val="20"/>
              </w:rPr>
              <w:t>, a nie automatyczny obowiązek jej zastosowania.</w:t>
            </w:r>
          </w:p>
          <w:p w14:paraId="27A81221" w14:textId="77777777" w:rsidR="005632B6" w:rsidRPr="00023B68" w:rsidRDefault="005632B6" w:rsidP="005632B6">
            <w:pPr>
              <w:pStyle w:val="Default"/>
              <w:rPr>
                <w:sz w:val="20"/>
                <w:szCs w:val="20"/>
              </w:rPr>
            </w:pPr>
            <w:r w:rsidRPr="00023B68">
              <w:rPr>
                <w:sz w:val="20"/>
                <w:szCs w:val="20"/>
              </w:rPr>
              <w:t>Wybór rozwiązania AI powinien być poprzedzony oceną:</w:t>
            </w:r>
          </w:p>
          <w:p w14:paraId="75CC43C4" w14:textId="77777777" w:rsidR="005632B6" w:rsidRPr="00023B68" w:rsidRDefault="005632B6" w:rsidP="00A42C26">
            <w:pPr>
              <w:pStyle w:val="Default"/>
              <w:numPr>
                <w:ilvl w:val="0"/>
                <w:numId w:val="9"/>
              </w:numPr>
              <w:rPr>
                <w:sz w:val="20"/>
                <w:szCs w:val="20"/>
              </w:rPr>
            </w:pPr>
            <w:r w:rsidRPr="00023B68">
              <w:rPr>
                <w:sz w:val="20"/>
                <w:szCs w:val="20"/>
              </w:rPr>
              <w:t>rzeczywistej wartości publicznej lub biznesowej;</w:t>
            </w:r>
          </w:p>
          <w:p w14:paraId="3850B6DB" w14:textId="77777777" w:rsidR="005632B6" w:rsidRPr="00023B68" w:rsidRDefault="005632B6" w:rsidP="00A42C26">
            <w:pPr>
              <w:pStyle w:val="Default"/>
              <w:numPr>
                <w:ilvl w:val="0"/>
                <w:numId w:val="9"/>
              </w:numPr>
              <w:rPr>
                <w:sz w:val="20"/>
                <w:szCs w:val="20"/>
              </w:rPr>
            </w:pPr>
            <w:r w:rsidRPr="00023B68">
              <w:rPr>
                <w:sz w:val="20"/>
                <w:szCs w:val="20"/>
              </w:rPr>
              <w:t>proporcjonalności zastosowania;</w:t>
            </w:r>
          </w:p>
          <w:p w14:paraId="0B83C4C1" w14:textId="77777777" w:rsidR="005632B6" w:rsidRPr="00023B68" w:rsidRDefault="005632B6" w:rsidP="00A42C26">
            <w:pPr>
              <w:pStyle w:val="Default"/>
              <w:numPr>
                <w:ilvl w:val="0"/>
                <w:numId w:val="9"/>
              </w:numPr>
              <w:rPr>
                <w:sz w:val="20"/>
                <w:szCs w:val="20"/>
              </w:rPr>
            </w:pPr>
            <w:r w:rsidRPr="00023B68">
              <w:rPr>
                <w:sz w:val="20"/>
                <w:szCs w:val="20"/>
              </w:rPr>
              <w:t>jakości i legalności danych;</w:t>
            </w:r>
          </w:p>
          <w:p w14:paraId="591FE7BE" w14:textId="77777777" w:rsidR="005632B6" w:rsidRPr="00023B68" w:rsidRDefault="005632B6" w:rsidP="00A42C26">
            <w:pPr>
              <w:pStyle w:val="Default"/>
              <w:numPr>
                <w:ilvl w:val="0"/>
                <w:numId w:val="9"/>
              </w:numPr>
              <w:rPr>
                <w:sz w:val="20"/>
                <w:szCs w:val="20"/>
              </w:rPr>
            </w:pPr>
            <w:r w:rsidRPr="00023B68">
              <w:rPr>
                <w:sz w:val="20"/>
                <w:szCs w:val="20"/>
              </w:rPr>
              <w:t>ryzyka dla praw podstawowych;</w:t>
            </w:r>
          </w:p>
          <w:p w14:paraId="380A56BD" w14:textId="77777777" w:rsidR="005632B6" w:rsidRPr="00023B68" w:rsidRDefault="005632B6" w:rsidP="00A42C26">
            <w:pPr>
              <w:pStyle w:val="Default"/>
              <w:numPr>
                <w:ilvl w:val="0"/>
                <w:numId w:val="9"/>
              </w:numPr>
              <w:rPr>
                <w:sz w:val="20"/>
                <w:szCs w:val="20"/>
              </w:rPr>
            </w:pPr>
            <w:proofErr w:type="spellStart"/>
            <w:r w:rsidRPr="00023B68">
              <w:rPr>
                <w:sz w:val="20"/>
                <w:szCs w:val="20"/>
              </w:rPr>
              <w:t>cyberbezpieczeństwa</w:t>
            </w:r>
            <w:proofErr w:type="spellEnd"/>
            <w:r w:rsidRPr="00023B68">
              <w:rPr>
                <w:sz w:val="20"/>
                <w:szCs w:val="20"/>
              </w:rPr>
              <w:t>;</w:t>
            </w:r>
          </w:p>
          <w:p w14:paraId="7FAE6E04" w14:textId="77777777" w:rsidR="005632B6" w:rsidRPr="00023B68" w:rsidRDefault="005632B6" w:rsidP="00A42C26">
            <w:pPr>
              <w:pStyle w:val="Default"/>
              <w:numPr>
                <w:ilvl w:val="0"/>
                <w:numId w:val="9"/>
              </w:numPr>
              <w:rPr>
                <w:sz w:val="20"/>
                <w:szCs w:val="20"/>
              </w:rPr>
            </w:pPr>
            <w:r w:rsidRPr="00023B68">
              <w:rPr>
                <w:sz w:val="20"/>
                <w:szCs w:val="20"/>
              </w:rPr>
              <w:t>odporności operacyjnej;</w:t>
            </w:r>
          </w:p>
          <w:p w14:paraId="61BF9C18" w14:textId="77777777" w:rsidR="005632B6" w:rsidRPr="00023B68" w:rsidRDefault="005632B6" w:rsidP="00A42C26">
            <w:pPr>
              <w:pStyle w:val="Default"/>
              <w:numPr>
                <w:ilvl w:val="0"/>
                <w:numId w:val="9"/>
              </w:numPr>
              <w:rPr>
                <w:sz w:val="20"/>
                <w:szCs w:val="20"/>
              </w:rPr>
            </w:pPr>
            <w:r w:rsidRPr="00023B68">
              <w:rPr>
                <w:sz w:val="20"/>
                <w:szCs w:val="20"/>
              </w:rPr>
              <w:t>możliwości nadzoru człowieka;</w:t>
            </w:r>
          </w:p>
          <w:p w14:paraId="0ED41C50" w14:textId="77777777" w:rsidR="005632B6" w:rsidRPr="00023B68" w:rsidRDefault="005632B6" w:rsidP="00A42C26">
            <w:pPr>
              <w:pStyle w:val="Default"/>
              <w:numPr>
                <w:ilvl w:val="0"/>
                <w:numId w:val="9"/>
              </w:numPr>
              <w:rPr>
                <w:sz w:val="20"/>
                <w:szCs w:val="20"/>
              </w:rPr>
            </w:pPr>
            <w:r w:rsidRPr="00023B68">
              <w:rPr>
                <w:sz w:val="20"/>
                <w:szCs w:val="20"/>
              </w:rPr>
              <w:t>kosztu całego cyklu życia;</w:t>
            </w:r>
          </w:p>
          <w:p w14:paraId="7A4EE97F" w14:textId="77777777" w:rsidR="005632B6" w:rsidRPr="00023B68" w:rsidRDefault="005632B6" w:rsidP="00A42C26">
            <w:pPr>
              <w:pStyle w:val="Default"/>
              <w:numPr>
                <w:ilvl w:val="0"/>
                <w:numId w:val="9"/>
              </w:numPr>
              <w:rPr>
                <w:sz w:val="20"/>
                <w:szCs w:val="20"/>
              </w:rPr>
            </w:pPr>
            <w:r w:rsidRPr="00023B68">
              <w:rPr>
                <w:sz w:val="20"/>
                <w:szCs w:val="20"/>
              </w:rPr>
              <w:t>wpływu na kompetencje pracowników;</w:t>
            </w:r>
          </w:p>
          <w:p w14:paraId="4060B56E" w14:textId="77777777" w:rsidR="005632B6" w:rsidRPr="00023B68" w:rsidRDefault="005632B6" w:rsidP="00A42C26">
            <w:pPr>
              <w:pStyle w:val="Default"/>
              <w:numPr>
                <w:ilvl w:val="0"/>
                <w:numId w:val="9"/>
              </w:numPr>
              <w:rPr>
                <w:sz w:val="20"/>
                <w:szCs w:val="20"/>
              </w:rPr>
            </w:pPr>
            <w:r w:rsidRPr="00023B68">
              <w:rPr>
                <w:sz w:val="20"/>
                <w:szCs w:val="20"/>
              </w:rPr>
              <w:t>dostępności rozwiązania nieopartego na AI;</w:t>
            </w:r>
          </w:p>
          <w:p w14:paraId="591D2662" w14:textId="77777777" w:rsidR="005632B6" w:rsidRPr="00023B68" w:rsidRDefault="005632B6" w:rsidP="00A42C26">
            <w:pPr>
              <w:pStyle w:val="Default"/>
              <w:numPr>
                <w:ilvl w:val="0"/>
                <w:numId w:val="9"/>
              </w:numPr>
              <w:rPr>
                <w:sz w:val="20"/>
                <w:szCs w:val="20"/>
              </w:rPr>
            </w:pPr>
            <w:r w:rsidRPr="00023B68">
              <w:rPr>
                <w:sz w:val="20"/>
                <w:szCs w:val="20"/>
              </w:rPr>
              <w:t>możliwości wycofania systemu i przejścia na rozwiązanie alternatywne.</w:t>
            </w:r>
          </w:p>
          <w:p w14:paraId="4E566D3F" w14:textId="77777777" w:rsidR="005632B6" w:rsidRPr="00023B68" w:rsidRDefault="005632B6" w:rsidP="005632B6">
            <w:pPr>
              <w:pStyle w:val="Default"/>
              <w:rPr>
                <w:sz w:val="20"/>
                <w:szCs w:val="20"/>
              </w:rPr>
            </w:pPr>
            <w:r w:rsidRPr="00023B68">
              <w:rPr>
                <w:sz w:val="20"/>
                <w:szCs w:val="20"/>
              </w:rPr>
              <w:t>Proponowana definicja:</w:t>
            </w:r>
          </w:p>
          <w:p w14:paraId="64A9D616" w14:textId="77777777" w:rsidR="005632B6" w:rsidRPr="00023B68" w:rsidRDefault="005632B6" w:rsidP="005632B6">
            <w:pPr>
              <w:pStyle w:val="Default"/>
              <w:rPr>
                <w:sz w:val="20"/>
                <w:szCs w:val="20"/>
              </w:rPr>
            </w:pPr>
            <w:r w:rsidRPr="00023B68">
              <w:rPr>
                <w:sz w:val="20"/>
                <w:szCs w:val="20"/>
              </w:rPr>
              <w:t xml:space="preserve">„Zasada AI </w:t>
            </w:r>
            <w:proofErr w:type="spellStart"/>
            <w:r w:rsidRPr="00023B68">
              <w:rPr>
                <w:sz w:val="20"/>
                <w:szCs w:val="20"/>
              </w:rPr>
              <w:t>first</w:t>
            </w:r>
            <w:proofErr w:type="spellEnd"/>
            <w:r w:rsidRPr="00023B68">
              <w:rPr>
                <w:sz w:val="20"/>
                <w:szCs w:val="20"/>
              </w:rPr>
              <w:t xml:space="preserve"> oznacza systematyczną ocenę możliwości wykorzystania sztucznej inteligencji do osiągnięcia określonego celu, bez ustanawiania domniemania, że rozwiązanie oparte na AI jest zawsze preferowane. Decyzja o zastosowaniu AI powinna być uzasadniona mierzalną wartością, proporcjonalnością, bezpieczeństwem, zgodnością z prawem oraz możliwością skutecznego nadzoru i wycofania rozwiązania”.</w:t>
            </w:r>
          </w:p>
          <w:p w14:paraId="45590B5B" w14:textId="77777777" w:rsidR="005632B6" w:rsidRPr="00023B68" w:rsidRDefault="005632B6" w:rsidP="000004A0">
            <w:pPr>
              <w:pStyle w:val="Default"/>
              <w:rPr>
                <w:sz w:val="20"/>
                <w:szCs w:val="20"/>
              </w:rPr>
            </w:pPr>
          </w:p>
        </w:tc>
      </w:tr>
      <w:tr w:rsidR="009B7B5F" w:rsidRPr="00023B68" w14:paraId="64EC6013" w14:textId="77777777" w:rsidTr="00040008">
        <w:tc>
          <w:tcPr>
            <w:tcW w:w="0" w:type="auto"/>
          </w:tcPr>
          <w:p w14:paraId="44473A53" w14:textId="5D135D1E" w:rsidR="009B7B5F" w:rsidRPr="00023B68" w:rsidRDefault="00A7213A" w:rsidP="00462D3E">
            <w:pPr>
              <w:pStyle w:val="Default"/>
              <w:rPr>
                <w:sz w:val="20"/>
                <w:szCs w:val="20"/>
              </w:rPr>
            </w:pPr>
            <w:r w:rsidRPr="00023B68">
              <w:rPr>
                <w:sz w:val="20"/>
                <w:szCs w:val="20"/>
              </w:rPr>
              <w:t>Artykuł 6</w:t>
            </w:r>
            <w:r w:rsidRPr="00023B68">
              <w:rPr>
                <w:i/>
                <w:iCs/>
                <w:sz w:val="20"/>
                <w:szCs w:val="20"/>
              </w:rPr>
              <w:br/>
            </w:r>
            <w:proofErr w:type="spellStart"/>
            <w:r w:rsidRPr="00023B68">
              <w:rPr>
                <w:i/>
                <w:iCs/>
                <w:sz w:val="20"/>
                <w:szCs w:val="20"/>
              </w:rPr>
              <w:t>Implementation</w:t>
            </w:r>
            <w:proofErr w:type="spellEnd"/>
            <w:r w:rsidRPr="00023B68">
              <w:rPr>
                <w:i/>
                <w:iCs/>
                <w:sz w:val="20"/>
                <w:szCs w:val="20"/>
              </w:rPr>
              <w:t xml:space="preserve"> of the </w:t>
            </w:r>
            <w:proofErr w:type="spellStart"/>
            <w:r w:rsidRPr="00023B68">
              <w:rPr>
                <w:i/>
                <w:iCs/>
                <w:sz w:val="20"/>
                <w:szCs w:val="20"/>
              </w:rPr>
              <w:t>Cloud</w:t>
            </w:r>
            <w:proofErr w:type="spellEnd"/>
            <w:r w:rsidRPr="00023B68">
              <w:rPr>
                <w:i/>
                <w:iCs/>
                <w:sz w:val="20"/>
                <w:szCs w:val="20"/>
              </w:rPr>
              <w:t xml:space="preserve"> and AI </w:t>
            </w:r>
            <w:proofErr w:type="spellStart"/>
            <w:r w:rsidRPr="00023B68">
              <w:rPr>
                <w:i/>
                <w:iCs/>
                <w:sz w:val="20"/>
                <w:szCs w:val="20"/>
              </w:rPr>
              <w:t>Leadership</w:t>
            </w:r>
            <w:proofErr w:type="spellEnd"/>
            <w:r w:rsidRPr="00023B68">
              <w:rPr>
                <w:i/>
                <w:iCs/>
                <w:sz w:val="20"/>
                <w:szCs w:val="20"/>
              </w:rPr>
              <w:t xml:space="preserve"> </w:t>
            </w:r>
            <w:proofErr w:type="spellStart"/>
            <w:r w:rsidRPr="00023B68">
              <w:rPr>
                <w:i/>
                <w:iCs/>
                <w:sz w:val="20"/>
                <w:szCs w:val="20"/>
              </w:rPr>
              <w:t>Initiatives</w:t>
            </w:r>
            <w:proofErr w:type="spellEnd"/>
          </w:p>
        </w:tc>
        <w:tc>
          <w:tcPr>
            <w:tcW w:w="0" w:type="auto"/>
          </w:tcPr>
          <w:p w14:paraId="7B955A31" w14:textId="5531B29C" w:rsidR="009B7B5F" w:rsidRPr="00023B68" w:rsidRDefault="009B7B5F" w:rsidP="00CE38CD">
            <w:pPr>
              <w:pStyle w:val="Default"/>
              <w:rPr>
                <w:sz w:val="20"/>
                <w:szCs w:val="20"/>
              </w:rPr>
            </w:pPr>
            <w:r w:rsidRPr="00023B68">
              <w:rPr>
                <w:sz w:val="20"/>
                <w:szCs w:val="20"/>
              </w:rPr>
              <w:t>Fundacja IT Leader Club Polska</w:t>
            </w:r>
          </w:p>
        </w:tc>
        <w:tc>
          <w:tcPr>
            <w:tcW w:w="0" w:type="auto"/>
          </w:tcPr>
          <w:p w14:paraId="5B2EB26F" w14:textId="77777777" w:rsidR="009B7B5F" w:rsidRPr="00023B68" w:rsidRDefault="009B7B5F" w:rsidP="009B7B5F">
            <w:pPr>
              <w:pStyle w:val="Default"/>
              <w:rPr>
                <w:sz w:val="20"/>
                <w:szCs w:val="20"/>
              </w:rPr>
            </w:pPr>
            <w:r w:rsidRPr="00023B68">
              <w:rPr>
                <w:sz w:val="20"/>
                <w:szCs w:val="20"/>
              </w:rPr>
              <w:t>Projekt opiera finansowanie przede wszystkim na istniejących lub przyszłych programach unijnych. Ocena skutków analizowała osobny mechanizm pomocy dla MŚP, w ramach którego modelowano roczny budżet około 40,05 mln euro, w tym granty na przygotowanie planów transformacji oraz większe wsparcie wdrożeniowe. Komisja wyraźnie zaznaczyła jednak, że były to założenia modelowe, które nie przesądzają kolejnych wieloletnich ram finansowych. </w:t>
            </w:r>
          </w:p>
          <w:p w14:paraId="29803DFE" w14:textId="77777777" w:rsidR="009B7B5F" w:rsidRPr="00023B68" w:rsidRDefault="009B7B5F" w:rsidP="009B7B5F">
            <w:pPr>
              <w:pStyle w:val="Default"/>
              <w:rPr>
                <w:sz w:val="20"/>
                <w:szCs w:val="20"/>
              </w:rPr>
            </w:pPr>
            <w:r w:rsidRPr="00023B68">
              <w:rPr>
                <w:sz w:val="20"/>
                <w:szCs w:val="20"/>
              </w:rPr>
              <w:t xml:space="preserve">Fundacja rekomenduje ustanowienie </w:t>
            </w:r>
            <w:proofErr w:type="spellStart"/>
            <w:r w:rsidRPr="00023B68">
              <w:rPr>
                <w:b/>
                <w:bCs/>
                <w:sz w:val="20"/>
                <w:szCs w:val="20"/>
              </w:rPr>
              <w:t>European</w:t>
            </w:r>
            <w:proofErr w:type="spellEnd"/>
            <w:r w:rsidRPr="00023B68">
              <w:rPr>
                <w:b/>
                <w:bCs/>
                <w:sz w:val="20"/>
                <w:szCs w:val="20"/>
              </w:rPr>
              <w:t xml:space="preserve"> </w:t>
            </w:r>
            <w:proofErr w:type="spellStart"/>
            <w:r w:rsidRPr="00023B68">
              <w:rPr>
                <w:b/>
                <w:bCs/>
                <w:sz w:val="20"/>
                <w:szCs w:val="20"/>
              </w:rPr>
              <w:t>Cloud</w:t>
            </w:r>
            <w:proofErr w:type="spellEnd"/>
            <w:r w:rsidRPr="00023B68">
              <w:rPr>
                <w:b/>
                <w:bCs/>
                <w:sz w:val="20"/>
                <w:szCs w:val="20"/>
              </w:rPr>
              <w:t xml:space="preserve"> and AI </w:t>
            </w:r>
            <w:proofErr w:type="spellStart"/>
            <w:r w:rsidRPr="00023B68">
              <w:rPr>
                <w:b/>
                <w:bCs/>
                <w:sz w:val="20"/>
                <w:szCs w:val="20"/>
              </w:rPr>
              <w:t>Transition</w:t>
            </w:r>
            <w:proofErr w:type="spellEnd"/>
            <w:r w:rsidRPr="00023B68">
              <w:rPr>
                <w:b/>
                <w:bCs/>
                <w:sz w:val="20"/>
                <w:szCs w:val="20"/>
              </w:rPr>
              <w:t xml:space="preserve"> </w:t>
            </w:r>
            <w:proofErr w:type="spellStart"/>
            <w:r w:rsidRPr="00023B68">
              <w:rPr>
                <w:b/>
                <w:bCs/>
                <w:sz w:val="20"/>
                <w:szCs w:val="20"/>
              </w:rPr>
              <w:t>Facility</w:t>
            </w:r>
            <w:proofErr w:type="spellEnd"/>
            <w:r w:rsidRPr="00023B68">
              <w:rPr>
                <w:sz w:val="20"/>
                <w:szCs w:val="20"/>
              </w:rPr>
              <w:t>, finansującego:</w:t>
            </w:r>
          </w:p>
          <w:p w14:paraId="37D701CE" w14:textId="77777777" w:rsidR="009B7B5F" w:rsidRPr="00023B68" w:rsidRDefault="009B7B5F" w:rsidP="00A42C26">
            <w:pPr>
              <w:pStyle w:val="Default"/>
              <w:numPr>
                <w:ilvl w:val="0"/>
                <w:numId w:val="26"/>
              </w:numPr>
              <w:rPr>
                <w:sz w:val="20"/>
                <w:szCs w:val="20"/>
              </w:rPr>
            </w:pPr>
            <w:r w:rsidRPr="00023B68">
              <w:rPr>
                <w:sz w:val="20"/>
                <w:szCs w:val="20"/>
              </w:rPr>
              <w:t>inwentaryzację systemów;</w:t>
            </w:r>
          </w:p>
          <w:p w14:paraId="4E6D0F15" w14:textId="77777777" w:rsidR="009B7B5F" w:rsidRPr="00023B68" w:rsidRDefault="009B7B5F" w:rsidP="00A42C26">
            <w:pPr>
              <w:pStyle w:val="Default"/>
              <w:numPr>
                <w:ilvl w:val="0"/>
                <w:numId w:val="26"/>
              </w:numPr>
              <w:rPr>
                <w:sz w:val="20"/>
                <w:szCs w:val="20"/>
              </w:rPr>
            </w:pPr>
            <w:r w:rsidRPr="00023B68">
              <w:rPr>
                <w:sz w:val="20"/>
                <w:szCs w:val="20"/>
              </w:rPr>
              <w:t>ocenę ryzyka i klasyfikację danych;</w:t>
            </w:r>
          </w:p>
          <w:p w14:paraId="48E86AE6" w14:textId="77777777" w:rsidR="009B7B5F" w:rsidRPr="00023B68" w:rsidRDefault="009B7B5F" w:rsidP="00A42C26">
            <w:pPr>
              <w:pStyle w:val="Default"/>
              <w:numPr>
                <w:ilvl w:val="0"/>
                <w:numId w:val="26"/>
              </w:numPr>
              <w:rPr>
                <w:sz w:val="20"/>
                <w:szCs w:val="20"/>
              </w:rPr>
            </w:pPr>
            <w:r w:rsidRPr="00023B68">
              <w:rPr>
                <w:sz w:val="20"/>
                <w:szCs w:val="20"/>
              </w:rPr>
              <w:t>projektowanie architektury docelowej;</w:t>
            </w:r>
          </w:p>
          <w:p w14:paraId="1759E455" w14:textId="77777777" w:rsidR="009B7B5F" w:rsidRPr="00023B68" w:rsidRDefault="009B7B5F" w:rsidP="00A42C26">
            <w:pPr>
              <w:pStyle w:val="Default"/>
              <w:numPr>
                <w:ilvl w:val="0"/>
                <w:numId w:val="26"/>
              </w:numPr>
              <w:rPr>
                <w:sz w:val="20"/>
                <w:szCs w:val="20"/>
              </w:rPr>
            </w:pPr>
            <w:r w:rsidRPr="00023B68">
              <w:rPr>
                <w:sz w:val="20"/>
                <w:szCs w:val="20"/>
              </w:rPr>
              <w:t>plany wyjścia;</w:t>
            </w:r>
          </w:p>
          <w:p w14:paraId="6E993E22" w14:textId="77777777" w:rsidR="009B7B5F" w:rsidRPr="00023B68" w:rsidRDefault="009B7B5F" w:rsidP="00A42C26">
            <w:pPr>
              <w:pStyle w:val="Default"/>
              <w:numPr>
                <w:ilvl w:val="0"/>
                <w:numId w:val="26"/>
              </w:numPr>
              <w:rPr>
                <w:sz w:val="20"/>
                <w:szCs w:val="20"/>
              </w:rPr>
            </w:pPr>
            <w:r w:rsidRPr="00023B68">
              <w:rPr>
                <w:sz w:val="20"/>
                <w:szCs w:val="20"/>
              </w:rPr>
              <w:t xml:space="preserve">migrację i </w:t>
            </w:r>
            <w:proofErr w:type="spellStart"/>
            <w:r w:rsidRPr="00023B68">
              <w:rPr>
                <w:sz w:val="20"/>
                <w:szCs w:val="20"/>
              </w:rPr>
              <w:t>refaktoryzację</w:t>
            </w:r>
            <w:proofErr w:type="spellEnd"/>
            <w:r w:rsidRPr="00023B68">
              <w:rPr>
                <w:sz w:val="20"/>
                <w:szCs w:val="20"/>
              </w:rPr>
              <w:t xml:space="preserve"> aplikacji;</w:t>
            </w:r>
          </w:p>
          <w:p w14:paraId="07F19378" w14:textId="77777777" w:rsidR="009B7B5F" w:rsidRPr="00023B68" w:rsidRDefault="009B7B5F" w:rsidP="00A42C26">
            <w:pPr>
              <w:pStyle w:val="Default"/>
              <w:numPr>
                <w:ilvl w:val="0"/>
                <w:numId w:val="26"/>
              </w:numPr>
              <w:rPr>
                <w:sz w:val="20"/>
                <w:szCs w:val="20"/>
              </w:rPr>
            </w:pPr>
            <w:r w:rsidRPr="00023B68">
              <w:rPr>
                <w:sz w:val="20"/>
                <w:szCs w:val="20"/>
              </w:rPr>
              <w:t>testy interoperacyjności;</w:t>
            </w:r>
          </w:p>
          <w:p w14:paraId="59B31279" w14:textId="77777777" w:rsidR="009B7B5F" w:rsidRPr="00023B68" w:rsidRDefault="009B7B5F" w:rsidP="00A42C26">
            <w:pPr>
              <w:pStyle w:val="Default"/>
              <w:numPr>
                <w:ilvl w:val="0"/>
                <w:numId w:val="26"/>
              </w:numPr>
              <w:rPr>
                <w:sz w:val="20"/>
                <w:szCs w:val="20"/>
              </w:rPr>
            </w:pPr>
            <w:r w:rsidRPr="00023B68">
              <w:rPr>
                <w:sz w:val="20"/>
                <w:szCs w:val="20"/>
              </w:rPr>
              <w:t>okres równoległej pracy systemów;</w:t>
            </w:r>
          </w:p>
          <w:p w14:paraId="45D8886B" w14:textId="77777777" w:rsidR="009B7B5F" w:rsidRPr="00023B68" w:rsidRDefault="009B7B5F" w:rsidP="00A42C26">
            <w:pPr>
              <w:pStyle w:val="Default"/>
              <w:numPr>
                <w:ilvl w:val="0"/>
                <w:numId w:val="26"/>
              </w:numPr>
              <w:rPr>
                <w:sz w:val="20"/>
                <w:szCs w:val="20"/>
              </w:rPr>
            </w:pPr>
            <w:r w:rsidRPr="00023B68">
              <w:rPr>
                <w:sz w:val="20"/>
                <w:szCs w:val="20"/>
              </w:rPr>
              <w:lastRenderedPageBreak/>
              <w:t>szkolenia i certyfikację pracowników;</w:t>
            </w:r>
          </w:p>
          <w:p w14:paraId="1EF65042" w14:textId="77777777" w:rsidR="009B7B5F" w:rsidRPr="00023B68" w:rsidRDefault="009B7B5F" w:rsidP="00A42C26">
            <w:pPr>
              <w:pStyle w:val="Default"/>
              <w:numPr>
                <w:ilvl w:val="0"/>
                <w:numId w:val="26"/>
              </w:numPr>
              <w:rPr>
                <w:sz w:val="20"/>
                <w:szCs w:val="20"/>
              </w:rPr>
            </w:pPr>
            <w:r w:rsidRPr="00023B68">
              <w:rPr>
                <w:sz w:val="20"/>
                <w:szCs w:val="20"/>
              </w:rPr>
              <w:t>audyty bezpieczeństwa;</w:t>
            </w:r>
          </w:p>
          <w:p w14:paraId="6A71B037" w14:textId="77777777" w:rsidR="009B7B5F" w:rsidRPr="00023B68" w:rsidRDefault="009B7B5F" w:rsidP="00A42C26">
            <w:pPr>
              <w:pStyle w:val="Default"/>
              <w:numPr>
                <w:ilvl w:val="0"/>
                <w:numId w:val="26"/>
              </w:numPr>
              <w:rPr>
                <w:sz w:val="20"/>
                <w:szCs w:val="20"/>
              </w:rPr>
            </w:pPr>
            <w:r w:rsidRPr="00023B68">
              <w:rPr>
                <w:sz w:val="20"/>
                <w:szCs w:val="20"/>
              </w:rPr>
              <w:t xml:space="preserve">wdrażanie rozwiązań open </w:t>
            </w:r>
            <w:proofErr w:type="spellStart"/>
            <w:r w:rsidRPr="00023B68">
              <w:rPr>
                <w:sz w:val="20"/>
                <w:szCs w:val="20"/>
              </w:rPr>
              <w:t>source</w:t>
            </w:r>
            <w:proofErr w:type="spellEnd"/>
            <w:r w:rsidRPr="00023B68">
              <w:rPr>
                <w:sz w:val="20"/>
                <w:szCs w:val="20"/>
              </w:rPr>
              <w:t>;</w:t>
            </w:r>
          </w:p>
          <w:p w14:paraId="26822FAF" w14:textId="77777777" w:rsidR="009B7B5F" w:rsidRPr="00023B68" w:rsidRDefault="009B7B5F" w:rsidP="00A42C26">
            <w:pPr>
              <w:pStyle w:val="Default"/>
              <w:numPr>
                <w:ilvl w:val="0"/>
                <w:numId w:val="26"/>
              </w:numPr>
              <w:rPr>
                <w:sz w:val="20"/>
                <w:szCs w:val="20"/>
              </w:rPr>
            </w:pPr>
            <w:r w:rsidRPr="00023B68">
              <w:rPr>
                <w:sz w:val="20"/>
                <w:szCs w:val="20"/>
              </w:rPr>
              <w:t>wsparcie samorządów, szpitali, uczelni i mniejszych jednostek publicznych;</w:t>
            </w:r>
          </w:p>
          <w:p w14:paraId="6B6C1028" w14:textId="77777777" w:rsidR="009B7B5F" w:rsidRPr="00023B68" w:rsidRDefault="009B7B5F" w:rsidP="00A42C26">
            <w:pPr>
              <w:pStyle w:val="Default"/>
              <w:numPr>
                <w:ilvl w:val="0"/>
                <w:numId w:val="26"/>
              </w:numPr>
              <w:rPr>
                <w:sz w:val="20"/>
                <w:szCs w:val="20"/>
              </w:rPr>
            </w:pPr>
            <w:r w:rsidRPr="00023B68">
              <w:rPr>
                <w:sz w:val="20"/>
                <w:szCs w:val="20"/>
              </w:rPr>
              <w:t>projekty MŚP zwiększające adopcję bezpiecznej chmury i AI.</w:t>
            </w:r>
          </w:p>
          <w:p w14:paraId="2BB4C897" w14:textId="77777777" w:rsidR="009B7B5F" w:rsidRPr="00023B68" w:rsidRDefault="009B7B5F" w:rsidP="009B7B5F">
            <w:pPr>
              <w:pStyle w:val="Default"/>
              <w:rPr>
                <w:sz w:val="20"/>
                <w:szCs w:val="20"/>
              </w:rPr>
            </w:pPr>
            <w:r w:rsidRPr="00023B68">
              <w:rPr>
                <w:sz w:val="20"/>
                <w:szCs w:val="20"/>
              </w:rPr>
              <w:t>Bez takiego instrumentu największe i najbogatsze organizacje przeprowadzą transformację, podczas gdy mniejsze jednostki będą korzystały z odstępstw, pozostawały poza chmurą albo utrwalały dotychczasowe zależności.</w:t>
            </w:r>
          </w:p>
          <w:p w14:paraId="2BB1F40D" w14:textId="77777777" w:rsidR="009B7B5F" w:rsidRPr="00023B68" w:rsidRDefault="009B7B5F" w:rsidP="005632B6">
            <w:pPr>
              <w:pStyle w:val="Default"/>
              <w:rPr>
                <w:sz w:val="20"/>
                <w:szCs w:val="20"/>
              </w:rPr>
            </w:pPr>
          </w:p>
        </w:tc>
      </w:tr>
      <w:tr w:rsidR="00BA7275" w:rsidRPr="00023B68" w14:paraId="2475B383" w14:textId="77777777" w:rsidTr="00040008">
        <w:tc>
          <w:tcPr>
            <w:tcW w:w="0" w:type="auto"/>
          </w:tcPr>
          <w:p w14:paraId="0F814013" w14:textId="54044631" w:rsidR="00BA7275" w:rsidRPr="00023B68" w:rsidRDefault="009B7B5F" w:rsidP="00CE38CD">
            <w:pPr>
              <w:pStyle w:val="Default"/>
              <w:rPr>
                <w:b/>
                <w:bCs/>
                <w:sz w:val="20"/>
                <w:szCs w:val="20"/>
              </w:rPr>
            </w:pPr>
            <w:r w:rsidRPr="00023B68">
              <w:rPr>
                <w:sz w:val="20"/>
                <w:szCs w:val="20"/>
              </w:rPr>
              <w:lastRenderedPageBreak/>
              <w:t>Artykuł 7</w:t>
            </w:r>
            <w:r w:rsidRPr="00023B68">
              <w:rPr>
                <w:i/>
                <w:iCs/>
                <w:sz w:val="20"/>
                <w:szCs w:val="20"/>
              </w:rPr>
              <w:br/>
            </w:r>
            <w:proofErr w:type="spellStart"/>
            <w:r w:rsidRPr="00023B68">
              <w:rPr>
                <w:i/>
                <w:iCs/>
                <w:sz w:val="20"/>
                <w:szCs w:val="20"/>
              </w:rPr>
              <w:t>National</w:t>
            </w:r>
            <w:proofErr w:type="spellEnd"/>
            <w:r w:rsidRPr="00023B68">
              <w:rPr>
                <w:i/>
                <w:iCs/>
                <w:sz w:val="20"/>
                <w:szCs w:val="20"/>
              </w:rPr>
              <w:t xml:space="preserve"> </w:t>
            </w:r>
            <w:proofErr w:type="spellStart"/>
            <w:r w:rsidRPr="00023B68">
              <w:rPr>
                <w:i/>
                <w:iCs/>
                <w:sz w:val="20"/>
                <w:szCs w:val="20"/>
              </w:rPr>
              <w:t>cloud</w:t>
            </w:r>
            <w:proofErr w:type="spellEnd"/>
            <w:r w:rsidRPr="00023B68">
              <w:rPr>
                <w:i/>
                <w:iCs/>
                <w:sz w:val="20"/>
                <w:szCs w:val="20"/>
              </w:rPr>
              <w:t xml:space="preserve"> and AI </w:t>
            </w:r>
            <w:proofErr w:type="spellStart"/>
            <w:r w:rsidRPr="00023B68">
              <w:rPr>
                <w:i/>
                <w:iCs/>
                <w:sz w:val="20"/>
                <w:szCs w:val="20"/>
              </w:rPr>
              <w:t>strategies</w:t>
            </w:r>
            <w:proofErr w:type="spellEnd"/>
          </w:p>
        </w:tc>
        <w:tc>
          <w:tcPr>
            <w:tcW w:w="0" w:type="auto"/>
          </w:tcPr>
          <w:p w14:paraId="6C83DD3C" w14:textId="31688B22" w:rsidR="00BA7275" w:rsidRPr="00023B68" w:rsidRDefault="00BA7275" w:rsidP="00CE38CD">
            <w:pPr>
              <w:pStyle w:val="Default"/>
              <w:rPr>
                <w:sz w:val="20"/>
                <w:szCs w:val="20"/>
              </w:rPr>
            </w:pPr>
            <w:r w:rsidRPr="00023B68">
              <w:rPr>
                <w:sz w:val="20"/>
                <w:szCs w:val="20"/>
              </w:rPr>
              <w:t>Fundacja IT Leader Club Polska</w:t>
            </w:r>
          </w:p>
        </w:tc>
        <w:tc>
          <w:tcPr>
            <w:tcW w:w="0" w:type="auto"/>
          </w:tcPr>
          <w:p w14:paraId="59E8E72D" w14:textId="77777777" w:rsidR="00BA7275" w:rsidRPr="00023B68" w:rsidRDefault="00BA7275" w:rsidP="00BA7275">
            <w:pPr>
              <w:pStyle w:val="Default"/>
              <w:rPr>
                <w:sz w:val="20"/>
                <w:szCs w:val="20"/>
              </w:rPr>
            </w:pPr>
            <w:r w:rsidRPr="00023B68">
              <w:rPr>
                <w:sz w:val="20"/>
                <w:szCs w:val="20"/>
              </w:rPr>
              <w:t>Artykuł 7 zobowiązuje państwa członkowskie do przyjęcia krajowych strategii chmury i AI w ciągu roku od wejścia rozporządzenia w życie. Strategie mają obejmować między innymi adopcję technologii, centra danych, zamówienia publiczne, otwarte oprogramowanie oraz dostęp do danych. Ich przegląd ma następować co najmniej raz na trzy lata. </w:t>
            </w:r>
          </w:p>
          <w:p w14:paraId="56F997B7" w14:textId="77777777" w:rsidR="00BA7275" w:rsidRPr="00023B68" w:rsidRDefault="00BA7275" w:rsidP="00BA7275">
            <w:pPr>
              <w:pStyle w:val="Default"/>
              <w:rPr>
                <w:sz w:val="20"/>
                <w:szCs w:val="20"/>
              </w:rPr>
            </w:pPr>
            <w:r w:rsidRPr="00023B68">
              <w:rPr>
                <w:sz w:val="20"/>
                <w:szCs w:val="20"/>
              </w:rPr>
              <w:t>Fundacja rekomenduje dodanie do obligatoryjnej treści strategii:</w:t>
            </w:r>
          </w:p>
          <w:p w14:paraId="403E36AD" w14:textId="77777777" w:rsidR="00BA7275" w:rsidRPr="00023B68" w:rsidRDefault="00BA7275" w:rsidP="00A42C26">
            <w:pPr>
              <w:pStyle w:val="Default"/>
              <w:numPr>
                <w:ilvl w:val="0"/>
                <w:numId w:val="12"/>
              </w:numPr>
              <w:rPr>
                <w:sz w:val="20"/>
                <w:szCs w:val="20"/>
              </w:rPr>
            </w:pPr>
            <w:r w:rsidRPr="00023B68">
              <w:rPr>
                <w:sz w:val="20"/>
                <w:szCs w:val="20"/>
              </w:rPr>
              <w:t>krajowej mapy luk kompetencyjnych;</w:t>
            </w:r>
          </w:p>
          <w:p w14:paraId="2DC4539B" w14:textId="77777777" w:rsidR="00BA7275" w:rsidRPr="00023B68" w:rsidRDefault="00BA7275" w:rsidP="00A42C26">
            <w:pPr>
              <w:pStyle w:val="Default"/>
              <w:numPr>
                <w:ilvl w:val="0"/>
                <w:numId w:val="12"/>
              </w:numPr>
              <w:rPr>
                <w:sz w:val="20"/>
                <w:szCs w:val="20"/>
              </w:rPr>
            </w:pPr>
            <w:r w:rsidRPr="00023B68">
              <w:rPr>
                <w:sz w:val="20"/>
                <w:szCs w:val="20"/>
              </w:rPr>
              <w:t>liczby specjalistów potrzebnych administracji publicznej i gospodarce;</w:t>
            </w:r>
          </w:p>
          <w:p w14:paraId="5FC82318" w14:textId="77777777" w:rsidR="00BA7275" w:rsidRPr="00023B68" w:rsidRDefault="00BA7275" w:rsidP="00A42C26">
            <w:pPr>
              <w:pStyle w:val="Default"/>
              <w:numPr>
                <w:ilvl w:val="0"/>
                <w:numId w:val="12"/>
              </w:numPr>
              <w:rPr>
                <w:sz w:val="20"/>
                <w:szCs w:val="20"/>
              </w:rPr>
            </w:pPr>
            <w:r w:rsidRPr="00023B68">
              <w:rPr>
                <w:sz w:val="20"/>
                <w:szCs w:val="20"/>
              </w:rPr>
              <w:t>planów rozwoju kompetencji kadry zarządzającej;</w:t>
            </w:r>
          </w:p>
          <w:p w14:paraId="1BF73BFE" w14:textId="77777777" w:rsidR="00BA7275" w:rsidRPr="00023B68" w:rsidRDefault="00BA7275" w:rsidP="00A42C26">
            <w:pPr>
              <w:pStyle w:val="Default"/>
              <w:numPr>
                <w:ilvl w:val="0"/>
                <w:numId w:val="12"/>
              </w:numPr>
              <w:rPr>
                <w:sz w:val="20"/>
                <w:szCs w:val="20"/>
              </w:rPr>
            </w:pPr>
            <w:r w:rsidRPr="00023B68">
              <w:rPr>
                <w:sz w:val="20"/>
                <w:szCs w:val="20"/>
              </w:rPr>
              <w:t>programów dla administracji centralnej, samorządowej, ochrony zdrowia, edukacji i jednostek kultury;</w:t>
            </w:r>
          </w:p>
          <w:p w14:paraId="76C544CE" w14:textId="77777777" w:rsidR="00BA7275" w:rsidRPr="00023B68" w:rsidRDefault="00BA7275" w:rsidP="00A42C26">
            <w:pPr>
              <w:pStyle w:val="Default"/>
              <w:numPr>
                <w:ilvl w:val="0"/>
                <w:numId w:val="12"/>
              </w:numPr>
              <w:rPr>
                <w:sz w:val="20"/>
                <w:szCs w:val="20"/>
              </w:rPr>
            </w:pPr>
            <w:r w:rsidRPr="00023B68">
              <w:rPr>
                <w:sz w:val="20"/>
                <w:szCs w:val="20"/>
              </w:rPr>
              <w:t>planów rozwoju kompetencji w MŚP;</w:t>
            </w:r>
          </w:p>
          <w:p w14:paraId="08ED8242" w14:textId="77777777" w:rsidR="00BA7275" w:rsidRPr="00023B68" w:rsidRDefault="00BA7275" w:rsidP="00A42C26">
            <w:pPr>
              <w:pStyle w:val="Default"/>
              <w:numPr>
                <w:ilvl w:val="0"/>
                <w:numId w:val="12"/>
              </w:numPr>
              <w:rPr>
                <w:sz w:val="20"/>
                <w:szCs w:val="20"/>
              </w:rPr>
            </w:pPr>
            <w:r w:rsidRPr="00023B68">
              <w:rPr>
                <w:sz w:val="20"/>
                <w:szCs w:val="20"/>
              </w:rPr>
              <w:t>krajowego systemu certyfikacji kompetencji;</w:t>
            </w:r>
          </w:p>
          <w:p w14:paraId="1AAAD55A" w14:textId="77777777" w:rsidR="00BA7275" w:rsidRPr="00023B68" w:rsidRDefault="00BA7275" w:rsidP="00A42C26">
            <w:pPr>
              <w:pStyle w:val="Default"/>
              <w:numPr>
                <w:ilvl w:val="0"/>
                <w:numId w:val="12"/>
              </w:numPr>
              <w:rPr>
                <w:sz w:val="20"/>
                <w:szCs w:val="20"/>
              </w:rPr>
            </w:pPr>
            <w:r w:rsidRPr="00023B68">
              <w:rPr>
                <w:sz w:val="20"/>
                <w:szCs w:val="20"/>
              </w:rPr>
              <w:t>budżetów na szkolenia, walidację i egzaminy;</w:t>
            </w:r>
          </w:p>
          <w:p w14:paraId="26C79A17" w14:textId="77777777" w:rsidR="00BA7275" w:rsidRPr="00023B68" w:rsidRDefault="00BA7275" w:rsidP="00A42C26">
            <w:pPr>
              <w:pStyle w:val="Default"/>
              <w:numPr>
                <w:ilvl w:val="0"/>
                <w:numId w:val="12"/>
              </w:numPr>
              <w:rPr>
                <w:sz w:val="20"/>
                <w:szCs w:val="20"/>
              </w:rPr>
            </w:pPr>
            <w:r w:rsidRPr="00023B68">
              <w:rPr>
                <w:sz w:val="20"/>
                <w:szCs w:val="20"/>
              </w:rPr>
              <w:t>planów budowania kompetencji w zakresie migracji i architektury wielochmurowej;</w:t>
            </w:r>
          </w:p>
          <w:p w14:paraId="526F2744" w14:textId="77777777" w:rsidR="00BA7275" w:rsidRPr="00023B68" w:rsidRDefault="00BA7275" w:rsidP="00A42C26">
            <w:pPr>
              <w:pStyle w:val="Default"/>
              <w:numPr>
                <w:ilvl w:val="0"/>
                <w:numId w:val="12"/>
              </w:numPr>
              <w:rPr>
                <w:sz w:val="20"/>
                <w:szCs w:val="20"/>
              </w:rPr>
            </w:pPr>
            <w:r w:rsidRPr="00023B68">
              <w:rPr>
                <w:sz w:val="20"/>
                <w:szCs w:val="20"/>
              </w:rPr>
              <w:t>mierników adopcji, bezpieczeństwa, efektywności i jakości wdrożeń;</w:t>
            </w:r>
          </w:p>
          <w:p w14:paraId="0D423D6A" w14:textId="77777777" w:rsidR="00BA7275" w:rsidRPr="00023B68" w:rsidRDefault="00BA7275" w:rsidP="00A42C26">
            <w:pPr>
              <w:pStyle w:val="Default"/>
              <w:numPr>
                <w:ilvl w:val="0"/>
                <w:numId w:val="12"/>
              </w:numPr>
              <w:rPr>
                <w:sz w:val="20"/>
                <w:szCs w:val="20"/>
              </w:rPr>
            </w:pPr>
            <w:r w:rsidRPr="00023B68">
              <w:rPr>
                <w:sz w:val="20"/>
                <w:szCs w:val="20"/>
              </w:rPr>
              <w:t>planów rozwoju krajowych i regionalnych centrów kompetencyjnych;</w:t>
            </w:r>
          </w:p>
          <w:p w14:paraId="413AB997" w14:textId="77777777" w:rsidR="00BA7275" w:rsidRPr="00023B68" w:rsidRDefault="00BA7275" w:rsidP="00A42C26">
            <w:pPr>
              <w:pStyle w:val="Default"/>
              <w:numPr>
                <w:ilvl w:val="0"/>
                <w:numId w:val="12"/>
              </w:numPr>
              <w:rPr>
                <w:sz w:val="20"/>
                <w:szCs w:val="20"/>
              </w:rPr>
            </w:pPr>
            <w:r w:rsidRPr="00023B68">
              <w:rPr>
                <w:sz w:val="20"/>
                <w:szCs w:val="20"/>
              </w:rPr>
              <w:t>udziału organizacji społecznych, zawodowych i branżowych w realizacji strategii.</w:t>
            </w:r>
          </w:p>
          <w:p w14:paraId="04EEA489" w14:textId="77777777" w:rsidR="00BA7275" w:rsidRPr="00023B68" w:rsidRDefault="00BA7275" w:rsidP="00BA7275">
            <w:pPr>
              <w:pStyle w:val="Default"/>
              <w:rPr>
                <w:sz w:val="20"/>
                <w:szCs w:val="20"/>
              </w:rPr>
            </w:pPr>
            <w:r w:rsidRPr="00023B68">
              <w:rPr>
                <w:sz w:val="20"/>
                <w:szCs w:val="20"/>
              </w:rPr>
              <w:t>Strategie powinny powstawać w drodze obowiązkowych konsultacji z administracją regionalną i lokalną, środowiskiem naukowym, MŚP, organizacjami branżowymi, organizacjami społecznymi oraz przedstawicielami użytkowników.</w:t>
            </w:r>
          </w:p>
          <w:p w14:paraId="522AC49B" w14:textId="77777777" w:rsidR="00BA7275" w:rsidRPr="00023B68" w:rsidRDefault="00BA7275" w:rsidP="00BA7275">
            <w:pPr>
              <w:pStyle w:val="Default"/>
              <w:rPr>
                <w:sz w:val="20"/>
                <w:szCs w:val="20"/>
              </w:rPr>
            </w:pPr>
            <w:r w:rsidRPr="00023B68">
              <w:rPr>
                <w:sz w:val="20"/>
                <w:szCs w:val="20"/>
              </w:rPr>
              <w:t>Przegląd raz na trzy lata jest niewystarczający w obszarze rozwijającym się tak dynamicznie. Fundacja postuluje:</w:t>
            </w:r>
          </w:p>
          <w:p w14:paraId="4DC547EC" w14:textId="77777777" w:rsidR="00BA7275" w:rsidRPr="00023B68" w:rsidRDefault="00BA7275" w:rsidP="00A42C26">
            <w:pPr>
              <w:pStyle w:val="Default"/>
              <w:numPr>
                <w:ilvl w:val="0"/>
                <w:numId w:val="13"/>
              </w:numPr>
              <w:rPr>
                <w:sz w:val="20"/>
                <w:szCs w:val="20"/>
              </w:rPr>
            </w:pPr>
            <w:r w:rsidRPr="00023B68">
              <w:rPr>
                <w:sz w:val="20"/>
                <w:szCs w:val="20"/>
              </w:rPr>
              <w:t>coroczny publiczny raport z realizacji strategii;</w:t>
            </w:r>
          </w:p>
          <w:p w14:paraId="24650BDE" w14:textId="77777777" w:rsidR="00BA7275" w:rsidRPr="00023B68" w:rsidRDefault="00BA7275" w:rsidP="00A42C26">
            <w:pPr>
              <w:pStyle w:val="Default"/>
              <w:numPr>
                <w:ilvl w:val="0"/>
                <w:numId w:val="13"/>
              </w:numPr>
              <w:rPr>
                <w:sz w:val="20"/>
                <w:szCs w:val="20"/>
              </w:rPr>
            </w:pPr>
            <w:r w:rsidRPr="00023B68">
              <w:rPr>
                <w:sz w:val="20"/>
                <w:szCs w:val="20"/>
              </w:rPr>
              <w:t>publiczny pulpit wskaźników;</w:t>
            </w:r>
          </w:p>
          <w:p w14:paraId="53850309" w14:textId="77777777" w:rsidR="00BA7275" w:rsidRPr="00023B68" w:rsidRDefault="00BA7275" w:rsidP="00A42C26">
            <w:pPr>
              <w:pStyle w:val="Default"/>
              <w:numPr>
                <w:ilvl w:val="0"/>
                <w:numId w:val="13"/>
              </w:numPr>
              <w:rPr>
                <w:sz w:val="20"/>
                <w:szCs w:val="20"/>
              </w:rPr>
            </w:pPr>
            <w:r w:rsidRPr="00023B68">
              <w:rPr>
                <w:sz w:val="20"/>
                <w:szCs w:val="20"/>
              </w:rPr>
              <w:t>aktualizację priorytetów nie rzadziej niż co dwa lata.</w:t>
            </w:r>
          </w:p>
          <w:p w14:paraId="19CB39D1" w14:textId="77777777" w:rsidR="00BA7275" w:rsidRPr="00023B68" w:rsidRDefault="00BA7275" w:rsidP="00913353">
            <w:pPr>
              <w:pStyle w:val="Default"/>
              <w:rPr>
                <w:sz w:val="20"/>
                <w:szCs w:val="20"/>
              </w:rPr>
            </w:pPr>
          </w:p>
        </w:tc>
      </w:tr>
      <w:tr w:rsidR="005B71DB" w:rsidRPr="00023B68" w14:paraId="643BBF76" w14:textId="77777777" w:rsidTr="00040008">
        <w:tc>
          <w:tcPr>
            <w:tcW w:w="0" w:type="auto"/>
          </w:tcPr>
          <w:p w14:paraId="5300E786" w14:textId="77777777" w:rsidR="00990967" w:rsidRPr="00023B68" w:rsidRDefault="005B71DB" w:rsidP="00CE38CD">
            <w:pPr>
              <w:pStyle w:val="Default"/>
              <w:rPr>
                <w:b/>
                <w:bCs/>
                <w:sz w:val="20"/>
                <w:szCs w:val="20"/>
              </w:rPr>
            </w:pPr>
            <w:r w:rsidRPr="00023B68">
              <w:rPr>
                <w:b/>
                <w:bCs/>
                <w:sz w:val="20"/>
                <w:szCs w:val="20"/>
              </w:rPr>
              <w:t>Tytuł III art. 10-15</w:t>
            </w:r>
          </w:p>
          <w:p w14:paraId="7A5B8CA4" w14:textId="77777777" w:rsidR="005B71DB" w:rsidRPr="00023B68" w:rsidRDefault="00990967" w:rsidP="00CE38CD">
            <w:pPr>
              <w:pStyle w:val="Default"/>
              <w:rPr>
                <w:b/>
                <w:bCs/>
                <w:sz w:val="20"/>
                <w:szCs w:val="20"/>
              </w:rPr>
            </w:pPr>
            <w:r w:rsidRPr="00023B68">
              <w:rPr>
                <w:b/>
                <w:bCs/>
                <w:sz w:val="20"/>
                <w:szCs w:val="20"/>
              </w:rPr>
              <w:t>DATA CENTRE CAPACITIES</w:t>
            </w:r>
          </w:p>
          <w:p w14:paraId="5D8C25DA" w14:textId="0AC56CEF" w:rsidR="00990967" w:rsidRPr="00023B68" w:rsidRDefault="00990967" w:rsidP="00CE38CD">
            <w:pPr>
              <w:pStyle w:val="Default"/>
              <w:rPr>
                <w:b/>
                <w:bCs/>
                <w:sz w:val="20"/>
                <w:szCs w:val="20"/>
              </w:rPr>
            </w:pPr>
          </w:p>
        </w:tc>
        <w:tc>
          <w:tcPr>
            <w:tcW w:w="0" w:type="auto"/>
          </w:tcPr>
          <w:p w14:paraId="6495077E" w14:textId="77777777" w:rsidR="005B71DB" w:rsidRPr="00023B68" w:rsidRDefault="005B71DB" w:rsidP="00CE38CD">
            <w:pPr>
              <w:pStyle w:val="Default"/>
              <w:rPr>
                <w:sz w:val="20"/>
                <w:szCs w:val="20"/>
              </w:rPr>
            </w:pPr>
          </w:p>
        </w:tc>
        <w:tc>
          <w:tcPr>
            <w:tcW w:w="0" w:type="auto"/>
          </w:tcPr>
          <w:p w14:paraId="444D4ACF" w14:textId="77777777" w:rsidR="005B71DB" w:rsidRPr="00023B68" w:rsidRDefault="005B71DB" w:rsidP="00913353">
            <w:pPr>
              <w:pStyle w:val="Default"/>
              <w:rPr>
                <w:sz w:val="20"/>
                <w:szCs w:val="20"/>
              </w:rPr>
            </w:pPr>
          </w:p>
        </w:tc>
      </w:tr>
      <w:tr w:rsidR="00A52C3D" w:rsidRPr="00023B68" w14:paraId="6B58677E" w14:textId="77777777" w:rsidTr="00040008">
        <w:tc>
          <w:tcPr>
            <w:tcW w:w="0" w:type="auto"/>
          </w:tcPr>
          <w:p w14:paraId="642A30C3" w14:textId="77777777" w:rsidR="00990967" w:rsidRPr="00023B68" w:rsidRDefault="00990967" w:rsidP="00990967">
            <w:pPr>
              <w:pStyle w:val="Default"/>
              <w:rPr>
                <w:sz w:val="20"/>
                <w:szCs w:val="20"/>
              </w:rPr>
            </w:pPr>
            <w:r w:rsidRPr="00023B68">
              <w:rPr>
                <w:sz w:val="20"/>
                <w:szCs w:val="20"/>
              </w:rPr>
              <w:t>Tytuł III art. 10-15</w:t>
            </w:r>
          </w:p>
          <w:p w14:paraId="03F736EB" w14:textId="419DA512" w:rsidR="00A52C3D" w:rsidRPr="00023B68" w:rsidRDefault="00990967" w:rsidP="00990967">
            <w:pPr>
              <w:pStyle w:val="Default"/>
              <w:rPr>
                <w:sz w:val="20"/>
                <w:szCs w:val="20"/>
              </w:rPr>
            </w:pPr>
            <w:r w:rsidRPr="00023B68">
              <w:rPr>
                <w:sz w:val="20"/>
                <w:szCs w:val="20"/>
              </w:rPr>
              <w:t>DATA CENTRE CAPACITIES</w:t>
            </w:r>
          </w:p>
        </w:tc>
        <w:tc>
          <w:tcPr>
            <w:tcW w:w="0" w:type="auto"/>
          </w:tcPr>
          <w:p w14:paraId="3E027BA9" w14:textId="2AC4699C" w:rsidR="00A52C3D" w:rsidRPr="00023B68" w:rsidRDefault="00A52C3D" w:rsidP="00CE38CD">
            <w:pPr>
              <w:pStyle w:val="Default"/>
              <w:rPr>
                <w:sz w:val="20"/>
                <w:szCs w:val="20"/>
              </w:rPr>
            </w:pPr>
            <w:r w:rsidRPr="00023B68">
              <w:rPr>
                <w:sz w:val="20"/>
                <w:szCs w:val="20"/>
              </w:rPr>
              <w:t>Lewiatan</w:t>
            </w:r>
          </w:p>
        </w:tc>
        <w:tc>
          <w:tcPr>
            <w:tcW w:w="0" w:type="auto"/>
          </w:tcPr>
          <w:p w14:paraId="7E5F539C" w14:textId="2FA3CE46" w:rsidR="00A52C3D" w:rsidRPr="00023B68" w:rsidRDefault="00641D87" w:rsidP="00A52C3D">
            <w:pPr>
              <w:pStyle w:val="Default"/>
              <w:rPr>
                <w:sz w:val="20"/>
                <w:szCs w:val="20"/>
              </w:rPr>
            </w:pPr>
            <w:r w:rsidRPr="00023B68">
              <w:rPr>
                <w:sz w:val="20"/>
                <w:szCs w:val="20"/>
              </w:rPr>
              <w:t xml:space="preserve">Z </w:t>
            </w:r>
            <w:r w:rsidR="00A52C3D" w:rsidRPr="00023B68">
              <w:rPr>
                <w:sz w:val="20"/>
                <w:szCs w:val="20"/>
              </w:rPr>
              <w:t xml:space="preserve">uznaniem przyjmujemy cel potrojenia zdolności centrów danych w UE w ciągu najbliższych siedmiu lat, utworzenie stref przyspieszonego rozwoju, uproszczenie procedur wydawania pozwoleń, ustanowienie dwunastomiesięcznego terminu postępowania oraz wprowadzenie pojedynczych punktów informacyjnych. Pozytywnie oceniamy również planowanie rozwoju sieci uwzględniające przyszłe zapotrzebowanie oraz możliwość przyznawania projektom centrów danych statusu projektu strategicznego. </w:t>
            </w:r>
          </w:p>
          <w:p w14:paraId="2A177AFD" w14:textId="77777777" w:rsidR="00A52C3D" w:rsidRPr="00023B68" w:rsidRDefault="00A52C3D" w:rsidP="00A42C26">
            <w:pPr>
              <w:pStyle w:val="Default"/>
              <w:numPr>
                <w:ilvl w:val="0"/>
                <w:numId w:val="6"/>
              </w:numPr>
              <w:rPr>
                <w:sz w:val="20"/>
                <w:szCs w:val="20"/>
              </w:rPr>
            </w:pPr>
            <w:r w:rsidRPr="00023B68">
              <w:rPr>
                <w:sz w:val="20"/>
                <w:szCs w:val="20"/>
              </w:rPr>
              <w:lastRenderedPageBreak/>
              <w:t xml:space="preserve">Przy wyznaczaniu stref przyspieszonego rozwoju należy jednak uwzględniać nie tylko czynniki podażowe, takie jak dostępna przepustowość sieci i dostępność energii odnawialnej, lecz także rzeczywiste zapotrzebowanie na zdolności obliczeniowe. Wyznaczenie strefy bez analizy popytu może prowadzić do lokowania inwestycji w miejscach nieoptymalnych pod względem gospodarczym. </w:t>
            </w:r>
          </w:p>
          <w:p w14:paraId="61D6045D" w14:textId="77777777" w:rsidR="00A52C3D" w:rsidRPr="00023B68" w:rsidRDefault="00A52C3D" w:rsidP="00A42C26">
            <w:pPr>
              <w:pStyle w:val="Default"/>
              <w:numPr>
                <w:ilvl w:val="0"/>
                <w:numId w:val="6"/>
              </w:numPr>
              <w:rPr>
                <w:sz w:val="20"/>
                <w:szCs w:val="20"/>
              </w:rPr>
            </w:pPr>
            <w:r w:rsidRPr="00023B68">
              <w:rPr>
                <w:sz w:val="20"/>
                <w:szCs w:val="20"/>
              </w:rPr>
              <w:t xml:space="preserve">Konieczne są również wytyczne Komisji dotyczące jednolitego stosowania kryteriów wyznaczania stref określonych w art. 10. Powinny one zapobiegać sytuacji, w której porównywalne obiekty kwalifikują się do strefy w jednym państwie członkowskim, lecz nie kwalifikują się w innym. Kryteria zrównoważonego rozwoju przewidziane w art. 11 powinny odpowiadać wskaźnikom stosowanym w </w:t>
            </w:r>
            <w:proofErr w:type="spellStart"/>
            <w:r w:rsidRPr="00023B68">
              <w:rPr>
                <w:sz w:val="20"/>
                <w:szCs w:val="20"/>
              </w:rPr>
              <w:t>ogólnounijnym</w:t>
            </w:r>
            <w:proofErr w:type="spellEnd"/>
            <w:r w:rsidRPr="00023B68">
              <w:rPr>
                <w:sz w:val="20"/>
                <w:szCs w:val="20"/>
              </w:rPr>
              <w:t xml:space="preserve"> systemie oceny centrów danych, w tym PUE, WUE i REF. System ten powinien uwzględniać pełny profil środowiskowy obiektu i nie dyskryminować najbardziej energooszczędnych technologii chłodzenia, w tym chłodzenia wodnego. </w:t>
            </w:r>
          </w:p>
          <w:p w14:paraId="6A72566C" w14:textId="77777777" w:rsidR="00A52C3D" w:rsidRPr="00023B68" w:rsidRDefault="00A52C3D" w:rsidP="00A42C26">
            <w:pPr>
              <w:pStyle w:val="Default"/>
              <w:numPr>
                <w:ilvl w:val="0"/>
                <w:numId w:val="6"/>
              </w:numPr>
              <w:rPr>
                <w:sz w:val="20"/>
                <w:szCs w:val="20"/>
              </w:rPr>
            </w:pPr>
            <w:r w:rsidRPr="00023B68">
              <w:rPr>
                <w:sz w:val="20"/>
                <w:szCs w:val="20"/>
              </w:rPr>
              <w:t xml:space="preserve">Strefy przyspieszonego rozwoju powinny przyspieszać inwestycje, a nie ograniczać je geograficznie. Traktowanie ich jako wyizolowanych i autonomicznych obszarów mogłoby zniechęcać do inwestowania poza strefami, powodować spekulacyjny wzrost cen gruntów oraz prowadzić do nadmiernej koncentracji zdolności obliczeniowych. Analogiczne środki wsparcia powinny być dostępne również dla rentownych projektów realizowanych poza strefami, w szczególności dla projektów uznanych za strategiczne na podstawie art. 14. </w:t>
            </w:r>
          </w:p>
          <w:p w14:paraId="07420F46" w14:textId="77777777" w:rsidR="008146E2" w:rsidRPr="00023B68" w:rsidRDefault="00A52C3D" w:rsidP="00A42C26">
            <w:pPr>
              <w:pStyle w:val="Default"/>
              <w:numPr>
                <w:ilvl w:val="0"/>
                <w:numId w:val="6"/>
              </w:numPr>
              <w:rPr>
                <w:sz w:val="20"/>
                <w:szCs w:val="20"/>
              </w:rPr>
            </w:pPr>
            <w:r w:rsidRPr="00023B68">
              <w:rPr>
                <w:sz w:val="20"/>
                <w:szCs w:val="20"/>
              </w:rPr>
              <w:t>Dwunastomiesięczny termin na wydanie pozwoleń nie zapewni rzeczywistego przyspieszenia inwestycji, jeżeli uzyskanie przyłączenia do sieci będzie nadal trwało od 36 do 48 miesięcy. Państwa członkowskie powinny zatem raportować rzeczywiste terminy realizacji przyłączeń w strefach przyspieszonego rozwoju. Należy również ustanowić mechanizm eskalacji w przypadkach, w których termin przyłączenia do sieci przekracza termin postępowania w sprawie wydania pozwoleń o więcej niż 12 miesięcy.</w:t>
            </w:r>
          </w:p>
          <w:p w14:paraId="132CFB06" w14:textId="77777777" w:rsidR="008146E2" w:rsidRPr="00023B68" w:rsidRDefault="00B367B6" w:rsidP="00A42C26">
            <w:pPr>
              <w:pStyle w:val="Default"/>
              <w:numPr>
                <w:ilvl w:val="0"/>
                <w:numId w:val="6"/>
              </w:numPr>
              <w:rPr>
                <w:sz w:val="20"/>
                <w:szCs w:val="20"/>
              </w:rPr>
            </w:pPr>
            <w:r w:rsidRPr="00023B68">
              <w:rPr>
                <w:sz w:val="20"/>
                <w:szCs w:val="20"/>
              </w:rPr>
              <w:t xml:space="preserve">Umowy zawierane między operatorami centrów danych, operatorami sieci oraz producentami energii odnawialnej, dotyczące skoordynowanej elastyczności i wykorzystania energii, powinny stanowić dowód prima facie pozytywnego wpływu projektu na funkcjonowanie sieci. Powinny być uwzględniane przy ocenie projektu pod kątem przyznania statusu projektu strategicznego na podstawie art. 14, zgodnie z kierunkiem określonym w Mapie drogowej Komisji dotyczącej cyfryzacji i AI w energetyce. </w:t>
            </w:r>
          </w:p>
          <w:p w14:paraId="140EE643" w14:textId="7CD4220B" w:rsidR="00B367B6" w:rsidRPr="00023B68" w:rsidRDefault="00B367B6" w:rsidP="00A42C26">
            <w:pPr>
              <w:pStyle w:val="Default"/>
              <w:numPr>
                <w:ilvl w:val="0"/>
                <w:numId w:val="6"/>
              </w:numPr>
              <w:rPr>
                <w:sz w:val="20"/>
                <w:szCs w:val="20"/>
              </w:rPr>
            </w:pPr>
            <w:r w:rsidRPr="00023B68">
              <w:rPr>
                <w:sz w:val="20"/>
                <w:szCs w:val="20"/>
              </w:rPr>
              <w:t>Stosowanie zasad uczciwych, rozsądnych i niedyskryminacyjnych warunków dostępu (FRAND) wymaga rozróżnienia pomiędzy uzasadnionym planowaniem inwestycji z wyprzedzeniem, obejmującym rezerwację przyłączenia popartą wiążącymi zobowiązaniami inwestycyjnymi i gwarancjami finansowymi, a spekulacyjnym</w:t>
            </w:r>
            <w:r w:rsidR="008146E2" w:rsidRPr="00023B68">
              <w:rPr>
                <w:sz w:val="20"/>
                <w:szCs w:val="20"/>
              </w:rPr>
              <w:t xml:space="preserve"> </w:t>
            </w:r>
            <w:r w:rsidRPr="00023B68">
              <w:rPr>
                <w:sz w:val="20"/>
                <w:szCs w:val="20"/>
              </w:rPr>
              <w:t xml:space="preserve">blokowaniem rynku poprzez rezerwowanie zdolności sieciowych bez rzeczywistego zamiaru realizacji projektu. </w:t>
            </w:r>
          </w:p>
          <w:p w14:paraId="1A65AE42" w14:textId="77777777" w:rsidR="006248E6" w:rsidRPr="00023B68" w:rsidRDefault="00B367B6" w:rsidP="00B367B6">
            <w:pPr>
              <w:pStyle w:val="Default"/>
              <w:ind w:left="360"/>
              <w:rPr>
                <w:sz w:val="20"/>
                <w:szCs w:val="20"/>
              </w:rPr>
            </w:pPr>
            <w:r w:rsidRPr="00023B68">
              <w:rPr>
                <w:sz w:val="20"/>
                <w:szCs w:val="20"/>
              </w:rPr>
              <w:t>Kryteria przyznawania statusu projektu strategicznego powinny pozostawać neutralne technologicznie i opierać się na rzeczywistym wkładzie projektu w rozwój zdolności centrów danych, innowacyjność, integrację z systemem energetycznym i zrównoważony rozwój, a nie na kraju pochodzenia dostawcy.</w:t>
            </w:r>
          </w:p>
          <w:p w14:paraId="004ED545" w14:textId="1AA454CF" w:rsidR="008146E2" w:rsidRPr="00023B68" w:rsidRDefault="008146E2" w:rsidP="00B367B6">
            <w:pPr>
              <w:pStyle w:val="Default"/>
              <w:ind w:left="360"/>
              <w:rPr>
                <w:sz w:val="20"/>
                <w:szCs w:val="20"/>
              </w:rPr>
            </w:pPr>
          </w:p>
        </w:tc>
      </w:tr>
      <w:tr w:rsidR="00DA3341" w:rsidRPr="00023B68" w14:paraId="01E94002" w14:textId="77777777" w:rsidTr="00040008">
        <w:tc>
          <w:tcPr>
            <w:tcW w:w="0" w:type="auto"/>
          </w:tcPr>
          <w:p w14:paraId="46524ED8" w14:textId="79B3E8F9" w:rsidR="00DA3341" w:rsidRPr="00023B68" w:rsidRDefault="002F6367" w:rsidP="00C039B8">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5EA784A4" w14:textId="1746C015" w:rsidR="00DA3341" w:rsidRPr="00023B68" w:rsidRDefault="00DA3341" w:rsidP="00CE38CD">
            <w:pPr>
              <w:pStyle w:val="Default"/>
              <w:rPr>
                <w:sz w:val="20"/>
                <w:szCs w:val="20"/>
              </w:rPr>
            </w:pPr>
            <w:r w:rsidRPr="00023B68">
              <w:rPr>
                <w:sz w:val="20"/>
                <w:szCs w:val="20"/>
              </w:rPr>
              <w:t>ZPP</w:t>
            </w:r>
          </w:p>
        </w:tc>
        <w:tc>
          <w:tcPr>
            <w:tcW w:w="0" w:type="auto"/>
          </w:tcPr>
          <w:p w14:paraId="4259AC85" w14:textId="77777777" w:rsidR="00DA3341" w:rsidRPr="00023B68" w:rsidRDefault="00DA3341" w:rsidP="00DA3341">
            <w:pPr>
              <w:pStyle w:val="Default"/>
              <w:rPr>
                <w:sz w:val="20"/>
                <w:szCs w:val="20"/>
              </w:rPr>
            </w:pPr>
            <w:r w:rsidRPr="00023B68">
              <w:rPr>
                <w:sz w:val="20"/>
                <w:szCs w:val="20"/>
              </w:rPr>
              <w:t xml:space="preserve">ZPP pozytywnie ocenia ustanowienie stref przyspieszonego rozwoju, pojedynczych punktów informacyjnych, ułatwień administracyjnych, elastycznych umów przyłączeniowych oraz wsparcie dla umów PPA. </w:t>
            </w:r>
          </w:p>
          <w:p w14:paraId="053C516C" w14:textId="77777777" w:rsidR="00DA3341" w:rsidRPr="00023B68" w:rsidRDefault="00DA3341" w:rsidP="00DA3341">
            <w:pPr>
              <w:pStyle w:val="Default"/>
              <w:rPr>
                <w:sz w:val="20"/>
                <w:szCs w:val="20"/>
              </w:rPr>
            </w:pPr>
            <w:r w:rsidRPr="00023B68">
              <w:rPr>
                <w:sz w:val="20"/>
                <w:szCs w:val="20"/>
              </w:rPr>
              <w:t xml:space="preserve">Projekty realizowane poza wyznaczonymi strefami również powinny móc korzystać z odpowiednich ułatwień, jeżeli przyczyniają się do zwiększenia europejskiej mocy obliczeniowej i są odpowiednio przygotowane do realizacji. Status projektu strategicznego powinien uwzględniać gotowość inwestycyjną, dostępność energii i sieci, wykonalność ekonomiczną oraz wkład w bardziej równomierne rozmieszczenie infrastruktury. </w:t>
            </w:r>
          </w:p>
          <w:p w14:paraId="760C4D4F" w14:textId="77777777" w:rsidR="00DA3341" w:rsidRPr="00023B68" w:rsidRDefault="00DA3341" w:rsidP="00DA3341">
            <w:pPr>
              <w:pStyle w:val="Default"/>
              <w:rPr>
                <w:sz w:val="20"/>
                <w:szCs w:val="20"/>
              </w:rPr>
            </w:pPr>
            <w:r w:rsidRPr="00023B68">
              <w:rPr>
                <w:sz w:val="20"/>
                <w:szCs w:val="20"/>
              </w:rPr>
              <w:lastRenderedPageBreak/>
              <w:t xml:space="preserve">Kryteria zrównoważonego rozwoju powinny być spójne w całej UE i neutralne technologicznie. Procedury przyłączeniowe powinny uwzględniać rzeczywisty stopień przygotowania inwestycji, natomiast planowanie sieci energetycznej powinno z odpowiednim wyprzedzeniem obejmować przyszły rozwój infrastruktury cyfrowej. </w:t>
            </w:r>
          </w:p>
          <w:p w14:paraId="4A35BA60" w14:textId="77777777" w:rsidR="00DA3341" w:rsidRPr="00023B68" w:rsidRDefault="00DA3341" w:rsidP="00DA3341">
            <w:pPr>
              <w:pStyle w:val="Default"/>
              <w:rPr>
                <w:sz w:val="20"/>
                <w:szCs w:val="20"/>
              </w:rPr>
            </w:pPr>
            <w:r w:rsidRPr="00023B68">
              <w:rPr>
                <w:sz w:val="20"/>
                <w:szCs w:val="20"/>
              </w:rPr>
              <w:t>Dostępność energii, infrastruktury sieciowej oraz przewidywalnych procedur będzie jednym z podstawowych warunków realizacji europejskich ambicji w zakresie AI.</w:t>
            </w:r>
          </w:p>
          <w:p w14:paraId="5B986F0E" w14:textId="50FECEED" w:rsidR="00DA3341" w:rsidRPr="00023B68" w:rsidRDefault="00DA3341" w:rsidP="00DA3341">
            <w:pPr>
              <w:pStyle w:val="Default"/>
              <w:rPr>
                <w:sz w:val="20"/>
                <w:szCs w:val="20"/>
              </w:rPr>
            </w:pPr>
          </w:p>
        </w:tc>
      </w:tr>
      <w:tr w:rsidR="00B60360" w:rsidRPr="00023B68" w14:paraId="3A5449C4" w14:textId="77777777" w:rsidTr="00040008">
        <w:tc>
          <w:tcPr>
            <w:tcW w:w="0" w:type="auto"/>
          </w:tcPr>
          <w:p w14:paraId="031E5E62" w14:textId="43183799" w:rsidR="00B60360" w:rsidRPr="00023B68" w:rsidRDefault="00B60360" w:rsidP="00C039B8">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3F1782C9" w14:textId="36F1AF67" w:rsidR="00B60360" w:rsidRPr="00023B68" w:rsidRDefault="00B60360" w:rsidP="00CE38CD">
            <w:pPr>
              <w:pStyle w:val="Default"/>
              <w:rPr>
                <w:sz w:val="20"/>
                <w:szCs w:val="20"/>
              </w:rPr>
            </w:pPr>
            <w:proofErr w:type="spellStart"/>
            <w:r w:rsidRPr="00023B68">
              <w:rPr>
                <w:sz w:val="20"/>
                <w:szCs w:val="20"/>
              </w:rPr>
              <w:t>PIIiT</w:t>
            </w:r>
            <w:proofErr w:type="spellEnd"/>
          </w:p>
        </w:tc>
        <w:tc>
          <w:tcPr>
            <w:tcW w:w="0" w:type="auto"/>
          </w:tcPr>
          <w:p w14:paraId="205A8BA2" w14:textId="77777777" w:rsidR="00B60360" w:rsidRPr="00023B68" w:rsidRDefault="00B60360" w:rsidP="00DA3341">
            <w:pPr>
              <w:pStyle w:val="Default"/>
              <w:rPr>
                <w:sz w:val="20"/>
                <w:szCs w:val="20"/>
              </w:rPr>
            </w:pPr>
            <w:r w:rsidRPr="00023B68">
              <w:rPr>
                <w:sz w:val="20"/>
                <w:szCs w:val="20"/>
              </w:rPr>
              <w:t xml:space="preserve">PIIT popiera szerokie uwzględnienie wymogów interoperacyjności, przyspieszenie przyłączeń do sieci i budowy infrastruktury (status Special Project, elastyczne umowy przyłączeniowe, PPA, strefy akceleracji, chłodzenie wodne). Opowiada się za przeciwdziałaniem uzależnieniu (uzupełnienie DMA, przenoszalność licencji, Security </w:t>
            </w:r>
            <w:proofErr w:type="spellStart"/>
            <w:r w:rsidRPr="00023B68">
              <w:rPr>
                <w:sz w:val="20"/>
                <w:szCs w:val="20"/>
              </w:rPr>
              <w:t>Equivalence</w:t>
            </w:r>
            <w:proofErr w:type="spellEnd"/>
            <w:r w:rsidRPr="00023B68">
              <w:rPr>
                <w:sz w:val="20"/>
                <w:szCs w:val="20"/>
              </w:rPr>
              <w:t>).</w:t>
            </w:r>
          </w:p>
          <w:p w14:paraId="040120CF" w14:textId="3E0DEDBD" w:rsidR="00B60360" w:rsidRPr="00023B68" w:rsidRDefault="00B60360" w:rsidP="00DA3341">
            <w:pPr>
              <w:pStyle w:val="Default"/>
              <w:rPr>
                <w:sz w:val="20"/>
                <w:szCs w:val="20"/>
              </w:rPr>
            </w:pPr>
          </w:p>
        </w:tc>
      </w:tr>
      <w:tr w:rsidR="00D84432" w:rsidRPr="00023B68" w14:paraId="6FC12E4C" w14:textId="77777777" w:rsidTr="00040008">
        <w:tc>
          <w:tcPr>
            <w:tcW w:w="0" w:type="auto"/>
          </w:tcPr>
          <w:p w14:paraId="6D4DDFD4" w14:textId="5D9C9945" w:rsidR="00D84432" w:rsidRPr="00023B68" w:rsidRDefault="00922521" w:rsidP="00C039B8">
            <w:pPr>
              <w:pStyle w:val="Default"/>
              <w:rPr>
                <w:sz w:val="20"/>
                <w:szCs w:val="20"/>
              </w:rPr>
            </w:pPr>
            <w:proofErr w:type="spellStart"/>
            <w:r w:rsidRPr="00023B68">
              <w:rPr>
                <w:sz w:val="20"/>
                <w:szCs w:val="20"/>
              </w:rPr>
              <w:t>j.w</w:t>
            </w:r>
            <w:proofErr w:type="spellEnd"/>
            <w:r w:rsidRPr="00023B68">
              <w:rPr>
                <w:sz w:val="20"/>
                <w:szCs w:val="20"/>
              </w:rPr>
              <w:t>.</w:t>
            </w:r>
            <w:r w:rsidR="00C039B8" w:rsidRPr="00023B68">
              <w:rPr>
                <w:sz w:val="20"/>
                <w:szCs w:val="20"/>
              </w:rPr>
              <w:t xml:space="preserve"> </w:t>
            </w:r>
          </w:p>
        </w:tc>
        <w:tc>
          <w:tcPr>
            <w:tcW w:w="0" w:type="auto"/>
          </w:tcPr>
          <w:p w14:paraId="5F90B6AF" w14:textId="196459C5" w:rsidR="00D84432" w:rsidRPr="00023B68" w:rsidRDefault="00D84432" w:rsidP="00CE38CD">
            <w:pPr>
              <w:pStyle w:val="Default"/>
              <w:rPr>
                <w:sz w:val="20"/>
                <w:szCs w:val="20"/>
              </w:rPr>
            </w:pPr>
            <w:r w:rsidRPr="00023B68">
              <w:rPr>
                <w:sz w:val="20"/>
                <w:szCs w:val="20"/>
              </w:rPr>
              <w:t>SIAPL KIGEIT</w:t>
            </w:r>
          </w:p>
        </w:tc>
        <w:tc>
          <w:tcPr>
            <w:tcW w:w="0" w:type="auto"/>
          </w:tcPr>
          <w:p w14:paraId="6C4DCDD4" w14:textId="77777777" w:rsidR="00D84432" w:rsidRPr="00023B68" w:rsidRDefault="00D84432" w:rsidP="00CE38CD">
            <w:pPr>
              <w:pStyle w:val="Default"/>
              <w:rPr>
                <w:sz w:val="20"/>
                <w:szCs w:val="20"/>
              </w:rPr>
            </w:pPr>
            <w:r w:rsidRPr="00023B68">
              <w:rPr>
                <w:sz w:val="20"/>
                <w:szCs w:val="20"/>
              </w:rPr>
              <w:t xml:space="preserve">Docenia ustanowienie mechanizmu strategicznych projektów centrów danych (data </w:t>
            </w:r>
            <w:proofErr w:type="spellStart"/>
            <w:r w:rsidRPr="00023B68">
              <w:rPr>
                <w:sz w:val="20"/>
                <w:szCs w:val="20"/>
              </w:rPr>
              <w:t>centre</w:t>
            </w:r>
            <w:proofErr w:type="spellEnd"/>
            <w:r w:rsidRPr="00023B68">
              <w:rPr>
                <w:sz w:val="20"/>
                <w:szCs w:val="20"/>
              </w:rPr>
              <w:t xml:space="preserve"> </w:t>
            </w:r>
            <w:proofErr w:type="spellStart"/>
            <w:r w:rsidRPr="00023B68">
              <w:rPr>
                <w:sz w:val="20"/>
                <w:szCs w:val="20"/>
              </w:rPr>
              <w:t>strategic</w:t>
            </w:r>
            <w:proofErr w:type="spellEnd"/>
            <w:r w:rsidRPr="00023B68">
              <w:rPr>
                <w:sz w:val="20"/>
                <w:szCs w:val="20"/>
              </w:rPr>
              <w:t xml:space="preserve"> </w:t>
            </w:r>
            <w:proofErr w:type="spellStart"/>
            <w:r w:rsidRPr="00023B68">
              <w:rPr>
                <w:sz w:val="20"/>
                <w:szCs w:val="20"/>
              </w:rPr>
              <w:t>projects</w:t>
            </w:r>
            <w:proofErr w:type="spellEnd"/>
            <w:r w:rsidRPr="00023B68">
              <w:rPr>
                <w:sz w:val="20"/>
                <w:szCs w:val="20"/>
              </w:rPr>
              <w:t>) z możliwością przyspieszenia procedur administracyjnych i wsparcia inwestycyjnego;</w:t>
            </w:r>
          </w:p>
          <w:p w14:paraId="0AD229DB" w14:textId="77777777" w:rsidR="005D05BE" w:rsidRPr="00023B68" w:rsidRDefault="005D05BE" w:rsidP="00CE38CD">
            <w:pPr>
              <w:pStyle w:val="Default"/>
              <w:rPr>
                <w:sz w:val="20"/>
                <w:szCs w:val="20"/>
              </w:rPr>
            </w:pPr>
          </w:p>
          <w:p w14:paraId="389DC1BF" w14:textId="1C0B3BC6" w:rsidR="005D05BE" w:rsidRPr="00023B68" w:rsidRDefault="005D05BE" w:rsidP="005D05BE">
            <w:pPr>
              <w:pStyle w:val="Default"/>
              <w:rPr>
                <w:sz w:val="20"/>
                <w:szCs w:val="20"/>
              </w:rPr>
            </w:pPr>
            <w:r w:rsidRPr="00023B68">
              <w:rPr>
                <w:sz w:val="20"/>
                <w:szCs w:val="20"/>
              </w:rPr>
              <w:t>Przepisy Tytułu III (data</w:t>
            </w:r>
            <w:r w:rsidR="00922521" w:rsidRPr="00023B68">
              <w:rPr>
                <w:sz w:val="20"/>
                <w:szCs w:val="20"/>
              </w:rPr>
              <w:t xml:space="preserve"> </w:t>
            </w:r>
            <w:proofErr w:type="spellStart"/>
            <w:r w:rsidRPr="00023B68">
              <w:rPr>
                <w:sz w:val="20"/>
                <w:szCs w:val="20"/>
              </w:rPr>
              <w:t>center</w:t>
            </w:r>
            <w:proofErr w:type="spellEnd"/>
            <w:r w:rsidRPr="00023B68">
              <w:rPr>
                <w:sz w:val="20"/>
                <w:szCs w:val="20"/>
              </w:rPr>
              <w:t xml:space="preserve"> </w:t>
            </w:r>
            <w:proofErr w:type="spellStart"/>
            <w:r w:rsidRPr="00023B68">
              <w:rPr>
                <w:sz w:val="20"/>
                <w:szCs w:val="20"/>
              </w:rPr>
              <w:t>acceleration</w:t>
            </w:r>
            <w:proofErr w:type="spellEnd"/>
            <w:r w:rsidRPr="00023B68">
              <w:rPr>
                <w:sz w:val="20"/>
                <w:szCs w:val="20"/>
              </w:rPr>
              <w:t xml:space="preserve"> </w:t>
            </w:r>
            <w:proofErr w:type="spellStart"/>
            <w:r w:rsidRPr="00023B68">
              <w:rPr>
                <w:sz w:val="20"/>
                <w:szCs w:val="20"/>
              </w:rPr>
              <w:t>zones</w:t>
            </w:r>
            <w:proofErr w:type="spellEnd"/>
            <w:r w:rsidRPr="00023B68">
              <w:rPr>
                <w:sz w:val="20"/>
                <w:szCs w:val="20"/>
              </w:rPr>
              <w:t xml:space="preserve">) wymagają wzmocnienia: </w:t>
            </w:r>
          </w:p>
          <w:p w14:paraId="171E9B06" w14:textId="6B3EAD14" w:rsidR="005D05BE" w:rsidRPr="00023B68" w:rsidRDefault="005D05BE" w:rsidP="00A42C26">
            <w:pPr>
              <w:pStyle w:val="Default"/>
              <w:numPr>
                <w:ilvl w:val="0"/>
                <w:numId w:val="1"/>
              </w:numPr>
              <w:rPr>
                <w:sz w:val="20"/>
                <w:szCs w:val="20"/>
              </w:rPr>
            </w:pPr>
            <w:r w:rsidRPr="00023B68">
              <w:rPr>
                <w:sz w:val="20"/>
                <w:szCs w:val="20"/>
              </w:rPr>
              <w:t xml:space="preserve">Wiążące terminy dla organów krajowych: decyzja o lokalizacji centrum danych w specjalnej strefie akceleracyjnej w ciągu 12 miesięcy (zamiast orientacyjnych); dla projektów strategicznych - 6 miesięcy </w:t>
            </w:r>
          </w:p>
          <w:p w14:paraId="0C2DF878" w14:textId="3632DCB5" w:rsidR="005D05BE" w:rsidRPr="00023B68" w:rsidRDefault="005D05BE" w:rsidP="00A42C26">
            <w:pPr>
              <w:pStyle w:val="Default"/>
              <w:numPr>
                <w:ilvl w:val="0"/>
                <w:numId w:val="1"/>
              </w:numPr>
              <w:rPr>
                <w:sz w:val="20"/>
                <w:szCs w:val="20"/>
              </w:rPr>
            </w:pPr>
            <w:r w:rsidRPr="00023B68">
              <w:rPr>
                <w:sz w:val="20"/>
                <w:szCs w:val="20"/>
              </w:rPr>
              <w:t>Obowiązek wskazania przez operatorów sieci elektroenergetycznych dostępnych mocy przyłączeniowych w ciągu 6 miesięcy od wniosku – celem eliminacj</w:t>
            </w:r>
            <w:r w:rsidR="00AA68A1" w:rsidRPr="00023B68">
              <w:rPr>
                <w:sz w:val="20"/>
                <w:szCs w:val="20"/>
              </w:rPr>
              <w:t>i</w:t>
            </w:r>
            <w:r w:rsidRPr="00023B68">
              <w:rPr>
                <w:sz w:val="20"/>
                <w:szCs w:val="20"/>
              </w:rPr>
              <w:t xml:space="preserve"> bariery kolejki przyłączeniowej. </w:t>
            </w:r>
          </w:p>
          <w:p w14:paraId="29E7A9AA" w14:textId="77777777" w:rsidR="00F146E0" w:rsidRPr="00023B68" w:rsidRDefault="00F146E0" w:rsidP="00A42C26">
            <w:pPr>
              <w:pStyle w:val="Default"/>
              <w:numPr>
                <w:ilvl w:val="0"/>
                <w:numId w:val="1"/>
              </w:numPr>
              <w:rPr>
                <w:sz w:val="20"/>
                <w:szCs w:val="20"/>
              </w:rPr>
            </w:pPr>
            <w:r w:rsidRPr="00023B68">
              <w:rPr>
                <w:sz w:val="20"/>
                <w:szCs w:val="20"/>
              </w:rPr>
              <w:t xml:space="preserve">Priorytet w dostępie do odnawialnych źródeł energii dla centrum danych posiadającego certyfikację Union </w:t>
            </w:r>
            <w:proofErr w:type="spellStart"/>
            <w:r w:rsidRPr="00023B68">
              <w:rPr>
                <w:sz w:val="20"/>
                <w:szCs w:val="20"/>
              </w:rPr>
              <w:t>assurance</w:t>
            </w:r>
            <w:proofErr w:type="spellEnd"/>
            <w:r w:rsidRPr="00023B68">
              <w:rPr>
                <w:sz w:val="20"/>
                <w:szCs w:val="20"/>
              </w:rPr>
              <w:t xml:space="preserve"> </w:t>
            </w:r>
            <w:proofErr w:type="spellStart"/>
            <w:r w:rsidRPr="00023B68">
              <w:rPr>
                <w:sz w:val="20"/>
                <w:szCs w:val="20"/>
              </w:rPr>
              <w:t>level</w:t>
            </w:r>
            <w:proofErr w:type="spellEnd"/>
            <w:r w:rsidRPr="00023B68">
              <w:rPr>
                <w:sz w:val="20"/>
                <w:szCs w:val="20"/>
              </w:rPr>
              <w:t xml:space="preserve"> 2+, spełniającego wymogi PUE ≤ 1.2.</w:t>
            </w:r>
          </w:p>
          <w:p w14:paraId="7D658CDD" w14:textId="01E1E47A" w:rsidR="005D05BE" w:rsidRPr="00023B68" w:rsidRDefault="00F146E0" w:rsidP="00A42C26">
            <w:pPr>
              <w:pStyle w:val="Default"/>
              <w:numPr>
                <w:ilvl w:val="0"/>
                <w:numId w:val="1"/>
              </w:numPr>
              <w:rPr>
                <w:sz w:val="20"/>
                <w:szCs w:val="20"/>
              </w:rPr>
            </w:pPr>
            <w:proofErr w:type="spellStart"/>
            <w:r w:rsidRPr="00023B68">
              <w:rPr>
                <w:sz w:val="20"/>
                <w:szCs w:val="20"/>
              </w:rPr>
              <w:t>Miks</w:t>
            </w:r>
            <w:proofErr w:type="spellEnd"/>
            <w:r w:rsidRPr="00023B68">
              <w:rPr>
                <w:sz w:val="20"/>
                <w:szCs w:val="20"/>
              </w:rPr>
              <w:t xml:space="preserve"> finansowania: Europejski Bank Inwestycyjny powinien mieć mandat do finansowania centrów danych europejskich suwerennych dostawców na preferencyjnych warunkach (gwarancja dla 30% CAPEX).</w:t>
            </w:r>
          </w:p>
          <w:p w14:paraId="4DBD3C5A" w14:textId="53708EED" w:rsidR="005D05BE" w:rsidRPr="00023B68" w:rsidRDefault="005D05BE" w:rsidP="00CE38CD">
            <w:pPr>
              <w:pStyle w:val="Default"/>
              <w:rPr>
                <w:sz w:val="20"/>
                <w:szCs w:val="20"/>
              </w:rPr>
            </w:pPr>
          </w:p>
        </w:tc>
      </w:tr>
      <w:tr w:rsidR="000B4EA8" w:rsidRPr="00023B68" w14:paraId="55DA5FCE" w14:textId="77777777" w:rsidTr="00040008">
        <w:tc>
          <w:tcPr>
            <w:tcW w:w="0" w:type="auto"/>
          </w:tcPr>
          <w:p w14:paraId="20D66E46" w14:textId="380D58F7" w:rsidR="000B4EA8" w:rsidRPr="00023B68" w:rsidRDefault="000B4EA8" w:rsidP="00C039B8">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5D513990" w14:textId="37E5E7E7" w:rsidR="000B4EA8" w:rsidRPr="00023B68" w:rsidRDefault="000B4EA8" w:rsidP="00CE38CD">
            <w:pPr>
              <w:pStyle w:val="Default"/>
              <w:rPr>
                <w:sz w:val="20"/>
                <w:szCs w:val="20"/>
              </w:rPr>
            </w:pPr>
            <w:r w:rsidRPr="00023B68">
              <w:rPr>
                <w:sz w:val="20"/>
                <w:szCs w:val="20"/>
              </w:rPr>
              <w:t>Zw. Cyfrowa Polska</w:t>
            </w:r>
          </w:p>
        </w:tc>
        <w:tc>
          <w:tcPr>
            <w:tcW w:w="0" w:type="auto"/>
          </w:tcPr>
          <w:p w14:paraId="1A9F4172" w14:textId="77777777" w:rsidR="000B4EA8" w:rsidRPr="00023B68" w:rsidRDefault="000B4EA8" w:rsidP="000B4EA8">
            <w:pPr>
              <w:pStyle w:val="Default"/>
              <w:rPr>
                <w:b/>
                <w:bCs/>
                <w:sz w:val="20"/>
                <w:szCs w:val="20"/>
              </w:rPr>
            </w:pPr>
            <w:r w:rsidRPr="00023B68">
              <w:rPr>
                <w:b/>
                <w:bCs/>
                <w:sz w:val="20"/>
                <w:szCs w:val="20"/>
              </w:rPr>
              <w:t xml:space="preserve">Pojemność centrów danych i inwestycje </w:t>
            </w:r>
          </w:p>
          <w:p w14:paraId="6A9E7480" w14:textId="77777777" w:rsidR="000B4EA8" w:rsidRPr="00023B68" w:rsidRDefault="000B4EA8" w:rsidP="000B4EA8">
            <w:pPr>
              <w:pStyle w:val="Default"/>
              <w:rPr>
                <w:sz w:val="20"/>
                <w:szCs w:val="20"/>
              </w:rPr>
            </w:pPr>
            <w:r w:rsidRPr="00023B68">
              <w:rPr>
                <w:sz w:val="20"/>
                <w:szCs w:val="20"/>
              </w:rPr>
              <w:t>Szczególnie doceniamy zaangażowanie Komisji w obszarach takich jak ambicje dotyczące potrojenia pojemności centrów danych w UE w ciągu 5–7 lat, „</w:t>
            </w:r>
            <w:proofErr w:type="spellStart"/>
            <w:r w:rsidRPr="00023B68">
              <w:rPr>
                <w:sz w:val="20"/>
                <w:szCs w:val="20"/>
              </w:rPr>
              <w:t>Accelaration</w:t>
            </w:r>
            <w:proofErr w:type="spellEnd"/>
            <w:r w:rsidRPr="00023B68">
              <w:rPr>
                <w:sz w:val="20"/>
                <w:szCs w:val="20"/>
              </w:rPr>
              <w:t xml:space="preserve"> </w:t>
            </w:r>
            <w:proofErr w:type="spellStart"/>
            <w:r w:rsidRPr="00023B68">
              <w:rPr>
                <w:sz w:val="20"/>
                <w:szCs w:val="20"/>
              </w:rPr>
              <w:t>zones</w:t>
            </w:r>
            <w:proofErr w:type="spellEnd"/>
            <w:r w:rsidRPr="00023B68">
              <w:rPr>
                <w:sz w:val="20"/>
                <w:szCs w:val="20"/>
              </w:rPr>
              <w:t xml:space="preserve">” z uproszczonymi procedurami pozwoleń, 12-miesięczny harmonogram wydawania pozwoleń i procedurę „jednego okienka”, mechanizm pojedynczego pozwolenia bazowego i scentralizowane punkty informacyjne, czy planowanie sieci zorientowane na przyszłość (inwestycje dostosowane do popytu). Dostrzegamy jednak wyzwania dotyczące tych założeń. </w:t>
            </w:r>
          </w:p>
          <w:p w14:paraId="5BE83448" w14:textId="77777777" w:rsidR="000B4EA8" w:rsidRPr="00023B68" w:rsidRDefault="000B4EA8" w:rsidP="000B4EA8">
            <w:pPr>
              <w:pStyle w:val="Default"/>
              <w:rPr>
                <w:sz w:val="20"/>
                <w:szCs w:val="20"/>
              </w:rPr>
            </w:pPr>
            <w:r w:rsidRPr="00023B68">
              <w:rPr>
                <w:sz w:val="20"/>
                <w:szCs w:val="20"/>
              </w:rPr>
              <w:t>W kwestii „</w:t>
            </w:r>
            <w:proofErr w:type="spellStart"/>
            <w:r w:rsidRPr="00023B68">
              <w:rPr>
                <w:sz w:val="20"/>
                <w:szCs w:val="20"/>
              </w:rPr>
              <w:t>accelaration</w:t>
            </w:r>
            <w:proofErr w:type="spellEnd"/>
            <w:r w:rsidRPr="00023B68">
              <w:rPr>
                <w:sz w:val="20"/>
                <w:szCs w:val="20"/>
              </w:rPr>
              <w:t xml:space="preserve"> </w:t>
            </w:r>
            <w:proofErr w:type="spellStart"/>
            <w:r w:rsidRPr="00023B68">
              <w:rPr>
                <w:sz w:val="20"/>
                <w:szCs w:val="20"/>
              </w:rPr>
              <w:t>zones</w:t>
            </w:r>
            <w:proofErr w:type="spellEnd"/>
            <w:r w:rsidRPr="00023B68">
              <w:rPr>
                <w:sz w:val="20"/>
                <w:szCs w:val="20"/>
              </w:rPr>
              <w:t xml:space="preserve">”: </w:t>
            </w:r>
          </w:p>
          <w:p w14:paraId="762A8991" w14:textId="77777777" w:rsidR="000B4EA8" w:rsidRPr="00023B68" w:rsidRDefault="000B4EA8" w:rsidP="000B4EA8">
            <w:pPr>
              <w:pStyle w:val="Default"/>
              <w:numPr>
                <w:ilvl w:val="0"/>
                <w:numId w:val="51"/>
              </w:numPr>
              <w:rPr>
                <w:sz w:val="20"/>
                <w:szCs w:val="20"/>
              </w:rPr>
            </w:pPr>
            <w:r w:rsidRPr="00023B68">
              <w:rPr>
                <w:sz w:val="20"/>
                <w:szCs w:val="20"/>
              </w:rPr>
              <w:t xml:space="preserve">Obok czynników po stronie podażowej (przepustowość sieci, dostępność energii odnawialnej) należy uwzględniać także wskaźniki po stronie popytowej (realne zapotrzebowanie na moc obliczeniową) – wyznaczenie strefy bez analizy popytu stwarzają ryzyko lokowania inwestycji w lokalizacjach nieoptymalnych z punktu widzenia ekonomicznego </w:t>
            </w:r>
          </w:p>
          <w:p w14:paraId="58EC7097" w14:textId="77777777" w:rsidR="000B4EA8" w:rsidRPr="00023B68" w:rsidRDefault="000B4EA8" w:rsidP="000B4EA8">
            <w:pPr>
              <w:pStyle w:val="Default"/>
              <w:numPr>
                <w:ilvl w:val="0"/>
                <w:numId w:val="51"/>
              </w:numPr>
              <w:rPr>
                <w:sz w:val="20"/>
                <w:szCs w:val="20"/>
              </w:rPr>
            </w:pPr>
            <w:r w:rsidRPr="00023B68">
              <w:rPr>
                <w:sz w:val="20"/>
                <w:szCs w:val="20"/>
              </w:rPr>
              <w:t xml:space="preserve">Konieczne są wytyczne Komisji dla państw członkowskich dotyczące kryteriów wyznaczania określonych w art. 10 aby zapobiec fragmentacji, w której identyczne obiekty kwalifikują się w jednej jurysdykcji, ale nie w innej; kryteria zrównoważonego rozwoju z art. 11 powinny być odzwierciedlone także w klasach wydajności Rating </w:t>
            </w:r>
            <w:proofErr w:type="spellStart"/>
            <w:r w:rsidRPr="00023B68">
              <w:rPr>
                <w:sz w:val="20"/>
                <w:szCs w:val="20"/>
              </w:rPr>
              <w:t>Scheme</w:t>
            </w:r>
            <w:proofErr w:type="spellEnd"/>
            <w:r w:rsidRPr="00023B68">
              <w:rPr>
                <w:sz w:val="20"/>
                <w:szCs w:val="20"/>
              </w:rPr>
              <w:t xml:space="preserve"> (PUE, WUE, REF). </w:t>
            </w:r>
          </w:p>
          <w:p w14:paraId="01A846DF" w14:textId="77777777" w:rsidR="000B4EA8" w:rsidRPr="00023B68" w:rsidRDefault="000B4EA8" w:rsidP="000B4EA8">
            <w:pPr>
              <w:pStyle w:val="Default"/>
              <w:numPr>
                <w:ilvl w:val="0"/>
                <w:numId w:val="51"/>
              </w:numPr>
              <w:rPr>
                <w:sz w:val="20"/>
                <w:szCs w:val="20"/>
              </w:rPr>
            </w:pPr>
            <w:proofErr w:type="spellStart"/>
            <w:r w:rsidRPr="00023B68">
              <w:rPr>
                <w:sz w:val="20"/>
                <w:szCs w:val="20"/>
              </w:rPr>
              <w:t>Accelaration</w:t>
            </w:r>
            <w:proofErr w:type="spellEnd"/>
            <w:r w:rsidRPr="00023B68">
              <w:rPr>
                <w:sz w:val="20"/>
                <w:szCs w:val="20"/>
              </w:rPr>
              <w:t xml:space="preserve"> </w:t>
            </w:r>
            <w:proofErr w:type="spellStart"/>
            <w:r w:rsidRPr="00023B68">
              <w:rPr>
                <w:sz w:val="20"/>
                <w:szCs w:val="20"/>
              </w:rPr>
              <w:t>zones</w:t>
            </w:r>
            <w:proofErr w:type="spellEnd"/>
            <w:r w:rsidRPr="00023B68">
              <w:rPr>
                <w:sz w:val="20"/>
                <w:szCs w:val="20"/>
              </w:rPr>
              <w:t xml:space="preserve">, zgodnie ze swoją nazwą powinny przyspieszać, a nie hamować </w:t>
            </w:r>
            <w:proofErr w:type="spellStart"/>
            <w:r w:rsidRPr="00023B68">
              <w:rPr>
                <w:sz w:val="20"/>
                <w:szCs w:val="20"/>
              </w:rPr>
              <w:t>rozwój.Traktowanie</w:t>
            </w:r>
            <w:proofErr w:type="spellEnd"/>
            <w:r w:rsidRPr="00023B68">
              <w:rPr>
                <w:sz w:val="20"/>
                <w:szCs w:val="20"/>
              </w:rPr>
              <w:t xml:space="preserve"> stref jako wyizolowanych, autonomicznych „regionów” zniechęciłoby do inwestycji poza nimi, spowodowałoby spekulacyjną inflację cen </w:t>
            </w:r>
            <w:r w:rsidRPr="00023B68">
              <w:rPr>
                <w:sz w:val="20"/>
                <w:szCs w:val="20"/>
              </w:rPr>
              <w:lastRenderedPageBreak/>
              <w:t>gruntów w strefach i skoncentrowałoby rozwoju mocy obliczeniowych w wybranych miejscach zamiast spowodować bardziej zrównoważony efekt rozwoju mocy obliczeniowych („</w:t>
            </w:r>
            <w:proofErr w:type="spellStart"/>
            <w:r w:rsidRPr="00023B68">
              <w:rPr>
                <w:sz w:val="20"/>
                <w:szCs w:val="20"/>
              </w:rPr>
              <w:t>spill-over</w:t>
            </w:r>
            <w:proofErr w:type="spellEnd"/>
            <w:r w:rsidRPr="00023B68">
              <w:rPr>
                <w:sz w:val="20"/>
                <w:szCs w:val="20"/>
              </w:rPr>
              <w:t xml:space="preserve">”). </w:t>
            </w:r>
          </w:p>
          <w:p w14:paraId="58A12EF7" w14:textId="77777777" w:rsidR="002C1705" w:rsidRPr="00023B68" w:rsidRDefault="002C1705" w:rsidP="002C1705">
            <w:pPr>
              <w:pStyle w:val="Default"/>
              <w:rPr>
                <w:sz w:val="20"/>
                <w:szCs w:val="20"/>
              </w:rPr>
            </w:pPr>
          </w:p>
          <w:p w14:paraId="6484BF57" w14:textId="77777777" w:rsidR="002C1705" w:rsidRPr="00023B68" w:rsidRDefault="002C1705" w:rsidP="002C1705">
            <w:pPr>
              <w:pStyle w:val="Default"/>
              <w:rPr>
                <w:b/>
                <w:bCs/>
                <w:sz w:val="20"/>
                <w:szCs w:val="20"/>
              </w:rPr>
            </w:pPr>
            <w:r w:rsidRPr="00023B68">
              <w:rPr>
                <w:b/>
                <w:bCs/>
                <w:sz w:val="20"/>
                <w:szCs w:val="20"/>
              </w:rPr>
              <w:t xml:space="preserve">Kwestie przyłączenia do sieci </w:t>
            </w:r>
          </w:p>
          <w:p w14:paraId="53AD4F6F" w14:textId="77777777" w:rsidR="002C1705" w:rsidRPr="00023B68" w:rsidRDefault="002C1705" w:rsidP="002C1705">
            <w:pPr>
              <w:pStyle w:val="Default"/>
              <w:rPr>
                <w:sz w:val="20"/>
                <w:szCs w:val="20"/>
              </w:rPr>
            </w:pPr>
            <w:r w:rsidRPr="00023B68">
              <w:rPr>
                <w:sz w:val="20"/>
                <w:szCs w:val="20"/>
              </w:rPr>
              <w:t>12-miesięczny okres uzyskiwania pozwoleń może okazać się nierealistyczny, jeśli uzyskanie przyłączy do sieci energetycznych trwa ok 36–48 miesięcy. Istnieje ryzyko „systemu dwóch prędkości”: szybkie pozwolenia + lata oczekiwania na energię ≠ prawdziwe przyspieszenie.</w:t>
            </w:r>
          </w:p>
          <w:p w14:paraId="3ACD4591" w14:textId="77777777" w:rsidR="002C1705" w:rsidRPr="00023B68" w:rsidRDefault="002C1705" w:rsidP="002C1705">
            <w:pPr>
              <w:pStyle w:val="Default"/>
              <w:rPr>
                <w:sz w:val="20"/>
                <w:szCs w:val="20"/>
              </w:rPr>
            </w:pPr>
            <w:r w:rsidRPr="00023B68">
              <w:rPr>
                <w:sz w:val="20"/>
                <w:szCs w:val="20"/>
              </w:rPr>
              <w:t xml:space="preserve">Rekomendujemy: </w:t>
            </w:r>
          </w:p>
          <w:p w14:paraId="6FF2A942" w14:textId="77777777" w:rsidR="002C1705" w:rsidRPr="00023B68" w:rsidRDefault="002C1705" w:rsidP="002C1705">
            <w:pPr>
              <w:pStyle w:val="Default"/>
              <w:numPr>
                <w:ilvl w:val="0"/>
                <w:numId w:val="52"/>
              </w:numPr>
              <w:rPr>
                <w:sz w:val="20"/>
                <w:szCs w:val="20"/>
              </w:rPr>
            </w:pPr>
            <w:r w:rsidRPr="00023B68">
              <w:rPr>
                <w:sz w:val="20"/>
                <w:szCs w:val="20"/>
              </w:rPr>
              <w:t xml:space="preserve">Państwa członkowskie powinny raportować rzeczywiste czasy realizacji przyłączeń do sieci w </w:t>
            </w:r>
            <w:proofErr w:type="spellStart"/>
            <w:r w:rsidRPr="00023B68">
              <w:rPr>
                <w:sz w:val="20"/>
                <w:szCs w:val="20"/>
              </w:rPr>
              <w:t>accelaration</w:t>
            </w:r>
            <w:proofErr w:type="spellEnd"/>
            <w:r w:rsidRPr="00023B68">
              <w:rPr>
                <w:sz w:val="20"/>
                <w:szCs w:val="20"/>
              </w:rPr>
              <w:t xml:space="preserve"> </w:t>
            </w:r>
            <w:proofErr w:type="spellStart"/>
            <w:r w:rsidRPr="00023B68">
              <w:rPr>
                <w:sz w:val="20"/>
                <w:szCs w:val="20"/>
              </w:rPr>
              <w:t>zones</w:t>
            </w:r>
            <w:proofErr w:type="spellEnd"/>
            <w:r w:rsidRPr="00023B68">
              <w:rPr>
                <w:sz w:val="20"/>
                <w:szCs w:val="20"/>
              </w:rPr>
              <w:t xml:space="preserve"> </w:t>
            </w:r>
          </w:p>
          <w:p w14:paraId="4B544429" w14:textId="77777777" w:rsidR="002C1705" w:rsidRPr="00023B68" w:rsidRDefault="002C1705" w:rsidP="002C1705">
            <w:pPr>
              <w:pStyle w:val="Default"/>
              <w:numPr>
                <w:ilvl w:val="0"/>
                <w:numId w:val="52"/>
              </w:numPr>
              <w:rPr>
                <w:sz w:val="20"/>
                <w:szCs w:val="20"/>
              </w:rPr>
            </w:pPr>
            <w:r w:rsidRPr="00023B68">
              <w:rPr>
                <w:sz w:val="20"/>
                <w:szCs w:val="20"/>
              </w:rPr>
              <w:t xml:space="preserve">Należy ustanowić mechanizm eskalacji, gdy przyłączenie do sieci przekracza harmonogram pozwoleń o więcej niż 12 miesięcy. </w:t>
            </w:r>
          </w:p>
          <w:p w14:paraId="7AC7A40B" w14:textId="77777777" w:rsidR="002C1705" w:rsidRPr="00023B68" w:rsidRDefault="002C1705" w:rsidP="002C1705">
            <w:pPr>
              <w:pStyle w:val="Default"/>
              <w:rPr>
                <w:sz w:val="20"/>
                <w:szCs w:val="20"/>
              </w:rPr>
            </w:pPr>
          </w:p>
          <w:p w14:paraId="57ED4151" w14:textId="77777777" w:rsidR="002C1705" w:rsidRPr="00023B68" w:rsidRDefault="002C1705" w:rsidP="002C1705">
            <w:pPr>
              <w:pStyle w:val="Default"/>
              <w:rPr>
                <w:b/>
                <w:bCs/>
                <w:sz w:val="20"/>
                <w:szCs w:val="20"/>
              </w:rPr>
            </w:pPr>
            <w:r w:rsidRPr="00023B68">
              <w:rPr>
                <w:b/>
                <w:bCs/>
                <w:sz w:val="20"/>
                <w:szCs w:val="20"/>
              </w:rPr>
              <w:t xml:space="preserve">Umowy trójstronne </w:t>
            </w:r>
          </w:p>
          <w:p w14:paraId="43EF9C10" w14:textId="77777777" w:rsidR="002C1705" w:rsidRPr="00023B68" w:rsidRDefault="002C1705" w:rsidP="002C1705">
            <w:pPr>
              <w:pStyle w:val="Default"/>
              <w:rPr>
                <w:sz w:val="20"/>
                <w:szCs w:val="20"/>
              </w:rPr>
            </w:pPr>
            <w:r w:rsidRPr="00023B68">
              <w:rPr>
                <w:sz w:val="20"/>
                <w:szCs w:val="20"/>
              </w:rPr>
              <w:t xml:space="preserve">Umowy między operatorami centrów danych, operatorami sieci i producentami energii odnawialnej dotyczące skoordynowanej elastyczności powinny stanowić dowód prima facie zachowania pozytywnego dla sieci. Rekomendujemy, by: </w:t>
            </w:r>
          </w:p>
          <w:p w14:paraId="5A42F145" w14:textId="77777777" w:rsidR="002C1705" w:rsidRPr="00023B68" w:rsidRDefault="002C1705" w:rsidP="002C1705">
            <w:pPr>
              <w:pStyle w:val="Default"/>
              <w:numPr>
                <w:ilvl w:val="0"/>
                <w:numId w:val="53"/>
              </w:numPr>
              <w:rPr>
                <w:sz w:val="20"/>
                <w:szCs w:val="20"/>
              </w:rPr>
            </w:pPr>
            <w:r w:rsidRPr="00023B68">
              <w:rPr>
                <w:sz w:val="20"/>
                <w:szCs w:val="20"/>
              </w:rPr>
              <w:t xml:space="preserve">Umowy takie automatycznie kwalifikowały się do oznaczenia jako Projekt Strategiczny na mocy art. 14. </w:t>
            </w:r>
          </w:p>
          <w:p w14:paraId="552ECDA4" w14:textId="77777777" w:rsidR="002C1705" w:rsidRPr="00023B68" w:rsidRDefault="002C1705" w:rsidP="002C1705">
            <w:pPr>
              <w:pStyle w:val="Default"/>
              <w:rPr>
                <w:sz w:val="20"/>
                <w:szCs w:val="20"/>
              </w:rPr>
            </w:pPr>
          </w:p>
          <w:p w14:paraId="7F93E3CB" w14:textId="77777777" w:rsidR="002C1705" w:rsidRPr="00023B68" w:rsidRDefault="002C1705" w:rsidP="002C1705">
            <w:pPr>
              <w:pStyle w:val="Default"/>
              <w:rPr>
                <w:b/>
                <w:bCs/>
                <w:sz w:val="20"/>
                <w:szCs w:val="20"/>
              </w:rPr>
            </w:pPr>
            <w:r w:rsidRPr="00023B68">
              <w:rPr>
                <w:b/>
                <w:bCs/>
                <w:sz w:val="20"/>
                <w:szCs w:val="20"/>
              </w:rPr>
              <w:t xml:space="preserve">Zasady FRAND i planowanie inwestycji </w:t>
            </w:r>
          </w:p>
          <w:p w14:paraId="6796CD11" w14:textId="77777777" w:rsidR="002C1705" w:rsidRPr="00023B68" w:rsidRDefault="002C1705" w:rsidP="002C1705">
            <w:pPr>
              <w:pStyle w:val="Default"/>
              <w:rPr>
                <w:sz w:val="20"/>
                <w:szCs w:val="20"/>
              </w:rPr>
            </w:pPr>
            <w:r w:rsidRPr="00023B68">
              <w:rPr>
                <w:sz w:val="20"/>
                <w:szCs w:val="20"/>
              </w:rPr>
              <w:t xml:space="preserve">Na uznanie zasługuje zastosowanie zasad Fair, </w:t>
            </w:r>
            <w:proofErr w:type="spellStart"/>
            <w:r w:rsidRPr="00023B68">
              <w:rPr>
                <w:sz w:val="20"/>
                <w:szCs w:val="20"/>
              </w:rPr>
              <w:t>Reasonable</w:t>
            </w:r>
            <w:proofErr w:type="spellEnd"/>
            <w:r w:rsidRPr="00023B68">
              <w:rPr>
                <w:sz w:val="20"/>
                <w:szCs w:val="20"/>
              </w:rPr>
              <w:t xml:space="preserve"> and Non-</w:t>
            </w:r>
            <w:proofErr w:type="spellStart"/>
            <w:r w:rsidRPr="00023B68">
              <w:rPr>
                <w:sz w:val="20"/>
                <w:szCs w:val="20"/>
              </w:rPr>
              <w:t>Discriminatory</w:t>
            </w:r>
            <w:proofErr w:type="spellEnd"/>
            <w:r w:rsidRPr="00023B68">
              <w:rPr>
                <w:sz w:val="20"/>
                <w:szCs w:val="20"/>
              </w:rPr>
              <w:t xml:space="preserve"> (FRAND) wobec </w:t>
            </w:r>
            <w:proofErr w:type="spellStart"/>
            <w:r w:rsidRPr="00023B68">
              <w:rPr>
                <w:sz w:val="20"/>
                <w:szCs w:val="20"/>
              </w:rPr>
              <w:t>acceleration</w:t>
            </w:r>
            <w:proofErr w:type="spellEnd"/>
            <w:r w:rsidRPr="00023B68">
              <w:rPr>
                <w:sz w:val="20"/>
                <w:szCs w:val="20"/>
              </w:rPr>
              <w:t xml:space="preserve"> </w:t>
            </w:r>
            <w:proofErr w:type="spellStart"/>
            <w:r w:rsidRPr="00023B68">
              <w:rPr>
                <w:sz w:val="20"/>
                <w:szCs w:val="20"/>
              </w:rPr>
              <w:t>zones</w:t>
            </w:r>
            <w:proofErr w:type="spellEnd"/>
            <w:r w:rsidRPr="00023B68">
              <w:rPr>
                <w:sz w:val="20"/>
                <w:szCs w:val="20"/>
              </w:rPr>
              <w:t xml:space="preserve">. Konieczne jest jednak rozróżnienie między: </w:t>
            </w:r>
          </w:p>
          <w:p w14:paraId="1F45FBCA" w14:textId="77777777" w:rsidR="002C1705" w:rsidRPr="00023B68" w:rsidRDefault="002C1705" w:rsidP="002C1705">
            <w:pPr>
              <w:pStyle w:val="Default"/>
              <w:numPr>
                <w:ilvl w:val="0"/>
                <w:numId w:val="54"/>
              </w:numPr>
              <w:rPr>
                <w:sz w:val="20"/>
                <w:szCs w:val="20"/>
              </w:rPr>
            </w:pPr>
            <w:r w:rsidRPr="00023B68">
              <w:rPr>
                <w:sz w:val="20"/>
                <w:szCs w:val="20"/>
              </w:rPr>
              <w:t xml:space="preserve">uzasadnionym planowaniem z wyprzedzeniem (operatorzy zabezpieczający przyłączenia do sieci z wiążącymi inwestycjami popartymi gwarancjami finansowymi), </w:t>
            </w:r>
          </w:p>
          <w:p w14:paraId="5AD93C76" w14:textId="77777777" w:rsidR="002C1705" w:rsidRPr="00023B68" w:rsidRDefault="002C1705" w:rsidP="002C1705">
            <w:pPr>
              <w:pStyle w:val="Default"/>
              <w:numPr>
                <w:ilvl w:val="0"/>
                <w:numId w:val="54"/>
              </w:numPr>
              <w:rPr>
                <w:sz w:val="20"/>
                <w:szCs w:val="20"/>
              </w:rPr>
            </w:pPr>
            <w:r w:rsidRPr="00023B68">
              <w:rPr>
                <w:sz w:val="20"/>
                <w:szCs w:val="20"/>
              </w:rPr>
              <w:t xml:space="preserve">spekulacyjnym zamknięciem rynku (pojemność zarezerwowana bez zobowiązań do wdrożenia). </w:t>
            </w:r>
          </w:p>
          <w:p w14:paraId="5AF17107" w14:textId="77777777" w:rsidR="002C1705" w:rsidRPr="00023B68" w:rsidRDefault="002C1705" w:rsidP="002C1705">
            <w:pPr>
              <w:pStyle w:val="Default"/>
              <w:rPr>
                <w:sz w:val="20"/>
                <w:szCs w:val="20"/>
              </w:rPr>
            </w:pPr>
          </w:p>
          <w:p w14:paraId="7B8A048A" w14:textId="77777777" w:rsidR="002C1705" w:rsidRPr="00023B68" w:rsidRDefault="002C1705" w:rsidP="002C1705">
            <w:pPr>
              <w:pStyle w:val="Default"/>
              <w:rPr>
                <w:b/>
                <w:bCs/>
                <w:sz w:val="20"/>
                <w:szCs w:val="20"/>
              </w:rPr>
            </w:pPr>
            <w:r w:rsidRPr="00023B68">
              <w:rPr>
                <w:b/>
                <w:bCs/>
                <w:sz w:val="20"/>
                <w:szCs w:val="20"/>
              </w:rPr>
              <w:t xml:space="preserve">Kryteria Projektów Strategicznych </w:t>
            </w:r>
          </w:p>
          <w:p w14:paraId="78DD0AA8" w14:textId="77777777" w:rsidR="002C1705" w:rsidRPr="00023B68" w:rsidRDefault="002C1705" w:rsidP="002C1705">
            <w:pPr>
              <w:pStyle w:val="Default"/>
              <w:rPr>
                <w:sz w:val="20"/>
                <w:szCs w:val="20"/>
              </w:rPr>
            </w:pPr>
            <w:r w:rsidRPr="00023B68">
              <w:rPr>
                <w:sz w:val="20"/>
                <w:szCs w:val="20"/>
              </w:rPr>
              <w:t>Kryteria wyboru powinny być neutralne technologicznie, czyli oparte na rzeczywistym wkładzie w rozwój mocy, innowacji i zrównoważonego rozwoju, a nie na kraju pochodzenia dostawcy.</w:t>
            </w:r>
          </w:p>
          <w:p w14:paraId="101A23C1" w14:textId="77777777" w:rsidR="00A85FE9" w:rsidRPr="00023B68" w:rsidRDefault="00A85FE9" w:rsidP="00B71E11">
            <w:pPr>
              <w:pStyle w:val="Default"/>
              <w:rPr>
                <w:sz w:val="20"/>
                <w:szCs w:val="20"/>
              </w:rPr>
            </w:pPr>
          </w:p>
        </w:tc>
      </w:tr>
      <w:tr w:rsidR="00A85FE9" w:rsidRPr="00023B68" w14:paraId="2005D561" w14:textId="77777777" w:rsidTr="00040008">
        <w:tc>
          <w:tcPr>
            <w:tcW w:w="0" w:type="auto"/>
          </w:tcPr>
          <w:p w14:paraId="54F3D1F8" w14:textId="20F3F795"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28CAFD5F" w14:textId="40907586"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155655E4" w14:textId="77777777" w:rsidR="006C63BC" w:rsidRPr="00023B68" w:rsidRDefault="00A85FE9" w:rsidP="00A85FE9">
            <w:pPr>
              <w:pStyle w:val="Default"/>
              <w:rPr>
                <w:sz w:val="20"/>
                <w:szCs w:val="20"/>
              </w:rPr>
            </w:pPr>
            <w:proofErr w:type="spellStart"/>
            <w:r w:rsidRPr="00023B68">
              <w:rPr>
                <w:sz w:val="20"/>
                <w:szCs w:val="20"/>
              </w:rPr>
              <w:t>AmCham</w:t>
            </w:r>
            <w:proofErr w:type="spellEnd"/>
            <w:r w:rsidRPr="00023B68">
              <w:rPr>
                <w:sz w:val="20"/>
                <w:szCs w:val="20"/>
              </w:rPr>
              <w:t xml:space="preserve"> uznaje publikację wniosku dotyczącego Aktu o rozwoju chmury i sztucznej</w:t>
            </w:r>
            <w:r w:rsidR="00DF0A38" w:rsidRPr="00023B68">
              <w:rPr>
                <w:sz w:val="20"/>
                <w:szCs w:val="20"/>
              </w:rPr>
              <w:t> </w:t>
            </w:r>
            <w:r w:rsidRPr="00023B68">
              <w:rPr>
                <w:sz w:val="20"/>
                <w:szCs w:val="20"/>
              </w:rPr>
              <w:t>inteligencji (CADA) za kluczowy krok w kierunku realizacji unijnego celu potrojenia mocy</w:t>
            </w:r>
            <w:r w:rsidR="00DF0A38" w:rsidRPr="00023B68">
              <w:rPr>
                <w:sz w:val="20"/>
                <w:szCs w:val="20"/>
              </w:rPr>
              <w:t> </w:t>
            </w:r>
            <w:r w:rsidRPr="00023B68">
              <w:rPr>
                <w:sz w:val="20"/>
                <w:szCs w:val="20"/>
              </w:rPr>
              <w:t>obliczeniowej centrów danych w ciągu najbliższych 5–7 lat. Wspieramy dążenie Unii</w:t>
            </w:r>
            <w:r w:rsidR="00DF0A38" w:rsidRPr="00023B68">
              <w:rPr>
                <w:sz w:val="20"/>
                <w:szCs w:val="20"/>
              </w:rPr>
              <w:t> </w:t>
            </w:r>
            <w:r w:rsidRPr="00023B68">
              <w:rPr>
                <w:sz w:val="20"/>
                <w:szCs w:val="20"/>
              </w:rPr>
              <w:t xml:space="preserve">Europejskiej do rozbudowy niezbędnej infrastruktury cyfrowej. </w:t>
            </w:r>
          </w:p>
          <w:p w14:paraId="5AC7AC0C" w14:textId="77777777" w:rsidR="006C63BC" w:rsidRPr="00023B68" w:rsidRDefault="006C63BC" w:rsidP="00A85FE9">
            <w:pPr>
              <w:pStyle w:val="Default"/>
              <w:rPr>
                <w:sz w:val="20"/>
                <w:szCs w:val="20"/>
              </w:rPr>
            </w:pPr>
          </w:p>
          <w:p w14:paraId="3D80F4AC" w14:textId="77777777" w:rsidR="006C63BC" w:rsidRPr="00023B68" w:rsidRDefault="00A85FE9" w:rsidP="00A85FE9">
            <w:pPr>
              <w:pStyle w:val="Default"/>
              <w:rPr>
                <w:sz w:val="20"/>
                <w:szCs w:val="20"/>
              </w:rPr>
            </w:pPr>
            <w:r w:rsidRPr="00023B68">
              <w:rPr>
                <w:sz w:val="20"/>
                <w:szCs w:val="20"/>
              </w:rPr>
              <w:t>Zwracamy jednak uwagę, że</w:t>
            </w:r>
            <w:r w:rsidR="00DF0A38" w:rsidRPr="00023B68">
              <w:rPr>
                <w:sz w:val="20"/>
                <w:szCs w:val="20"/>
              </w:rPr>
              <w:t> </w:t>
            </w:r>
            <w:r w:rsidRPr="00023B68">
              <w:rPr>
                <w:sz w:val="20"/>
                <w:szCs w:val="20"/>
              </w:rPr>
              <w:t>efektywny rozwój mocy obliczeniowych wymaga nie tylko szybszego wydawania pozwoleń,</w:t>
            </w:r>
            <w:r w:rsidR="00DF0A38" w:rsidRPr="00023B68">
              <w:rPr>
                <w:sz w:val="20"/>
                <w:szCs w:val="20"/>
              </w:rPr>
              <w:t> </w:t>
            </w:r>
            <w:r w:rsidRPr="00023B68">
              <w:rPr>
                <w:sz w:val="20"/>
                <w:szCs w:val="20"/>
              </w:rPr>
              <w:t>ale również przewidywalnego dostępu do energii, jednoznaczności prawnej oraz spójnych ram</w:t>
            </w:r>
            <w:r w:rsidR="00DF0A38" w:rsidRPr="00023B68">
              <w:rPr>
                <w:sz w:val="20"/>
                <w:szCs w:val="20"/>
              </w:rPr>
              <w:t> </w:t>
            </w:r>
            <w:r w:rsidRPr="00023B68">
              <w:rPr>
                <w:sz w:val="20"/>
                <w:szCs w:val="20"/>
              </w:rPr>
              <w:t>wspierających zrównoważone inwestycje.</w:t>
            </w:r>
            <w:r w:rsidR="00DF0A38" w:rsidRPr="00023B68">
              <w:rPr>
                <w:sz w:val="20"/>
                <w:szCs w:val="20"/>
              </w:rPr>
              <w:t> </w:t>
            </w:r>
          </w:p>
          <w:p w14:paraId="3FDD2376" w14:textId="77777777" w:rsidR="006C63BC" w:rsidRPr="00023B68" w:rsidRDefault="006C63BC" w:rsidP="00A85FE9">
            <w:pPr>
              <w:pStyle w:val="Default"/>
              <w:rPr>
                <w:sz w:val="20"/>
                <w:szCs w:val="20"/>
              </w:rPr>
            </w:pPr>
          </w:p>
          <w:p w14:paraId="005FE605" w14:textId="77777777" w:rsidR="006C63BC" w:rsidRPr="00023B68" w:rsidRDefault="00A85FE9" w:rsidP="00A85FE9">
            <w:pPr>
              <w:pStyle w:val="Default"/>
              <w:rPr>
                <w:b/>
                <w:bCs/>
                <w:sz w:val="20"/>
                <w:szCs w:val="20"/>
              </w:rPr>
            </w:pPr>
            <w:r w:rsidRPr="00023B68">
              <w:rPr>
                <w:b/>
                <w:bCs/>
                <w:sz w:val="20"/>
                <w:szCs w:val="20"/>
              </w:rPr>
              <w:t>Powiązanie stref przyspieszonego rozwoju ze wskaźnikami zrównoważonego rozwoju</w:t>
            </w:r>
            <w:r w:rsidR="00DF0A38" w:rsidRPr="00023B68">
              <w:rPr>
                <w:b/>
                <w:bCs/>
                <w:sz w:val="20"/>
                <w:szCs w:val="20"/>
              </w:rPr>
              <w:t> </w:t>
            </w:r>
          </w:p>
          <w:p w14:paraId="10491326" w14:textId="21A63585" w:rsidR="00A85FE9" w:rsidRPr="00023B68" w:rsidRDefault="00A85FE9" w:rsidP="00A85FE9">
            <w:pPr>
              <w:pStyle w:val="Default"/>
              <w:rPr>
                <w:sz w:val="20"/>
                <w:szCs w:val="20"/>
              </w:rPr>
            </w:pPr>
            <w:r w:rsidRPr="00023B68">
              <w:rPr>
                <w:sz w:val="20"/>
                <w:szCs w:val="20"/>
              </w:rPr>
              <w:t>Popieramy nacisk, jaki CADA kładzie na zrównoważoną eksploatację centrów danych. Dla</w:t>
            </w:r>
            <w:r w:rsidR="00DF0A38" w:rsidRPr="00023B68">
              <w:rPr>
                <w:sz w:val="20"/>
                <w:szCs w:val="20"/>
              </w:rPr>
              <w:t> </w:t>
            </w:r>
            <w:r w:rsidRPr="00023B68">
              <w:rPr>
                <w:sz w:val="20"/>
                <w:szCs w:val="20"/>
              </w:rPr>
              <w:t>zapewnienia pewności prawnej i równych szans na rynku wewnętrznym kluczowe jest jednak</w:t>
            </w:r>
            <w:r w:rsidR="00DF0A38" w:rsidRPr="00023B68">
              <w:rPr>
                <w:sz w:val="20"/>
                <w:szCs w:val="20"/>
              </w:rPr>
              <w:t> </w:t>
            </w:r>
            <w:r w:rsidRPr="00023B68">
              <w:rPr>
                <w:sz w:val="20"/>
                <w:szCs w:val="20"/>
              </w:rPr>
              <w:t>pełne zharmonizowanie wymogów:</w:t>
            </w:r>
            <w:r w:rsidR="00DF0A38" w:rsidRPr="00023B68">
              <w:rPr>
                <w:sz w:val="20"/>
                <w:szCs w:val="20"/>
              </w:rPr>
              <w:t> </w:t>
            </w:r>
            <w:r w:rsidRPr="00023B68">
              <w:rPr>
                <w:sz w:val="20"/>
                <w:szCs w:val="20"/>
              </w:rPr>
              <w:t xml:space="preserve">• Zharmonizowany system </w:t>
            </w:r>
            <w:r w:rsidRPr="00023B68">
              <w:rPr>
                <w:sz w:val="20"/>
                <w:szCs w:val="20"/>
              </w:rPr>
              <w:lastRenderedPageBreak/>
              <w:t>ocen: Dostęp do stref przyspieszonego rozwoju (</w:t>
            </w:r>
            <w:proofErr w:type="spellStart"/>
            <w:r w:rsidRPr="00023B68">
              <w:rPr>
                <w:sz w:val="20"/>
                <w:szCs w:val="20"/>
              </w:rPr>
              <w:t>acceleration</w:t>
            </w:r>
            <w:proofErr w:type="spellEnd"/>
            <w:r w:rsidR="00DF0A38" w:rsidRPr="00023B68">
              <w:rPr>
                <w:sz w:val="20"/>
                <w:szCs w:val="20"/>
              </w:rPr>
              <w:t> </w:t>
            </w:r>
            <w:proofErr w:type="spellStart"/>
            <w:r w:rsidRPr="00023B68">
              <w:rPr>
                <w:sz w:val="20"/>
                <w:szCs w:val="20"/>
              </w:rPr>
              <w:t>zones</w:t>
            </w:r>
            <w:proofErr w:type="spellEnd"/>
            <w:r w:rsidRPr="00023B68">
              <w:rPr>
                <w:sz w:val="20"/>
                <w:szCs w:val="20"/>
              </w:rPr>
              <w:t>) powinien zostać bezpośrednio powiązany ze wskaźnikami zrównoważonego</w:t>
            </w:r>
            <w:r w:rsidR="00DF0A38" w:rsidRPr="00023B68">
              <w:rPr>
                <w:sz w:val="20"/>
                <w:szCs w:val="20"/>
              </w:rPr>
              <w:t> </w:t>
            </w:r>
            <w:r w:rsidRPr="00023B68">
              <w:rPr>
                <w:sz w:val="20"/>
                <w:szCs w:val="20"/>
              </w:rPr>
              <w:t xml:space="preserve">rozwoju (Datacenter </w:t>
            </w:r>
            <w:proofErr w:type="spellStart"/>
            <w:r w:rsidRPr="00023B68">
              <w:rPr>
                <w:sz w:val="20"/>
                <w:szCs w:val="20"/>
              </w:rPr>
              <w:t>Sustainability</w:t>
            </w:r>
            <w:proofErr w:type="spellEnd"/>
            <w:r w:rsidRPr="00023B68">
              <w:rPr>
                <w:sz w:val="20"/>
                <w:szCs w:val="20"/>
              </w:rPr>
              <w:t xml:space="preserve"> </w:t>
            </w:r>
            <w:proofErr w:type="spellStart"/>
            <w:r w:rsidRPr="00023B68">
              <w:rPr>
                <w:sz w:val="20"/>
                <w:szCs w:val="20"/>
              </w:rPr>
              <w:t>Indicators</w:t>
            </w:r>
            <w:proofErr w:type="spellEnd"/>
            <w:r w:rsidRPr="00023B68">
              <w:rPr>
                <w:sz w:val="20"/>
                <w:szCs w:val="20"/>
              </w:rPr>
              <w:t>) zawartymi w opracowywanym przez</w:t>
            </w:r>
            <w:r w:rsidR="00DF0A38" w:rsidRPr="00023B68">
              <w:rPr>
                <w:sz w:val="20"/>
                <w:szCs w:val="20"/>
              </w:rPr>
              <w:t> </w:t>
            </w:r>
            <w:r w:rsidRPr="00023B68">
              <w:rPr>
                <w:sz w:val="20"/>
                <w:szCs w:val="20"/>
              </w:rPr>
              <w:t xml:space="preserve">Komisję unijnym systemie oceny centrów danych (EU data </w:t>
            </w:r>
            <w:proofErr w:type="spellStart"/>
            <w:r w:rsidRPr="00023B68">
              <w:rPr>
                <w:sz w:val="20"/>
                <w:szCs w:val="20"/>
              </w:rPr>
              <w:t>center</w:t>
            </w:r>
            <w:proofErr w:type="spellEnd"/>
            <w:r w:rsidRPr="00023B68">
              <w:rPr>
                <w:sz w:val="20"/>
                <w:szCs w:val="20"/>
              </w:rPr>
              <w:t xml:space="preserve"> rating </w:t>
            </w:r>
            <w:proofErr w:type="spellStart"/>
            <w:r w:rsidRPr="00023B68">
              <w:rPr>
                <w:sz w:val="20"/>
                <w:szCs w:val="20"/>
              </w:rPr>
              <w:t>scheme</w:t>
            </w:r>
            <w:proofErr w:type="spellEnd"/>
            <w:r w:rsidRPr="00023B68">
              <w:rPr>
                <w:sz w:val="20"/>
                <w:szCs w:val="20"/>
              </w:rPr>
              <w:t>), a</w:t>
            </w:r>
            <w:r w:rsidR="00DF0A38" w:rsidRPr="00023B68">
              <w:rPr>
                <w:sz w:val="20"/>
                <w:szCs w:val="20"/>
              </w:rPr>
              <w:t> </w:t>
            </w:r>
            <w:r w:rsidRPr="00023B68">
              <w:rPr>
                <w:sz w:val="20"/>
                <w:szCs w:val="20"/>
              </w:rPr>
              <w:t>nie w rozporządzeniu sprawozdawczym.</w:t>
            </w:r>
            <w:r w:rsidR="00DF0A38" w:rsidRPr="00023B68">
              <w:rPr>
                <w:sz w:val="20"/>
                <w:szCs w:val="20"/>
              </w:rPr>
              <w:t> </w:t>
            </w:r>
            <w:r w:rsidRPr="00023B68">
              <w:rPr>
                <w:sz w:val="20"/>
                <w:szCs w:val="20"/>
              </w:rPr>
              <w:t>• Zapobieganie rozdrobnieniu regulacyjnemu: Dedykowany system oceniania jest</w:t>
            </w:r>
            <w:r w:rsidR="00DF0A38" w:rsidRPr="00023B68">
              <w:rPr>
                <w:sz w:val="20"/>
                <w:szCs w:val="20"/>
              </w:rPr>
              <w:t> </w:t>
            </w:r>
            <w:r w:rsidRPr="00023B68">
              <w:rPr>
                <w:sz w:val="20"/>
                <w:szCs w:val="20"/>
              </w:rPr>
              <w:t>właściwym instrumentem do promowania rozwiązań najwyższej klasy. Opieranie się</w:t>
            </w:r>
            <w:r w:rsidR="00DF0A38" w:rsidRPr="00023B68">
              <w:rPr>
                <w:sz w:val="20"/>
                <w:szCs w:val="20"/>
              </w:rPr>
              <w:t> </w:t>
            </w:r>
            <w:r w:rsidRPr="00023B68">
              <w:rPr>
                <w:sz w:val="20"/>
                <w:szCs w:val="20"/>
              </w:rPr>
              <w:t>na rozporządzeniu sprawozdawczym grozi stosowaniem przez państwa członkowskie</w:t>
            </w:r>
            <w:r w:rsidR="00DF0A38" w:rsidRPr="00023B68">
              <w:rPr>
                <w:sz w:val="20"/>
                <w:szCs w:val="20"/>
              </w:rPr>
              <w:t> </w:t>
            </w:r>
            <w:r w:rsidRPr="00023B68">
              <w:rPr>
                <w:sz w:val="20"/>
                <w:szCs w:val="20"/>
              </w:rPr>
              <w:t>rozproszonych wskaźników KPI, które nie odzwierciedlają w pełni realnej wydajności</w:t>
            </w:r>
            <w:r w:rsidR="00DF0A38" w:rsidRPr="00023B68">
              <w:rPr>
                <w:sz w:val="20"/>
                <w:szCs w:val="20"/>
              </w:rPr>
              <w:t> </w:t>
            </w:r>
            <w:r w:rsidRPr="00023B68">
              <w:rPr>
                <w:sz w:val="20"/>
                <w:szCs w:val="20"/>
              </w:rPr>
              <w:t>ekologicznej.</w:t>
            </w:r>
            <w:r w:rsidR="00DF0A38" w:rsidRPr="00023B68">
              <w:rPr>
                <w:sz w:val="20"/>
                <w:szCs w:val="20"/>
              </w:rPr>
              <w:t> </w:t>
            </w:r>
            <w:r w:rsidRPr="00023B68">
              <w:rPr>
                <w:sz w:val="20"/>
                <w:szCs w:val="20"/>
              </w:rPr>
              <w:t>Unikanie podwójnej sprawozdawczości: Centra danych objęte już obowiązkami</w:t>
            </w:r>
            <w:r w:rsidR="00DF0A38" w:rsidRPr="00023B68">
              <w:rPr>
                <w:sz w:val="20"/>
                <w:szCs w:val="20"/>
              </w:rPr>
              <w:t> </w:t>
            </w:r>
            <w:r w:rsidRPr="00023B68">
              <w:rPr>
                <w:sz w:val="20"/>
                <w:szCs w:val="20"/>
              </w:rPr>
              <w:t>sprawozdawczymi na podstawie dyrektywy (UE) 2023/1791 i rozporządzenia</w:t>
            </w:r>
            <w:r w:rsidR="00DF0A38" w:rsidRPr="00023B68">
              <w:rPr>
                <w:sz w:val="20"/>
                <w:szCs w:val="20"/>
              </w:rPr>
              <w:t> </w:t>
            </w:r>
            <w:r w:rsidRPr="00023B68">
              <w:rPr>
                <w:sz w:val="20"/>
                <w:szCs w:val="20"/>
              </w:rPr>
              <w:t>delegowanego (UE) 2024/1364 nie powinny być obciążane podwójną</w:t>
            </w:r>
            <w:r w:rsidR="00DF0A38" w:rsidRPr="00023B68">
              <w:rPr>
                <w:sz w:val="20"/>
                <w:szCs w:val="20"/>
              </w:rPr>
              <w:t> </w:t>
            </w:r>
            <w:r w:rsidRPr="00023B68">
              <w:rPr>
                <w:sz w:val="20"/>
                <w:szCs w:val="20"/>
              </w:rPr>
              <w:t>sprawozdawczością.</w:t>
            </w:r>
            <w:r w:rsidR="00DF0A38" w:rsidRPr="00023B68">
              <w:rPr>
                <w:sz w:val="20"/>
                <w:szCs w:val="20"/>
              </w:rPr>
              <w:t> </w:t>
            </w:r>
            <w:r w:rsidRPr="00023B68">
              <w:rPr>
                <w:sz w:val="20"/>
                <w:szCs w:val="20"/>
              </w:rPr>
              <w:t>• Uczciwa konkurencja przy alokacji zasobów: Alokacja zasobów w strefach powinna</w:t>
            </w:r>
            <w:r w:rsidR="00DF0A38" w:rsidRPr="00023B68">
              <w:rPr>
                <w:sz w:val="20"/>
                <w:szCs w:val="20"/>
              </w:rPr>
              <w:t> </w:t>
            </w:r>
            <w:r w:rsidRPr="00023B68">
              <w:rPr>
                <w:sz w:val="20"/>
                <w:szCs w:val="20"/>
              </w:rPr>
              <w:t>odbywać się na zasadach zapewniających uczciwą konkurencję rynkową – tak, aby</w:t>
            </w:r>
            <w:r w:rsidR="00DF0A38" w:rsidRPr="00023B68">
              <w:rPr>
                <w:sz w:val="20"/>
                <w:szCs w:val="20"/>
              </w:rPr>
              <w:t> </w:t>
            </w:r>
            <w:r w:rsidRPr="00023B68">
              <w:rPr>
                <w:sz w:val="20"/>
                <w:szCs w:val="20"/>
              </w:rPr>
              <w:t>art. 11 ust. 2 CADA nie stał się podstawą do nakładania dodatkowych wymogów o</w:t>
            </w:r>
            <w:r w:rsidR="00DF0A38" w:rsidRPr="00023B68">
              <w:rPr>
                <w:sz w:val="20"/>
                <w:szCs w:val="20"/>
              </w:rPr>
              <w:t> </w:t>
            </w:r>
            <w:r w:rsidRPr="00023B68">
              <w:rPr>
                <w:sz w:val="20"/>
                <w:szCs w:val="20"/>
              </w:rPr>
              <w:t xml:space="preserve">charakterze </w:t>
            </w:r>
            <w:proofErr w:type="spellStart"/>
            <w:r w:rsidRPr="00023B68">
              <w:rPr>
                <w:sz w:val="20"/>
                <w:szCs w:val="20"/>
              </w:rPr>
              <w:t>zrównoważoności</w:t>
            </w:r>
            <w:proofErr w:type="spellEnd"/>
            <w:r w:rsidRPr="00023B68">
              <w:rPr>
                <w:sz w:val="20"/>
                <w:szCs w:val="20"/>
              </w:rPr>
              <w:t xml:space="preserve"> społecznej.</w:t>
            </w:r>
            <w:r w:rsidR="00DF0A38" w:rsidRPr="00023B68">
              <w:rPr>
                <w:sz w:val="20"/>
                <w:szCs w:val="20"/>
              </w:rPr>
              <w:t> </w:t>
            </w:r>
          </w:p>
          <w:p w14:paraId="0E66FD08" w14:textId="20C367DA" w:rsidR="006C63BC" w:rsidRPr="00023B68" w:rsidRDefault="006C63BC" w:rsidP="00A85FE9">
            <w:pPr>
              <w:pStyle w:val="Default"/>
              <w:rPr>
                <w:sz w:val="20"/>
                <w:szCs w:val="20"/>
              </w:rPr>
            </w:pPr>
          </w:p>
        </w:tc>
      </w:tr>
      <w:tr w:rsidR="00A85FE9" w:rsidRPr="00023B68" w14:paraId="57B4F4F5" w14:textId="77777777" w:rsidTr="00040008">
        <w:tc>
          <w:tcPr>
            <w:tcW w:w="0" w:type="auto"/>
          </w:tcPr>
          <w:p w14:paraId="28B98100" w14:textId="4DD006AD" w:rsidR="00A85FE9" w:rsidRPr="00023B68" w:rsidRDefault="007B5661"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6F96AFCB" w14:textId="77F83A1A"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04F90322" w14:textId="77777777" w:rsidR="00A85FE9" w:rsidRPr="00023B68" w:rsidRDefault="00A85FE9" w:rsidP="00A85FE9">
            <w:pPr>
              <w:pStyle w:val="Default"/>
              <w:rPr>
                <w:sz w:val="20"/>
                <w:szCs w:val="20"/>
              </w:rPr>
            </w:pPr>
            <w:r w:rsidRPr="00023B68">
              <w:rPr>
                <w:b/>
                <w:bCs/>
                <w:sz w:val="20"/>
                <w:szCs w:val="20"/>
              </w:rPr>
              <w:t>Uwzględnienie odmiennych profili energetycznych centrów danych typu „</w:t>
            </w:r>
            <w:proofErr w:type="spellStart"/>
            <w:r w:rsidRPr="00023B68">
              <w:rPr>
                <w:b/>
                <w:bCs/>
                <w:sz w:val="20"/>
                <w:szCs w:val="20"/>
              </w:rPr>
              <w:t>cloud</w:t>
            </w:r>
            <w:proofErr w:type="spellEnd"/>
            <w:r w:rsidRPr="00023B68">
              <w:rPr>
                <w:b/>
                <w:bCs/>
                <w:sz w:val="20"/>
                <w:szCs w:val="20"/>
              </w:rPr>
              <w:t>” i</w:t>
            </w:r>
            <w:r w:rsidR="00DF0A38" w:rsidRPr="00023B68">
              <w:rPr>
                <w:b/>
                <w:bCs/>
                <w:sz w:val="20"/>
                <w:szCs w:val="20"/>
              </w:rPr>
              <w:t> </w:t>
            </w:r>
            <w:r w:rsidRPr="00023B68">
              <w:rPr>
                <w:b/>
                <w:bCs/>
                <w:sz w:val="20"/>
                <w:szCs w:val="20"/>
              </w:rPr>
              <w:t>„AI” (art. 10 CADA)</w:t>
            </w:r>
            <w:r w:rsidR="00DF0A38" w:rsidRPr="00023B68">
              <w:rPr>
                <w:b/>
                <w:bCs/>
                <w:sz w:val="20"/>
                <w:szCs w:val="20"/>
              </w:rPr>
              <w:t> </w:t>
            </w:r>
            <w:r w:rsidRPr="00023B68">
              <w:rPr>
                <w:sz w:val="20"/>
                <w:szCs w:val="20"/>
              </w:rPr>
              <w:t>Postulujemy, aby analiza potrzeb energetycznych stref przyspieszonego rozwoju wyraźnie</w:t>
            </w:r>
            <w:r w:rsidR="00DF0A38" w:rsidRPr="00023B68">
              <w:rPr>
                <w:sz w:val="20"/>
                <w:szCs w:val="20"/>
              </w:rPr>
              <w:t> </w:t>
            </w:r>
            <w:r w:rsidRPr="00023B68">
              <w:rPr>
                <w:sz w:val="20"/>
                <w:szCs w:val="20"/>
              </w:rPr>
              <w:t>uwzględniała odmienne profile zużycia energii centrów danych świadczących usługi chmurowe</w:t>
            </w:r>
            <w:r w:rsidR="00DF0A38" w:rsidRPr="00023B68">
              <w:rPr>
                <w:sz w:val="20"/>
                <w:szCs w:val="20"/>
              </w:rPr>
              <w:t> </w:t>
            </w:r>
            <w:r w:rsidRPr="00023B68">
              <w:rPr>
                <w:sz w:val="20"/>
                <w:szCs w:val="20"/>
              </w:rPr>
              <w:t>oraz centrów danych AI. Bez tego rozróżnienia moc przydzielona strefie może okazać się</w:t>
            </w:r>
            <w:r w:rsidR="00DF0A38" w:rsidRPr="00023B68">
              <w:rPr>
                <w:sz w:val="20"/>
                <w:szCs w:val="20"/>
              </w:rPr>
              <w:t> </w:t>
            </w:r>
            <w:r w:rsidRPr="00023B68">
              <w:rPr>
                <w:sz w:val="20"/>
                <w:szCs w:val="20"/>
              </w:rPr>
              <w:t xml:space="preserve">wystarczająca wyłącznie dla centrów typu </w:t>
            </w:r>
            <w:proofErr w:type="spellStart"/>
            <w:r w:rsidRPr="00023B68">
              <w:rPr>
                <w:sz w:val="20"/>
                <w:szCs w:val="20"/>
              </w:rPr>
              <w:t>cloud</w:t>
            </w:r>
            <w:proofErr w:type="spellEnd"/>
            <w:r w:rsidRPr="00023B68">
              <w:rPr>
                <w:sz w:val="20"/>
                <w:szCs w:val="20"/>
              </w:rPr>
              <w:t>, co grozi faktycznym wykluczeniem centrów</w:t>
            </w:r>
            <w:r w:rsidR="00DF0A38" w:rsidRPr="00023B68">
              <w:rPr>
                <w:sz w:val="20"/>
                <w:szCs w:val="20"/>
              </w:rPr>
              <w:t> </w:t>
            </w:r>
            <w:r w:rsidRPr="00023B68">
              <w:rPr>
                <w:sz w:val="20"/>
                <w:szCs w:val="20"/>
              </w:rPr>
              <w:t>AI z dostępu do stref.</w:t>
            </w:r>
            <w:r w:rsidR="00DF0A38" w:rsidRPr="00023B68">
              <w:rPr>
                <w:sz w:val="20"/>
                <w:szCs w:val="20"/>
              </w:rPr>
              <w:t> </w:t>
            </w:r>
          </w:p>
          <w:p w14:paraId="02E2F3F0" w14:textId="589B6B19" w:rsidR="006C63BC" w:rsidRPr="00023B68" w:rsidRDefault="006C63BC" w:rsidP="00A85FE9">
            <w:pPr>
              <w:pStyle w:val="Default"/>
              <w:rPr>
                <w:sz w:val="20"/>
                <w:szCs w:val="20"/>
              </w:rPr>
            </w:pPr>
          </w:p>
        </w:tc>
      </w:tr>
      <w:tr w:rsidR="00A85FE9" w:rsidRPr="00023B68" w14:paraId="7F4F417E" w14:textId="77777777" w:rsidTr="00040008">
        <w:tc>
          <w:tcPr>
            <w:tcW w:w="0" w:type="auto"/>
          </w:tcPr>
          <w:p w14:paraId="509C3A1D" w14:textId="1988E768" w:rsidR="00A85FE9" w:rsidRPr="00023B68" w:rsidRDefault="007B5661"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146E40C8" w14:textId="0FD167CD"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4F5ABB5A" w14:textId="77777777" w:rsidR="00A85FE9" w:rsidRPr="00023B68" w:rsidRDefault="00A85FE9" w:rsidP="00A85FE9">
            <w:pPr>
              <w:pStyle w:val="Default"/>
              <w:rPr>
                <w:sz w:val="20"/>
                <w:szCs w:val="20"/>
              </w:rPr>
            </w:pPr>
            <w:r w:rsidRPr="00023B68">
              <w:rPr>
                <w:b/>
                <w:bCs/>
                <w:sz w:val="20"/>
                <w:szCs w:val="20"/>
              </w:rPr>
              <w:t>Wdrożenie zasady „First-</w:t>
            </w:r>
            <w:proofErr w:type="spellStart"/>
            <w:r w:rsidRPr="00023B68">
              <w:rPr>
                <w:b/>
                <w:bCs/>
                <w:sz w:val="20"/>
                <w:szCs w:val="20"/>
              </w:rPr>
              <w:t>Ready</w:t>
            </w:r>
            <w:proofErr w:type="spellEnd"/>
            <w:r w:rsidRPr="00023B68">
              <w:rPr>
                <w:b/>
                <w:bCs/>
                <w:sz w:val="20"/>
                <w:szCs w:val="20"/>
              </w:rPr>
              <w:t>, First-</w:t>
            </w:r>
            <w:proofErr w:type="spellStart"/>
            <w:r w:rsidRPr="00023B68">
              <w:rPr>
                <w:b/>
                <w:bCs/>
                <w:sz w:val="20"/>
                <w:szCs w:val="20"/>
              </w:rPr>
              <w:t>Served</w:t>
            </w:r>
            <w:proofErr w:type="spellEnd"/>
            <w:r w:rsidRPr="00023B68">
              <w:rPr>
                <w:b/>
                <w:bCs/>
                <w:sz w:val="20"/>
                <w:szCs w:val="20"/>
              </w:rPr>
              <w:t>" (FRFS) przy dostępie do sieci</w:t>
            </w:r>
            <w:r w:rsidR="00DF0A38" w:rsidRPr="00023B68">
              <w:rPr>
                <w:b/>
                <w:bCs/>
                <w:sz w:val="20"/>
                <w:szCs w:val="20"/>
              </w:rPr>
              <w:t> </w:t>
            </w:r>
            <w:r w:rsidRPr="00023B68">
              <w:rPr>
                <w:sz w:val="20"/>
                <w:szCs w:val="20"/>
              </w:rPr>
              <w:t>Tworzenie stref przyspieszonego rozwoju nie przyniesie oczekiwanych rezultatów, jeśli</w:t>
            </w:r>
            <w:r w:rsidR="00DF0A38" w:rsidRPr="00023B68">
              <w:rPr>
                <w:sz w:val="20"/>
                <w:szCs w:val="20"/>
              </w:rPr>
              <w:t> </w:t>
            </w:r>
            <w:r w:rsidRPr="00023B68">
              <w:rPr>
                <w:sz w:val="20"/>
                <w:szCs w:val="20"/>
              </w:rPr>
              <w:t>inwestorzy nie uzyskają jednoznacznej i niezawodnej ścieżki przyłączenia do sieci</w:t>
            </w:r>
            <w:r w:rsidR="00DF0A38" w:rsidRPr="00023B68">
              <w:rPr>
                <w:sz w:val="20"/>
                <w:szCs w:val="20"/>
              </w:rPr>
              <w:t> </w:t>
            </w:r>
            <w:r w:rsidRPr="00023B68">
              <w:rPr>
                <w:sz w:val="20"/>
                <w:szCs w:val="20"/>
              </w:rPr>
              <w:t>elektroenergetycznej.</w:t>
            </w:r>
            <w:r w:rsidR="00DF0A38" w:rsidRPr="00023B68">
              <w:rPr>
                <w:sz w:val="20"/>
                <w:szCs w:val="20"/>
              </w:rPr>
              <w:t> </w:t>
            </w:r>
            <w:r w:rsidRPr="00023B68">
              <w:rPr>
                <w:sz w:val="20"/>
                <w:szCs w:val="20"/>
              </w:rPr>
              <w:t>• Odejście od chronologii na rzecz gotowości: Apelujemy o zapisanie w prawie UE</w:t>
            </w:r>
            <w:r w:rsidR="00DF0A38" w:rsidRPr="00023B68">
              <w:rPr>
                <w:sz w:val="20"/>
                <w:szCs w:val="20"/>
              </w:rPr>
              <w:t> </w:t>
            </w:r>
            <w:r w:rsidRPr="00023B68">
              <w:rPr>
                <w:sz w:val="20"/>
                <w:szCs w:val="20"/>
              </w:rPr>
              <w:t>zasady, zgodnie z którą wnioski o przyłączenie do sieci w strefach przyspieszonego</w:t>
            </w:r>
            <w:r w:rsidR="00DF0A38" w:rsidRPr="00023B68">
              <w:rPr>
                <w:sz w:val="20"/>
                <w:szCs w:val="20"/>
              </w:rPr>
              <w:t> </w:t>
            </w:r>
            <w:r w:rsidRPr="00023B68">
              <w:rPr>
                <w:sz w:val="20"/>
                <w:szCs w:val="20"/>
              </w:rPr>
              <w:t>rozwoju będą oceniane i przydzielane w oparciu o zasadę gotowości inwestycji (First-</w:t>
            </w:r>
            <w:r w:rsidR="00DF0A38" w:rsidRPr="00023B68">
              <w:rPr>
                <w:sz w:val="20"/>
                <w:szCs w:val="20"/>
              </w:rPr>
              <w:t> </w:t>
            </w:r>
            <w:proofErr w:type="spellStart"/>
            <w:r w:rsidRPr="00023B68">
              <w:rPr>
                <w:sz w:val="20"/>
                <w:szCs w:val="20"/>
              </w:rPr>
              <w:t>Ready</w:t>
            </w:r>
            <w:proofErr w:type="spellEnd"/>
            <w:r w:rsidRPr="00023B68">
              <w:rPr>
                <w:sz w:val="20"/>
                <w:szCs w:val="20"/>
              </w:rPr>
              <w:t>, First-</w:t>
            </w:r>
            <w:proofErr w:type="spellStart"/>
            <w:r w:rsidRPr="00023B68">
              <w:rPr>
                <w:sz w:val="20"/>
                <w:szCs w:val="20"/>
              </w:rPr>
              <w:t>Served</w:t>
            </w:r>
            <w:proofErr w:type="spellEnd"/>
            <w:r w:rsidRPr="00023B68">
              <w:rPr>
                <w:sz w:val="20"/>
                <w:szCs w:val="20"/>
              </w:rPr>
              <w:t xml:space="preserve"> – FRFS), a nie czysto chronologiczną kolejność zgłoszeń (First-</w:t>
            </w:r>
            <w:r w:rsidR="00DF0A38" w:rsidRPr="00023B68">
              <w:rPr>
                <w:sz w:val="20"/>
                <w:szCs w:val="20"/>
              </w:rPr>
              <w:t> </w:t>
            </w:r>
            <w:proofErr w:type="spellStart"/>
            <w:r w:rsidRPr="00023B68">
              <w:rPr>
                <w:sz w:val="20"/>
                <w:szCs w:val="20"/>
              </w:rPr>
              <w:t>Come</w:t>
            </w:r>
            <w:proofErr w:type="spellEnd"/>
            <w:r w:rsidRPr="00023B68">
              <w:rPr>
                <w:sz w:val="20"/>
                <w:szCs w:val="20"/>
              </w:rPr>
              <w:t>, First-</w:t>
            </w:r>
            <w:proofErr w:type="spellStart"/>
            <w:r w:rsidRPr="00023B68">
              <w:rPr>
                <w:sz w:val="20"/>
                <w:szCs w:val="20"/>
              </w:rPr>
              <w:t>Served</w:t>
            </w:r>
            <w:proofErr w:type="spellEnd"/>
            <w:r w:rsidRPr="00023B68">
              <w:rPr>
                <w:sz w:val="20"/>
                <w:szCs w:val="20"/>
              </w:rPr>
              <w:t xml:space="preserve"> – FCFS).</w:t>
            </w:r>
            <w:r w:rsidR="00DF0A38" w:rsidRPr="00023B68">
              <w:rPr>
                <w:sz w:val="20"/>
                <w:szCs w:val="20"/>
              </w:rPr>
              <w:t> </w:t>
            </w:r>
            <w:r w:rsidRPr="00023B68">
              <w:rPr>
                <w:sz w:val="20"/>
                <w:szCs w:val="20"/>
              </w:rPr>
              <w:t xml:space="preserve">• Ochrona przed spekulacją: Podejście FRFS </w:t>
            </w:r>
            <w:proofErr w:type="spellStart"/>
            <w:r w:rsidRPr="00023B68">
              <w:rPr>
                <w:sz w:val="20"/>
                <w:szCs w:val="20"/>
              </w:rPr>
              <w:t>priorytetyzuje</w:t>
            </w:r>
            <w:proofErr w:type="spellEnd"/>
            <w:r w:rsidRPr="00023B68">
              <w:rPr>
                <w:sz w:val="20"/>
                <w:szCs w:val="20"/>
              </w:rPr>
              <w:t xml:space="preserve"> projekty wykazujące realną</w:t>
            </w:r>
            <w:r w:rsidR="00DF0A38" w:rsidRPr="00023B68">
              <w:rPr>
                <w:sz w:val="20"/>
                <w:szCs w:val="20"/>
              </w:rPr>
              <w:t> </w:t>
            </w:r>
            <w:r w:rsidRPr="00023B68">
              <w:rPr>
                <w:sz w:val="20"/>
                <w:szCs w:val="20"/>
              </w:rPr>
              <w:t>dojrzałość i zdolność do wdrożenia, zapobiegając blokowaniu przepustowości sieci</w:t>
            </w:r>
            <w:r w:rsidR="00DF0A38" w:rsidRPr="00023B68">
              <w:rPr>
                <w:sz w:val="20"/>
                <w:szCs w:val="20"/>
              </w:rPr>
              <w:t> </w:t>
            </w:r>
            <w:r w:rsidRPr="00023B68">
              <w:rPr>
                <w:sz w:val="20"/>
                <w:szCs w:val="20"/>
              </w:rPr>
              <w:t>przez wnioski spekulacyjne.</w:t>
            </w:r>
            <w:r w:rsidR="00DF0A38" w:rsidRPr="00023B68">
              <w:rPr>
                <w:sz w:val="20"/>
                <w:szCs w:val="20"/>
              </w:rPr>
              <w:t> </w:t>
            </w:r>
            <w:r w:rsidRPr="00023B68">
              <w:rPr>
                <w:sz w:val="20"/>
                <w:szCs w:val="20"/>
              </w:rPr>
              <w:t>o Wiążące kryteria unijne: Niewiążące wytyczne są niewystarczające. Prawo UE</w:t>
            </w:r>
            <w:r w:rsidR="00DF0A38" w:rsidRPr="00023B68">
              <w:rPr>
                <w:sz w:val="20"/>
                <w:szCs w:val="20"/>
              </w:rPr>
              <w:t> </w:t>
            </w:r>
            <w:r w:rsidRPr="00023B68">
              <w:rPr>
                <w:sz w:val="20"/>
                <w:szCs w:val="20"/>
              </w:rPr>
              <w:t>powinno określić spójny zestaw kryteriów oraz procedurę oceny dojrzałości</w:t>
            </w:r>
            <w:r w:rsidR="00DF0A38" w:rsidRPr="00023B68">
              <w:rPr>
                <w:sz w:val="20"/>
                <w:szCs w:val="20"/>
              </w:rPr>
              <w:t> </w:t>
            </w:r>
            <w:r w:rsidRPr="00023B68">
              <w:rPr>
                <w:sz w:val="20"/>
                <w:szCs w:val="20"/>
              </w:rPr>
              <w:t>inwestycji, obejmującą m.in.:</w:t>
            </w:r>
            <w:r w:rsidR="00DF0A38" w:rsidRPr="00023B68">
              <w:rPr>
                <w:sz w:val="20"/>
                <w:szCs w:val="20"/>
              </w:rPr>
              <w:t> </w:t>
            </w:r>
            <w:r w:rsidRPr="00023B68">
              <w:rPr>
                <w:sz w:val="20"/>
                <w:szCs w:val="20"/>
              </w:rPr>
              <w:t>o Etap 1 (Wstępna weryfikacja): Wykazanie wstępnej kontroli nad terenem (np.</w:t>
            </w:r>
            <w:r w:rsidR="00DF0A38" w:rsidRPr="00023B68">
              <w:rPr>
                <w:sz w:val="20"/>
                <w:szCs w:val="20"/>
              </w:rPr>
              <w:t> </w:t>
            </w:r>
            <w:r w:rsidRPr="00023B68">
              <w:rPr>
                <w:sz w:val="20"/>
                <w:szCs w:val="20"/>
              </w:rPr>
              <w:t xml:space="preserve">list intencyjny, umowa </w:t>
            </w:r>
            <w:proofErr w:type="spellStart"/>
            <w:r w:rsidRPr="00023B68">
              <w:rPr>
                <w:sz w:val="20"/>
                <w:szCs w:val="20"/>
              </w:rPr>
              <w:t>opcyjna</w:t>
            </w:r>
            <w:proofErr w:type="spellEnd"/>
            <w:r w:rsidRPr="00023B68">
              <w:rPr>
                <w:sz w:val="20"/>
                <w:szCs w:val="20"/>
              </w:rPr>
              <w:t>), wniesienie zwrotnej opłaty</w:t>
            </w:r>
            <w:r w:rsidR="00DF0A38" w:rsidRPr="00023B68">
              <w:rPr>
                <w:sz w:val="20"/>
                <w:szCs w:val="20"/>
              </w:rPr>
              <w:t> </w:t>
            </w:r>
            <w:r w:rsidRPr="00023B68">
              <w:rPr>
                <w:sz w:val="20"/>
                <w:szCs w:val="20"/>
              </w:rPr>
              <w:t>aplikacyjnej/gwarancji oraz przedstawienie wstępnych parametrów mocy.</w:t>
            </w:r>
            <w:r w:rsidR="00DF0A38" w:rsidRPr="00023B68">
              <w:rPr>
                <w:sz w:val="20"/>
                <w:szCs w:val="20"/>
              </w:rPr>
              <w:t> </w:t>
            </w:r>
            <w:r w:rsidRPr="00023B68">
              <w:rPr>
                <w:sz w:val="20"/>
                <w:szCs w:val="20"/>
              </w:rPr>
              <w:t>o Etap 2 (Gotowość techniczno-finansowa): Przedłożenie szczegółowej</w:t>
            </w:r>
            <w:r w:rsidR="00DF0A38" w:rsidRPr="00023B68">
              <w:rPr>
                <w:sz w:val="20"/>
                <w:szCs w:val="20"/>
              </w:rPr>
              <w:t> </w:t>
            </w:r>
            <w:r w:rsidRPr="00023B68">
              <w:rPr>
                <w:sz w:val="20"/>
                <w:szCs w:val="20"/>
              </w:rPr>
              <w:t>dokumentacji technicznej, harmonogramów realizacji oraz potwierdzenia</w:t>
            </w:r>
            <w:r w:rsidR="00DF0A38" w:rsidRPr="00023B68">
              <w:rPr>
                <w:sz w:val="20"/>
                <w:szCs w:val="20"/>
              </w:rPr>
              <w:t> </w:t>
            </w:r>
            <w:r w:rsidRPr="00023B68">
              <w:rPr>
                <w:sz w:val="20"/>
                <w:szCs w:val="20"/>
              </w:rPr>
              <w:t>zabezpieczenia finansowania.</w:t>
            </w:r>
            <w:r w:rsidR="00DF0A38" w:rsidRPr="00023B68">
              <w:rPr>
                <w:sz w:val="20"/>
                <w:szCs w:val="20"/>
              </w:rPr>
              <w:t> </w:t>
            </w:r>
            <w:r w:rsidRPr="00023B68">
              <w:rPr>
                <w:sz w:val="20"/>
                <w:szCs w:val="20"/>
              </w:rPr>
              <w:t>o Etap 3 (Procedury planistyczne i środowiskowe): Dowód formalnego</w:t>
            </w:r>
            <w:r w:rsidR="00DF0A38" w:rsidRPr="00023B68">
              <w:rPr>
                <w:sz w:val="20"/>
                <w:szCs w:val="20"/>
              </w:rPr>
              <w:t> </w:t>
            </w:r>
            <w:r w:rsidRPr="00023B68">
              <w:rPr>
                <w:sz w:val="20"/>
                <w:szCs w:val="20"/>
              </w:rPr>
              <w:t>wszczęcia procedur OOŚ i pozwoleń na budowę, co uprawnia do uzyskania</w:t>
            </w:r>
            <w:r w:rsidR="00DF0A38" w:rsidRPr="00023B68">
              <w:rPr>
                <w:sz w:val="20"/>
                <w:szCs w:val="20"/>
              </w:rPr>
              <w:t> </w:t>
            </w:r>
            <w:r w:rsidRPr="00023B68">
              <w:rPr>
                <w:sz w:val="20"/>
                <w:szCs w:val="20"/>
              </w:rPr>
              <w:t>warunkowego terminu przyłączenia.</w:t>
            </w:r>
            <w:r w:rsidR="00DF0A38" w:rsidRPr="00023B68">
              <w:rPr>
                <w:sz w:val="20"/>
                <w:szCs w:val="20"/>
              </w:rPr>
              <w:t> </w:t>
            </w:r>
            <w:r w:rsidRPr="00023B68">
              <w:rPr>
                <w:sz w:val="20"/>
                <w:szCs w:val="20"/>
              </w:rPr>
              <w:t>o System kamieni milowych: Utrzymanie pozycji w kolejce przyłączeniowej</w:t>
            </w:r>
            <w:r w:rsidR="00DF0A38" w:rsidRPr="00023B68">
              <w:rPr>
                <w:sz w:val="20"/>
                <w:szCs w:val="20"/>
              </w:rPr>
              <w:t> </w:t>
            </w:r>
            <w:r w:rsidRPr="00023B68">
              <w:rPr>
                <w:sz w:val="20"/>
                <w:szCs w:val="20"/>
              </w:rPr>
              <w:t>powinno być uzależnione od regularnej realizacji uzgodnionych etapów (np.</w:t>
            </w:r>
            <w:r w:rsidR="00DF0A38" w:rsidRPr="00023B68">
              <w:rPr>
                <w:sz w:val="20"/>
                <w:szCs w:val="20"/>
              </w:rPr>
              <w:t> </w:t>
            </w:r>
            <w:r w:rsidRPr="00023B68">
              <w:rPr>
                <w:sz w:val="20"/>
                <w:szCs w:val="20"/>
              </w:rPr>
              <w:t>uzyskanie zgód planistycznych, formalne rozpoczęcie prac).</w:t>
            </w:r>
            <w:r w:rsidR="00DF0A38" w:rsidRPr="00023B68">
              <w:rPr>
                <w:sz w:val="20"/>
                <w:szCs w:val="20"/>
              </w:rPr>
              <w:t> </w:t>
            </w:r>
          </w:p>
          <w:p w14:paraId="64B7EEC1" w14:textId="44D2FBD6" w:rsidR="006A6335" w:rsidRPr="00023B68" w:rsidRDefault="006A6335" w:rsidP="00A85FE9">
            <w:pPr>
              <w:pStyle w:val="Default"/>
              <w:rPr>
                <w:sz w:val="20"/>
                <w:szCs w:val="20"/>
              </w:rPr>
            </w:pPr>
          </w:p>
        </w:tc>
      </w:tr>
      <w:tr w:rsidR="00A85FE9" w:rsidRPr="00023B68" w14:paraId="050D96BD" w14:textId="77777777" w:rsidTr="00040008">
        <w:tc>
          <w:tcPr>
            <w:tcW w:w="0" w:type="auto"/>
          </w:tcPr>
          <w:p w14:paraId="1CAD9086" w14:textId="74A1C7AA"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498E1D53" w14:textId="27AD0CCA" w:rsidR="00A85FE9" w:rsidRPr="00023B68" w:rsidRDefault="00A85FE9" w:rsidP="00A85FE9">
            <w:pPr>
              <w:pStyle w:val="Default"/>
              <w:rPr>
                <w:sz w:val="20"/>
                <w:szCs w:val="20"/>
              </w:rPr>
            </w:pPr>
            <w:r w:rsidRPr="00023B68">
              <w:rPr>
                <w:sz w:val="20"/>
                <w:szCs w:val="20"/>
              </w:rPr>
              <w:t>Polski Związek Centrów Danych (PLDCA)</w:t>
            </w:r>
          </w:p>
        </w:tc>
        <w:tc>
          <w:tcPr>
            <w:tcW w:w="0" w:type="auto"/>
          </w:tcPr>
          <w:p w14:paraId="231B2ACC" w14:textId="717FC6B0" w:rsidR="00A85FE9" w:rsidRPr="00023B68" w:rsidRDefault="00A85FE9" w:rsidP="00A85FE9">
            <w:pPr>
              <w:pStyle w:val="Default"/>
              <w:rPr>
                <w:sz w:val="20"/>
                <w:szCs w:val="20"/>
              </w:rPr>
            </w:pPr>
            <w:r w:rsidRPr="00023B68">
              <w:rPr>
                <w:b/>
                <w:bCs/>
                <w:sz w:val="20"/>
                <w:szCs w:val="20"/>
              </w:rPr>
              <w:t xml:space="preserve">Art. 11 projektu CADA przewiduje możliwość ustanawiania stref rozwoju centrów danych (Data Centre Development </w:t>
            </w:r>
            <w:proofErr w:type="spellStart"/>
            <w:r w:rsidRPr="00023B68">
              <w:rPr>
                <w:b/>
                <w:bCs/>
                <w:sz w:val="20"/>
                <w:szCs w:val="20"/>
              </w:rPr>
              <w:t>Zones</w:t>
            </w:r>
            <w:proofErr w:type="spellEnd"/>
            <w:r w:rsidRPr="00023B68">
              <w:rPr>
                <w:b/>
                <w:bCs/>
                <w:sz w:val="20"/>
                <w:szCs w:val="20"/>
              </w:rPr>
              <w:t xml:space="preserve">), jednak nie określa wspólnych standardów zrównoważonego rozwoju, które powinny obowiązywać inwestycje realizowane na ich obszarze. Brak jednolitych zasad może prowadzić do stosowania odmiennych wymogów przez poszczególne państwa członkowskie oraz ograniczać porównywalność projektów realizowanych w ramach CADA. </w:t>
            </w:r>
          </w:p>
          <w:p w14:paraId="64458ACE" w14:textId="77777777" w:rsidR="00A85FE9" w:rsidRPr="00023B68" w:rsidRDefault="00A85FE9" w:rsidP="00A85FE9">
            <w:pPr>
              <w:pStyle w:val="Default"/>
              <w:rPr>
                <w:sz w:val="20"/>
                <w:szCs w:val="20"/>
              </w:rPr>
            </w:pPr>
            <w:r w:rsidRPr="00023B68">
              <w:rPr>
                <w:b/>
                <w:bCs/>
                <w:sz w:val="20"/>
                <w:szCs w:val="20"/>
              </w:rPr>
              <w:t xml:space="preserve">PLDCA postuluje uzupełnienie art. 11 o odniesienie do wspólnych unijnych standardów zrównoważonego rozwoju dla Data Centre Development </w:t>
            </w:r>
            <w:proofErr w:type="spellStart"/>
            <w:r w:rsidRPr="00023B68">
              <w:rPr>
                <w:b/>
                <w:bCs/>
                <w:sz w:val="20"/>
                <w:szCs w:val="20"/>
              </w:rPr>
              <w:t>Zones</w:t>
            </w:r>
            <w:proofErr w:type="spellEnd"/>
            <w:r w:rsidRPr="00023B68">
              <w:rPr>
                <w:b/>
                <w:bCs/>
                <w:sz w:val="20"/>
                <w:szCs w:val="20"/>
              </w:rPr>
              <w:t xml:space="preserve">. </w:t>
            </w:r>
            <w:r w:rsidRPr="00023B68">
              <w:rPr>
                <w:sz w:val="20"/>
                <w:szCs w:val="20"/>
              </w:rPr>
              <w:t xml:space="preserve">Standardy te powinny być oparte na przygotowywanym przez Komisję Europejską </w:t>
            </w:r>
            <w:r w:rsidRPr="00023B68">
              <w:rPr>
                <w:sz w:val="20"/>
                <w:szCs w:val="20"/>
              </w:rPr>
              <w:lastRenderedPageBreak/>
              <w:t xml:space="preserve">wspólnym unijnym systemie oceny zrównoważonego rozwoju centrów danych, ustanawianym w drodze rozporządzenia delegowanego uzupełniającego dyrektywę (UE) 2023/1791 w sprawie efektywności energetycznej oraz zmieniającego rozporządzenie delegowane Komisji (UE) 2024/1364 w zakresie ustanowienia wspólnego unijnego systemu ratingu centrów danych. </w:t>
            </w:r>
            <w:r w:rsidRPr="00023B68">
              <w:rPr>
                <w:b/>
                <w:bCs/>
                <w:sz w:val="20"/>
                <w:szCs w:val="20"/>
              </w:rPr>
              <w:t xml:space="preserve">Zapewni to stosowanie jednolitych kryteriów oceny zrównoważonego rozwoju w całej Unii Europejskiej. </w:t>
            </w:r>
          </w:p>
          <w:p w14:paraId="3CB2F3DC" w14:textId="77777777" w:rsidR="00A85FE9" w:rsidRPr="00023B68" w:rsidRDefault="00A85FE9" w:rsidP="00A85FE9">
            <w:pPr>
              <w:pStyle w:val="Default"/>
              <w:rPr>
                <w:sz w:val="20"/>
                <w:szCs w:val="20"/>
              </w:rPr>
            </w:pPr>
            <w:r w:rsidRPr="00023B68">
              <w:rPr>
                <w:sz w:val="20"/>
                <w:szCs w:val="20"/>
              </w:rPr>
              <w:t xml:space="preserve">Jednocześnie CADA powinno wyraźnie wskazywać, że ocena projektów powinna opierać się na </w:t>
            </w:r>
            <w:r w:rsidRPr="00023B68">
              <w:rPr>
                <w:b/>
                <w:bCs/>
                <w:sz w:val="20"/>
                <w:szCs w:val="20"/>
              </w:rPr>
              <w:t>jednolitych i obiektywnych wskaźnikach efektywności</w:t>
            </w:r>
            <w:r w:rsidRPr="00023B68">
              <w:rPr>
                <w:sz w:val="20"/>
                <w:szCs w:val="20"/>
              </w:rPr>
              <w:t xml:space="preserve">, w szczególności </w:t>
            </w:r>
            <w:r w:rsidRPr="00023B68">
              <w:rPr>
                <w:b/>
                <w:bCs/>
                <w:sz w:val="20"/>
                <w:szCs w:val="20"/>
              </w:rPr>
              <w:t xml:space="preserve">Power </w:t>
            </w:r>
            <w:proofErr w:type="spellStart"/>
            <w:r w:rsidRPr="00023B68">
              <w:rPr>
                <w:b/>
                <w:bCs/>
                <w:sz w:val="20"/>
                <w:szCs w:val="20"/>
              </w:rPr>
              <w:t>Usage</w:t>
            </w:r>
            <w:proofErr w:type="spellEnd"/>
            <w:r w:rsidRPr="00023B68">
              <w:rPr>
                <w:b/>
                <w:bCs/>
                <w:sz w:val="20"/>
                <w:szCs w:val="20"/>
              </w:rPr>
              <w:t xml:space="preserve"> </w:t>
            </w:r>
            <w:proofErr w:type="spellStart"/>
            <w:r w:rsidRPr="00023B68">
              <w:rPr>
                <w:b/>
                <w:bCs/>
                <w:sz w:val="20"/>
                <w:szCs w:val="20"/>
              </w:rPr>
              <w:t>Effectiveness</w:t>
            </w:r>
            <w:proofErr w:type="spellEnd"/>
            <w:r w:rsidRPr="00023B68">
              <w:rPr>
                <w:b/>
                <w:bCs/>
                <w:sz w:val="20"/>
                <w:szCs w:val="20"/>
              </w:rPr>
              <w:t xml:space="preserve"> (PUE) </w:t>
            </w:r>
            <w:r w:rsidRPr="00023B68">
              <w:rPr>
                <w:sz w:val="20"/>
                <w:szCs w:val="20"/>
              </w:rPr>
              <w:t xml:space="preserve">oraz </w:t>
            </w:r>
            <w:proofErr w:type="spellStart"/>
            <w:r w:rsidRPr="00023B68">
              <w:rPr>
                <w:b/>
                <w:bCs/>
                <w:sz w:val="20"/>
                <w:szCs w:val="20"/>
              </w:rPr>
              <w:t>Water</w:t>
            </w:r>
            <w:proofErr w:type="spellEnd"/>
            <w:r w:rsidRPr="00023B68">
              <w:rPr>
                <w:b/>
                <w:bCs/>
                <w:sz w:val="20"/>
                <w:szCs w:val="20"/>
              </w:rPr>
              <w:t xml:space="preserve"> </w:t>
            </w:r>
            <w:proofErr w:type="spellStart"/>
            <w:r w:rsidRPr="00023B68">
              <w:rPr>
                <w:b/>
                <w:bCs/>
                <w:sz w:val="20"/>
                <w:szCs w:val="20"/>
              </w:rPr>
              <w:t>Usage</w:t>
            </w:r>
            <w:proofErr w:type="spellEnd"/>
            <w:r w:rsidRPr="00023B68">
              <w:rPr>
                <w:b/>
                <w:bCs/>
                <w:sz w:val="20"/>
                <w:szCs w:val="20"/>
              </w:rPr>
              <w:t xml:space="preserve"> </w:t>
            </w:r>
            <w:proofErr w:type="spellStart"/>
            <w:r w:rsidRPr="00023B68">
              <w:rPr>
                <w:b/>
                <w:bCs/>
                <w:sz w:val="20"/>
                <w:szCs w:val="20"/>
              </w:rPr>
              <w:t>Effectiveness</w:t>
            </w:r>
            <w:proofErr w:type="spellEnd"/>
            <w:r w:rsidRPr="00023B68">
              <w:rPr>
                <w:b/>
                <w:bCs/>
                <w:sz w:val="20"/>
                <w:szCs w:val="20"/>
              </w:rPr>
              <w:t xml:space="preserve"> (WUE)</w:t>
            </w:r>
            <w:r w:rsidRPr="00023B68">
              <w:rPr>
                <w:sz w:val="20"/>
                <w:szCs w:val="20"/>
              </w:rPr>
              <w:t>, bez stosowania korekt wynikających z położenia geograficznego lub stref klimatycznych. Takie rozwiązanie zapewni porównywalność inwestycji w całej Unii, będzie premiować rzeczywiście najbardziej efektywne centra danych oraz pozwoli wykorzystywać naturalne przewagi lokalizacyjne państw członkowskich zgodnie z zasadą efektywności energetycznej.</w:t>
            </w:r>
          </w:p>
          <w:p w14:paraId="6C07DF47" w14:textId="5AEAF19A" w:rsidR="00A85FE9" w:rsidRPr="00023B68" w:rsidRDefault="00A85FE9" w:rsidP="00A85FE9">
            <w:pPr>
              <w:pStyle w:val="Default"/>
              <w:rPr>
                <w:sz w:val="20"/>
                <w:szCs w:val="20"/>
              </w:rPr>
            </w:pPr>
          </w:p>
        </w:tc>
      </w:tr>
      <w:tr w:rsidR="00A85FE9" w:rsidRPr="00023B68" w14:paraId="286B1630" w14:textId="77777777" w:rsidTr="00040008">
        <w:tc>
          <w:tcPr>
            <w:tcW w:w="0" w:type="auto"/>
          </w:tcPr>
          <w:p w14:paraId="3F6EC1A1" w14:textId="05EB6659"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17071874" w14:textId="29CF2605"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556AAED4" w14:textId="77777777" w:rsidR="00A85FE9" w:rsidRPr="00023B68" w:rsidRDefault="00A85FE9" w:rsidP="00A85FE9">
            <w:pPr>
              <w:pStyle w:val="Default"/>
              <w:rPr>
                <w:sz w:val="20"/>
                <w:szCs w:val="20"/>
              </w:rPr>
            </w:pPr>
            <w:r w:rsidRPr="00023B68">
              <w:rPr>
                <w:sz w:val="20"/>
                <w:szCs w:val="20"/>
              </w:rPr>
              <w:t>Projekt nakazuje państwom wyznaczenie co najmniej jednej strefy przyspieszonego rozwoju centrów danych. Przy wyborze stref mają być uwzględniane między innymi dostępność sieci energetycznej, łączności, odzysku ciepła, wykorzystanie terenów poprzemysłowych, wpływ środowiskowy i odporność klimatyczna. </w:t>
            </w:r>
          </w:p>
          <w:p w14:paraId="78C1D706" w14:textId="77777777" w:rsidR="00A85FE9" w:rsidRPr="00023B68" w:rsidRDefault="00A85FE9" w:rsidP="00A85FE9">
            <w:pPr>
              <w:pStyle w:val="Default"/>
              <w:rPr>
                <w:sz w:val="20"/>
                <w:szCs w:val="20"/>
              </w:rPr>
            </w:pPr>
            <w:r w:rsidRPr="00023B68">
              <w:rPr>
                <w:sz w:val="20"/>
                <w:szCs w:val="20"/>
              </w:rPr>
              <w:t>Fundacja popiera te kryteria, ale postuluje dodanie:</w:t>
            </w:r>
          </w:p>
          <w:p w14:paraId="3F63037B" w14:textId="77777777" w:rsidR="00A85FE9" w:rsidRPr="00023B68" w:rsidRDefault="00A85FE9" w:rsidP="00A85FE9">
            <w:pPr>
              <w:pStyle w:val="Default"/>
              <w:numPr>
                <w:ilvl w:val="0"/>
                <w:numId w:val="34"/>
              </w:numPr>
              <w:rPr>
                <w:sz w:val="20"/>
                <w:szCs w:val="20"/>
              </w:rPr>
            </w:pPr>
            <w:r w:rsidRPr="00023B68">
              <w:rPr>
                <w:sz w:val="20"/>
                <w:szCs w:val="20"/>
              </w:rPr>
              <w:t>oceny ryzyka przeciążenia lokalnej sieci energetycznej;</w:t>
            </w:r>
          </w:p>
          <w:p w14:paraId="54895ABA" w14:textId="77777777" w:rsidR="00A85FE9" w:rsidRPr="00023B68" w:rsidRDefault="00A85FE9" w:rsidP="00A85FE9">
            <w:pPr>
              <w:pStyle w:val="Default"/>
              <w:numPr>
                <w:ilvl w:val="0"/>
                <w:numId w:val="34"/>
              </w:numPr>
              <w:rPr>
                <w:sz w:val="20"/>
                <w:szCs w:val="20"/>
              </w:rPr>
            </w:pPr>
            <w:r w:rsidRPr="00023B68">
              <w:rPr>
                <w:sz w:val="20"/>
                <w:szCs w:val="20"/>
              </w:rPr>
              <w:t>obowiązku raportowania zużycia i źródeł energii;</w:t>
            </w:r>
          </w:p>
          <w:p w14:paraId="346A71A1" w14:textId="77777777" w:rsidR="00A85FE9" w:rsidRPr="00023B68" w:rsidRDefault="00A85FE9" w:rsidP="00A85FE9">
            <w:pPr>
              <w:pStyle w:val="Default"/>
              <w:numPr>
                <w:ilvl w:val="0"/>
                <w:numId w:val="34"/>
              </w:numPr>
              <w:rPr>
                <w:sz w:val="20"/>
                <w:szCs w:val="20"/>
              </w:rPr>
            </w:pPr>
            <w:r w:rsidRPr="00023B68">
              <w:rPr>
                <w:sz w:val="20"/>
                <w:szCs w:val="20"/>
              </w:rPr>
              <w:t>wskaźników zużycia wody;</w:t>
            </w:r>
          </w:p>
          <w:p w14:paraId="72960214" w14:textId="77777777" w:rsidR="00A85FE9" w:rsidRPr="00023B68" w:rsidRDefault="00A85FE9" w:rsidP="00A85FE9">
            <w:pPr>
              <w:pStyle w:val="Default"/>
              <w:numPr>
                <w:ilvl w:val="0"/>
                <w:numId w:val="34"/>
              </w:numPr>
              <w:rPr>
                <w:sz w:val="20"/>
                <w:szCs w:val="20"/>
              </w:rPr>
            </w:pPr>
            <w:r w:rsidRPr="00023B68">
              <w:rPr>
                <w:sz w:val="20"/>
                <w:szCs w:val="20"/>
              </w:rPr>
              <w:t>planów odzysku ciepła;</w:t>
            </w:r>
          </w:p>
          <w:p w14:paraId="7FDABC3D" w14:textId="77777777" w:rsidR="00A85FE9" w:rsidRPr="00023B68" w:rsidRDefault="00A85FE9" w:rsidP="00A85FE9">
            <w:pPr>
              <w:pStyle w:val="Default"/>
              <w:numPr>
                <w:ilvl w:val="0"/>
                <w:numId w:val="34"/>
              </w:numPr>
              <w:rPr>
                <w:sz w:val="20"/>
                <w:szCs w:val="20"/>
              </w:rPr>
            </w:pPr>
            <w:r w:rsidRPr="00023B68">
              <w:rPr>
                <w:sz w:val="20"/>
                <w:szCs w:val="20"/>
              </w:rPr>
              <w:t xml:space="preserve">wymagań </w:t>
            </w:r>
            <w:proofErr w:type="spellStart"/>
            <w:r w:rsidRPr="00023B68">
              <w:rPr>
                <w:sz w:val="20"/>
                <w:szCs w:val="20"/>
              </w:rPr>
              <w:t>cyberbezpieczeństwa</w:t>
            </w:r>
            <w:proofErr w:type="spellEnd"/>
            <w:r w:rsidRPr="00023B68">
              <w:rPr>
                <w:sz w:val="20"/>
                <w:szCs w:val="20"/>
              </w:rPr>
              <w:t xml:space="preserve"> i bezpieczeństwa fizycznego;</w:t>
            </w:r>
          </w:p>
          <w:p w14:paraId="05745D7C" w14:textId="77777777" w:rsidR="00A85FE9" w:rsidRPr="00023B68" w:rsidRDefault="00A85FE9" w:rsidP="00A85FE9">
            <w:pPr>
              <w:pStyle w:val="Default"/>
              <w:numPr>
                <w:ilvl w:val="0"/>
                <w:numId w:val="34"/>
              </w:numPr>
              <w:rPr>
                <w:sz w:val="20"/>
                <w:szCs w:val="20"/>
              </w:rPr>
            </w:pPr>
            <w:r w:rsidRPr="00023B68">
              <w:rPr>
                <w:sz w:val="20"/>
                <w:szCs w:val="20"/>
              </w:rPr>
              <w:t>planów awaryjnego zasilania i łączności;</w:t>
            </w:r>
          </w:p>
          <w:p w14:paraId="5C33121F" w14:textId="77777777" w:rsidR="00A85FE9" w:rsidRPr="00023B68" w:rsidRDefault="00A85FE9" w:rsidP="00A85FE9">
            <w:pPr>
              <w:pStyle w:val="Default"/>
              <w:numPr>
                <w:ilvl w:val="0"/>
                <w:numId w:val="34"/>
              </w:numPr>
              <w:rPr>
                <w:sz w:val="20"/>
                <w:szCs w:val="20"/>
              </w:rPr>
            </w:pPr>
            <w:r w:rsidRPr="00023B68">
              <w:rPr>
                <w:sz w:val="20"/>
                <w:szCs w:val="20"/>
              </w:rPr>
              <w:t>oceny koncentracji geograficznej;</w:t>
            </w:r>
          </w:p>
          <w:p w14:paraId="2E4B1251" w14:textId="77777777" w:rsidR="00A85FE9" w:rsidRPr="00023B68" w:rsidRDefault="00A85FE9" w:rsidP="00A85FE9">
            <w:pPr>
              <w:pStyle w:val="Default"/>
              <w:numPr>
                <w:ilvl w:val="0"/>
                <w:numId w:val="34"/>
              </w:numPr>
              <w:rPr>
                <w:sz w:val="20"/>
                <w:szCs w:val="20"/>
              </w:rPr>
            </w:pPr>
            <w:r w:rsidRPr="00023B68">
              <w:rPr>
                <w:sz w:val="20"/>
                <w:szCs w:val="20"/>
              </w:rPr>
              <w:t>analizy wpływu na lokalną gospodarkę i mieszkańców;</w:t>
            </w:r>
          </w:p>
          <w:p w14:paraId="110A8C37" w14:textId="77777777" w:rsidR="00A85FE9" w:rsidRPr="00023B68" w:rsidRDefault="00A85FE9" w:rsidP="00A85FE9">
            <w:pPr>
              <w:pStyle w:val="Default"/>
              <w:numPr>
                <w:ilvl w:val="0"/>
                <w:numId w:val="34"/>
              </w:numPr>
              <w:rPr>
                <w:sz w:val="20"/>
                <w:szCs w:val="20"/>
              </w:rPr>
            </w:pPr>
            <w:r w:rsidRPr="00023B68">
              <w:rPr>
                <w:sz w:val="20"/>
                <w:szCs w:val="20"/>
              </w:rPr>
              <w:t>wymagań dotyczących odporności na powódź, upały i inne zagrożenia klimatyczne;</w:t>
            </w:r>
          </w:p>
          <w:p w14:paraId="5CB1C4D7" w14:textId="77777777" w:rsidR="00A85FE9" w:rsidRPr="00023B68" w:rsidRDefault="00A85FE9" w:rsidP="00A85FE9">
            <w:pPr>
              <w:pStyle w:val="Default"/>
              <w:numPr>
                <w:ilvl w:val="0"/>
                <w:numId w:val="34"/>
              </w:numPr>
              <w:rPr>
                <w:sz w:val="20"/>
                <w:szCs w:val="20"/>
              </w:rPr>
            </w:pPr>
            <w:r w:rsidRPr="00023B68">
              <w:rPr>
                <w:sz w:val="20"/>
                <w:szCs w:val="20"/>
              </w:rPr>
              <w:t>obowiązku konsultacji z samorządami i operatorami infrastruktury.</w:t>
            </w:r>
          </w:p>
          <w:p w14:paraId="2AD9420D" w14:textId="77777777" w:rsidR="00A85FE9" w:rsidRPr="00023B68" w:rsidRDefault="00A85FE9" w:rsidP="00A85FE9">
            <w:pPr>
              <w:pStyle w:val="Default"/>
              <w:rPr>
                <w:sz w:val="20"/>
                <w:szCs w:val="20"/>
              </w:rPr>
            </w:pPr>
            <w:r w:rsidRPr="00023B68">
              <w:rPr>
                <w:sz w:val="20"/>
                <w:szCs w:val="20"/>
              </w:rPr>
              <w:t xml:space="preserve">Przyspieszenie postępowań administracyjnych nie może oznaczać obniżenia standardów oceny środowiskowej, bezpieczeństwa fizycznego lub </w:t>
            </w:r>
            <w:proofErr w:type="spellStart"/>
            <w:r w:rsidRPr="00023B68">
              <w:rPr>
                <w:sz w:val="20"/>
                <w:szCs w:val="20"/>
              </w:rPr>
              <w:t>cyberbezpieczeństwa</w:t>
            </w:r>
            <w:proofErr w:type="spellEnd"/>
            <w:r w:rsidRPr="00023B68">
              <w:rPr>
                <w:sz w:val="20"/>
                <w:szCs w:val="20"/>
              </w:rPr>
              <w:t>.</w:t>
            </w:r>
          </w:p>
          <w:p w14:paraId="6BC7AD4F" w14:textId="77777777" w:rsidR="00A85FE9" w:rsidRPr="00023B68" w:rsidRDefault="00A85FE9" w:rsidP="00A85FE9">
            <w:pPr>
              <w:pStyle w:val="Default"/>
              <w:rPr>
                <w:sz w:val="20"/>
                <w:szCs w:val="20"/>
              </w:rPr>
            </w:pPr>
            <w:r w:rsidRPr="00023B68">
              <w:rPr>
                <w:sz w:val="20"/>
                <w:szCs w:val="20"/>
              </w:rPr>
              <w:t>Postęp w zakresie zdolności obliczeniowych powinien być mierzony nie tylko powierzchnią centrów danych, lecz również:</w:t>
            </w:r>
          </w:p>
          <w:p w14:paraId="66509F91" w14:textId="77777777" w:rsidR="00A85FE9" w:rsidRPr="00023B68" w:rsidRDefault="00A85FE9" w:rsidP="00A85FE9">
            <w:pPr>
              <w:pStyle w:val="Default"/>
              <w:numPr>
                <w:ilvl w:val="0"/>
                <w:numId w:val="35"/>
              </w:numPr>
              <w:rPr>
                <w:sz w:val="20"/>
                <w:szCs w:val="20"/>
              </w:rPr>
            </w:pPr>
            <w:r w:rsidRPr="00023B68">
              <w:rPr>
                <w:sz w:val="20"/>
                <w:szCs w:val="20"/>
              </w:rPr>
              <w:t>mocą IT;</w:t>
            </w:r>
          </w:p>
          <w:p w14:paraId="3E065EDC" w14:textId="77777777" w:rsidR="00A85FE9" w:rsidRPr="00023B68" w:rsidRDefault="00A85FE9" w:rsidP="00A85FE9">
            <w:pPr>
              <w:pStyle w:val="Default"/>
              <w:numPr>
                <w:ilvl w:val="0"/>
                <w:numId w:val="35"/>
              </w:numPr>
              <w:rPr>
                <w:sz w:val="20"/>
                <w:szCs w:val="20"/>
              </w:rPr>
            </w:pPr>
            <w:r w:rsidRPr="00023B68">
              <w:rPr>
                <w:sz w:val="20"/>
                <w:szCs w:val="20"/>
              </w:rPr>
              <w:t>rzeczywistą wydajnością obliczeniową;</w:t>
            </w:r>
          </w:p>
          <w:p w14:paraId="1571E7F4" w14:textId="77777777" w:rsidR="00A85FE9" w:rsidRPr="00023B68" w:rsidRDefault="00A85FE9" w:rsidP="00A85FE9">
            <w:pPr>
              <w:pStyle w:val="Default"/>
              <w:numPr>
                <w:ilvl w:val="0"/>
                <w:numId w:val="35"/>
              </w:numPr>
              <w:rPr>
                <w:sz w:val="20"/>
                <w:szCs w:val="20"/>
              </w:rPr>
            </w:pPr>
            <w:r w:rsidRPr="00023B68">
              <w:rPr>
                <w:sz w:val="20"/>
                <w:szCs w:val="20"/>
              </w:rPr>
              <w:t>dostępnością;</w:t>
            </w:r>
          </w:p>
          <w:p w14:paraId="4DDC40CD" w14:textId="77777777" w:rsidR="00A85FE9" w:rsidRPr="00023B68" w:rsidRDefault="00A85FE9" w:rsidP="00A85FE9">
            <w:pPr>
              <w:pStyle w:val="Default"/>
              <w:numPr>
                <w:ilvl w:val="0"/>
                <w:numId w:val="35"/>
              </w:numPr>
              <w:rPr>
                <w:sz w:val="20"/>
                <w:szCs w:val="20"/>
              </w:rPr>
            </w:pPr>
            <w:r w:rsidRPr="00023B68">
              <w:rPr>
                <w:sz w:val="20"/>
                <w:szCs w:val="20"/>
              </w:rPr>
              <w:t>efektywnością energetyczną;</w:t>
            </w:r>
          </w:p>
          <w:p w14:paraId="15AEC50D" w14:textId="77777777" w:rsidR="00A85FE9" w:rsidRPr="00023B68" w:rsidRDefault="00A85FE9" w:rsidP="00A85FE9">
            <w:pPr>
              <w:pStyle w:val="Default"/>
              <w:numPr>
                <w:ilvl w:val="0"/>
                <w:numId w:val="35"/>
              </w:numPr>
              <w:rPr>
                <w:sz w:val="20"/>
                <w:szCs w:val="20"/>
              </w:rPr>
            </w:pPr>
            <w:r w:rsidRPr="00023B68">
              <w:rPr>
                <w:sz w:val="20"/>
                <w:szCs w:val="20"/>
              </w:rPr>
              <w:t>udziałem energii niskoemisyjnej;</w:t>
            </w:r>
          </w:p>
          <w:p w14:paraId="6CCA4F9F" w14:textId="77777777" w:rsidR="00A85FE9" w:rsidRPr="00023B68" w:rsidRDefault="00A85FE9" w:rsidP="00A85FE9">
            <w:pPr>
              <w:pStyle w:val="Default"/>
              <w:numPr>
                <w:ilvl w:val="0"/>
                <w:numId w:val="35"/>
              </w:numPr>
              <w:rPr>
                <w:sz w:val="20"/>
                <w:szCs w:val="20"/>
              </w:rPr>
            </w:pPr>
            <w:r w:rsidRPr="00023B68">
              <w:rPr>
                <w:sz w:val="20"/>
                <w:szCs w:val="20"/>
              </w:rPr>
              <w:t>zużyciem wody;</w:t>
            </w:r>
          </w:p>
          <w:p w14:paraId="285D870A" w14:textId="77777777" w:rsidR="00A85FE9" w:rsidRPr="00023B68" w:rsidRDefault="00A85FE9" w:rsidP="00A85FE9">
            <w:pPr>
              <w:pStyle w:val="Default"/>
              <w:numPr>
                <w:ilvl w:val="0"/>
                <w:numId w:val="35"/>
              </w:numPr>
              <w:rPr>
                <w:sz w:val="20"/>
                <w:szCs w:val="20"/>
              </w:rPr>
            </w:pPr>
            <w:r w:rsidRPr="00023B68">
              <w:rPr>
                <w:sz w:val="20"/>
                <w:szCs w:val="20"/>
              </w:rPr>
              <w:t>odzyskiem ciepła;</w:t>
            </w:r>
          </w:p>
          <w:p w14:paraId="27126346" w14:textId="77777777" w:rsidR="00A85FE9" w:rsidRPr="00023B68" w:rsidRDefault="00A85FE9" w:rsidP="00A85FE9">
            <w:pPr>
              <w:pStyle w:val="Default"/>
              <w:numPr>
                <w:ilvl w:val="0"/>
                <w:numId w:val="35"/>
              </w:numPr>
              <w:rPr>
                <w:sz w:val="20"/>
                <w:szCs w:val="20"/>
              </w:rPr>
            </w:pPr>
            <w:r w:rsidRPr="00023B68">
              <w:rPr>
                <w:sz w:val="20"/>
                <w:szCs w:val="20"/>
              </w:rPr>
              <w:t>dostępnością dla europejskich MŚP, nauki i sektora publicznego.</w:t>
            </w:r>
          </w:p>
          <w:p w14:paraId="0641E140" w14:textId="77777777" w:rsidR="00A85FE9" w:rsidRPr="00023B68" w:rsidRDefault="00A85FE9" w:rsidP="00A85FE9">
            <w:pPr>
              <w:pStyle w:val="Default"/>
              <w:rPr>
                <w:sz w:val="20"/>
                <w:szCs w:val="20"/>
              </w:rPr>
            </w:pPr>
          </w:p>
        </w:tc>
      </w:tr>
      <w:tr w:rsidR="00A85FE9" w:rsidRPr="00023B68" w14:paraId="6C08EFF5" w14:textId="77777777" w:rsidTr="00040008">
        <w:tc>
          <w:tcPr>
            <w:tcW w:w="0" w:type="auto"/>
          </w:tcPr>
          <w:p w14:paraId="5C426226" w14:textId="60554177"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79BC2F9B" w14:textId="1C42849A" w:rsidR="00A85FE9" w:rsidRPr="00023B68" w:rsidRDefault="00A85FE9" w:rsidP="00A85FE9">
            <w:pPr>
              <w:pStyle w:val="Default"/>
              <w:rPr>
                <w:sz w:val="20"/>
                <w:szCs w:val="20"/>
              </w:rPr>
            </w:pPr>
            <w:r w:rsidRPr="00023B68">
              <w:rPr>
                <w:sz w:val="20"/>
                <w:szCs w:val="20"/>
              </w:rPr>
              <w:t>e-IZBA</w:t>
            </w:r>
          </w:p>
        </w:tc>
        <w:tc>
          <w:tcPr>
            <w:tcW w:w="0" w:type="auto"/>
          </w:tcPr>
          <w:p w14:paraId="16B1997D" w14:textId="77777777" w:rsidR="00A85FE9" w:rsidRPr="00023B68" w:rsidRDefault="00A85FE9" w:rsidP="00A85FE9">
            <w:pPr>
              <w:pStyle w:val="Default"/>
              <w:rPr>
                <w:sz w:val="20"/>
                <w:szCs w:val="20"/>
              </w:rPr>
            </w:pPr>
            <w:r w:rsidRPr="00023B68">
              <w:rPr>
                <w:sz w:val="20"/>
                <w:szCs w:val="20"/>
              </w:rPr>
              <w:t>W odniesieniu do centrów danych zasadne jest usprawnienie procesów wydawania zezwoleń i przyłączeń do sieci, przy zachowaniu spójnych i neutralnych technologicznie kryteriów zrównoważonego rozwoju. Środki wsparcia nie powinny przy tym ograniczać się wyłącznie do obiektów zlokalizowanych w strefach przyspieszonego rozwoju.</w:t>
            </w:r>
          </w:p>
          <w:p w14:paraId="437B4B6A" w14:textId="724BB364" w:rsidR="00A85FE9" w:rsidRPr="00023B68" w:rsidRDefault="00A85FE9" w:rsidP="00A85FE9">
            <w:pPr>
              <w:pStyle w:val="Default"/>
              <w:rPr>
                <w:sz w:val="20"/>
                <w:szCs w:val="20"/>
              </w:rPr>
            </w:pPr>
          </w:p>
        </w:tc>
      </w:tr>
      <w:tr w:rsidR="00A85FE9" w:rsidRPr="00023B68" w14:paraId="39288981" w14:textId="77777777" w:rsidTr="00040008">
        <w:tc>
          <w:tcPr>
            <w:tcW w:w="0" w:type="auto"/>
          </w:tcPr>
          <w:p w14:paraId="13007719" w14:textId="77777777" w:rsidR="00A85FE9" w:rsidRPr="00023B68" w:rsidRDefault="00A85FE9" w:rsidP="00A85FE9">
            <w:pPr>
              <w:pStyle w:val="Default"/>
              <w:rPr>
                <w:sz w:val="20"/>
                <w:szCs w:val="20"/>
              </w:rPr>
            </w:pPr>
            <w:r w:rsidRPr="00023B68">
              <w:rPr>
                <w:sz w:val="20"/>
                <w:szCs w:val="20"/>
              </w:rPr>
              <w:t xml:space="preserve">Artykuł 12 </w:t>
            </w:r>
          </w:p>
          <w:p w14:paraId="38711883" w14:textId="6C40F4E9" w:rsidR="00A85FE9" w:rsidRPr="00023B68" w:rsidRDefault="00A85FE9" w:rsidP="00A85FE9">
            <w:pPr>
              <w:pStyle w:val="Default"/>
              <w:rPr>
                <w:sz w:val="20"/>
                <w:szCs w:val="20"/>
              </w:rPr>
            </w:pPr>
            <w:r w:rsidRPr="00023B68">
              <w:rPr>
                <w:i/>
                <w:iCs/>
                <w:sz w:val="20"/>
                <w:szCs w:val="20"/>
              </w:rPr>
              <w:t xml:space="preserve">Single </w:t>
            </w:r>
            <w:proofErr w:type="spellStart"/>
            <w:r w:rsidRPr="00023B68">
              <w:rPr>
                <w:i/>
                <w:iCs/>
                <w:sz w:val="20"/>
                <w:szCs w:val="20"/>
              </w:rPr>
              <w:t>information</w:t>
            </w:r>
            <w:proofErr w:type="spellEnd"/>
            <w:r w:rsidRPr="00023B68">
              <w:rPr>
                <w:i/>
                <w:iCs/>
                <w:sz w:val="20"/>
                <w:szCs w:val="20"/>
              </w:rPr>
              <w:t xml:space="preserve"> </w:t>
            </w:r>
            <w:proofErr w:type="spellStart"/>
            <w:r w:rsidRPr="00023B68">
              <w:rPr>
                <w:i/>
                <w:iCs/>
                <w:sz w:val="20"/>
                <w:szCs w:val="20"/>
              </w:rPr>
              <w:t>points</w:t>
            </w:r>
            <w:proofErr w:type="spellEnd"/>
          </w:p>
        </w:tc>
        <w:tc>
          <w:tcPr>
            <w:tcW w:w="0" w:type="auto"/>
          </w:tcPr>
          <w:p w14:paraId="65C62BB6" w14:textId="2E0AFEEE" w:rsidR="00A85FE9" w:rsidRPr="00023B68" w:rsidRDefault="00A85FE9" w:rsidP="00A85FE9">
            <w:pPr>
              <w:pStyle w:val="Default"/>
              <w:rPr>
                <w:sz w:val="20"/>
                <w:szCs w:val="20"/>
              </w:rPr>
            </w:pPr>
            <w:r w:rsidRPr="00023B68">
              <w:rPr>
                <w:sz w:val="20"/>
                <w:szCs w:val="20"/>
              </w:rPr>
              <w:t>Polski Związek Centrów Danych (PLDCA)</w:t>
            </w:r>
          </w:p>
        </w:tc>
        <w:tc>
          <w:tcPr>
            <w:tcW w:w="0" w:type="auto"/>
          </w:tcPr>
          <w:p w14:paraId="7DA94432" w14:textId="77777777" w:rsidR="00A85FE9" w:rsidRPr="00023B68" w:rsidRDefault="00A85FE9" w:rsidP="00A85FE9">
            <w:pPr>
              <w:pStyle w:val="Default"/>
              <w:rPr>
                <w:sz w:val="20"/>
                <w:szCs w:val="20"/>
              </w:rPr>
            </w:pPr>
            <w:r w:rsidRPr="00023B68">
              <w:rPr>
                <w:b/>
                <w:bCs/>
                <w:sz w:val="20"/>
                <w:szCs w:val="20"/>
              </w:rPr>
              <w:t xml:space="preserve">Art. 12 CADA przewiduje ustanowienie pojedynczych punktów informacyjnych (single </w:t>
            </w:r>
            <w:proofErr w:type="spellStart"/>
            <w:r w:rsidRPr="00023B68">
              <w:rPr>
                <w:b/>
                <w:bCs/>
                <w:sz w:val="20"/>
                <w:szCs w:val="20"/>
              </w:rPr>
              <w:t>information</w:t>
            </w:r>
            <w:proofErr w:type="spellEnd"/>
            <w:r w:rsidRPr="00023B68">
              <w:rPr>
                <w:b/>
                <w:bCs/>
                <w:sz w:val="20"/>
                <w:szCs w:val="20"/>
              </w:rPr>
              <w:t xml:space="preserve"> </w:t>
            </w:r>
            <w:proofErr w:type="spellStart"/>
            <w:r w:rsidRPr="00023B68">
              <w:rPr>
                <w:b/>
                <w:bCs/>
                <w:sz w:val="20"/>
                <w:szCs w:val="20"/>
              </w:rPr>
              <w:t>points</w:t>
            </w:r>
            <w:proofErr w:type="spellEnd"/>
            <w:r w:rsidRPr="00023B68">
              <w:rPr>
                <w:b/>
                <w:bCs/>
                <w:sz w:val="20"/>
                <w:szCs w:val="20"/>
              </w:rPr>
              <w:t xml:space="preserve">), które mają wspierać inwestorów w całym cyklu realizacji projektów w strefach przyspieszonego rozwoju. Zgodnie z projektem punkty te mają nie tylko przekazywać informacje, lecz także koordynować i ułatwiać przebieg postępowań </w:t>
            </w:r>
            <w:r w:rsidRPr="00023B68">
              <w:rPr>
                <w:sz w:val="20"/>
                <w:szCs w:val="20"/>
              </w:rPr>
              <w:t xml:space="preserve">dotyczących m.in. planowania przestrzennego, pozwoleń budowlanych, ocen środowiskowych, korzystania z wody, odprowadzania ścieków, wykorzystania i odzysku ciepła odpadowego, obowiązków administracyjnych oraz przyłączeń do sieci energetycznych, ciepłowniczych i telekomunikacyjnych. Ponadto art. 12 ust. 3 przewiduje, że punkt ten ma pomagać w ocenie, czy dany projekt może kwalifikować się jako projekt strategiczny. </w:t>
            </w:r>
          </w:p>
          <w:p w14:paraId="61AA30A4" w14:textId="77777777" w:rsidR="00A85FE9" w:rsidRPr="00023B68" w:rsidRDefault="00A85FE9" w:rsidP="00A85FE9">
            <w:pPr>
              <w:pStyle w:val="Default"/>
              <w:rPr>
                <w:sz w:val="20"/>
                <w:szCs w:val="20"/>
              </w:rPr>
            </w:pPr>
            <w:r w:rsidRPr="00023B68">
              <w:rPr>
                <w:sz w:val="20"/>
                <w:szCs w:val="20"/>
              </w:rPr>
              <w:t xml:space="preserve">Mechanizm przewidziany w art. 12 powinien być wdrażany jako instytucjonalne wsparcie dla inwestorów na poziomie konkretnych projektów. </w:t>
            </w:r>
            <w:r w:rsidRPr="00023B68">
              <w:rPr>
                <w:b/>
                <w:bCs/>
                <w:sz w:val="20"/>
                <w:szCs w:val="20"/>
              </w:rPr>
              <w:t xml:space="preserve">Pojedynczy punkt informacyjny powinien pełnić funkcję operacyjną, ułatwiając kontakt z właściwymi organami, koordynując przebieg postępowań oraz wspierając inwestora w uzyskaniu wymaganych decyzji i pozwoleń. </w:t>
            </w:r>
          </w:p>
          <w:p w14:paraId="1EB8D844" w14:textId="77777777" w:rsidR="00A85FE9" w:rsidRPr="00023B68" w:rsidRDefault="00A85FE9" w:rsidP="00A85FE9">
            <w:pPr>
              <w:pStyle w:val="Default"/>
              <w:rPr>
                <w:b/>
                <w:bCs/>
                <w:sz w:val="20"/>
                <w:szCs w:val="20"/>
              </w:rPr>
            </w:pPr>
            <w:r w:rsidRPr="00023B68">
              <w:rPr>
                <w:b/>
                <w:bCs/>
                <w:sz w:val="20"/>
                <w:szCs w:val="20"/>
              </w:rPr>
              <w:t xml:space="preserve">Niezależnie od przewidzianego w CADA punktu kontaktowego, zauważamy potrzebę ustanowienia oddzielnego ciała koordynującego prace międzyresortowe na poziomie krajowym. </w:t>
            </w:r>
            <w:r w:rsidRPr="00023B68">
              <w:rPr>
                <w:sz w:val="20"/>
                <w:szCs w:val="20"/>
              </w:rPr>
              <w:t xml:space="preserve">Powołanie takiego ciała pozwoliłoby uporządkować podział kompetencji, usprawnić wymianę informacji między resortami i instytucjami oraz lepiej powiązać wdrażanie CADA z krajowymi działaniami w obszarze energetyki, cyfryzacji, planowania przestrzennego i polityki inwestycyjnej. </w:t>
            </w:r>
            <w:r w:rsidRPr="00023B68">
              <w:rPr>
                <w:b/>
                <w:bCs/>
                <w:sz w:val="20"/>
                <w:szCs w:val="20"/>
              </w:rPr>
              <w:t>W polskich warunkach miałoby to szczególne znaczenie, ponieważ przygotowanie i realizacja inwestycji w centra danych wymaga równoległego zaangażowania wielu organów administracji.</w:t>
            </w:r>
          </w:p>
          <w:p w14:paraId="7E87C1F3" w14:textId="5918F4CB" w:rsidR="00A85FE9" w:rsidRPr="00023B68" w:rsidRDefault="00A85FE9" w:rsidP="00A85FE9">
            <w:pPr>
              <w:pStyle w:val="Default"/>
              <w:rPr>
                <w:sz w:val="20"/>
                <w:szCs w:val="20"/>
              </w:rPr>
            </w:pPr>
          </w:p>
        </w:tc>
      </w:tr>
      <w:tr w:rsidR="00A85FE9" w:rsidRPr="00023B68" w14:paraId="1E701F8F" w14:textId="77777777" w:rsidTr="00040008">
        <w:tc>
          <w:tcPr>
            <w:tcW w:w="0" w:type="auto"/>
          </w:tcPr>
          <w:p w14:paraId="6C521EED" w14:textId="50A5C2A0"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25796C06" w14:textId="51D540B6"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54529670" w14:textId="77777777" w:rsidR="00A85FE9" w:rsidRPr="00023B68" w:rsidRDefault="00A85FE9" w:rsidP="00A85FE9">
            <w:pPr>
              <w:pStyle w:val="Default"/>
              <w:rPr>
                <w:sz w:val="20"/>
                <w:szCs w:val="20"/>
              </w:rPr>
            </w:pPr>
            <w:r w:rsidRPr="00023B68">
              <w:rPr>
                <w:sz w:val="20"/>
                <w:szCs w:val="20"/>
              </w:rPr>
              <w:t>Rekomendacja: Postulujemy doprecyzowanie, że wsparcie pojedynczego punktu</w:t>
            </w:r>
            <w:r w:rsidR="00027581" w:rsidRPr="00023B68">
              <w:rPr>
                <w:sz w:val="20"/>
                <w:szCs w:val="20"/>
              </w:rPr>
              <w:t> </w:t>
            </w:r>
            <w:r w:rsidRPr="00023B68">
              <w:rPr>
                <w:sz w:val="20"/>
                <w:szCs w:val="20"/>
              </w:rPr>
              <w:t xml:space="preserve">kontaktowego (single </w:t>
            </w:r>
            <w:proofErr w:type="spellStart"/>
            <w:r w:rsidRPr="00023B68">
              <w:rPr>
                <w:sz w:val="20"/>
                <w:szCs w:val="20"/>
              </w:rPr>
              <w:t>information</w:t>
            </w:r>
            <w:proofErr w:type="spellEnd"/>
            <w:r w:rsidRPr="00023B68">
              <w:rPr>
                <w:sz w:val="20"/>
                <w:szCs w:val="20"/>
              </w:rPr>
              <w:t xml:space="preserve"> point, art. 12 CADA) obejmuje również fazę</w:t>
            </w:r>
            <w:r w:rsidR="00027581" w:rsidRPr="00023B68">
              <w:rPr>
                <w:sz w:val="20"/>
                <w:szCs w:val="20"/>
              </w:rPr>
              <w:t> </w:t>
            </w:r>
            <w:proofErr w:type="spellStart"/>
            <w:r w:rsidRPr="00023B68">
              <w:rPr>
                <w:sz w:val="20"/>
                <w:szCs w:val="20"/>
              </w:rPr>
              <w:t>przedzłożeniową</w:t>
            </w:r>
            <w:proofErr w:type="spellEnd"/>
            <w:r w:rsidRPr="00023B68">
              <w:rPr>
                <w:sz w:val="20"/>
                <w:szCs w:val="20"/>
              </w:rPr>
              <w:t xml:space="preserve"> oraz postępowania administracyjne poprzedzające złożenie</w:t>
            </w:r>
            <w:r w:rsidR="00027581" w:rsidRPr="00023B68">
              <w:rPr>
                <w:sz w:val="20"/>
                <w:szCs w:val="20"/>
              </w:rPr>
              <w:t> </w:t>
            </w:r>
            <w:r w:rsidRPr="00023B68">
              <w:rPr>
                <w:sz w:val="20"/>
                <w:szCs w:val="20"/>
              </w:rPr>
              <w:t>właściwych wniosków. Faza ta często stanowi znaczną część łącznego czasu trwania</w:t>
            </w:r>
            <w:r w:rsidR="00027581" w:rsidRPr="00023B68">
              <w:rPr>
                <w:sz w:val="20"/>
                <w:szCs w:val="20"/>
              </w:rPr>
              <w:t> </w:t>
            </w:r>
            <w:r w:rsidRPr="00023B68">
              <w:rPr>
                <w:sz w:val="20"/>
                <w:szCs w:val="20"/>
              </w:rPr>
              <w:t>procedury i przesądza o zakresie oraz złożoności samego wniosku; ograniczenie</w:t>
            </w:r>
            <w:r w:rsidR="00027581" w:rsidRPr="00023B68">
              <w:rPr>
                <w:sz w:val="20"/>
                <w:szCs w:val="20"/>
              </w:rPr>
              <w:t> </w:t>
            </w:r>
            <w:r w:rsidRPr="00023B68">
              <w:rPr>
                <w:sz w:val="20"/>
                <w:szCs w:val="20"/>
              </w:rPr>
              <w:t>wsparcia wyłącznie do etapu formalnego wniosku pozostawia inwestora bez pomocy</w:t>
            </w:r>
            <w:r w:rsidR="00027581" w:rsidRPr="00023B68">
              <w:rPr>
                <w:sz w:val="20"/>
                <w:szCs w:val="20"/>
              </w:rPr>
              <w:t> </w:t>
            </w:r>
            <w:r w:rsidRPr="00023B68">
              <w:rPr>
                <w:sz w:val="20"/>
                <w:szCs w:val="20"/>
              </w:rPr>
              <w:t>w kluczowym momencie decyzji inwestycyjnej.</w:t>
            </w:r>
            <w:r w:rsidR="00027581" w:rsidRPr="00023B68">
              <w:rPr>
                <w:sz w:val="20"/>
                <w:szCs w:val="20"/>
              </w:rPr>
              <w:t> </w:t>
            </w:r>
          </w:p>
          <w:p w14:paraId="3E31FAD2" w14:textId="5A8414C3" w:rsidR="00027581" w:rsidRPr="00023B68" w:rsidRDefault="00027581" w:rsidP="00A85FE9">
            <w:pPr>
              <w:pStyle w:val="Default"/>
              <w:rPr>
                <w:sz w:val="20"/>
                <w:szCs w:val="20"/>
              </w:rPr>
            </w:pPr>
          </w:p>
        </w:tc>
      </w:tr>
      <w:tr w:rsidR="00A85FE9" w:rsidRPr="00023B68" w14:paraId="4C962EB1" w14:textId="77777777" w:rsidTr="00040008">
        <w:tc>
          <w:tcPr>
            <w:tcW w:w="0" w:type="auto"/>
          </w:tcPr>
          <w:p w14:paraId="0E75B315" w14:textId="03773C58" w:rsidR="00A85FE9" w:rsidRPr="00023B68" w:rsidRDefault="00A85FE9" w:rsidP="00A85FE9">
            <w:pPr>
              <w:pStyle w:val="Default"/>
              <w:rPr>
                <w:sz w:val="20"/>
                <w:szCs w:val="20"/>
              </w:rPr>
            </w:pPr>
            <w:r w:rsidRPr="00023B68">
              <w:rPr>
                <w:sz w:val="20"/>
                <w:szCs w:val="20"/>
              </w:rPr>
              <w:t>Artykuł 13</w:t>
            </w:r>
          </w:p>
          <w:p w14:paraId="12004E15" w14:textId="5463E37A" w:rsidR="00A85FE9" w:rsidRPr="00023B68" w:rsidRDefault="00A85FE9" w:rsidP="00A85FE9">
            <w:pPr>
              <w:pStyle w:val="Default"/>
              <w:rPr>
                <w:i/>
                <w:iCs/>
                <w:sz w:val="20"/>
                <w:szCs w:val="20"/>
              </w:rPr>
            </w:pPr>
            <w:proofErr w:type="spellStart"/>
            <w:r w:rsidRPr="00023B68">
              <w:rPr>
                <w:i/>
                <w:iCs/>
                <w:sz w:val="20"/>
                <w:szCs w:val="20"/>
              </w:rPr>
              <w:t>Facilitating</w:t>
            </w:r>
            <w:proofErr w:type="spellEnd"/>
            <w:r w:rsidRPr="00023B68">
              <w:rPr>
                <w:i/>
                <w:iCs/>
                <w:sz w:val="20"/>
                <w:szCs w:val="20"/>
              </w:rPr>
              <w:t xml:space="preserve"> </w:t>
            </w:r>
            <w:proofErr w:type="spellStart"/>
            <w:r w:rsidRPr="00023B68">
              <w:rPr>
                <w:i/>
                <w:iCs/>
                <w:sz w:val="20"/>
                <w:szCs w:val="20"/>
              </w:rPr>
              <w:t>administrative</w:t>
            </w:r>
            <w:proofErr w:type="spellEnd"/>
            <w:r w:rsidRPr="00023B68">
              <w:rPr>
                <w:i/>
                <w:iCs/>
                <w:sz w:val="20"/>
                <w:szCs w:val="20"/>
              </w:rPr>
              <w:t xml:space="preserve"> and </w:t>
            </w:r>
            <w:proofErr w:type="spellStart"/>
            <w:r w:rsidRPr="00023B68">
              <w:rPr>
                <w:i/>
                <w:iCs/>
                <w:sz w:val="20"/>
                <w:szCs w:val="20"/>
              </w:rPr>
              <w:t>permit-granting</w:t>
            </w:r>
            <w:proofErr w:type="spellEnd"/>
            <w:r w:rsidRPr="00023B68">
              <w:rPr>
                <w:i/>
                <w:iCs/>
                <w:sz w:val="20"/>
                <w:szCs w:val="20"/>
              </w:rPr>
              <w:t xml:space="preserve"> </w:t>
            </w:r>
            <w:proofErr w:type="spellStart"/>
            <w:r w:rsidRPr="00023B68">
              <w:rPr>
                <w:i/>
                <w:iCs/>
                <w:sz w:val="20"/>
                <w:szCs w:val="20"/>
              </w:rPr>
              <w:t>processes</w:t>
            </w:r>
            <w:proofErr w:type="spellEnd"/>
          </w:p>
        </w:tc>
        <w:tc>
          <w:tcPr>
            <w:tcW w:w="0" w:type="auto"/>
          </w:tcPr>
          <w:p w14:paraId="30C0449C" w14:textId="63CF36E7"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6A8EF2A6" w14:textId="77777777" w:rsidR="00A85FE9" w:rsidRPr="00023B68" w:rsidRDefault="00A85FE9" w:rsidP="00A85FE9">
            <w:pPr>
              <w:pStyle w:val="Default"/>
              <w:rPr>
                <w:sz w:val="20"/>
                <w:szCs w:val="20"/>
              </w:rPr>
            </w:pPr>
            <w:r w:rsidRPr="00023B68">
              <w:rPr>
                <w:sz w:val="20"/>
                <w:szCs w:val="20"/>
              </w:rPr>
              <w:t>Rekomendacja: Postulujemy wzmocnienie art. 13 ust. 5 CADA przez wyraźne</w:t>
            </w:r>
            <w:r w:rsidR="00C04A18" w:rsidRPr="00023B68">
              <w:rPr>
                <w:sz w:val="20"/>
                <w:szCs w:val="20"/>
              </w:rPr>
              <w:t> </w:t>
            </w:r>
            <w:r w:rsidRPr="00023B68">
              <w:rPr>
                <w:sz w:val="20"/>
                <w:szCs w:val="20"/>
              </w:rPr>
              <w:t>wskazanie, że 12-miesięczny limit dotyczy wszystkich pozwoleń i zezwoleń</w:t>
            </w:r>
            <w:r w:rsidR="00C04A18" w:rsidRPr="00023B68">
              <w:rPr>
                <w:sz w:val="20"/>
                <w:szCs w:val="20"/>
              </w:rPr>
              <w:t> </w:t>
            </w:r>
            <w:r w:rsidRPr="00023B68">
              <w:rPr>
                <w:sz w:val="20"/>
                <w:szCs w:val="20"/>
              </w:rPr>
              <w:t>wymaganych dla projektu (w tym pozwoleń instalacyjnych), a procedury te powinny być</w:t>
            </w:r>
            <w:r w:rsidR="00C04A18" w:rsidRPr="00023B68">
              <w:rPr>
                <w:sz w:val="20"/>
                <w:szCs w:val="20"/>
              </w:rPr>
              <w:t> </w:t>
            </w:r>
            <w:r w:rsidRPr="00023B68">
              <w:rPr>
                <w:sz w:val="20"/>
                <w:szCs w:val="20"/>
              </w:rPr>
              <w:t>koordynowane i – w miarę możliwości – zintegrowane w jednej ścieżce prowadzonej</w:t>
            </w:r>
            <w:r w:rsidR="00C04A18" w:rsidRPr="00023B68">
              <w:rPr>
                <w:sz w:val="20"/>
                <w:szCs w:val="20"/>
              </w:rPr>
              <w:t> </w:t>
            </w:r>
            <w:r w:rsidRPr="00023B68">
              <w:rPr>
                <w:sz w:val="20"/>
                <w:szCs w:val="20"/>
              </w:rPr>
              <w:t>przez pojedynczy punkt kontaktowy. Obecnie organy krajowe często procedują</w:t>
            </w:r>
            <w:r w:rsidR="00C04A18" w:rsidRPr="00023B68">
              <w:rPr>
                <w:sz w:val="20"/>
                <w:szCs w:val="20"/>
              </w:rPr>
              <w:t> </w:t>
            </w:r>
            <w:r w:rsidRPr="00023B68">
              <w:rPr>
                <w:sz w:val="20"/>
                <w:szCs w:val="20"/>
              </w:rPr>
              <w:t>poszczególne pozwolenia sekwencyjnie, co opóźnia realizację inwestycji.</w:t>
            </w:r>
            <w:r w:rsidR="00C04A18" w:rsidRPr="00023B68">
              <w:rPr>
                <w:sz w:val="20"/>
                <w:szCs w:val="20"/>
              </w:rPr>
              <w:t> </w:t>
            </w:r>
          </w:p>
          <w:p w14:paraId="5B14EB5D" w14:textId="196835E4" w:rsidR="00C04A18" w:rsidRPr="00023B68" w:rsidRDefault="00C04A18" w:rsidP="00A85FE9">
            <w:pPr>
              <w:pStyle w:val="Default"/>
              <w:rPr>
                <w:b/>
                <w:bCs/>
                <w:sz w:val="20"/>
                <w:szCs w:val="20"/>
              </w:rPr>
            </w:pPr>
          </w:p>
        </w:tc>
      </w:tr>
      <w:tr w:rsidR="00A85FE9" w:rsidRPr="00023B68" w14:paraId="7AFC123F" w14:textId="77777777" w:rsidTr="00D0298A">
        <w:tc>
          <w:tcPr>
            <w:tcW w:w="0" w:type="auto"/>
          </w:tcPr>
          <w:p w14:paraId="4E6519FC" w14:textId="77777777"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17A2A62D" w14:textId="77777777"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55CDC6B7" w14:textId="77777777" w:rsidR="00A85FE9" w:rsidRPr="00023B68" w:rsidRDefault="00A85FE9" w:rsidP="00A85FE9">
            <w:pPr>
              <w:pStyle w:val="Default"/>
              <w:rPr>
                <w:b/>
                <w:bCs/>
                <w:sz w:val="20"/>
                <w:szCs w:val="20"/>
              </w:rPr>
            </w:pPr>
            <w:r w:rsidRPr="00023B68">
              <w:rPr>
                <w:b/>
                <w:bCs/>
                <w:sz w:val="20"/>
                <w:szCs w:val="20"/>
              </w:rPr>
              <w:t>Cyfryzacja procedur i wykorzystanie sztucznej inteligencji</w:t>
            </w:r>
          </w:p>
          <w:p w14:paraId="79F6FB7B" w14:textId="77777777" w:rsidR="00A85FE9" w:rsidRPr="00023B68" w:rsidRDefault="00A85FE9" w:rsidP="00A85FE9">
            <w:pPr>
              <w:pStyle w:val="Default"/>
              <w:rPr>
                <w:sz w:val="20"/>
                <w:szCs w:val="20"/>
              </w:rPr>
            </w:pPr>
            <w:r w:rsidRPr="00023B68">
              <w:rPr>
                <w:sz w:val="20"/>
                <w:szCs w:val="20"/>
              </w:rPr>
              <w:t>Z uznaniem przyjmujemy wprowadzenie skonsolidowanego pozwolenia bazowego,</w:t>
            </w:r>
            <w:r w:rsidR="00C41265" w:rsidRPr="00023B68">
              <w:rPr>
                <w:sz w:val="20"/>
                <w:szCs w:val="20"/>
              </w:rPr>
              <w:t> </w:t>
            </w:r>
            <w:r w:rsidRPr="00023B68">
              <w:rPr>
                <w:sz w:val="20"/>
                <w:szCs w:val="20"/>
              </w:rPr>
              <w:t xml:space="preserve">wyznaczenie pojedynczego punktu kontaktowego (single </w:t>
            </w:r>
            <w:proofErr w:type="spellStart"/>
            <w:r w:rsidRPr="00023B68">
              <w:rPr>
                <w:sz w:val="20"/>
                <w:szCs w:val="20"/>
              </w:rPr>
              <w:t>information</w:t>
            </w:r>
            <w:proofErr w:type="spellEnd"/>
            <w:r w:rsidRPr="00023B68">
              <w:rPr>
                <w:sz w:val="20"/>
                <w:szCs w:val="20"/>
              </w:rPr>
              <w:t xml:space="preserve"> point) oraz ustalenie 12-</w:t>
            </w:r>
            <w:r w:rsidR="00C41265" w:rsidRPr="00023B68">
              <w:rPr>
                <w:sz w:val="20"/>
                <w:szCs w:val="20"/>
              </w:rPr>
              <w:t> </w:t>
            </w:r>
            <w:r w:rsidRPr="00023B68">
              <w:rPr>
                <w:sz w:val="20"/>
                <w:szCs w:val="20"/>
              </w:rPr>
              <w:t xml:space="preserve">miesięcznego limitu na wydanie decyzji administracyjnej (art. 13 CADA).Zwracamy jednak uwagę, że wniosek CADA oraz projekt rozporządzenia </w:t>
            </w:r>
            <w:proofErr w:type="spellStart"/>
            <w:r w:rsidRPr="00023B68">
              <w:rPr>
                <w:sz w:val="20"/>
                <w:szCs w:val="20"/>
              </w:rPr>
              <w:t>Environmental</w:t>
            </w:r>
            <w:proofErr w:type="spellEnd"/>
            <w:r w:rsidRPr="00023B68">
              <w:rPr>
                <w:sz w:val="20"/>
                <w:szCs w:val="20"/>
              </w:rPr>
              <w:t xml:space="preserve"> Omnibus nie wykorzystują w pełni potencjału systemów AI do</w:t>
            </w:r>
            <w:r w:rsidR="00C41265" w:rsidRPr="00023B68">
              <w:rPr>
                <w:sz w:val="20"/>
                <w:szCs w:val="20"/>
              </w:rPr>
              <w:t> </w:t>
            </w:r>
            <w:r w:rsidRPr="00023B68">
              <w:rPr>
                <w:sz w:val="20"/>
                <w:szCs w:val="20"/>
              </w:rPr>
              <w:t>usprawniania decyzji administracyjnych.</w:t>
            </w:r>
            <w:r w:rsidR="00C41265" w:rsidRPr="00023B68">
              <w:rPr>
                <w:sz w:val="20"/>
                <w:szCs w:val="20"/>
              </w:rPr>
              <w:t>  </w:t>
            </w:r>
            <w:r w:rsidRPr="00023B68">
              <w:rPr>
                <w:sz w:val="20"/>
                <w:szCs w:val="20"/>
              </w:rPr>
              <w:t>Rekomendacja: Wzywamy do włączenia przepisów umożliwiających administracji</w:t>
            </w:r>
            <w:r w:rsidR="00C41265" w:rsidRPr="00023B68">
              <w:rPr>
                <w:sz w:val="20"/>
                <w:szCs w:val="20"/>
              </w:rPr>
              <w:t> </w:t>
            </w:r>
            <w:r w:rsidRPr="00023B68">
              <w:rPr>
                <w:sz w:val="20"/>
                <w:szCs w:val="20"/>
              </w:rPr>
              <w:t>publicznej stosowanie systemów AI (zgodnie z rozporządzeniem (EU) 2024/1689 – AI</w:t>
            </w:r>
            <w:r w:rsidR="00C41265" w:rsidRPr="00023B68">
              <w:rPr>
                <w:sz w:val="20"/>
                <w:szCs w:val="20"/>
              </w:rPr>
              <w:t> </w:t>
            </w:r>
            <w:proofErr w:type="spellStart"/>
            <w:r w:rsidRPr="00023B68">
              <w:rPr>
                <w:sz w:val="20"/>
                <w:szCs w:val="20"/>
              </w:rPr>
              <w:t>Act</w:t>
            </w:r>
            <w:proofErr w:type="spellEnd"/>
            <w:r w:rsidRPr="00023B68">
              <w:rPr>
                <w:sz w:val="20"/>
                <w:szCs w:val="20"/>
              </w:rPr>
              <w:t xml:space="preserve">) w art. </w:t>
            </w:r>
            <w:r w:rsidRPr="00023B68">
              <w:rPr>
                <w:sz w:val="20"/>
                <w:szCs w:val="20"/>
              </w:rPr>
              <w:lastRenderedPageBreak/>
              <w:t xml:space="preserve">10 rozporządzenia </w:t>
            </w:r>
            <w:proofErr w:type="spellStart"/>
            <w:r w:rsidRPr="00023B68">
              <w:rPr>
                <w:sz w:val="20"/>
                <w:szCs w:val="20"/>
              </w:rPr>
              <w:t>Environmental</w:t>
            </w:r>
            <w:proofErr w:type="spellEnd"/>
            <w:r w:rsidRPr="00023B68">
              <w:rPr>
                <w:sz w:val="20"/>
                <w:szCs w:val="20"/>
              </w:rPr>
              <w:t xml:space="preserve"> Omnibus oraz w art. 13 ust. 5 CADA, co</w:t>
            </w:r>
            <w:r w:rsidR="00C41265" w:rsidRPr="00023B68">
              <w:rPr>
                <w:sz w:val="20"/>
                <w:szCs w:val="20"/>
              </w:rPr>
              <w:t> </w:t>
            </w:r>
            <w:r w:rsidRPr="00023B68">
              <w:rPr>
                <w:sz w:val="20"/>
                <w:szCs w:val="20"/>
              </w:rPr>
              <w:t>pozwoli rozładować zatory proceduralne w urzędach.</w:t>
            </w:r>
            <w:r w:rsidR="00C41265" w:rsidRPr="00023B68">
              <w:rPr>
                <w:sz w:val="20"/>
                <w:szCs w:val="20"/>
              </w:rPr>
              <w:t> </w:t>
            </w:r>
          </w:p>
          <w:p w14:paraId="7E0AAF82" w14:textId="59599468" w:rsidR="00C41265" w:rsidRPr="00023B68" w:rsidRDefault="00C41265" w:rsidP="00A85FE9">
            <w:pPr>
              <w:pStyle w:val="Default"/>
              <w:rPr>
                <w:sz w:val="20"/>
                <w:szCs w:val="20"/>
              </w:rPr>
            </w:pPr>
          </w:p>
        </w:tc>
      </w:tr>
      <w:tr w:rsidR="00A85FE9" w:rsidRPr="00023B68" w14:paraId="76B73846" w14:textId="77777777" w:rsidTr="00D0298A">
        <w:tc>
          <w:tcPr>
            <w:tcW w:w="0" w:type="auto"/>
          </w:tcPr>
          <w:p w14:paraId="69426912" w14:textId="634C462F"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33C5C516" w14:textId="5C0A6D01"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08373CDA" w14:textId="77777777" w:rsidR="00A85FE9" w:rsidRPr="00023B68" w:rsidRDefault="00A85FE9" w:rsidP="00A85FE9">
            <w:pPr>
              <w:pStyle w:val="Default"/>
              <w:rPr>
                <w:b/>
                <w:bCs/>
                <w:sz w:val="20"/>
                <w:szCs w:val="20"/>
              </w:rPr>
            </w:pPr>
            <w:r w:rsidRPr="00023B68">
              <w:rPr>
                <w:b/>
                <w:bCs/>
                <w:sz w:val="20"/>
                <w:szCs w:val="20"/>
              </w:rPr>
              <w:t>Proporcjonalne wymogi dla generatorów awaryjnych (art. 13 CADA)</w:t>
            </w:r>
          </w:p>
          <w:p w14:paraId="3EC126C5" w14:textId="77777777" w:rsidR="00C41265" w:rsidRPr="00023B68" w:rsidRDefault="00A85FE9" w:rsidP="00A85FE9">
            <w:pPr>
              <w:pStyle w:val="Default"/>
              <w:rPr>
                <w:sz w:val="20"/>
                <w:szCs w:val="20"/>
              </w:rPr>
            </w:pPr>
            <w:r w:rsidRPr="00023B68">
              <w:rPr>
                <w:sz w:val="20"/>
                <w:szCs w:val="20"/>
              </w:rPr>
              <w:t>Postulujemy, aby generatory rezerwowe (</w:t>
            </w:r>
            <w:proofErr w:type="spellStart"/>
            <w:r w:rsidRPr="00023B68">
              <w:rPr>
                <w:sz w:val="20"/>
                <w:szCs w:val="20"/>
              </w:rPr>
              <w:t>back-up</w:t>
            </w:r>
            <w:proofErr w:type="spellEnd"/>
            <w:r w:rsidRPr="00023B68">
              <w:rPr>
                <w:sz w:val="20"/>
                <w:szCs w:val="20"/>
              </w:rPr>
              <w:t>) wykorzystywane przez centra danych w</w:t>
            </w:r>
            <w:r w:rsidR="00C41265" w:rsidRPr="00023B68">
              <w:rPr>
                <w:sz w:val="20"/>
                <w:szCs w:val="20"/>
              </w:rPr>
              <w:t> </w:t>
            </w:r>
            <w:r w:rsidRPr="00023B68">
              <w:rPr>
                <w:sz w:val="20"/>
                <w:szCs w:val="20"/>
              </w:rPr>
              <w:t xml:space="preserve">strefach przyspieszonego rozwoju podlegały wymogom </w:t>
            </w:r>
            <w:proofErr w:type="spellStart"/>
            <w:r w:rsidRPr="00023B68">
              <w:rPr>
                <w:sz w:val="20"/>
                <w:szCs w:val="20"/>
              </w:rPr>
              <w:t>pozwoleniowym</w:t>
            </w:r>
            <w:proofErr w:type="spellEnd"/>
            <w:r w:rsidRPr="00023B68">
              <w:rPr>
                <w:sz w:val="20"/>
                <w:szCs w:val="20"/>
              </w:rPr>
              <w:t xml:space="preserve"> i emisyjnym</w:t>
            </w:r>
            <w:r w:rsidR="00C41265" w:rsidRPr="00023B68">
              <w:rPr>
                <w:sz w:val="20"/>
                <w:szCs w:val="20"/>
              </w:rPr>
              <w:t> </w:t>
            </w:r>
            <w:r w:rsidRPr="00023B68">
              <w:rPr>
                <w:sz w:val="20"/>
                <w:szCs w:val="20"/>
              </w:rPr>
              <w:t>proporcjonalnym do ich awaryjnego charakteru. W szczególności generatory pracujące krócej</w:t>
            </w:r>
            <w:r w:rsidR="00C41265" w:rsidRPr="00023B68">
              <w:rPr>
                <w:sz w:val="20"/>
                <w:szCs w:val="20"/>
              </w:rPr>
              <w:t> </w:t>
            </w:r>
            <w:r w:rsidRPr="00023B68">
              <w:rPr>
                <w:sz w:val="20"/>
                <w:szCs w:val="20"/>
              </w:rPr>
              <w:t xml:space="preserve">niż 500 godzin w roku nie powinny podlegać wymogom </w:t>
            </w:r>
            <w:proofErr w:type="spellStart"/>
            <w:r w:rsidRPr="00023B68">
              <w:rPr>
                <w:sz w:val="20"/>
                <w:szCs w:val="20"/>
              </w:rPr>
              <w:t>pozwoleniowym</w:t>
            </w:r>
            <w:proofErr w:type="spellEnd"/>
            <w:r w:rsidRPr="00023B68">
              <w:rPr>
                <w:sz w:val="20"/>
                <w:szCs w:val="20"/>
              </w:rPr>
              <w:t xml:space="preserve"> dyrektywy</w:t>
            </w:r>
            <w:r w:rsidR="00C41265" w:rsidRPr="00023B68">
              <w:rPr>
                <w:sz w:val="20"/>
                <w:szCs w:val="20"/>
              </w:rPr>
              <w:t> </w:t>
            </w:r>
            <w:r w:rsidRPr="00023B68">
              <w:rPr>
                <w:sz w:val="20"/>
                <w:szCs w:val="20"/>
              </w:rPr>
              <w:t>2010/75/UE o emisjach przemysłowych (IED). Użycie awaryjne należy ograniczyć do sytuacji</w:t>
            </w:r>
            <w:r w:rsidR="00C41265" w:rsidRPr="00023B68">
              <w:rPr>
                <w:sz w:val="20"/>
                <w:szCs w:val="20"/>
              </w:rPr>
              <w:t> </w:t>
            </w:r>
            <w:r w:rsidRPr="00023B68">
              <w:rPr>
                <w:sz w:val="20"/>
                <w:szCs w:val="20"/>
              </w:rPr>
              <w:t>wywołanych awarią, niestabilnością lub odchyleniem częstotliwości sieci, z wyłączeniem</w:t>
            </w:r>
            <w:r w:rsidR="00C41265" w:rsidRPr="00023B68">
              <w:rPr>
                <w:sz w:val="20"/>
                <w:szCs w:val="20"/>
              </w:rPr>
              <w:t> </w:t>
            </w:r>
            <w:r w:rsidRPr="00023B68">
              <w:rPr>
                <w:sz w:val="20"/>
                <w:szCs w:val="20"/>
              </w:rPr>
              <w:t>testów planowych przekraczających 200 godzin rocznie. Łączna moc cieplna kilku</w:t>
            </w:r>
            <w:r w:rsidR="00C41265" w:rsidRPr="00023B68">
              <w:rPr>
                <w:sz w:val="20"/>
                <w:szCs w:val="20"/>
              </w:rPr>
              <w:t> </w:t>
            </w:r>
            <w:r w:rsidRPr="00023B68">
              <w:rPr>
                <w:sz w:val="20"/>
                <w:szCs w:val="20"/>
              </w:rPr>
              <w:t>generatorów awaryjnych jednego obiektu często niepotrzebnie uruchamia rygory IED, mimo</w:t>
            </w:r>
            <w:r w:rsidR="00C41265" w:rsidRPr="00023B68">
              <w:rPr>
                <w:sz w:val="20"/>
                <w:szCs w:val="20"/>
              </w:rPr>
              <w:t> </w:t>
            </w:r>
            <w:r w:rsidRPr="00023B68">
              <w:rPr>
                <w:sz w:val="20"/>
                <w:szCs w:val="20"/>
              </w:rPr>
              <w:t>że ich rzeczywiste emisje są marginalne; próg 500 h odpowiada dyrektywie o średnich</w:t>
            </w:r>
            <w:r w:rsidR="00C41265" w:rsidRPr="00023B68">
              <w:rPr>
                <w:sz w:val="20"/>
                <w:szCs w:val="20"/>
              </w:rPr>
              <w:t> </w:t>
            </w:r>
            <w:r w:rsidRPr="00023B68">
              <w:rPr>
                <w:sz w:val="20"/>
                <w:szCs w:val="20"/>
              </w:rPr>
              <w:t>obiektach spalania (UE) 2015/2193.</w:t>
            </w:r>
            <w:r w:rsidR="00C41265" w:rsidRPr="00023B68">
              <w:rPr>
                <w:sz w:val="20"/>
                <w:szCs w:val="20"/>
              </w:rPr>
              <w:t> </w:t>
            </w:r>
          </w:p>
          <w:p w14:paraId="4526A5E6" w14:textId="5369FD76" w:rsidR="00C41265" w:rsidRPr="00023B68" w:rsidRDefault="00C41265" w:rsidP="00A85FE9">
            <w:pPr>
              <w:pStyle w:val="Default"/>
              <w:rPr>
                <w:sz w:val="20"/>
                <w:szCs w:val="20"/>
              </w:rPr>
            </w:pPr>
          </w:p>
        </w:tc>
      </w:tr>
      <w:tr w:rsidR="00A85FE9" w:rsidRPr="00023B68" w14:paraId="7558C088" w14:textId="77777777" w:rsidTr="00040008">
        <w:tc>
          <w:tcPr>
            <w:tcW w:w="0" w:type="auto"/>
          </w:tcPr>
          <w:p w14:paraId="5AD14F33" w14:textId="77777777" w:rsidR="00A85FE9" w:rsidRPr="00023B68" w:rsidRDefault="00A85FE9" w:rsidP="00A85FE9">
            <w:pPr>
              <w:pStyle w:val="Default"/>
            </w:pPr>
            <w:r w:rsidRPr="00023B68">
              <w:rPr>
                <w:sz w:val="20"/>
                <w:szCs w:val="20"/>
              </w:rPr>
              <w:t>Artykuł 14 ust. 1 lit. e)</w:t>
            </w:r>
            <w:r w:rsidRPr="00023B68">
              <w:t xml:space="preserve"> </w:t>
            </w:r>
          </w:p>
          <w:p w14:paraId="74F24887" w14:textId="61823252" w:rsidR="00A85FE9" w:rsidRPr="00023B68" w:rsidRDefault="00A85FE9" w:rsidP="00A85FE9">
            <w:pPr>
              <w:pStyle w:val="Default"/>
              <w:rPr>
                <w:sz w:val="20"/>
                <w:szCs w:val="20"/>
              </w:rPr>
            </w:pPr>
            <w:proofErr w:type="spellStart"/>
            <w:r w:rsidRPr="00023B68">
              <w:rPr>
                <w:i/>
                <w:iCs/>
                <w:sz w:val="20"/>
                <w:szCs w:val="20"/>
              </w:rPr>
              <w:t>Designation</w:t>
            </w:r>
            <w:proofErr w:type="spellEnd"/>
            <w:r w:rsidRPr="00023B68">
              <w:rPr>
                <w:i/>
                <w:iCs/>
                <w:sz w:val="20"/>
                <w:szCs w:val="20"/>
              </w:rPr>
              <w:t xml:space="preserve"> of data </w:t>
            </w:r>
            <w:proofErr w:type="spellStart"/>
            <w:r w:rsidRPr="00023B68">
              <w:rPr>
                <w:i/>
                <w:iCs/>
                <w:sz w:val="20"/>
                <w:szCs w:val="20"/>
              </w:rPr>
              <w:t>centre</w:t>
            </w:r>
            <w:proofErr w:type="spellEnd"/>
            <w:r w:rsidRPr="00023B68">
              <w:rPr>
                <w:i/>
                <w:iCs/>
                <w:sz w:val="20"/>
                <w:szCs w:val="20"/>
              </w:rPr>
              <w:t xml:space="preserve"> </w:t>
            </w:r>
            <w:proofErr w:type="spellStart"/>
            <w:r w:rsidRPr="00023B68">
              <w:rPr>
                <w:i/>
                <w:iCs/>
                <w:sz w:val="20"/>
                <w:szCs w:val="20"/>
              </w:rPr>
              <w:t>strategic</w:t>
            </w:r>
            <w:proofErr w:type="spellEnd"/>
            <w:r w:rsidRPr="00023B68">
              <w:rPr>
                <w:i/>
                <w:iCs/>
                <w:sz w:val="20"/>
                <w:szCs w:val="20"/>
              </w:rPr>
              <w:t xml:space="preserve"> </w:t>
            </w:r>
            <w:proofErr w:type="spellStart"/>
            <w:r w:rsidRPr="00023B68">
              <w:rPr>
                <w:i/>
                <w:iCs/>
                <w:sz w:val="20"/>
                <w:szCs w:val="20"/>
              </w:rPr>
              <w:t>projects</w:t>
            </w:r>
            <w:proofErr w:type="spellEnd"/>
            <w:r w:rsidRPr="00023B68">
              <w:rPr>
                <w:sz w:val="20"/>
                <w:szCs w:val="20"/>
              </w:rPr>
              <w:t xml:space="preserve"> </w:t>
            </w:r>
          </w:p>
          <w:p w14:paraId="362ABD36" w14:textId="77777777" w:rsidR="00A85FE9" w:rsidRPr="00023B68" w:rsidRDefault="00A85FE9" w:rsidP="00A85FE9">
            <w:pPr>
              <w:pStyle w:val="Default"/>
              <w:rPr>
                <w:sz w:val="20"/>
                <w:szCs w:val="20"/>
              </w:rPr>
            </w:pPr>
          </w:p>
        </w:tc>
        <w:tc>
          <w:tcPr>
            <w:tcW w:w="0" w:type="auto"/>
          </w:tcPr>
          <w:p w14:paraId="20A99B48" w14:textId="61CA2EB5" w:rsidR="00A85FE9" w:rsidRPr="00023B68" w:rsidRDefault="00A85FE9" w:rsidP="00A85FE9">
            <w:pPr>
              <w:pStyle w:val="Default"/>
              <w:rPr>
                <w:sz w:val="20"/>
                <w:szCs w:val="20"/>
              </w:rPr>
            </w:pPr>
            <w:r w:rsidRPr="00023B68">
              <w:rPr>
                <w:sz w:val="20"/>
                <w:szCs w:val="20"/>
              </w:rPr>
              <w:t>Polski Związek Centrów Danych (PLDCA)</w:t>
            </w:r>
          </w:p>
        </w:tc>
        <w:tc>
          <w:tcPr>
            <w:tcW w:w="0" w:type="auto"/>
          </w:tcPr>
          <w:p w14:paraId="7EFF374A" w14:textId="77777777" w:rsidR="00A85FE9" w:rsidRPr="00023B68" w:rsidRDefault="00A85FE9" w:rsidP="00A85FE9">
            <w:pPr>
              <w:pStyle w:val="Default"/>
              <w:rPr>
                <w:sz w:val="20"/>
                <w:szCs w:val="20"/>
              </w:rPr>
            </w:pPr>
            <w:r w:rsidRPr="00023B68">
              <w:rPr>
                <w:b/>
                <w:bCs/>
                <w:sz w:val="20"/>
                <w:szCs w:val="20"/>
              </w:rPr>
              <w:t xml:space="preserve">CADA przewiduje możliwość przyznania inwestycjom w centra danych statusu projektu strategicznego, jeżeli spełniają one co najmniej dwa kryteria określone w art. 14. </w:t>
            </w:r>
            <w:r w:rsidRPr="00023B68">
              <w:rPr>
                <w:sz w:val="20"/>
                <w:szCs w:val="20"/>
              </w:rPr>
              <w:t xml:space="preserve">Obejmują one między innymi znaczenie projektu dla badań, usług publicznych, stabilności systemu elektroenergetycznego, rozwoju innowacyjnych technologii oraz ograniczania regionalnego niedoboru mocy obliczeniowej. Status ma być przyznawany przez Komisję Europejską w ramach otwartego naboru, a projekty strategiczne będą mogły ubiegać się o wsparcie krajowe lub unijne zgodnie z zasadami właściwych instrumentów finansowych. </w:t>
            </w:r>
          </w:p>
          <w:p w14:paraId="4C51A731" w14:textId="77777777" w:rsidR="00A85FE9" w:rsidRPr="00023B68" w:rsidRDefault="00A85FE9" w:rsidP="00A85FE9">
            <w:pPr>
              <w:pStyle w:val="Default"/>
              <w:rPr>
                <w:rFonts w:ascii="Inter" w:hAnsi="Inter" w:cs="Inter"/>
                <w:b/>
                <w:bCs/>
                <w:sz w:val="22"/>
                <w:szCs w:val="22"/>
              </w:rPr>
            </w:pPr>
            <w:r w:rsidRPr="00023B68">
              <w:rPr>
                <w:b/>
                <w:bCs/>
                <w:sz w:val="20"/>
                <w:szCs w:val="20"/>
              </w:rPr>
              <w:t xml:space="preserve">Dlatego warto doprecyzować kryteria przyznawania statusu projektu strategicznego określone w art. 14. Obecny katalog koncentruje się przede wszystkim na funkcjach, jakie projekt może pełnić dla gospodarki lub systemu elektroenergetycznego, w mniejszym stopniu uwzględniając jego efektywność energetyczną oraz wpływ na optymalne wykorzystanie istniejącej infrastruktury energetycznej. W związku z tym postulujemy uzupełnienie art. 14 ust. 1 o dodatkowe kryterium premiujące projekty o najwyższej efektywności energetycznej. </w:t>
            </w:r>
            <w:r w:rsidRPr="00023B68">
              <w:rPr>
                <w:sz w:val="20"/>
                <w:szCs w:val="20"/>
              </w:rPr>
              <w:t>Status projektu strategicznego powinien być przyznawany inwestycjom spełniającym najwyższe standardy efektywności wykorzystania energii, co zachęcałoby do stosowania najbardziej energooszczędnych rozwiązań technologicznych już na etapie projektowania nowych centrów danych. Polska dysponuje w tym zakresie naturalnymi przewagami konkurencyjnymi. Średnia roczna temperatura w Warszawie wynosi 8,9°C, a według analiz branżowych zapotrzebowanie na energię wykorzystywaną do chłodzenia centrów danych może być w Europie Południowej nawet o ponad 100% wyższe niż w Polsce. Ponieważ chłodzenie odpowiada za około 15-50% kosztów operacyjnych centrum danych, warunki klimatyczne stanowią jeden z czynników wpływających na konkurencyjność lokalizacji nowych inwestycji. Rozwiązanie to byłoby spójne z kierunkiem polityki Unii Europejskiej określonym w dyrektywie (UE) 2023/1791 w sprawie efektywności energetycznej (EED), która przewiduje rozwój wspólnych ram oceny efektywności energetycznej i zrównoważonego rozwoju centrów danych.</w:t>
            </w:r>
            <w:r w:rsidRPr="00023B68">
              <w:rPr>
                <w:rFonts w:ascii="Inter" w:hAnsi="Inter" w:cs="Inter"/>
                <w:b/>
                <w:bCs/>
                <w:sz w:val="22"/>
                <w:szCs w:val="22"/>
              </w:rPr>
              <w:t xml:space="preserve"> </w:t>
            </w:r>
          </w:p>
          <w:p w14:paraId="54584FF5" w14:textId="49DFB079" w:rsidR="00A85FE9" w:rsidRPr="00023B68" w:rsidRDefault="00A85FE9" w:rsidP="00A85FE9">
            <w:pPr>
              <w:pStyle w:val="Default"/>
              <w:rPr>
                <w:sz w:val="20"/>
                <w:szCs w:val="20"/>
              </w:rPr>
            </w:pPr>
            <w:r w:rsidRPr="00023B68">
              <w:rPr>
                <w:b/>
                <w:bCs/>
                <w:sz w:val="20"/>
                <w:szCs w:val="20"/>
              </w:rPr>
              <w:t xml:space="preserve">Jednocześnie proponujemy rozszerzenie art. 14 ust. 1 lit. c, </w:t>
            </w:r>
            <w:r w:rsidRPr="00023B68">
              <w:rPr>
                <w:sz w:val="20"/>
                <w:szCs w:val="20"/>
              </w:rPr>
              <w:t xml:space="preserve">który obecnie stanowi, że status projektu strategicznego może zostać przyznany projektowi, jeżeli: </w:t>
            </w:r>
            <w:r w:rsidRPr="00023B68">
              <w:rPr>
                <w:i/>
                <w:iCs/>
                <w:sz w:val="20"/>
                <w:szCs w:val="20"/>
              </w:rPr>
              <w:t xml:space="preserve">the </w:t>
            </w:r>
            <w:proofErr w:type="spellStart"/>
            <w:r w:rsidRPr="00023B68">
              <w:rPr>
                <w:i/>
                <w:iCs/>
                <w:sz w:val="20"/>
                <w:szCs w:val="20"/>
              </w:rPr>
              <w:t>project</w:t>
            </w:r>
            <w:proofErr w:type="spellEnd"/>
            <w:r w:rsidRPr="00023B68">
              <w:rPr>
                <w:i/>
                <w:iCs/>
                <w:sz w:val="20"/>
                <w:szCs w:val="20"/>
              </w:rPr>
              <w:t xml:space="preserve"> </w:t>
            </w:r>
            <w:proofErr w:type="spellStart"/>
            <w:r w:rsidRPr="00023B68">
              <w:rPr>
                <w:i/>
                <w:iCs/>
                <w:sz w:val="20"/>
                <w:szCs w:val="20"/>
              </w:rPr>
              <w:t>contributes</w:t>
            </w:r>
            <w:proofErr w:type="spellEnd"/>
            <w:r w:rsidRPr="00023B68">
              <w:rPr>
                <w:i/>
                <w:iCs/>
                <w:sz w:val="20"/>
                <w:szCs w:val="20"/>
              </w:rPr>
              <w:t xml:space="preserve"> to the </w:t>
            </w:r>
            <w:proofErr w:type="spellStart"/>
            <w:r w:rsidRPr="00023B68">
              <w:rPr>
                <w:i/>
                <w:iCs/>
                <w:sz w:val="20"/>
                <w:szCs w:val="20"/>
              </w:rPr>
              <w:t>security</w:t>
            </w:r>
            <w:proofErr w:type="spellEnd"/>
            <w:r w:rsidRPr="00023B68">
              <w:rPr>
                <w:i/>
                <w:iCs/>
                <w:sz w:val="20"/>
                <w:szCs w:val="20"/>
              </w:rPr>
              <w:t xml:space="preserve">, </w:t>
            </w:r>
            <w:proofErr w:type="spellStart"/>
            <w:r w:rsidRPr="00023B68">
              <w:rPr>
                <w:i/>
                <w:iCs/>
                <w:sz w:val="20"/>
                <w:szCs w:val="20"/>
              </w:rPr>
              <w:t>safety</w:t>
            </w:r>
            <w:proofErr w:type="spellEnd"/>
            <w:r w:rsidRPr="00023B68">
              <w:rPr>
                <w:i/>
                <w:iCs/>
                <w:sz w:val="20"/>
                <w:szCs w:val="20"/>
              </w:rPr>
              <w:t xml:space="preserve">, and </w:t>
            </w:r>
            <w:proofErr w:type="spellStart"/>
            <w:r w:rsidRPr="00023B68">
              <w:rPr>
                <w:i/>
                <w:iCs/>
                <w:sz w:val="20"/>
                <w:szCs w:val="20"/>
              </w:rPr>
              <w:t>stability</w:t>
            </w:r>
            <w:proofErr w:type="spellEnd"/>
            <w:r w:rsidRPr="00023B68">
              <w:rPr>
                <w:i/>
                <w:iCs/>
                <w:sz w:val="20"/>
                <w:szCs w:val="20"/>
              </w:rPr>
              <w:t xml:space="preserve"> of the </w:t>
            </w:r>
            <w:proofErr w:type="spellStart"/>
            <w:r w:rsidRPr="00023B68">
              <w:rPr>
                <w:i/>
                <w:iCs/>
                <w:sz w:val="20"/>
                <w:szCs w:val="20"/>
              </w:rPr>
              <w:t>electricity</w:t>
            </w:r>
            <w:proofErr w:type="spellEnd"/>
            <w:r w:rsidRPr="00023B68">
              <w:rPr>
                <w:i/>
                <w:iCs/>
                <w:sz w:val="20"/>
                <w:szCs w:val="20"/>
              </w:rPr>
              <w:t xml:space="preserve"> </w:t>
            </w:r>
            <w:proofErr w:type="spellStart"/>
            <w:r w:rsidRPr="00023B68">
              <w:rPr>
                <w:i/>
                <w:iCs/>
                <w:sz w:val="20"/>
                <w:szCs w:val="20"/>
              </w:rPr>
              <w:t>grid</w:t>
            </w:r>
            <w:proofErr w:type="spellEnd"/>
            <w:r w:rsidRPr="00023B68">
              <w:rPr>
                <w:i/>
                <w:iCs/>
                <w:sz w:val="20"/>
                <w:szCs w:val="20"/>
              </w:rPr>
              <w:t xml:space="preserve"> and </w:t>
            </w:r>
            <w:proofErr w:type="spellStart"/>
            <w:r w:rsidRPr="00023B68">
              <w:rPr>
                <w:i/>
                <w:iCs/>
                <w:sz w:val="20"/>
                <w:szCs w:val="20"/>
              </w:rPr>
              <w:t>contributes</w:t>
            </w:r>
            <w:proofErr w:type="spellEnd"/>
            <w:r w:rsidRPr="00023B68">
              <w:rPr>
                <w:i/>
                <w:iCs/>
                <w:sz w:val="20"/>
                <w:szCs w:val="20"/>
              </w:rPr>
              <w:t xml:space="preserve"> to the </w:t>
            </w:r>
            <w:proofErr w:type="spellStart"/>
            <w:r w:rsidRPr="00023B68">
              <w:rPr>
                <w:i/>
                <w:iCs/>
                <w:sz w:val="20"/>
                <w:szCs w:val="20"/>
              </w:rPr>
              <w:t>electricity</w:t>
            </w:r>
            <w:proofErr w:type="spellEnd"/>
            <w:r w:rsidRPr="00023B68">
              <w:rPr>
                <w:i/>
                <w:iCs/>
                <w:sz w:val="20"/>
                <w:szCs w:val="20"/>
              </w:rPr>
              <w:t xml:space="preserve"> system </w:t>
            </w:r>
            <w:proofErr w:type="spellStart"/>
            <w:r w:rsidRPr="00023B68">
              <w:rPr>
                <w:i/>
                <w:iCs/>
                <w:sz w:val="20"/>
                <w:szCs w:val="20"/>
              </w:rPr>
              <w:t>needs</w:t>
            </w:r>
            <w:proofErr w:type="spellEnd"/>
            <w:r w:rsidRPr="00023B68">
              <w:rPr>
                <w:i/>
                <w:iCs/>
                <w:sz w:val="20"/>
                <w:szCs w:val="20"/>
              </w:rPr>
              <w:t xml:space="preserve"> as </w:t>
            </w:r>
            <w:proofErr w:type="spellStart"/>
            <w:r w:rsidRPr="00023B68">
              <w:rPr>
                <w:i/>
                <w:iCs/>
                <w:sz w:val="20"/>
                <w:szCs w:val="20"/>
              </w:rPr>
              <w:t>evaluated</w:t>
            </w:r>
            <w:proofErr w:type="spellEnd"/>
            <w:r w:rsidRPr="00023B68">
              <w:rPr>
                <w:i/>
                <w:iCs/>
                <w:sz w:val="20"/>
                <w:szCs w:val="20"/>
              </w:rPr>
              <w:t xml:space="preserve"> by the </w:t>
            </w:r>
            <w:proofErr w:type="spellStart"/>
            <w:r w:rsidRPr="00023B68">
              <w:rPr>
                <w:i/>
                <w:iCs/>
                <w:sz w:val="20"/>
                <w:szCs w:val="20"/>
              </w:rPr>
              <w:t>relevant</w:t>
            </w:r>
            <w:proofErr w:type="spellEnd"/>
            <w:r w:rsidRPr="00023B68">
              <w:rPr>
                <w:i/>
                <w:iCs/>
                <w:sz w:val="20"/>
                <w:szCs w:val="20"/>
              </w:rPr>
              <w:t xml:space="preserve"> system operator, in </w:t>
            </w:r>
            <w:proofErr w:type="spellStart"/>
            <w:r w:rsidRPr="00023B68">
              <w:rPr>
                <w:i/>
                <w:iCs/>
                <w:sz w:val="20"/>
                <w:szCs w:val="20"/>
              </w:rPr>
              <w:t>particular</w:t>
            </w:r>
            <w:proofErr w:type="spellEnd"/>
            <w:r w:rsidRPr="00023B68">
              <w:rPr>
                <w:i/>
                <w:iCs/>
                <w:sz w:val="20"/>
                <w:szCs w:val="20"/>
              </w:rPr>
              <w:t xml:space="preserve"> for </w:t>
            </w:r>
            <w:proofErr w:type="spellStart"/>
            <w:r w:rsidRPr="00023B68">
              <w:rPr>
                <w:i/>
                <w:iCs/>
                <w:sz w:val="20"/>
                <w:szCs w:val="20"/>
              </w:rPr>
              <w:t>projects</w:t>
            </w:r>
            <w:proofErr w:type="spellEnd"/>
            <w:r w:rsidRPr="00023B68">
              <w:rPr>
                <w:i/>
                <w:iCs/>
                <w:sz w:val="20"/>
                <w:szCs w:val="20"/>
              </w:rPr>
              <w:t xml:space="preserve"> </w:t>
            </w:r>
            <w:proofErr w:type="spellStart"/>
            <w:r w:rsidRPr="00023B68">
              <w:rPr>
                <w:i/>
                <w:iCs/>
                <w:sz w:val="20"/>
                <w:szCs w:val="20"/>
              </w:rPr>
              <w:t>involving</w:t>
            </w:r>
            <w:proofErr w:type="spellEnd"/>
            <w:r w:rsidRPr="00023B68">
              <w:rPr>
                <w:i/>
                <w:iCs/>
                <w:sz w:val="20"/>
                <w:szCs w:val="20"/>
              </w:rPr>
              <w:t xml:space="preserve"> the </w:t>
            </w:r>
            <w:proofErr w:type="spellStart"/>
            <w:r w:rsidRPr="00023B68">
              <w:rPr>
                <w:i/>
                <w:iCs/>
                <w:sz w:val="20"/>
                <w:szCs w:val="20"/>
              </w:rPr>
              <w:t>colocation</w:t>
            </w:r>
            <w:proofErr w:type="spellEnd"/>
            <w:r w:rsidRPr="00023B68">
              <w:rPr>
                <w:i/>
                <w:iCs/>
                <w:sz w:val="20"/>
                <w:szCs w:val="20"/>
              </w:rPr>
              <w:t xml:space="preserve"> of </w:t>
            </w:r>
            <w:proofErr w:type="spellStart"/>
            <w:r w:rsidRPr="00023B68">
              <w:rPr>
                <w:i/>
                <w:iCs/>
                <w:sz w:val="20"/>
                <w:szCs w:val="20"/>
              </w:rPr>
              <w:t>large</w:t>
            </w:r>
            <w:proofErr w:type="spellEnd"/>
            <w:r w:rsidRPr="00023B68">
              <w:rPr>
                <w:i/>
                <w:iCs/>
                <w:sz w:val="20"/>
                <w:szCs w:val="20"/>
              </w:rPr>
              <w:t xml:space="preserve"> </w:t>
            </w:r>
            <w:proofErr w:type="spellStart"/>
            <w:r w:rsidRPr="00023B68">
              <w:rPr>
                <w:i/>
                <w:iCs/>
                <w:sz w:val="20"/>
                <w:szCs w:val="20"/>
              </w:rPr>
              <w:t>clean</w:t>
            </w:r>
            <w:proofErr w:type="spellEnd"/>
            <w:r w:rsidRPr="00023B68">
              <w:rPr>
                <w:i/>
                <w:iCs/>
                <w:sz w:val="20"/>
                <w:szCs w:val="20"/>
              </w:rPr>
              <w:t xml:space="preserve"> </w:t>
            </w:r>
            <w:proofErr w:type="spellStart"/>
            <w:r w:rsidRPr="00023B68">
              <w:rPr>
                <w:i/>
                <w:iCs/>
                <w:sz w:val="20"/>
                <w:szCs w:val="20"/>
              </w:rPr>
              <w:t>energy</w:t>
            </w:r>
            <w:proofErr w:type="spellEnd"/>
            <w:r w:rsidRPr="00023B68">
              <w:rPr>
                <w:i/>
                <w:iCs/>
                <w:sz w:val="20"/>
                <w:szCs w:val="20"/>
              </w:rPr>
              <w:t xml:space="preserve"> </w:t>
            </w:r>
            <w:proofErr w:type="spellStart"/>
            <w:r w:rsidRPr="00023B68">
              <w:rPr>
                <w:i/>
                <w:iCs/>
                <w:sz w:val="20"/>
                <w:szCs w:val="20"/>
              </w:rPr>
              <w:t>generation</w:t>
            </w:r>
            <w:proofErr w:type="spellEnd"/>
            <w:r w:rsidRPr="00023B68">
              <w:rPr>
                <w:i/>
                <w:iCs/>
                <w:sz w:val="20"/>
                <w:szCs w:val="20"/>
              </w:rPr>
              <w:t xml:space="preserve"> and </w:t>
            </w:r>
            <w:proofErr w:type="spellStart"/>
            <w:r w:rsidRPr="00023B68">
              <w:rPr>
                <w:i/>
                <w:iCs/>
                <w:sz w:val="20"/>
                <w:szCs w:val="20"/>
              </w:rPr>
              <w:t>storage</w:t>
            </w:r>
            <w:proofErr w:type="spellEnd"/>
            <w:r w:rsidRPr="00023B68">
              <w:rPr>
                <w:i/>
                <w:iCs/>
                <w:sz w:val="20"/>
                <w:szCs w:val="20"/>
              </w:rPr>
              <w:t xml:space="preserve"> </w:t>
            </w:r>
            <w:proofErr w:type="spellStart"/>
            <w:r w:rsidRPr="00023B68">
              <w:rPr>
                <w:i/>
                <w:iCs/>
                <w:sz w:val="20"/>
                <w:szCs w:val="20"/>
              </w:rPr>
              <w:t>facilities</w:t>
            </w:r>
            <w:proofErr w:type="spellEnd"/>
            <w:r w:rsidRPr="00023B68">
              <w:rPr>
                <w:sz w:val="20"/>
                <w:szCs w:val="20"/>
              </w:rPr>
              <w:t xml:space="preserve">; </w:t>
            </w:r>
            <w:r w:rsidRPr="00023B68">
              <w:rPr>
                <w:b/>
                <w:bCs/>
                <w:sz w:val="20"/>
                <w:szCs w:val="20"/>
              </w:rPr>
              <w:t xml:space="preserve">Po słowach "in </w:t>
            </w:r>
            <w:proofErr w:type="spellStart"/>
            <w:r w:rsidRPr="00023B68">
              <w:rPr>
                <w:b/>
                <w:bCs/>
                <w:sz w:val="20"/>
                <w:szCs w:val="20"/>
              </w:rPr>
              <w:t>particular</w:t>
            </w:r>
            <w:proofErr w:type="spellEnd"/>
            <w:r w:rsidRPr="00023B68">
              <w:rPr>
                <w:b/>
                <w:bCs/>
                <w:sz w:val="20"/>
                <w:szCs w:val="20"/>
              </w:rPr>
              <w:t xml:space="preserve"> for </w:t>
            </w:r>
            <w:proofErr w:type="spellStart"/>
            <w:r w:rsidRPr="00023B68">
              <w:rPr>
                <w:b/>
                <w:bCs/>
                <w:sz w:val="20"/>
                <w:szCs w:val="20"/>
              </w:rPr>
              <w:t>projects</w:t>
            </w:r>
            <w:proofErr w:type="spellEnd"/>
            <w:r w:rsidRPr="00023B68">
              <w:rPr>
                <w:b/>
                <w:bCs/>
                <w:sz w:val="20"/>
                <w:szCs w:val="20"/>
              </w:rPr>
              <w:t xml:space="preserve"> </w:t>
            </w:r>
            <w:proofErr w:type="spellStart"/>
            <w:r w:rsidRPr="00023B68">
              <w:rPr>
                <w:b/>
                <w:bCs/>
                <w:sz w:val="20"/>
                <w:szCs w:val="20"/>
              </w:rPr>
              <w:t>involving</w:t>
            </w:r>
            <w:proofErr w:type="spellEnd"/>
            <w:r w:rsidRPr="00023B68">
              <w:rPr>
                <w:b/>
                <w:bCs/>
                <w:sz w:val="20"/>
                <w:szCs w:val="20"/>
              </w:rPr>
              <w:t xml:space="preserve"> the </w:t>
            </w:r>
            <w:proofErr w:type="spellStart"/>
            <w:r w:rsidRPr="00023B68">
              <w:rPr>
                <w:b/>
                <w:bCs/>
                <w:sz w:val="20"/>
                <w:szCs w:val="20"/>
              </w:rPr>
              <w:t>colocation</w:t>
            </w:r>
            <w:proofErr w:type="spellEnd"/>
            <w:r w:rsidRPr="00023B68">
              <w:rPr>
                <w:b/>
                <w:bCs/>
                <w:sz w:val="20"/>
                <w:szCs w:val="20"/>
              </w:rPr>
              <w:t xml:space="preserve"> of </w:t>
            </w:r>
            <w:proofErr w:type="spellStart"/>
            <w:r w:rsidRPr="00023B68">
              <w:rPr>
                <w:b/>
                <w:bCs/>
                <w:sz w:val="20"/>
                <w:szCs w:val="20"/>
              </w:rPr>
              <w:t>large</w:t>
            </w:r>
            <w:proofErr w:type="spellEnd"/>
            <w:r w:rsidRPr="00023B68">
              <w:rPr>
                <w:b/>
                <w:bCs/>
                <w:sz w:val="20"/>
                <w:szCs w:val="20"/>
              </w:rPr>
              <w:t xml:space="preserve"> </w:t>
            </w:r>
            <w:proofErr w:type="spellStart"/>
            <w:r w:rsidRPr="00023B68">
              <w:rPr>
                <w:b/>
                <w:bCs/>
                <w:sz w:val="20"/>
                <w:szCs w:val="20"/>
              </w:rPr>
              <w:t>clean</w:t>
            </w:r>
            <w:proofErr w:type="spellEnd"/>
            <w:r w:rsidRPr="00023B68">
              <w:rPr>
                <w:b/>
                <w:bCs/>
                <w:sz w:val="20"/>
                <w:szCs w:val="20"/>
              </w:rPr>
              <w:t xml:space="preserve"> </w:t>
            </w:r>
            <w:proofErr w:type="spellStart"/>
            <w:r w:rsidRPr="00023B68">
              <w:rPr>
                <w:b/>
                <w:bCs/>
                <w:sz w:val="20"/>
                <w:szCs w:val="20"/>
              </w:rPr>
              <w:t>energy</w:t>
            </w:r>
            <w:proofErr w:type="spellEnd"/>
            <w:r w:rsidRPr="00023B68">
              <w:rPr>
                <w:b/>
                <w:bCs/>
                <w:sz w:val="20"/>
                <w:szCs w:val="20"/>
              </w:rPr>
              <w:t xml:space="preserve"> </w:t>
            </w:r>
            <w:proofErr w:type="spellStart"/>
            <w:r w:rsidRPr="00023B68">
              <w:rPr>
                <w:b/>
                <w:bCs/>
                <w:sz w:val="20"/>
                <w:szCs w:val="20"/>
              </w:rPr>
              <w:t>generation</w:t>
            </w:r>
            <w:proofErr w:type="spellEnd"/>
            <w:r w:rsidRPr="00023B68">
              <w:rPr>
                <w:b/>
                <w:bCs/>
                <w:sz w:val="20"/>
                <w:szCs w:val="20"/>
              </w:rPr>
              <w:t xml:space="preserve"> and </w:t>
            </w:r>
            <w:proofErr w:type="spellStart"/>
            <w:r w:rsidRPr="00023B68">
              <w:rPr>
                <w:b/>
                <w:bCs/>
                <w:sz w:val="20"/>
                <w:szCs w:val="20"/>
              </w:rPr>
              <w:t>storage</w:t>
            </w:r>
            <w:proofErr w:type="spellEnd"/>
            <w:r w:rsidRPr="00023B68">
              <w:rPr>
                <w:b/>
                <w:bCs/>
                <w:sz w:val="20"/>
                <w:szCs w:val="20"/>
              </w:rPr>
              <w:t xml:space="preserve"> </w:t>
            </w:r>
            <w:proofErr w:type="spellStart"/>
            <w:r w:rsidRPr="00023B68">
              <w:rPr>
                <w:b/>
                <w:bCs/>
                <w:sz w:val="20"/>
                <w:szCs w:val="20"/>
              </w:rPr>
              <w:t>facilities</w:t>
            </w:r>
            <w:proofErr w:type="spellEnd"/>
            <w:r w:rsidRPr="00023B68">
              <w:rPr>
                <w:b/>
                <w:bCs/>
                <w:sz w:val="20"/>
                <w:szCs w:val="20"/>
              </w:rPr>
              <w:t xml:space="preserve">" proponujemy </w:t>
            </w:r>
            <w:r w:rsidRPr="00023B68">
              <w:rPr>
                <w:b/>
                <w:bCs/>
                <w:sz w:val="20"/>
                <w:szCs w:val="20"/>
                <w:u w:val="single"/>
              </w:rPr>
              <w:t xml:space="preserve">dodać odniesienie do projektów, które wspierają bilansowanie systemu elektroenergetycznego, ograniczają nadmierne obciążenie infrastruktury sieciowej oraz umożliwiają efektywne wykorzystanie dostępnej czystej energii, w szczególności na obszarach </w:t>
            </w:r>
            <w:r w:rsidRPr="00023B68">
              <w:rPr>
                <w:b/>
                <w:bCs/>
                <w:sz w:val="20"/>
                <w:szCs w:val="20"/>
                <w:u w:val="single"/>
              </w:rPr>
              <w:lastRenderedPageBreak/>
              <w:t>występowania jej okresowych nadwyżek</w:t>
            </w:r>
            <w:r w:rsidRPr="00023B68">
              <w:rPr>
                <w:b/>
                <w:bCs/>
                <w:sz w:val="20"/>
                <w:szCs w:val="20"/>
              </w:rPr>
              <w:t xml:space="preserve">. </w:t>
            </w:r>
            <w:r w:rsidRPr="00023B68">
              <w:rPr>
                <w:sz w:val="20"/>
                <w:szCs w:val="20"/>
              </w:rPr>
              <w:t>Takie uzupełnienie lepiej odzwierciedlałoby rolę nowoczesnych centrów danych jako odbiorców energii wspierających funkcjonowanie systemu elektroenergetycznego oraz zachęcałoby do lokowania nowych inwestycji tam, gdzie ich wpływ na sieć będzie najbardziej korzystny.</w:t>
            </w:r>
          </w:p>
          <w:p w14:paraId="25B6EAC1" w14:textId="2E018CBA" w:rsidR="00A85FE9" w:rsidRPr="00023B68" w:rsidRDefault="00A85FE9" w:rsidP="00A85FE9">
            <w:pPr>
              <w:pStyle w:val="Default"/>
              <w:rPr>
                <w:sz w:val="20"/>
                <w:szCs w:val="20"/>
              </w:rPr>
            </w:pPr>
          </w:p>
        </w:tc>
      </w:tr>
      <w:tr w:rsidR="00A85FE9" w:rsidRPr="00023B68" w14:paraId="6CB5F9AD" w14:textId="77777777" w:rsidTr="00040008">
        <w:tc>
          <w:tcPr>
            <w:tcW w:w="0" w:type="auto"/>
          </w:tcPr>
          <w:p w14:paraId="41FAA39D" w14:textId="01FC4686"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4763A2E3" w14:textId="2BDEB685"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6B98D985" w14:textId="77777777" w:rsidR="00A85FE9" w:rsidRPr="00023B68" w:rsidRDefault="00A85FE9" w:rsidP="00A85FE9">
            <w:pPr>
              <w:pStyle w:val="Default"/>
              <w:rPr>
                <w:b/>
                <w:bCs/>
                <w:sz w:val="20"/>
                <w:szCs w:val="20"/>
              </w:rPr>
            </w:pPr>
            <w:r w:rsidRPr="00023B68">
              <w:rPr>
                <w:b/>
                <w:bCs/>
                <w:sz w:val="20"/>
                <w:szCs w:val="20"/>
              </w:rPr>
              <w:t>Spójność statusu Projektów Strategicznych (Art. 14 CADA)</w:t>
            </w:r>
          </w:p>
          <w:p w14:paraId="4C121FFC" w14:textId="77777777" w:rsidR="00C41265" w:rsidRPr="00023B68" w:rsidRDefault="00A85FE9" w:rsidP="00A85FE9">
            <w:pPr>
              <w:pStyle w:val="Default"/>
              <w:rPr>
                <w:sz w:val="20"/>
                <w:szCs w:val="20"/>
              </w:rPr>
            </w:pPr>
            <w:r w:rsidRPr="00023B68">
              <w:rPr>
                <w:sz w:val="20"/>
                <w:szCs w:val="20"/>
              </w:rPr>
              <w:t>Art. 14 CADA umożliwia przyznawanie wybranym projektom centrów danych statusu projektów</w:t>
            </w:r>
            <w:r w:rsidR="002D6720" w:rsidRPr="00023B68">
              <w:rPr>
                <w:sz w:val="20"/>
                <w:szCs w:val="20"/>
              </w:rPr>
              <w:t> </w:t>
            </w:r>
            <w:r w:rsidRPr="00023B68">
              <w:rPr>
                <w:sz w:val="20"/>
                <w:szCs w:val="20"/>
              </w:rPr>
              <w:t>strategicznych.</w:t>
            </w:r>
            <w:r w:rsidR="002D6720" w:rsidRPr="00023B68">
              <w:rPr>
                <w:sz w:val="20"/>
                <w:szCs w:val="20"/>
              </w:rPr>
              <w:t> </w:t>
            </w:r>
          </w:p>
          <w:p w14:paraId="3A23DC12" w14:textId="77777777" w:rsidR="00C41265" w:rsidRPr="00023B68" w:rsidRDefault="00A85FE9" w:rsidP="00A85FE9">
            <w:pPr>
              <w:pStyle w:val="Default"/>
              <w:rPr>
                <w:sz w:val="20"/>
                <w:szCs w:val="20"/>
              </w:rPr>
            </w:pPr>
            <w:r w:rsidRPr="00023B68">
              <w:rPr>
                <w:sz w:val="20"/>
                <w:szCs w:val="20"/>
              </w:rPr>
              <w:t>• Brak jednoznacznego odniesienia stwarza ryzyko, że projekty te nie będą mogły</w:t>
            </w:r>
            <w:r w:rsidR="002D6720" w:rsidRPr="00023B68">
              <w:rPr>
                <w:sz w:val="20"/>
                <w:szCs w:val="20"/>
              </w:rPr>
              <w:t> </w:t>
            </w:r>
            <w:r w:rsidRPr="00023B68">
              <w:rPr>
                <w:sz w:val="20"/>
                <w:szCs w:val="20"/>
              </w:rPr>
              <w:t>skorzystać ze skróconych procedur środowiskowych przewidzianych w rozporządzeniu</w:t>
            </w:r>
            <w:r w:rsidR="002D6720" w:rsidRPr="00023B68">
              <w:rPr>
                <w:sz w:val="20"/>
                <w:szCs w:val="20"/>
              </w:rPr>
              <w:t> </w:t>
            </w:r>
            <w:proofErr w:type="spellStart"/>
            <w:r w:rsidRPr="00023B68">
              <w:rPr>
                <w:sz w:val="20"/>
                <w:szCs w:val="20"/>
              </w:rPr>
              <w:t>Environmental</w:t>
            </w:r>
            <w:proofErr w:type="spellEnd"/>
            <w:r w:rsidRPr="00023B68">
              <w:rPr>
                <w:sz w:val="20"/>
                <w:szCs w:val="20"/>
              </w:rPr>
              <w:t xml:space="preserve"> Omnibus.</w:t>
            </w:r>
            <w:r w:rsidR="002D6720" w:rsidRPr="00023B68">
              <w:rPr>
                <w:sz w:val="20"/>
                <w:szCs w:val="20"/>
              </w:rPr>
              <w:t> </w:t>
            </w:r>
          </w:p>
          <w:p w14:paraId="65EE1971" w14:textId="77777777" w:rsidR="00C41265" w:rsidRPr="00023B68" w:rsidRDefault="00A85FE9" w:rsidP="00A85FE9">
            <w:pPr>
              <w:pStyle w:val="Default"/>
              <w:rPr>
                <w:sz w:val="20"/>
                <w:szCs w:val="20"/>
              </w:rPr>
            </w:pPr>
            <w:r w:rsidRPr="00023B68">
              <w:rPr>
                <w:sz w:val="20"/>
                <w:szCs w:val="20"/>
              </w:rPr>
              <w:t>• Rekomendacja: Prawodawca unijny powinien wprost doprecyzować, że status projektu</w:t>
            </w:r>
            <w:r w:rsidR="002D6720" w:rsidRPr="00023B68">
              <w:rPr>
                <w:sz w:val="20"/>
                <w:szCs w:val="20"/>
              </w:rPr>
              <w:t> </w:t>
            </w:r>
            <w:r w:rsidRPr="00023B68">
              <w:rPr>
                <w:sz w:val="20"/>
                <w:szCs w:val="20"/>
              </w:rPr>
              <w:t>strategicznego w rozumieniu CADA automatycznie uprawnia do uproszczeń</w:t>
            </w:r>
            <w:r w:rsidR="002D6720" w:rsidRPr="00023B68">
              <w:rPr>
                <w:sz w:val="20"/>
                <w:szCs w:val="20"/>
              </w:rPr>
              <w:t> </w:t>
            </w:r>
            <w:r w:rsidRPr="00023B68">
              <w:rPr>
                <w:sz w:val="20"/>
                <w:szCs w:val="20"/>
              </w:rPr>
              <w:t xml:space="preserve">proceduralnych na mocy </w:t>
            </w:r>
            <w:proofErr w:type="spellStart"/>
            <w:r w:rsidRPr="00023B68">
              <w:rPr>
                <w:sz w:val="20"/>
                <w:szCs w:val="20"/>
              </w:rPr>
              <w:t>Environmental</w:t>
            </w:r>
            <w:proofErr w:type="spellEnd"/>
            <w:r w:rsidRPr="00023B68">
              <w:rPr>
                <w:sz w:val="20"/>
                <w:szCs w:val="20"/>
              </w:rPr>
              <w:t xml:space="preserve"> Omnibus – analogicznie do rozwiązań</w:t>
            </w:r>
            <w:r w:rsidR="002D6720" w:rsidRPr="00023B68">
              <w:rPr>
                <w:sz w:val="20"/>
                <w:szCs w:val="20"/>
              </w:rPr>
              <w:t> </w:t>
            </w:r>
            <w:r w:rsidRPr="00023B68">
              <w:rPr>
                <w:sz w:val="20"/>
                <w:szCs w:val="20"/>
              </w:rPr>
              <w:t xml:space="preserve">przyjętych w innych regulacjach (np. </w:t>
            </w:r>
            <w:proofErr w:type="spellStart"/>
            <w:r w:rsidRPr="00023B68">
              <w:rPr>
                <w:sz w:val="20"/>
                <w:szCs w:val="20"/>
              </w:rPr>
              <w:t>Industrial</w:t>
            </w:r>
            <w:proofErr w:type="spellEnd"/>
            <w:r w:rsidRPr="00023B68">
              <w:rPr>
                <w:sz w:val="20"/>
                <w:szCs w:val="20"/>
              </w:rPr>
              <w:t xml:space="preserve"> Accelerator </w:t>
            </w:r>
            <w:proofErr w:type="spellStart"/>
            <w:r w:rsidRPr="00023B68">
              <w:rPr>
                <w:sz w:val="20"/>
                <w:szCs w:val="20"/>
              </w:rPr>
              <w:t>Act</w:t>
            </w:r>
            <w:proofErr w:type="spellEnd"/>
            <w:r w:rsidRPr="00023B68">
              <w:rPr>
                <w:sz w:val="20"/>
                <w:szCs w:val="20"/>
              </w:rPr>
              <w:t>), również poza strefami</w:t>
            </w:r>
            <w:r w:rsidR="002D6720" w:rsidRPr="00023B68">
              <w:rPr>
                <w:sz w:val="20"/>
                <w:szCs w:val="20"/>
              </w:rPr>
              <w:t> </w:t>
            </w:r>
            <w:r w:rsidRPr="00023B68">
              <w:rPr>
                <w:sz w:val="20"/>
                <w:szCs w:val="20"/>
              </w:rPr>
              <w:t>przyspieszonego rozwoju.</w:t>
            </w:r>
            <w:r w:rsidR="002D6720" w:rsidRPr="00023B68">
              <w:rPr>
                <w:sz w:val="20"/>
                <w:szCs w:val="20"/>
              </w:rPr>
              <w:t> </w:t>
            </w:r>
          </w:p>
          <w:p w14:paraId="17207D20" w14:textId="23729324" w:rsidR="00433B1D" w:rsidRPr="00023B68" w:rsidRDefault="00A85FE9" w:rsidP="00A85FE9">
            <w:pPr>
              <w:pStyle w:val="Default"/>
              <w:rPr>
                <w:sz w:val="20"/>
                <w:szCs w:val="20"/>
              </w:rPr>
            </w:pPr>
            <w:r w:rsidRPr="00023B68">
              <w:rPr>
                <w:sz w:val="20"/>
                <w:szCs w:val="20"/>
              </w:rPr>
              <w:t>• Rekomendacja: Państwa członkowskie powinny priorytetowo traktować procedury</w:t>
            </w:r>
            <w:r w:rsidR="002D6720" w:rsidRPr="00023B68">
              <w:rPr>
                <w:sz w:val="20"/>
                <w:szCs w:val="20"/>
              </w:rPr>
              <w:t> </w:t>
            </w:r>
            <w:proofErr w:type="spellStart"/>
            <w:r w:rsidRPr="00023B68">
              <w:rPr>
                <w:sz w:val="20"/>
                <w:szCs w:val="20"/>
              </w:rPr>
              <w:t>pozwoleniowe</w:t>
            </w:r>
            <w:proofErr w:type="spellEnd"/>
            <w:r w:rsidRPr="00023B68">
              <w:rPr>
                <w:sz w:val="20"/>
                <w:szCs w:val="20"/>
              </w:rPr>
              <w:t xml:space="preserve"> projektów strategicznych, które wnoszą istotny wkład w odzysk ciepła</w:t>
            </w:r>
            <w:r w:rsidR="002D6720" w:rsidRPr="00023B68">
              <w:rPr>
                <w:sz w:val="20"/>
                <w:szCs w:val="20"/>
              </w:rPr>
              <w:t> </w:t>
            </w:r>
            <w:r w:rsidRPr="00023B68">
              <w:rPr>
                <w:sz w:val="20"/>
                <w:szCs w:val="20"/>
              </w:rPr>
              <w:t>odpadowego, integrację z systemem energetycznym lub dekarbonizację, zapewniając</w:t>
            </w:r>
            <w:r w:rsidR="002D6720" w:rsidRPr="00023B68">
              <w:rPr>
                <w:sz w:val="20"/>
                <w:szCs w:val="20"/>
              </w:rPr>
              <w:t> </w:t>
            </w:r>
            <w:r w:rsidRPr="00023B68">
              <w:rPr>
                <w:sz w:val="20"/>
                <w:szCs w:val="20"/>
              </w:rPr>
              <w:t xml:space="preserve">dla nich 12-miesięczny termin oraz dostęp do uproszczeń </w:t>
            </w:r>
            <w:proofErr w:type="spellStart"/>
            <w:r w:rsidRPr="00023B68">
              <w:rPr>
                <w:sz w:val="20"/>
                <w:szCs w:val="20"/>
              </w:rPr>
              <w:t>Environmental</w:t>
            </w:r>
            <w:proofErr w:type="spellEnd"/>
            <w:r w:rsidRPr="00023B68">
              <w:rPr>
                <w:sz w:val="20"/>
                <w:szCs w:val="20"/>
              </w:rPr>
              <w:t xml:space="preserve"> Omnibus</w:t>
            </w:r>
            <w:r w:rsidR="002D6720" w:rsidRPr="00023B68">
              <w:rPr>
                <w:sz w:val="20"/>
                <w:szCs w:val="20"/>
              </w:rPr>
              <w:t> </w:t>
            </w:r>
            <w:r w:rsidRPr="00023B68">
              <w:rPr>
                <w:sz w:val="20"/>
                <w:szCs w:val="20"/>
              </w:rPr>
              <w:t>również poza strefami przyspieszonego rozwoju.</w:t>
            </w:r>
            <w:r w:rsidR="002D6720" w:rsidRPr="00023B68">
              <w:rPr>
                <w:sz w:val="20"/>
                <w:szCs w:val="20"/>
              </w:rPr>
              <w:t> </w:t>
            </w:r>
          </w:p>
          <w:p w14:paraId="546CCB09" w14:textId="59A18DCF" w:rsidR="002D6720" w:rsidRPr="00023B68" w:rsidRDefault="002D6720" w:rsidP="00A85FE9">
            <w:pPr>
              <w:pStyle w:val="Default"/>
              <w:rPr>
                <w:sz w:val="20"/>
                <w:szCs w:val="20"/>
              </w:rPr>
            </w:pPr>
          </w:p>
        </w:tc>
      </w:tr>
      <w:tr w:rsidR="00A85FE9" w:rsidRPr="00023B68" w14:paraId="559D4D72" w14:textId="77777777" w:rsidTr="00040008">
        <w:tc>
          <w:tcPr>
            <w:tcW w:w="0" w:type="auto"/>
          </w:tcPr>
          <w:p w14:paraId="2EFA4201" w14:textId="77777777" w:rsidR="00A85FE9" w:rsidRPr="00023B68" w:rsidRDefault="00A85FE9" w:rsidP="00A85FE9">
            <w:pPr>
              <w:pStyle w:val="Default"/>
              <w:rPr>
                <w:sz w:val="20"/>
                <w:szCs w:val="20"/>
              </w:rPr>
            </w:pPr>
            <w:r w:rsidRPr="00023B68">
              <w:rPr>
                <w:sz w:val="20"/>
                <w:szCs w:val="20"/>
              </w:rPr>
              <w:t xml:space="preserve">Artykuł 15 ust. 1 lit. a–c </w:t>
            </w:r>
          </w:p>
          <w:p w14:paraId="41364671" w14:textId="251B9A46" w:rsidR="00A85FE9" w:rsidRPr="00023B68" w:rsidRDefault="00A85FE9" w:rsidP="00A85FE9">
            <w:pPr>
              <w:pStyle w:val="Default"/>
              <w:rPr>
                <w:i/>
                <w:iCs/>
                <w:sz w:val="20"/>
                <w:szCs w:val="20"/>
              </w:rPr>
            </w:pPr>
            <w:r w:rsidRPr="00023B68">
              <w:rPr>
                <w:i/>
                <w:iCs/>
                <w:sz w:val="20"/>
                <w:szCs w:val="20"/>
              </w:rPr>
              <w:t xml:space="preserve">Strategic </w:t>
            </w:r>
            <w:proofErr w:type="spellStart"/>
            <w:r w:rsidRPr="00023B68">
              <w:rPr>
                <w:i/>
                <w:iCs/>
                <w:sz w:val="20"/>
                <w:szCs w:val="20"/>
              </w:rPr>
              <w:t>projects</w:t>
            </w:r>
            <w:proofErr w:type="spellEnd"/>
          </w:p>
          <w:p w14:paraId="71D0392D" w14:textId="2B47A61E" w:rsidR="00A85FE9" w:rsidRPr="00023B68" w:rsidRDefault="00A85FE9" w:rsidP="00A85FE9">
            <w:pPr>
              <w:pStyle w:val="Default"/>
              <w:rPr>
                <w:sz w:val="20"/>
                <w:szCs w:val="20"/>
              </w:rPr>
            </w:pPr>
          </w:p>
        </w:tc>
        <w:tc>
          <w:tcPr>
            <w:tcW w:w="0" w:type="auto"/>
          </w:tcPr>
          <w:p w14:paraId="5C2E69F5" w14:textId="6E969149" w:rsidR="00A85FE9" w:rsidRPr="00023B68" w:rsidRDefault="00A85FE9" w:rsidP="00A85FE9">
            <w:pPr>
              <w:pStyle w:val="Default"/>
              <w:rPr>
                <w:sz w:val="20"/>
                <w:szCs w:val="20"/>
              </w:rPr>
            </w:pPr>
            <w:r w:rsidRPr="00023B68">
              <w:rPr>
                <w:sz w:val="20"/>
                <w:szCs w:val="20"/>
              </w:rPr>
              <w:t>Polski Związek Centrów Danych (PLDCA)</w:t>
            </w:r>
          </w:p>
        </w:tc>
        <w:tc>
          <w:tcPr>
            <w:tcW w:w="0" w:type="auto"/>
          </w:tcPr>
          <w:p w14:paraId="64EBD89A" w14:textId="77777777" w:rsidR="00A85FE9" w:rsidRPr="00023B68" w:rsidRDefault="00A85FE9" w:rsidP="00A85FE9">
            <w:pPr>
              <w:pStyle w:val="Default"/>
              <w:rPr>
                <w:sz w:val="20"/>
                <w:szCs w:val="20"/>
              </w:rPr>
            </w:pPr>
            <w:r w:rsidRPr="00023B68">
              <w:rPr>
                <w:sz w:val="20"/>
                <w:szCs w:val="20"/>
              </w:rPr>
              <w:t xml:space="preserve">Rzeczywiste zrównoważenie geograficzne </w:t>
            </w:r>
          </w:p>
          <w:p w14:paraId="5D8A5595" w14:textId="5F3F383A" w:rsidR="00A85FE9" w:rsidRPr="00023B68" w:rsidRDefault="00A85FE9" w:rsidP="00A85FE9">
            <w:pPr>
              <w:pStyle w:val="Default"/>
              <w:rPr>
                <w:sz w:val="20"/>
                <w:szCs w:val="20"/>
              </w:rPr>
            </w:pPr>
            <w:r w:rsidRPr="00023B68">
              <w:rPr>
                <w:b/>
                <w:bCs/>
                <w:sz w:val="20"/>
                <w:szCs w:val="20"/>
              </w:rPr>
              <w:t>CADA zakłada monitorowanie dostępnej mocy obliczeniowej, regionalnego popytu oraz luk w infrastrukturze, a także identyfikowanie regionów niedostatecznie obsłużonych. Projekt przewiduje również możliwość przyznania statusu projektu strategicznego inwestycjom, które przyczyniają się do ograniczenia regionalnego niedoboru mocy obliczeniowej (art. 15 ust. 1 lit. a–c oraz art. 14 ust. 1 lit. e)</w:t>
            </w:r>
            <w:r w:rsidRPr="00023B68">
              <w:rPr>
                <w:sz w:val="20"/>
                <w:szCs w:val="20"/>
              </w:rPr>
              <w:t xml:space="preserve">. PLDCA popiera cel CADA polegający na bardziej równomiernym rozmieszczeniu infrastruktury cyfrowej w Unii Europejskiej. Według danych za 2025 r. Polska odpowiada za około 1,7% europejskiego rynku centrów danych, zajmując pod tym względem 12. miejsce. Jednocześnie Polska jest szóstą największą gospodarką Unii Europejskiej pod względem nominalnego PKB. Przyjęcie siódmego największego rynku centrów danych jako punktu odniesienia odpowiada zatem w przybliżeniu potencjałowi gospodarczemu kraju i stanowi realistyczny cel rozwoju sektora. Różnica między Polską a siódmym największym rynkiem wynosi około 300 MW istniejącej mocy, a po uwzględnieniu projektów planowanych wzrasta do około 1 238 MW. Szacowana </w:t>
            </w:r>
            <w:r w:rsidRPr="00023B68">
              <w:rPr>
                <w:b/>
                <w:bCs/>
                <w:sz w:val="20"/>
                <w:szCs w:val="20"/>
              </w:rPr>
              <w:t xml:space="preserve">wartość inwestycji potrzebnych do zmniejszenia tej różnicy wynosi, w zależności od scenariusza, od kilkunastu do kilkudziesięciu miliardów euro. </w:t>
            </w:r>
          </w:p>
          <w:p w14:paraId="1F0226B9" w14:textId="77777777" w:rsidR="00A85FE9" w:rsidRPr="00023B68" w:rsidRDefault="00A85FE9" w:rsidP="00A85FE9">
            <w:pPr>
              <w:pStyle w:val="Default"/>
              <w:rPr>
                <w:sz w:val="20"/>
                <w:szCs w:val="20"/>
              </w:rPr>
            </w:pPr>
            <w:r w:rsidRPr="00023B68">
              <w:rPr>
                <w:sz w:val="20"/>
                <w:szCs w:val="20"/>
              </w:rPr>
              <w:t xml:space="preserve">Dane te pokazują, że Polska pozostaje relatywnie niewielkim rynkiem w skali europejskiej, ale jednocześnie dysponuje znaczną przestrzenią do wzrostu. </w:t>
            </w:r>
            <w:r w:rsidRPr="00023B68">
              <w:rPr>
                <w:b/>
                <w:bCs/>
                <w:sz w:val="20"/>
                <w:szCs w:val="20"/>
              </w:rPr>
              <w:t xml:space="preserve">Mechanizm zrównoważenia geograficznego powinien zatem wspierać przede wszystkim te państwa i regiony, które nie tylko mają obecnie ograniczoną dostępność infrastruktury, lecz także posiadają warunki do szybkiego zwiększenia europejskiej podaży usług centrów danych i infrastruktury AI. </w:t>
            </w:r>
          </w:p>
          <w:p w14:paraId="309448C5" w14:textId="77777777" w:rsidR="00A85FE9" w:rsidRPr="00023B68" w:rsidRDefault="00A85FE9" w:rsidP="00A85FE9">
            <w:pPr>
              <w:pStyle w:val="Default"/>
              <w:rPr>
                <w:sz w:val="20"/>
                <w:szCs w:val="20"/>
              </w:rPr>
            </w:pPr>
            <w:r w:rsidRPr="00023B68">
              <w:rPr>
                <w:b/>
                <w:bCs/>
                <w:sz w:val="20"/>
                <w:szCs w:val="20"/>
              </w:rPr>
              <w:t>Polska posiada w tym zakresie istotne atuty związane z rozwojem krajowego systemu elektroenergetycznego. Już obecnie część lokalizacji dysponuje warunkami pozwalającymi na przyłączanie nowych odbiorców o dużym zapotrzebowaniu na moc</w:t>
            </w:r>
            <w:r w:rsidRPr="00023B68">
              <w:rPr>
                <w:sz w:val="20"/>
                <w:szCs w:val="20"/>
              </w:rPr>
              <w:t xml:space="preserve">, a planowane inwestycje w sieci przesyłowe i dystrybucyjne, nowe źródła wytwórcze oraz magazyny energii powinny stopniowo zwiększać dostępność mocy dla kolejnych projektów. </w:t>
            </w:r>
          </w:p>
          <w:p w14:paraId="43B884EF" w14:textId="77777777" w:rsidR="00A85FE9" w:rsidRPr="00023B68" w:rsidRDefault="00A85FE9" w:rsidP="00A85FE9">
            <w:pPr>
              <w:pStyle w:val="Default"/>
              <w:rPr>
                <w:sz w:val="20"/>
                <w:szCs w:val="20"/>
              </w:rPr>
            </w:pPr>
            <w:r w:rsidRPr="00023B68">
              <w:rPr>
                <w:sz w:val="20"/>
                <w:szCs w:val="20"/>
              </w:rPr>
              <w:t xml:space="preserve">Rozwój infrastruktury energetycznej może jednocześnie tworzyć warunki do przyciągania nowych inwestycji w centra danych. Duże, stabilne zapotrzebowanie takich obiektów na energię może poprawiać ekonomiczne uzasadnienie inwestycji w nowe źródła wytwórcze i sieci, natomiast rozbudowa systemu elektroenergetycznego zwiększa liczbę lokalizacji zdolnych do obsługi </w:t>
            </w:r>
            <w:r w:rsidRPr="00023B68">
              <w:rPr>
                <w:sz w:val="20"/>
                <w:szCs w:val="20"/>
              </w:rPr>
              <w:lastRenderedPageBreak/>
              <w:t xml:space="preserve">nowych centrów danych. </w:t>
            </w:r>
            <w:r w:rsidRPr="00023B68">
              <w:rPr>
                <w:b/>
                <w:bCs/>
                <w:sz w:val="20"/>
                <w:szCs w:val="20"/>
              </w:rPr>
              <w:t xml:space="preserve">Z tego względu mechanizm zrównoważenia geograficznego powinien uwzględniać nie tylko obecny poziom rozwoju rynku, lecz także istniejącą i planowaną dostępność mocy przyłączeniowej oraz skalę inwestycji energetycznych. </w:t>
            </w:r>
          </w:p>
          <w:p w14:paraId="2DBA6F4E" w14:textId="77777777" w:rsidR="00A85FE9" w:rsidRPr="00023B68" w:rsidRDefault="00A85FE9" w:rsidP="00A85FE9">
            <w:pPr>
              <w:pStyle w:val="Default"/>
              <w:rPr>
                <w:sz w:val="20"/>
                <w:szCs w:val="20"/>
              </w:rPr>
            </w:pPr>
            <w:r w:rsidRPr="00023B68">
              <w:rPr>
                <w:b/>
                <w:bCs/>
                <w:sz w:val="20"/>
                <w:szCs w:val="20"/>
              </w:rPr>
              <w:t xml:space="preserve">Projekt CADA nie określa jednak metodologii identyfikowania regionów niedostatecznie obsłużonych ani sposobu wyboru lokalizacji, </w:t>
            </w:r>
            <w:r w:rsidRPr="00023B68">
              <w:rPr>
                <w:sz w:val="20"/>
                <w:szCs w:val="20"/>
              </w:rPr>
              <w:t xml:space="preserve">które powinny być priorytetowo wspierane. </w:t>
            </w:r>
            <w:r w:rsidRPr="00023B68">
              <w:rPr>
                <w:b/>
                <w:bCs/>
                <w:sz w:val="20"/>
                <w:szCs w:val="20"/>
              </w:rPr>
              <w:t xml:space="preserve">Dlatego proponujemy, aby Komisja uwzględniała nie tylko istniejącą moc, lecz również skalę regionalnego popytu, projekty znajdujące się w przygotowaniu, dostępność energii i łączności oraz zdolność rynku do przyciągania kolejnych inwestycji. </w:t>
            </w:r>
            <w:r w:rsidRPr="00023B68">
              <w:rPr>
                <w:sz w:val="20"/>
                <w:szCs w:val="20"/>
              </w:rPr>
              <w:t>Pozwoliłoby to skierować wsparcie do regionów mogących realnie przyczynić się do zmniejszenia europejskiej luki infrastrukturalnej, zamiast ograniczać ocenę do obecnej wielkości rynku.</w:t>
            </w:r>
          </w:p>
          <w:p w14:paraId="1B799D19" w14:textId="77777777" w:rsidR="00A85FE9" w:rsidRPr="00023B68" w:rsidRDefault="00A85FE9" w:rsidP="00A85FE9">
            <w:pPr>
              <w:pStyle w:val="Default"/>
              <w:rPr>
                <w:sz w:val="20"/>
                <w:szCs w:val="20"/>
              </w:rPr>
            </w:pPr>
            <w:r w:rsidRPr="00023B68">
              <w:rPr>
                <w:sz w:val="20"/>
                <w:szCs w:val="20"/>
              </w:rPr>
              <w:t xml:space="preserve">Dlatego w art. 15 ust. 1 lit. C, po słowach “the </w:t>
            </w:r>
            <w:proofErr w:type="spellStart"/>
            <w:r w:rsidRPr="00023B68">
              <w:rPr>
                <w:sz w:val="20"/>
                <w:szCs w:val="20"/>
              </w:rPr>
              <w:t>size</w:t>
            </w:r>
            <w:proofErr w:type="spellEnd"/>
            <w:r w:rsidRPr="00023B68">
              <w:rPr>
                <w:sz w:val="20"/>
                <w:szCs w:val="20"/>
              </w:rPr>
              <w:t xml:space="preserve"> of the </w:t>
            </w:r>
            <w:proofErr w:type="spellStart"/>
            <w:r w:rsidRPr="00023B68">
              <w:rPr>
                <w:sz w:val="20"/>
                <w:szCs w:val="20"/>
              </w:rPr>
              <w:t>capacity</w:t>
            </w:r>
            <w:proofErr w:type="spellEnd"/>
            <w:r w:rsidRPr="00023B68">
              <w:rPr>
                <w:sz w:val="20"/>
                <w:szCs w:val="20"/>
              </w:rPr>
              <w:t xml:space="preserve"> gap and </w:t>
            </w:r>
            <w:proofErr w:type="spellStart"/>
            <w:r w:rsidRPr="00023B68">
              <w:rPr>
                <w:sz w:val="20"/>
                <w:szCs w:val="20"/>
              </w:rPr>
              <w:t>underserved</w:t>
            </w:r>
            <w:proofErr w:type="spellEnd"/>
            <w:r w:rsidRPr="00023B68">
              <w:rPr>
                <w:sz w:val="20"/>
                <w:szCs w:val="20"/>
              </w:rPr>
              <w:t xml:space="preserve"> </w:t>
            </w:r>
            <w:proofErr w:type="spellStart"/>
            <w:r w:rsidRPr="00023B68">
              <w:rPr>
                <w:sz w:val="20"/>
                <w:szCs w:val="20"/>
              </w:rPr>
              <w:t>areas</w:t>
            </w:r>
            <w:proofErr w:type="spellEnd"/>
            <w:r w:rsidRPr="00023B68">
              <w:rPr>
                <w:sz w:val="20"/>
                <w:szCs w:val="20"/>
              </w:rPr>
              <w:t>” proponujemy dodanie: “</w:t>
            </w:r>
            <w:proofErr w:type="spellStart"/>
            <w:r w:rsidRPr="00023B68">
              <w:rPr>
                <w:sz w:val="20"/>
                <w:szCs w:val="20"/>
              </w:rPr>
              <w:t>identified</w:t>
            </w:r>
            <w:proofErr w:type="spellEnd"/>
            <w:r w:rsidRPr="00023B68">
              <w:rPr>
                <w:sz w:val="20"/>
                <w:szCs w:val="20"/>
              </w:rPr>
              <w:t xml:space="preserve"> on the </w:t>
            </w:r>
            <w:proofErr w:type="spellStart"/>
            <w:r w:rsidRPr="00023B68">
              <w:rPr>
                <w:sz w:val="20"/>
                <w:szCs w:val="20"/>
              </w:rPr>
              <w:t>basis</w:t>
            </w:r>
            <w:proofErr w:type="spellEnd"/>
            <w:r w:rsidRPr="00023B68">
              <w:rPr>
                <w:sz w:val="20"/>
                <w:szCs w:val="20"/>
              </w:rPr>
              <w:t xml:space="preserve"> of a transparent </w:t>
            </w:r>
            <w:proofErr w:type="spellStart"/>
            <w:r w:rsidRPr="00023B68">
              <w:rPr>
                <w:sz w:val="20"/>
                <w:szCs w:val="20"/>
              </w:rPr>
              <w:t>methodology</w:t>
            </w:r>
            <w:proofErr w:type="spellEnd"/>
            <w:r w:rsidRPr="00023B68">
              <w:rPr>
                <w:sz w:val="20"/>
                <w:szCs w:val="20"/>
              </w:rPr>
              <w:t xml:space="preserve"> </w:t>
            </w:r>
            <w:proofErr w:type="spellStart"/>
            <w:r w:rsidRPr="00023B68">
              <w:rPr>
                <w:sz w:val="20"/>
                <w:szCs w:val="20"/>
              </w:rPr>
              <w:t>that</w:t>
            </w:r>
            <w:proofErr w:type="spellEnd"/>
            <w:r w:rsidRPr="00023B68">
              <w:rPr>
                <w:sz w:val="20"/>
                <w:szCs w:val="20"/>
              </w:rPr>
              <w:t xml:space="preserve"> </w:t>
            </w:r>
            <w:proofErr w:type="spellStart"/>
            <w:r w:rsidRPr="00023B68">
              <w:rPr>
                <w:sz w:val="20"/>
                <w:szCs w:val="20"/>
              </w:rPr>
              <w:t>takes</w:t>
            </w:r>
            <w:proofErr w:type="spellEnd"/>
            <w:r w:rsidRPr="00023B68">
              <w:rPr>
                <w:sz w:val="20"/>
                <w:szCs w:val="20"/>
              </w:rPr>
              <w:t xml:space="preserve"> </w:t>
            </w:r>
            <w:proofErr w:type="spellStart"/>
            <w:r w:rsidRPr="00023B68">
              <w:rPr>
                <w:sz w:val="20"/>
                <w:szCs w:val="20"/>
              </w:rPr>
              <w:t>into</w:t>
            </w:r>
            <w:proofErr w:type="spellEnd"/>
            <w:r w:rsidRPr="00023B68">
              <w:rPr>
                <w:sz w:val="20"/>
                <w:szCs w:val="20"/>
              </w:rPr>
              <w:t xml:space="preserve"> </w:t>
            </w:r>
            <w:proofErr w:type="spellStart"/>
            <w:r w:rsidRPr="00023B68">
              <w:rPr>
                <w:sz w:val="20"/>
                <w:szCs w:val="20"/>
              </w:rPr>
              <w:t>account</w:t>
            </w:r>
            <w:proofErr w:type="spellEnd"/>
            <w:r w:rsidRPr="00023B68">
              <w:rPr>
                <w:sz w:val="20"/>
                <w:szCs w:val="20"/>
              </w:rPr>
              <w:t xml:space="preserve"> not </w:t>
            </w:r>
            <w:proofErr w:type="spellStart"/>
            <w:r w:rsidRPr="00023B68">
              <w:rPr>
                <w:sz w:val="20"/>
                <w:szCs w:val="20"/>
              </w:rPr>
              <w:t>only</w:t>
            </w:r>
            <w:proofErr w:type="spellEnd"/>
            <w:r w:rsidRPr="00023B68">
              <w:rPr>
                <w:sz w:val="20"/>
                <w:szCs w:val="20"/>
              </w:rPr>
              <w:t xml:space="preserve"> </w:t>
            </w:r>
            <w:proofErr w:type="spellStart"/>
            <w:r w:rsidRPr="00023B68">
              <w:rPr>
                <w:sz w:val="20"/>
                <w:szCs w:val="20"/>
              </w:rPr>
              <w:t>existing</w:t>
            </w:r>
            <w:proofErr w:type="spellEnd"/>
            <w:r w:rsidRPr="00023B68">
              <w:rPr>
                <w:sz w:val="20"/>
                <w:szCs w:val="20"/>
              </w:rPr>
              <w:t xml:space="preserve"> </w:t>
            </w:r>
            <w:proofErr w:type="spellStart"/>
            <w:r w:rsidRPr="00023B68">
              <w:rPr>
                <w:sz w:val="20"/>
                <w:szCs w:val="20"/>
              </w:rPr>
              <w:t>compute</w:t>
            </w:r>
            <w:proofErr w:type="spellEnd"/>
            <w:r w:rsidRPr="00023B68">
              <w:rPr>
                <w:sz w:val="20"/>
                <w:szCs w:val="20"/>
              </w:rPr>
              <w:t xml:space="preserve"> </w:t>
            </w:r>
            <w:proofErr w:type="spellStart"/>
            <w:r w:rsidRPr="00023B68">
              <w:rPr>
                <w:sz w:val="20"/>
                <w:szCs w:val="20"/>
              </w:rPr>
              <w:t>capacity</w:t>
            </w:r>
            <w:proofErr w:type="spellEnd"/>
            <w:r w:rsidRPr="00023B68">
              <w:rPr>
                <w:sz w:val="20"/>
                <w:szCs w:val="20"/>
              </w:rPr>
              <w:t xml:space="preserve">, but </w:t>
            </w:r>
            <w:proofErr w:type="spellStart"/>
            <w:r w:rsidRPr="00023B68">
              <w:rPr>
                <w:sz w:val="20"/>
                <w:szCs w:val="20"/>
              </w:rPr>
              <w:t>also</w:t>
            </w:r>
            <w:proofErr w:type="spellEnd"/>
            <w:r w:rsidRPr="00023B68">
              <w:rPr>
                <w:sz w:val="20"/>
                <w:szCs w:val="20"/>
              </w:rPr>
              <w:t xml:space="preserve"> </w:t>
            </w:r>
            <w:proofErr w:type="spellStart"/>
            <w:r w:rsidRPr="00023B68">
              <w:rPr>
                <w:sz w:val="20"/>
                <w:szCs w:val="20"/>
              </w:rPr>
              <w:t>regional</w:t>
            </w:r>
            <w:proofErr w:type="spellEnd"/>
            <w:r w:rsidRPr="00023B68">
              <w:rPr>
                <w:sz w:val="20"/>
                <w:szCs w:val="20"/>
              </w:rPr>
              <w:t xml:space="preserve"> </w:t>
            </w:r>
            <w:proofErr w:type="spellStart"/>
            <w:r w:rsidRPr="00023B68">
              <w:rPr>
                <w:sz w:val="20"/>
                <w:szCs w:val="20"/>
              </w:rPr>
              <w:t>demand</w:t>
            </w:r>
            <w:proofErr w:type="spellEnd"/>
            <w:r w:rsidRPr="00023B68">
              <w:rPr>
                <w:sz w:val="20"/>
                <w:szCs w:val="20"/>
              </w:rPr>
              <w:t xml:space="preserve">, </w:t>
            </w:r>
            <w:proofErr w:type="spellStart"/>
            <w:r w:rsidRPr="00023B68">
              <w:rPr>
                <w:sz w:val="20"/>
                <w:szCs w:val="20"/>
              </w:rPr>
              <w:t>projects</w:t>
            </w:r>
            <w:proofErr w:type="spellEnd"/>
            <w:r w:rsidRPr="00023B68">
              <w:rPr>
                <w:sz w:val="20"/>
                <w:szCs w:val="20"/>
              </w:rPr>
              <w:t xml:space="preserve"> in </w:t>
            </w:r>
            <w:proofErr w:type="spellStart"/>
            <w:r w:rsidRPr="00023B68">
              <w:rPr>
                <w:sz w:val="20"/>
                <w:szCs w:val="20"/>
              </w:rPr>
              <w:t>preparation</w:t>
            </w:r>
            <w:proofErr w:type="spellEnd"/>
            <w:r w:rsidRPr="00023B68">
              <w:rPr>
                <w:sz w:val="20"/>
                <w:szCs w:val="20"/>
              </w:rPr>
              <w:t xml:space="preserve"> </w:t>
            </w:r>
            <w:proofErr w:type="spellStart"/>
            <w:r w:rsidRPr="00023B68">
              <w:rPr>
                <w:sz w:val="20"/>
                <w:szCs w:val="20"/>
              </w:rPr>
              <w:t>or</w:t>
            </w:r>
            <w:proofErr w:type="spellEnd"/>
            <w:r w:rsidRPr="00023B68">
              <w:rPr>
                <w:sz w:val="20"/>
                <w:szCs w:val="20"/>
              </w:rPr>
              <w:t xml:space="preserve"> </w:t>
            </w:r>
            <w:proofErr w:type="spellStart"/>
            <w:r w:rsidRPr="00023B68">
              <w:rPr>
                <w:sz w:val="20"/>
                <w:szCs w:val="20"/>
              </w:rPr>
              <w:t>under</w:t>
            </w:r>
            <w:proofErr w:type="spellEnd"/>
            <w:r w:rsidRPr="00023B68">
              <w:rPr>
                <w:sz w:val="20"/>
                <w:szCs w:val="20"/>
              </w:rPr>
              <w:t xml:space="preserve"> </w:t>
            </w:r>
            <w:proofErr w:type="spellStart"/>
            <w:r w:rsidRPr="00023B68">
              <w:rPr>
                <w:sz w:val="20"/>
                <w:szCs w:val="20"/>
              </w:rPr>
              <w:t>implementation</w:t>
            </w:r>
            <w:proofErr w:type="spellEnd"/>
            <w:r w:rsidRPr="00023B68">
              <w:rPr>
                <w:sz w:val="20"/>
                <w:szCs w:val="20"/>
              </w:rPr>
              <w:t xml:space="preserve">, </w:t>
            </w:r>
            <w:proofErr w:type="spellStart"/>
            <w:r w:rsidRPr="00023B68">
              <w:rPr>
                <w:sz w:val="20"/>
                <w:szCs w:val="20"/>
              </w:rPr>
              <w:t>energy</w:t>
            </w:r>
            <w:proofErr w:type="spellEnd"/>
            <w:r w:rsidRPr="00023B68">
              <w:rPr>
                <w:sz w:val="20"/>
                <w:szCs w:val="20"/>
              </w:rPr>
              <w:t xml:space="preserve"> </w:t>
            </w:r>
            <w:proofErr w:type="spellStart"/>
            <w:r w:rsidRPr="00023B68">
              <w:rPr>
                <w:sz w:val="20"/>
                <w:szCs w:val="20"/>
              </w:rPr>
              <w:t>availability</w:t>
            </w:r>
            <w:proofErr w:type="spellEnd"/>
            <w:r w:rsidRPr="00023B68">
              <w:rPr>
                <w:sz w:val="20"/>
                <w:szCs w:val="20"/>
              </w:rPr>
              <w:t xml:space="preserve">, </w:t>
            </w:r>
            <w:proofErr w:type="spellStart"/>
            <w:r w:rsidRPr="00023B68">
              <w:rPr>
                <w:sz w:val="20"/>
                <w:szCs w:val="20"/>
              </w:rPr>
              <w:t>connectivity</w:t>
            </w:r>
            <w:proofErr w:type="spellEnd"/>
            <w:r w:rsidRPr="00023B68">
              <w:rPr>
                <w:sz w:val="20"/>
                <w:szCs w:val="20"/>
              </w:rPr>
              <w:t xml:space="preserve"> and the </w:t>
            </w:r>
            <w:proofErr w:type="spellStart"/>
            <w:r w:rsidRPr="00023B68">
              <w:rPr>
                <w:sz w:val="20"/>
                <w:szCs w:val="20"/>
              </w:rPr>
              <w:t>market’s</w:t>
            </w:r>
            <w:proofErr w:type="spellEnd"/>
            <w:r w:rsidRPr="00023B68">
              <w:rPr>
                <w:sz w:val="20"/>
                <w:szCs w:val="20"/>
              </w:rPr>
              <w:t xml:space="preserve"> </w:t>
            </w:r>
            <w:proofErr w:type="spellStart"/>
            <w:r w:rsidRPr="00023B68">
              <w:rPr>
                <w:sz w:val="20"/>
                <w:szCs w:val="20"/>
              </w:rPr>
              <w:t>ability</w:t>
            </w:r>
            <w:proofErr w:type="spellEnd"/>
            <w:r w:rsidRPr="00023B68">
              <w:rPr>
                <w:sz w:val="20"/>
                <w:szCs w:val="20"/>
              </w:rPr>
              <w:t xml:space="preserve"> to </w:t>
            </w:r>
            <w:proofErr w:type="spellStart"/>
            <w:r w:rsidRPr="00023B68">
              <w:rPr>
                <w:sz w:val="20"/>
                <w:szCs w:val="20"/>
              </w:rPr>
              <w:t>attract</w:t>
            </w:r>
            <w:proofErr w:type="spellEnd"/>
            <w:r w:rsidRPr="00023B68">
              <w:rPr>
                <w:sz w:val="20"/>
                <w:szCs w:val="20"/>
              </w:rPr>
              <w:t xml:space="preserve"> </w:t>
            </w:r>
            <w:proofErr w:type="spellStart"/>
            <w:r w:rsidRPr="00023B68">
              <w:rPr>
                <w:sz w:val="20"/>
                <w:szCs w:val="20"/>
              </w:rPr>
              <w:t>further</w:t>
            </w:r>
            <w:proofErr w:type="spellEnd"/>
            <w:r w:rsidRPr="00023B68">
              <w:rPr>
                <w:sz w:val="20"/>
                <w:szCs w:val="20"/>
              </w:rPr>
              <w:t xml:space="preserve"> investment.”</w:t>
            </w:r>
          </w:p>
          <w:p w14:paraId="0C71AEBF" w14:textId="77777777" w:rsidR="00A85FE9" w:rsidRPr="00023B68" w:rsidRDefault="00A85FE9" w:rsidP="00A85FE9">
            <w:pPr>
              <w:pStyle w:val="Default"/>
              <w:rPr>
                <w:sz w:val="20"/>
                <w:szCs w:val="20"/>
              </w:rPr>
            </w:pPr>
            <w:r w:rsidRPr="00023B68">
              <w:rPr>
                <w:sz w:val="20"/>
                <w:szCs w:val="20"/>
              </w:rPr>
              <w:t>Polska mogłaby również dążyć do zbudowania koalicji państw Europy Środkowo-Wschodniej, które mierzą się z podobnymi problemami: pomijalnym udziałem w rynku, ograniczoną dostępnością mocy przyłączeniowej i koncentracją inwestycji w Europie Zachodniej i Północnej. Ze względu na wielkość gospodarki, położenie oraz rozwijający się sektor centrów danych Polska mogłaby pełnić rolę naturalnego koordynatora takiej współpracy i wspólnie zabiegać o metodologię premiującą rzeczywisty potencjał wzrostu regionu.</w:t>
            </w:r>
          </w:p>
          <w:p w14:paraId="7BA3CA85" w14:textId="238C8ED1" w:rsidR="00A85FE9" w:rsidRPr="00023B68" w:rsidRDefault="00A85FE9" w:rsidP="00A85FE9">
            <w:pPr>
              <w:pStyle w:val="Default"/>
              <w:rPr>
                <w:sz w:val="20"/>
                <w:szCs w:val="20"/>
              </w:rPr>
            </w:pPr>
          </w:p>
        </w:tc>
      </w:tr>
      <w:tr w:rsidR="00A85FE9" w:rsidRPr="00023B68" w14:paraId="7E711E5D" w14:textId="77777777" w:rsidTr="00040008">
        <w:tc>
          <w:tcPr>
            <w:tcW w:w="0" w:type="auto"/>
          </w:tcPr>
          <w:p w14:paraId="17EE0A79" w14:textId="3349AA4D" w:rsidR="00A85FE9" w:rsidRPr="00023B68" w:rsidRDefault="00A85FE9" w:rsidP="00A85FE9">
            <w:pPr>
              <w:pStyle w:val="Default"/>
              <w:rPr>
                <w:b/>
                <w:bCs/>
                <w:sz w:val="20"/>
                <w:szCs w:val="20"/>
              </w:rPr>
            </w:pPr>
            <w:r w:rsidRPr="00023B68">
              <w:rPr>
                <w:b/>
                <w:bCs/>
                <w:sz w:val="20"/>
                <w:szCs w:val="20"/>
              </w:rPr>
              <w:lastRenderedPageBreak/>
              <w:t>Tytuł IV - artykuły 16-44</w:t>
            </w:r>
          </w:p>
          <w:p w14:paraId="13D09DB9" w14:textId="61B3CAF5" w:rsidR="00A85FE9" w:rsidRPr="00023B68" w:rsidRDefault="00A85FE9" w:rsidP="00A85FE9">
            <w:pPr>
              <w:pStyle w:val="Default"/>
              <w:rPr>
                <w:b/>
                <w:bCs/>
                <w:sz w:val="20"/>
                <w:szCs w:val="20"/>
              </w:rPr>
            </w:pPr>
            <w:r w:rsidRPr="00023B68">
              <w:rPr>
                <w:b/>
                <w:bCs/>
                <w:sz w:val="20"/>
                <w:szCs w:val="20"/>
              </w:rPr>
              <w:t>AUTONOMY</w:t>
            </w:r>
          </w:p>
          <w:p w14:paraId="6119FF23" w14:textId="34366937" w:rsidR="00A85FE9" w:rsidRPr="00023B68" w:rsidRDefault="00A85FE9" w:rsidP="00A85FE9">
            <w:pPr>
              <w:pStyle w:val="Default"/>
              <w:rPr>
                <w:b/>
                <w:bCs/>
                <w:sz w:val="20"/>
                <w:szCs w:val="20"/>
              </w:rPr>
            </w:pPr>
          </w:p>
        </w:tc>
        <w:tc>
          <w:tcPr>
            <w:tcW w:w="0" w:type="auto"/>
          </w:tcPr>
          <w:p w14:paraId="3D5DC05A" w14:textId="77777777" w:rsidR="00A85FE9" w:rsidRPr="00023B68" w:rsidRDefault="00A85FE9" w:rsidP="00A85FE9">
            <w:pPr>
              <w:pStyle w:val="Default"/>
              <w:rPr>
                <w:b/>
                <w:bCs/>
                <w:sz w:val="20"/>
                <w:szCs w:val="20"/>
              </w:rPr>
            </w:pPr>
          </w:p>
        </w:tc>
        <w:tc>
          <w:tcPr>
            <w:tcW w:w="0" w:type="auto"/>
          </w:tcPr>
          <w:p w14:paraId="50A8FFFB" w14:textId="77777777" w:rsidR="00A85FE9" w:rsidRPr="00023B68" w:rsidRDefault="00A85FE9" w:rsidP="00A85FE9">
            <w:pPr>
              <w:pStyle w:val="Default"/>
              <w:rPr>
                <w:b/>
                <w:bCs/>
                <w:sz w:val="20"/>
                <w:szCs w:val="20"/>
              </w:rPr>
            </w:pPr>
          </w:p>
        </w:tc>
      </w:tr>
      <w:tr w:rsidR="00A85FE9" w:rsidRPr="00023B68" w14:paraId="3053C300" w14:textId="77777777" w:rsidTr="00040008">
        <w:tc>
          <w:tcPr>
            <w:tcW w:w="0" w:type="auto"/>
          </w:tcPr>
          <w:p w14:paraId="1BD0C48B" w14:textId="77777777" w:rsidR="00A85FE9" w:rsidRPr="00023B68" w:rsidRDefault="00A85FE9" w:rsidP="00A85FE9">
            <w:pPr>
              <w:pStyle w:val="Default"/>
              <w:rPr>
                <w:sz w:val="20"/>
                <w:szCs w:val="20"/>
              </w:rPr>
            </w:pPr>
            <w:r w:rsidRPr="00023B68">
              <w:rPr>
                <w:sz w:val="20"/>
                <w:szCs w:val="20"/>
              </w:rPr>
              <w:t xml:space="preserve">Artykuł 16 </w:t>
            </w:r>
          </w:p>
          <w:p w14:paraId="54A6E25A" w14:textId="492E99D8" w:rsidR="00A85FE9" w:rsidRPr="00023B68" w:rsidRDefault="00A85FE9" w:rsidP="00A85FE9">
            <w:pPr>
              <w:pStyle w:val="Default"/>
              <w:rPr>
                <w:sz w:val="20"/>
                <w:szCs w:val="20"/>
              </w:rPr>
            </w:pPr>
            <w:proofErr w:type="spellStart"/>
            <w:r w:rsidRPr="00023B68">
              <w:rPr>
                <w:i/>
                <w:iCs/>
                <w:sz w:val="20"/>
                <w:szCs w:val="20"/>
              </w:rPr>
              <w:t>Scope</w:t>
            </w:r>
            <w:proofErr w:type="spellEnd"/>
          </w:p>
        </w:tc>
        <w:tc>
          <w:tcPr>
            <w:tcW w:w="0" w:type="auto"/>
          </w:tcPr>
          <w:p w14:paraId="2146673F" w14:textId="39F7AFEA" w:rsidR="00A85FE9" w:rsidRPr="00023B68" w:rsidRDefault="00A85FE9" w:rsidP="00A85FE9">
            <w:pPr>
              <w:pStyle w:val="Default"/>
              <w:rPr>
                <w:sz w:val="20"/>
                <w:szCs w:val="20"/>
              </w:rPr>
            </w:pPr>
            <w:r w:rsidRPr="00023B68">
              <w:rPr>
                <w:sz w:val="20"/>
                <w:szCs w:val="20"/>
              </w:rPr>
              <w:t>SIAPL KIGEIT</w:t>
            </w:r>
          </w:p>
        </w:tc>
        <w:tc>
          <w:tcPr>
            <w:tcW w:w="0" w:type="auto"/>
          </w:tcPr>
          <w:p w14:paraId="34A83B9D" w14:textId="77777777" w:rsidR="00A85FE9" w:rsidRPr="00023B68" w:rsidRDefault="00A85FE9" w:rsidP="00A85FE9">
            <w:pPr>
              <w:pStyle w:val="Default"/>
              <w:rPr>
                <w:sz w:val="20"/>
                <w:szCs w:val="20"/>
              </w:rPr>
            </w:pPr>
            <w:r w:rsidRPr="00023B68">
              <w:rPr>
                <w:sz w:val="20"/>
                <w:szCs w:val="20"/>
              </w:rPr>
              <w:t xml:space="preserve">Docenia wprowadzenie czterostopniowych ram suwerenności (Union </w:t>
            </w:r>
            <w:proofErr w:type="spellStart"/>
            <w:r w:rsidRPr="00023B68">
              <w:rPr>
                <w:sz w:val="20"/>
                <w:szCs w:val="20"/>
              </w:rPr>
              <w:t>assurance</w:t>
            </w:r>
            <w:proofErr w:type="spellEnd"/>
            <w:r w:rsidRPr="00023B68">
              <w:rPr>
                <w:sz w:val="20"/>
                <w:szCs w:val="20"/>
              </w:rPr>
              <w:t xml:space="preserve"> </w:t>
            </w:r>
            <w:proofErr w:type="spellStart"/>
            <w:r w:rsidRPr="00023B68">
              <w:rPr>
                <w:sz w:val="20"/>
                <w:szCs w:val="20"/>
              </w:rPr>
              <w:t>levels</w:t>
            </w:r>
            <w:proofErr w:type="spellEnd"/>
            <w:r w:rsidRPr="00023B68">
              <w:rPr>
                <w:sz w:val="20"/>
                <w:szCs w:val="20"/>
              </w:rPr>
              <w:t xml:space="preserve"> 1-4) jako zharmonizowanego narzędzia oceny wiarygodności dostawców chmurowych co stanowi dobry krok w kierunku przejrzystości rynku</w:t>
            </w:r>
          </w:p>
          <w:p w14:paraId="24F3997B" w14:textId="2DBC2B70" w:rsidR="00A85FE9" w:rsidRPr="00023B68" w:rsidRDefault="00A85FE9" w:rsidP="00A85FE9">
            <w:pPr>
              <w:pStyle w:val="Default"/>
              <w:rPr>
                <w:sz w:val="20"/>
                <w:szCs w:val="20"/>
              </w:rPr>
            </w:pPr>
          </w:p>
        </w:tc>
      </w:tr>
      <w:tr w:rsidR="00A85FE9" w:rsidRPr="00023B68" w14:paraId="4226B62D" w14:textId="77777777" w:rsidTr="00040008">
        <w:tc>
          <w:tcPr>
            <w:tcW w:w="0" w:type="auto"/>
          </w:tcPr>
          <w:p w14:paraId="271BADB2" w14:textId="77777777" w:rsidR="00A85FE9" w:rsidRPr="00023B68" w:rsidRDefault="00A85FE9" w:rsidP="00A85FE9">
            <w:pPr>
              <w:pStyle w:val="Default"/>
              <w:rPr>
                <w:sz w:val="20"/>
                <w:szCs w:val="20"/>
              </w:rPr>
            </w:pPr>
            <w:r w:rsidRPr="00023B68">
              <w:rPr>
                <w:sz w:val="20"/>
                <w:szCs w:val="20"/>
              </w:rPr>
              <w:t xml:space="preserve">Artykuł 18 </w:t>
            </w:r>
          </w:p>
          <w:p w14:paraId="0748B97E" w14:textId="3310D081" w:rsidR="00A85FE9" w:rsidRPr="00023B68" w:rsidRDefault="00A85FE9" w:rsidP="00A85FE9">
            <w:pPr>
              <w:pStyle w:val="Default"/>
              <w:rPr>
                <w:sz w:val="20"/>
                <w:szCs w:val="20"/>
              </w:rPr>
            </w:pPr>
            <w:proofErr w:type="spellStart"/>
            <w:r w:rsidRPr="00023B68">
              <w:rPr>
                <w:i/>
                <w:iCs/>
                <w:sz w:val="20"/>
                <w:szCs w:val="20"/>
              </w:rPr>
              <w:t>Associated</w:t>
            </w:r>
            <w:proofErr w:type="spellEnd"/>
            <w:r w:rsidRPr="00023B68">
              <w:rPr>
                <w:i/>
                <w:iCs/>
                <w:sz w:val="20"/>
                <w:szCs w:val="20"/>
              </w:rPr>
              <w:t xml:space="preserve"> third </w:t>
            </w:r>
            <w:proofErr w:type="spellStart"/>
            <w:r w:rsidRPr="00023B68">
              <w:rPr>
                <w:i/>
                <w:iCs/>
                <w:sz w:val="20"/>
                <w:szCs w:val="20"/>
              </w:rPr>
              <w:t>countries</w:t>
            </w:r>
            <w:proofErr w:type="spellEnd"/>
          </w:p>
        </w:tc>
        <w:tc>
          <w:tcPr>
            <w:tcW w:w="0" w:type="auto"/>
          </w:tcPr>
          <w:p w14:paraId="0C00D5DE" w14:textId="65AF9613" w:rsidR="00A85FE9" w:rsidRPr="00023B68" w:rsidRDefault="00A85FE9" w:rsidP="00A85FE9">
            <w:pPr>
              <w:pStyle w:val="Default"/>
              <w:rPr>
                <w:sz w:val="20"/>
                <w:szCs w:val="20"/>
              </w:rPr>
            </w:pPr>
            <w:r w:rsidRPr="00023B68">
              <w:rPr>
                <w:sz w:val="20"/>
                <w:szCs w:val="20"/>
              </w:rPr>
              <w:t>SIAPL KIGEIT</w:t>
            </w:r>
          </w:p>
        </w:tc>
        <w:tc>
          <w:tcPr>
            <w:tcW w:w="0" w:type="auto"/>
          </w:tcPr>
          <w:p w14:paraId="09F49724" w14:textId="77777777" w:rsidR="00A85FE9" w:rsidRPr="00023B68" w:rsidRDefault="00A85FE9" w:rsidP="00A85FE9">
            <w:pPr>
              <w:pStyle w:val="Default"/>
              <w:rPr>
                <w:sz w:val="20"/>
                <w:szCs w:val="20"/>
              </w:rPr>
            </w:pPr>
            <w:r w:rsidRPr="00023B68">
              <w:rPr>
                <w:sz w:val="20"/>
                <w:szCs w:val="20"/>
              </w:rPr>
              <w:t>Ryzyko nadużycia derogacji dla krajów trzecich (art. 18)</w:t>
            </w:r>
          </w:p>
          <w:p w14:paraId="18254D05" w14:textId="77777777" w:rsidR="00A85FE9" w:rsidRPr="00023B68" w:rsidRDefault="00A85FE9" w:rsidP="00A85FE9">
            <w:pPr>
              <w:pStyle w:val="Default"/>
              <w:rPr>
                <w:sz w:val="20"/>
                <w:szCs w:val="20"/>
              </w:rPr>
            </w:pPr>
            <w:r w:rsidRPr="00023B68">
              <w:rPr>
                <w:sz w:val="20"/>
                <w:szCs w:val="20"/>
              </w:rPr>
              <w:t>Możliwość uznania przez KE niektórych państw trzecich za równoważne (ekwiwalentne) pod względem suwerenności i tym samym dopuszczenie kontrolowanych przez nie podmiotów do poziomu 3 niesie poważne ryzyko. Procedura decyzji implementacyjnej Komisji musi być obwarowana rygorystycznymi kryteriami i podlegać regularnym przeglądom, a nie stanowić instrumentu dyplomatycznego nacisku.</w:t>
            </w:r>
          </w:p>
          <w:p w14:paraId="171956E1" w14:textId="0757059E" w:rsidR="00A85FE9" w:rsidRPr="00023B68" w:rsidRDefault="00A85FE9" w:rsidP="00A85FE9">
            <w:pPr>
              <w:pStyle w:val="Default"/>
              <w:rPr>
                <w:sz w:val="20"/>
                <w:szCs w:val="20"/>
              </w:rPr>
            </w:pPr>
          </w:p>
        </w:tc>
      </w:tr>
      <w:tr w:rsidR="00A85FE9" w:rsidRPr="00023B68" w14:paraId="3D6DA777" w14:textId="77777777" w:rsidTr="00040008">
        <w:tc>
          <w:tcPr>
            <w:tcW w:w="0" w:type="auto"/>
          </w:tcPr>
          <w:p w14:paraId="65BD0591" w14:textId="77777777" w:rsidR="00A85FE9" w:rsidRPr="00023B68" w:rsidRDefault="00A85FE9" w:rsidP="00A85FE9">
            <w:pPr>
              <w:pStyle w:val="Default"/>
              <w:rPr>
                <w:sz w:val="20"/>
                <w:szCs w:val="20"/>
              </w:rPr>
            </w:pPr>
          </w:p>
        </w:tc>
        <w:tc>
          <w:tcPr>
            <w:tcW w:w="0" w:type="auto"/>
          </w:tcPr>
          <w:p w14:paraId="1F8B7F98" w14:textId="536F3510"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374BE174" w14:textId="77777777" w:rsidR="00A85FE9" w:rsidRPr="00023B68" w:rsidRDefault="00A85FE9" w:rsidP="00A85FE9">
            <w:pPr>
              <w:pStyle w:val="Default"/>
              <w:rPr>
                <w:sz w:val="20"/>
                <w:szCs w:val="20"/>
              </w:rPr>
            </w:pPr>
            <w:r w:rsidRPr="00023B68">
              <w:rPr>
                <w:sz w:val="20"/>
                <w:szCs w:val="20"/>
              </w:rPr>
              <w:t>Jednocześnie postulujemy, aby przewidziana w art. 18 ścieżka uznawania państw trzecich</w:t>
            </w:r>
          </w:p>
          <w:p w14:paraId="7514E605" w14:textId="77777777" w:rsidR="00A85FE9" w:rsidRPr="00023B68" w:rsidRDefault="00A85FE9" w:rsidP="00A85FE9">
            <w:pPr>
              <w:pStyle w:val="Default"/>
              <w:rPr>
                <w:sz w:val="20"/>
                <w:szCs w:val="20"/>
              </w:rPr>
            </w:pPr>
            <w:r w:rsidRPr="00023B68">
              <w:rPr>
                <w:sz w:val="20"/>
                <w:szCs w:val="20"/>
              </w:rPr>
              <w:t>(umożliwiająca dostęp do poziomu UAL 3) była przejrzysta, oparta na regułach, terminowa i</w:t>
            </w:r>
          </w:p>
          <w:p w14:paraId="3DC94793" w14:textId="77777777" w:rsidR="00A85FE9" w:rsidRPr="00023B68" w:rsidRDefault="00A85FE9" w:rsidP="00A85FE9">
            <w:pPr>
              <w:pStyle w:val="Default"/>
              <w:rPr>
                <w:sz w:val="20"/>
                <w:szCs w:val="20"/>
              </w:rPr>
            </w:pPr>
            <w:r w:rsidRPr="00023B68">
              <w:rPr>
                <w:sz w:val="20"/>
                <w:szCs w:val="20"/>
              </w:rPr>
              <w:t>osadzona w istniejących ramach adekwatności RODO oraz równoważności handlowej – a nie</w:t>
            </w:r>
          </w:p>
          <w:p w14:paraId="6DCBB2AF" w14:textId="77777777" w:rsidR="00A85FE9" w:rsidRPr="00023B68" w:rsidRDefault="00A85FE9" w:rsidP="00A85FE9">
            <w:pPr>
              <w:pStyle w:val="Default"/>
              <w:rPr>
                <w:sz w:val="20"/>
                <w:szCs w:val="20"/>
              </w:rPr>
            </w:pPr>
            <w:r w:rsidRPr="00023B68">
              <w:rPr>
                <w:sz w:val="20"/>
                <w:szCs w:val="20"/>
              </w:rPr>
              <w:t>stosowana jako instrument polityczny. Przewidywalna ścieżka uznania stanowi silny sygnał</w:t>
            </w:r>
          </w:p>
          <w:p w14:paraId="66B1390C" w14:textId="77777777" w:rsidR="00A85FE9" w:rsidRPr="00023B68" w:rsidRDefault="00A85FE9" w:rsidP="00A85FE9">
            <w:pPr>
              <w:pStyle w:val="Default"/>
              <w:rPr>
                <w:sz w:val="20"/>
                <w:szCs w:val="20"/>
              </w:rPr>
            </w:pPr>
            <w:r w:rsidRPr="00023B68">
              <w:rPr>
                <w:sz w:val="20"/>
                <w:szCs w:val="20"/>
              </w:rPr>
              <w:t>dla inwestorów, że inwestycje w europejską infrastrukturę spotkają się ze stabilnym dostępem</w:t>
            </w:r>
          </w:p>
          <w:p w14:paraId="37E66C5C" w14:textId="77777777" w:rsidR="00A85FE9" w:rsidRPr="00023B68" w:rsidRDefault="00A85FE9" w:rsidP="00A85FE9">
            <w:pPr>
              <w:pStyle w:val="Default"/>
              <w:rPr>
                <w:sz w:val="20"/>
                <w:szCs w:val="20"/>
              </w:rPr>
            </w:pPr>
            <w:r w:rsidRPr="00023B68">
              <w:rPr>
                <w:sz w:val="20"/>
                <w:szCs w:val="20"/>
              </w:rPr>
              <w:t>do rynku, co sprzyja właśnie temu przyspieszeniu rozbudowy mocy, które CADA ma na celu.</w:t>
            </w:r>
          </w:p>
          <w:p w14:paraId="1DD7C796" w14:textId="77777777" w:rsidR="00A85FE9" w:rsidRPr="00023B68" w:rsidRDefault="00A85FE9" w:rsidP="00A85FE9">
            <w:pPr>
              <w:pStyle w:val="Default"/>
              <w:rPr>
                <w:sz w:val="20"/>
                <w:szCs w:val="20"/>
              </w:rPr>
            </w:pPr>
            <w:r w:rsidRPr="00023B68">
              <w:rPr>
                <w:sz w:val="20"/>
                <w:szCs w:val="20"/>
              </w:rPr>
              <w:t>Certyfikacja suwerenności proponowana przez Komisję ingeruje w zdolność państw</w:t>
            </w:r>
          </w:p>
          <w:p w14:paraId="7A1087E0" w14:textId="77777777" w:rsidR="00A85FE9" w:rsidRPr="00023B68" w:rsidRDefault="00A85FE9" w:rsidP="00A85FE9">
            <w:pPr>
              <w:pStyle w:val="Default"/>
              <w:rPr>
                <w:sz w:val="20"/>
                <w:szCs w:val="20"/>
              </w:rPr>
            </w:pPr>
            <w:r w:rsidRPr="00023B68">
              <w:rPr>
                <w:sz w:val="20"/>
                <w:szCs w:val="20"/>
              </w:rPr>
              <w:t>członkowskich do dokonywania zamówień zgodnie z ich interesami w zakresie</w:t>
            </w:r>
          </w:p>
          <w:p w14:paraId="28AF3EBB" w14:textId="77777777" w:rsidR="00A85FE9" w:rsidRPr="00023B68" w:rsidRDefault="00A85FE9" w:rsidP="00A85FE9">
            <w:pPr>
              <w:pStyle w:val="Default"/>
              <w:rPr>
                <w:sz w:val="20"/>
                <w:szCs w:val="20"/>
              </w:rPr>
            </w:pPr>
            <w:r w:rsidRPr="00023B68">
              <w:rPr>
                <w:sz w:val="20"/>
                <w:szCs w:val="20"/>
              </w:rPr>
              <w:lastRenderedPageBreak/>
              <w:t xml:space="preserve">bezpieczeństwa narodowego. </w:t>
            </w:r>
          </w:p>
          <w:p w14:paraId="45AA9D9F" w14:textId="778CFE29" w:rsidR="00A85FE9" w:rsidRPr="00023B68" w:rsidRDefault="00A85FE9" w:rsidP="00A85FE9">
            <w:pPr>
              <w:pStyle w:val="Default"/>
              <w:rPr>
                <w:sz w:val="20"/>
                <w:szCs w:val="20"/>
              </w:rPr>
            </w:pPr>
          </w:p>
        </w:tc>
      </w:tr>
      <w:tr w:rsidR="00A85FE9" w:rsidRPr="00023B68" w14:paraId="070303A7" w14:textId="77777777" w:rsidTr="00040008">
        <w:tc>
          <w:tcPr>
            <w:tcW w:w="0" w:type="auto"/>
          </w:tcPr>
          <w:p w14:paraId="15D506D4" w14:textId="26BBA1A0"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2873A957" w14:textId="57DCF473" w:rsidR="00A85FE9" w:rsidRPr="00023B68" w:rsidRDefault="00A85FE9" w:rsidP="00A85FE9">
            <w:pPr>
              <w:pStyle w:val="Default"/>
              <w:rPr>
                <w:sz w:val="20"/>
                <w:szCs w:val="20"/>
              </w:rPr>
            </w:pPr>
            <w:r w:rsidRPr="00023B68">
              <w:rPr>
                <w:sz w:val="20"/>
                <w:szCs w:val="20"/>
              </w:rPr>
              <w:t>Zw. Cyfrowa Polska</w:t>
            </w:r>
          </w:p>
        </w:tc>
        <w:tc>
          <w:tcPr>
            <w:tcW w:w="0" w:type="auto"/>
          </w:tcPr>
          <w:p w14:paraId="58BFB7A3" w14:textId="77777777" w:rsidR="00A85FE9" w:rsidRPr="00023B68" w:rsidRDefault="00A85FE9" w:rsidP="00A85FE9">
            <w:pPr>
              <w:pStyle w:val="Default"/>
              <w:rPr>
                <w:b/>
                <w:bCs/>
                <w:sz w:val="20"/>
                <w:szCs w:val="20"/>
              </w:rPr>
            </w:pPr>
            <w:r w:rsidRPr="00023B68">
              <w:rPr>
                <w:b/>
                <w:bCs/>
                <w:sz w:val="20"/>
                <w:szCs w:val="20"/>
              </w:rPr>
              <w:t xml:space="preserve">Mechanizm stowarzyszonego państwa trzeciego </w:t>
            </w:r>
          </w:p>
          <w:p w14:paraId="4DF4C846" w14:textId="77777777" w:rsidR="00A85FE9" w:rsidRPr="00023B68" w:rsidRDefault="00A85FE9" w:rsidP="00A85FE9">
            <w:pPr>
              <w:pStyle w:val="Default"/>
              <w:rPr>
                <w:sz w:val="20"/>
                <w:szCs w:val="20"/>
              </w:rPr>
            </w:pPr>
            <w:r w:rsidRPr="00023B68">
              <w:rPr>
                <w:sz w:val="20"/>
                <w:szCs w:val="20"/>
              </w:rPr>
              <w:t xml:space="preserve">Należy ustanowić funkcjonujący mechanizm z jasnymi kryteriami, określonymi terminami i modelem </w:t>
            </w:r>
            <w:proofErr w:type="spellStart"/>
            <w:r w:rsidRPr="00023B68">
              <w:rPr>
                <w:sz w:val="20"/>
                <w:szCs w:val="20"/>
              </w:rPr>
              <w:t>opt</w:t>
            </w:r>
            <w:proofErr w:type="spellEnd"/>
            <w:r w:rsidRPr="00023B68">
              <w:rPr>
                <w:sz w:val="20"/>
                <w:szCs w:val="20"/>
              </w:rPr>
              <w:t xml:space="preserve">-out. Problemy z obecnym art. 18 obejmują: </w:t>
            </w:r>
          </w:p>
          <w:p w14:paraId="42B3FA06" w14:textId="77777777" w:rsidR="00A85FE9" w:rsidRPr="00023B68" w:rsidRDefault="00A85FE9" w:rsidP="00A85FE9">
            <w:pPr>
              <w:pStyle w:val="Default"/>
              <w:numPr>
                <w:ilvl w:val="0"/>
                <w:numId w:val="48"/>
              </w:numPr>
              <w:rPr>
                <w:sz w:val="20"/>
                <w:szCs w:val="20"/>
              </w:rPr>
            </w:pPr>
            <w:r w:rsidRPr="00023B68">
              <w:rPr>
                <w:sz w:val="20"/>
                <w:szCs w:val="20"/>
              </w:rPr>
              <w:t xml:space="preserve">Brak obowiązku ani terminu działania Komisji. </w:t>
            </w:r>
          </w:p>
          <w:p w14:paraId="0D8B94CB" w14:textId="77777777" w:rsidR="00A85FE9" w:rsidRPr="00023B68" w:rsidRDefault="00A85FE9" w:rsidP="00A85FE9">
            <w:pPr>
              <w:pStyle w:val="Default"/>
              <w:numPr>
                <w:ilvl w:val="0"/>
                <w:numId w:val="48"/>
              </w:numPr>
              <w:rPr>
                <w:sz w:val="20"/>
                <w:szCs w:val="20"/>
              </w:rPr>
            </w:pPr>
            <w:r w:rsidRPr="00023B68">
              <w:rPr>
                <w:sz w:val="20"/>
                <w:szCs w:val="20"/>
              </w:rPr>
              <w:t xml:space="preserve">Inicjatywę wyłącznie po stronie Komisji bez gwarantowanych kryteriów. </w:t>
            </w:r>
          </w:p>
          <w:p w14:paraId="3ED7F6B4" w14:textId="77777777" w:rsidR="00A85FE9" w:rsidRPr="00023B68" w:rsidRDefault="00A85FE9" w:rsidP="00A85FE9">
            <w:pPr>
              <w:pStyle w:val="Default"/>
              <w:numPr>
                <w:ilvl w:val="0"/>
                <w:numId w:val="48"/>
              </w:numPr>
              <w:rPr>
                <w:sz w:val="20"/>
                <w:szCs w:val="20"/>
              </w:rPr>
            </w:pPr>
            <w:r w:rsidRPr="00023B68">
              <w:rPr>
                <w:sz w:val="20"/>
                <w:szCs w:val="20"/>
              </w:rPr>
              <w:t xml:space="preserve">Kumulatywne warunki prawdopodobnie wykluczą większość dużych partnerów handlowych UE. </w:t>
            </w:r>
          </w:p>
          <w:p w14:paraId="7E2031C0" w14:textId="77777777" w:rsidR="00A85FE9" w:rsidRPr="00023B68" w:rsidRDefault="00A85FE9" w:rsidP="00A85FE9">
            <w:pPr>
              <w:pStyle w:val="Default"/>
              <w:numPr>
                <w:ilvl w:val="0"/>
                <w:numId w:val="48"/>
              </w:numPr>
              <w:rPr>
                <w:sz w:val="20"/>
                <w:szCs w:val="20"/>
              </w:rPr>
            </w:pPr>
            <w:r w:rsidRPr="00023B68">
              <w:rPr>
                <w:sz w:val="20"/>
                <w:szCs w:val="20"/>
              </w:rPr>
              <w:t xml:space="preserve">Przyjęcie podejścia </w:t>
            </w:r>
            <w:proofErr w:type="spellStart"/>
            <w:r w:rsidRPr="00023B68">
              <w:rPr>
                <w:sz w:val="20"/>
                <w:szCs w:val="20"/>
              </w:rPr>
              <w:t>opt</w:t>
            </w:r>
            <w:proofErr w:type="spellEnd"/>
            <w:r w:rsidRPr="00023B68">
              <w:rPr>
                <w:sz w:val="20"/>
                <w:szCs w:val="20"/>
              </w:rPr>
              <w:t xml:space="preserve">-in zamiast modelu </w:t>
            </w:r>
            <w:proofErr w:type="spellStart"/>
            <w:r w:rsidRPr="00023B68">
              <w:rPr>
                <w:sz w:val="20"/>
                <w:szCs w:val="20"/>
              </w:rPr>
              <w:t>opt</w:t>
            </w:r>
            <w:proofErr w:type="spellEnd"/>
            <w:r w:rsidRPr="00023B68">
              <w:rPr>
                <w:sz w:val="20"/>
                <w:szCs w:val="20"/>
              </w:rPr>
              <w:t xml:space="preserve">-out z Ustawy o Przyspieszeniu Przemysłowym dla partnerów GPA/FTA. </w:t>
            </w:r>
          </w:p>
          <w:p w14:paraId="34219534" w14:textId="77777777" w:rsidR="00A85FE9" w:rsidRPr="00023B68" w:rsidRDefault="00A85FE9" w:rsidP="00A85FE9">
            <w:pPr>
              <w:pStyle w:val="Default"/>
              <w:rPr>
                <w:sz w:val="20"/>
                <w:szCs w:val="20"/>
              </w:rPr>
            </w:pPr>
          </w:p>
          <w:p w14:paraId="0765A883" w14:textId="77777777" w:rsidR="00A85FE9" w:rsidRPr="00023B68" w:rsidRDefault="00A85FE9" w:rsidP="00A85FE9">
            <w:pPr>
              <w:pStyle w:val="Default"/>
              <w:rPr>
                <w:sz w:val="20"/>
                <w:szCs w:val="20"/>
              </w:rPr>
            </w:pPr>
            <w:r w:rsidRPr="00023B68">
              <w:rPr>
                <w:sz w:val="20"/>
                <w:szCs w:val="20"/>
              </w:rPr>
              <w:t xml:space="preserve">Rekomendowane rozwiązania: </w:t>
            </w:r>
          </w:p>
          <w:p w14:paraId="61FE5B0A" w14:textId="77777777" w:rsidR="00A85FE9" w:rsidRPr="00023B68" w:rsidRDefault="00A85FE9" w:rsidP="00A85FE9">
            <w:pPr>
              <w:pStyle w:val="Default"/>
              <w:numPr>
                <w:ilvl w:val="0"/>
                <w:numId w:val="49"/>
              </w:numPr>
              <w:rPr>
                <w:sz w:val="20"/>
                <w:szCs w:val="20"/>
              </w:rPr>
            </w:pPr>
            <w:r w:rsidRPr="00023B68">
              <w:rPr>
                <w:sz w:val="20"/>
                <w:szCs w:val="20"/>
              </w:rPr>
              <w:t>Uznać suwerenne modele operacyjne, dedykowane europejskie regiony chmurowe (infrastrukturę), rozwiązania odłączone od sieci (</w:t>
            </w:r>
            <w:proofErr w:type="spellStart"/>
            <w:r w:rsidRPr="00023B68">
              <w:rPr>
                <w:sz w:val="20"/>
                <w:szCs w:val="20"/>
              </w:rPr>
              <w:t>disconnected</w:t>
            </w:r>
            <w:proofErr w:type="spellEnd"/>
            <w:r w:rsidRPr="00023B68">
              <w:rPr>
                <w:sz w:val="20"/>
                <w:szCs w:val="20"/>
              </w:rPr>
              <w:t xml:space="preserve"> </w:t>
            </w:r>
            <w:proofErr w:type="spellStart"/>
            <w:r w:rsidRPr="00023B68">
              <w:rPr>
                <w:sz w:val="20"/>
                <w:szCs w:val="20"/>
              </w:rPr>
              <w:t>solutions</w:t>
            </w:r>
            <w:proofErr w:type="spellEnd"/>
            <w:r w:rsidRPr="00023B68">
              <w:rPr>
                <w:sz w:val="20"/>
                <w:szCs w:val="20"/>
              </w:rPr>
              <w:t xml:space="preserve">) i lokalne joint </w:t>
            </w:r>
            <w:proofErr w:type="spellStart"/>
            <w:r w:rsidRPr="00023B68">
              <w:rPr>
                <w:sz w:val="20"/>
                <w:szCs w:val="20"/>
              </w:rPr>
              <w:t>ventures</w:t>
            </w:r>
            <w:proofErr w:type="spellEnd"/>
            <w:r w:rsidRPr="00023B68">
              <w:rPr>
                <w:sz w:val="20"/>
                <w:szCs w:val="20"/>
              </w:rPr>
              <w:t xml:space="preserve"> jako uprawnione ścieżki do wysokich poziomów zapewnienia. </w:t>
            </w:r>
          </w:p>
          <w:p w14:paraId="75F78A56" w14:textId="77777777" w:rsidR="00A85FE9" w:rsidRPr="00023B68" w:rsidRDefault="00A85FE9" w:rsidP="00A85FE9">
            <w:pPr>
              <w:pStyle w:val="Default"/>
              <w:numPr>
                <w:ilvl w:val="0"/>
                <w:numId w:val="49"/>
              </w:numPr>
              <w:rPr>
                <w:sz w:val="20"/>
                <w:szCs w:val="20"/>
              </w:rPr>
            </w:pPr>
            <w:r w:rsidRPr="00023B68">
              <w:rPr>
                <w:sz w:val="20"/>
                <w:szCs w:val="20"/>
              </w:rPr>
              <w:t xml:space="preserve">Dostosować do istniejących standardów krajowych (np. </w:t>
            </w:r>
            <w:proofErr w:type="spellStart"/>
            <w:r w:rsidRPr="00023B68">
              <w:rPr>
                <w:sz w:val="20"/>
                <w:szCs w:val="20"/>
              </w:rPr>
              <w:t>Esquema</w:t>
            </w:r>
            <w:proofErr w:type="spellEnd"/>
            <w:r w:rsidRPr="00023B68">
              <w:rPr>
                <w:sz w:val="20"/>
                <w:szCs w:val="20"/>
              </w:rPr>
              <w:t xml:space="preserve"> </w:t>
            </w:r>
            <w:proofErr w:type="spellStart"/>
            <w:r w:rsidRPr="00023B68">
              <w:rPr>
                <w:sz w:val="20"/>
                <w:szCs w:val="20"/>
              </w:rPr>
              <w:t>Nacional</w:t>
            </w:r>
            <w:proofErr w:type="spellEnd"/>
            <w:r w:rsidRPr="00023B68">
              <w:rPr>
                <w:sz w:val="20"/>
                <w:szCs w:val="20"/>
              </w:rPr>
              <w:t xml:space="preserve"> de </w:t>
            </w:r>
            <w:proofErr w:type="spellStart"/>
            <w:r w:rsidRPr="00023B68">
              <w:rPr>
                <w:sz w:val="20"/>
                <w:szCs w:val="20"/>
              </w:rPr>
              <w:t>Seguridad</w:t>
            </w:r>
            <w:proofErr w:type="spellEnd"/>
            <w:r w:rsidRPr="00023B68">
              <w:rPr>
                <w:sz w:val="20"/>
                <w:szCs w:val="20"/>
              </w:rPr>
              <w:t xml:space="preserve"> – ENS w Hiszpanii) zamiast je przekraczać. </w:t>
            </w:r>
          </w:p>
          <w:p w14:paraId="3483012D" w14:textId="77777777" w:rsidR="00A85FE9" w:rsidRPr="00023B68" w:rsidRDefault="00A85FE9" w:rsidP="00A85FE9">
            <w:pPr>
              <w:pStyle w:val="Default"/>
              <w:numPr>
                <w:ilvl w:val="0"/>
                <w:numId w:val="49"/>
              </w:numPr>
              <w:rPr>
                <w:sz w:val="20"/>
                <w:szCs w:val="20"/>
              </w:rPr>
            </w:pPr>
            <w:r w:rsidRPr="00023B68">
              <w:rPr>
                <w:sz w:val="20"/>
                <w:szCs w:val="20"/>
              </w:rPr>
              <w:t xml:space="preserve">Wymogi UAL 2–4 nie mogą być nakładane identycznie na podwykonawców niższego szczebla, biorąc pod uwagę złożoność europejskich łańcuchów dostaw technologicznych. </w:t>
            </w:r>
          </w:p>
          <w:p w14:paraId="78343C87" w14:textId="77777777" w:rsidR="00A85FE9" w:rsidRPr="00023B68" w:rsidRDefault="00A85FE9" w:rsidP="00A85FE9">
            <w:pPr>
              <w:pStyle w:val="Default"/>
              <w:rPr>
                <w:sz w:val="20"/>
                <w:szCs w:val="20"/>
              </w:rPr>
            </w:pPr>
          </w:p>
        </w:tc>
      </w:tr>
      <w:tr w:rsidR="00A85FE9" w:rsidRPr="00023B68" w14:paraId="5F09CFFC" w14:textId="77777777" w:rsidTr="00040008">
        <w:tc>
          <w:tcPr>
            <w:tcW w:w="0" w:type="auto"/>
          </w:tcPr>
          <w:p w14:paraId="1F12E615" w14:textId="43E1C659" w:rsidR="00A85FE9" w:rsidRPr="00023B68" w:rsidRDefault="00A85FE9" w:rsidP="00A85FE9">
            <w:pPr>
              <w:pStyle w:val="Default"/>
              <w:rPr>
                <w:sz w:val="20"/>
                <w:szCs w:val="20"/>
              </w:rPr>
            </w:pPr>
            <w:r w:rsidRPr="00023B68">
              <w:rPr>
                <w:sz w:val="20"/>
                <w:szCs w:val="20"/>
              </w:rPr>
              <w:t xml:space="preserve">Artykuł 19 </w:t>
            </w:r>
          </w:p>
          <w:p w14:paraId="05D26FBD" w14:textId="1688F45A" w:rsidR="00A85FE9" w:rsidRPr="00023B68" w:rsidRDefault="00A85FE9" w:rsidP="00A85FE9">
            <w:pPr>
              <w:pStyle w:val="Default"/>
              <w:rPr>
                <w:sz w:val="20"/>
                <w:szCs w:val="20"/>
              </w:rPr>
            </w:pPr>
            <w:proofErr w:type="spellStart"/>
            <w:r w:rsidRPr="00023B68">
              <w:rPr>
                <w:i/>
                <w:iCs/>
                <w:sz w:val="20"/>
                <w:szCs w:val="20"/>
              </w:rPr>
              <w:t>Conformity</w:t>
            </w:r>
            <w:proofErr w:type="spellEnd"/>
            <w:r w:rsidRPr="00023B68">
              <w:rPr>
                <w:i/>
                <w:iCs/>
                <w:sz w:val="20"/>
                <w:szCs w:val="20"/>
              </w:rPr>
              <w:t xml:space="preserve"> </w:t>
            </w:r>
            <w:proofErr w:type="spellStart"/>
            <w:r w:rsidRPr="00023B68">
              <w:rPr>
                <w:i/>
                <w:iCs/>
                <w:sz w:val="20"/>
                <w:szCs w:val="20"/>
              </w:rPr>
              <w:t>self-assessment</w:t>
            </w:r>
            <w:proofErr w:type="spellEnd"/>
            <w:r w:rsidRPr="00023B68">
              <w:rPr>
                <w:i/>
                <w:iCs/>
                <w:sz w:val="20"/>
                <w:szCs w:val="20"/>
              </w:rPr>
              <w:t xml:space="preserve"> </w:t>
            </w:r>
            <w:r w:rsidRPr="00023B68">
              <w:rPr>
                <w:sz w:val="20"/>
                <w:szCs w:val="20"/>
              </w:rPr>
              <w:t>(+</w:t>
            </w:r>
            <w:proofErr w:type="spellStart"/>
            <w:r w:rsidRPr="00023B68">
              <w:rPr>
                <w:sz w:val="20"/>
                <w:szCs w:val="20"/>
              </w:rPr>
              <w:t>Annex</w:t>
            </w:r>
            <w:proofErr w:type="spellEnd"/>
            <w:r w:rsidRPr="00023B68">
              <w:rPr>
                <w:sz w:val="20"/>
                <w:szCs w:val="20"/>
              </w:rPr>
              <w:t xml:space="preserve"> II)</w:t>
            </w:r>
          </w:p>
        </w:tc>
        <w:tc>
          <w:tcPr>
            <w:tcW w:w="0" w:type="auto"/>
          </w:tcPr>
          <w:p w14:paraId="751556A9" w14:textId="77777777" w:rsidR="00A85FE9" w:rsidRPr="00023B68" w:rsidRDefault="00A85FE9" w:rsidP="00A85FE9">
            <w:pPr>
              <w:pStyle w:val="Default"/>
              <w:rPr>
                <w:sz w:val="20"/>
                <w:szCs w:val="20"/>
              </w:rPr>
            </w:pPr>
            <w:r w:rsidRPr="00023B68">
              <w:rPr>
                <w:sz w:val="20"/>
                <w:szCs w:val="20"/>
              </w:rPr>
              <w:t>SIAPL KIGEIT</w:t>
            </w:r>
          </w:p>
        </w:tc>
        <w:tc>
          <w:tcPr>
            <w:tcW w:w="0" w:type="auto"/>
          </w:tcPr>
          <w:p w14:paraId="4EAA89A7" w14:textId="77777777" w:rsidR="00A85FE9" w:rsidRPr="00023B68" w:rsidRDefault="00A85FE9" w:rsidP="00A85FE9">
            <w:pPr>
              <w:pStyle w:val="Default"/>
              <w:rPr>
                <w:sz w:val="20"/>
                <w:szCs w:val="20"/>
              </w:rPr>
            </w:pPr>
            <w:r w:rsidRPr="00023B68">
              <w:rPr>
                <w:sz w:val="20"/>
                <w:szCs w:val="20"/>
              </w:rPr>
              <w:t xml:space="preserve">Nieefektywny mechanizm </w:t>
            </w:r>
            <w:proofErr w:type="spellStart"/>
            <w:r w:rsidRPr="00023B68">
              <w:rPr>
                <w:sz w:val="20"/>
                <w:szCs w:val="20"/>
              </w:rPr>
              <w:t>samocertyfikacji</w:t>
            </w:r>
            <w:proofErr w:type="spellEnd"/>
            <w:r w:rsidRPr="00023B68">
              <w:rPr>
                <w:sz w:val="20"/>
                <w:szCs w:val="20"/>
              </w:rPr>
              <w:t xml:space="preserve"> poziomu 1</w:t>
            </w:r>
          </w:p>
          <w:p w14:paraId="7F6FBA09" w14:textId="77777777" w:rsidR="00A85FE9" w:rsidRPr="00023B68" w:rsidRDefault="00A85FE9" w:rsidP="00A85FE9">
            <w:pPr>
              <w:pStyle w:val="Default"/>
              <w:rPr>
                <w:sz w:val="20"/>
                <w:szCs w:val="20"/>
              </w:rPr>
            </w:pPr>
            <w:r w:rsidRPr="00023B68">
              <w:rPr>
                <w:sz w:val="20"/>
                <w:szCs w:val="20"/>
              </w:rPr>
              <w:t xml:space="preserve">Poziom 1 (Union </w:t>
            </w:r>
            <w:proofErr w:type="spellStart"/>
            <w:r w:rsidRPr="00023B68">
              <w:rPr>
                <w:sz w:val="20"/>
                <w:szCs w:val="20"/>
              </w:rPr>
              <w:t>assurance</w:t>
            </w:r>
            <w:proofErr w:type="spellEnd"/>
            <w:r w:rsidRPr="00023B68">
              <w:rPr>
                <w:sz w:val="20"/>
                <w:szCs w:val="20"/>
              </w:rPr>
              <w:t xml:space="preserve"> </w:t>
            </w:r>
            <w:proofErr w:type="spellStart"/>
            <w:r w:rsidRPr="00023B68">
              <w:rPr>
                <w:sz w:val="20"/>
                <w:szCs w:val="20"/>
              </w:rPr>
              <w:t>level</w:t>
            </w:r>
            <w:proofErr w:type="spellEnd"/>
            <w:r w:rsidRPr="00023B68">
              <w:rPr>
                <w:sz w:val="20"/>
                <w:szCs w:val="20"/>
              </w:rPr>
              <w:t xml:space="preserve"> 1) opiera się wyłącznie na </w:t>
            </w:r>
            <w:proofErr w:type="spellStart"/>
            <w:r w:rsidRPr="00023B68">
              <w:rPr>
                <w:sz w:val="20"/>
                <w:szCs w:val="20"/>
              </w:rPr>
              <w:t>samocertyfikacji</w:t>
            </w:r>
            <w:proofErr w:type="spellEnd"/>
            <w:r w:rsidRPr="00023B68">
              <w:rPr>
                <w:sz w:val="20"/>
                <w:szCs w:val="20"/>
              </w:rPr>
              <w:t xml:space="preserve"> dostawcy. Przy braku obowiązku zewnętrznego audytu stanowi de facto pusty certyfikat, który może być nadużywany przez podmioty niespełniające materialnych kryteriów suwerenności. Jednocześnie to właśnie poziom 1 będzie najczęściej stosowany w zamówieniach publicznych sektora o niskim ryzyku.</w:t>
            </w:r>
          </w:p>
          <w:p w14:paraId="7C40DA76" w14:textId="77777777" w:rsidR="00A85FE9" w:rsidRPr="00023B68" w:rsidRDefault="00A85FE9" w:rsidP="00A85FE9">
            <w:pPr>
              <w:pStyle w:val="Default"/>
              <w:rPr>
                <w:sz w:val="20"/>
                <w:szCs w:val="20"/>
              </w:rPr>
            </w:pPr>
          </w:p>
        </w:tc>
      </w:tr>
      <w:tr w:rsidR="00A85FE9" w:rsidRPr="00023B68" w14:paraId="79CF6942" w14:textId="77777777" w:rsidTr="00040008">
        <w:tc>
          <w:tcPr>
            <w:tcW w:w="0" w:type="auto"/>
          </w:tcPr>
          <w:p w14:paraId="16EFF728" w14:textId="0764FB8D" w:rsidR="00A85FE9" w:rsidRPr="00023B68" w:rsidRDefault="00A85FE9" w:rsidP="00A85FE9">
            <w:pPr>
              <w:pStyle w:val="Default"/>
              <w:rPr>
                <w:sz w:val="20"/>
                <w:szCs w:val="20"/>
              </w:rPr>
            </w:pPr>
            <w:r w:rsidRPr="00023B68">
              <w:rPr>
                <w:sz w:val="20"/>
                <w:szCs w:val="20"/>
              </w:rPr>
              <w:t>Artykuł 20</w:t>
            </w:r>
          </w:p>
          <w:p w14:paraId="6A6EB78B" w14:textId="0EE97481" w:rsidR="00A85FE9" w:rsidRPr="00023B68" w:rsidRDefault="00A85FE9" w:rsidP="00A85FE9">
            <w:pPr>
              <w:pStyle w:val="Default"/>
              <w:rPr>
                <w:i/>
                <w:iCs/>
                <w:sz w:val="20"/>
                <w:szCs w:val="20"/>
              </w:rPr>
            </w:pPr>
            <w:r w:rsidRPr="00023B68">
              <w:rPr>
                <w:i/>
                <w:iCs/>
                <w:sz w:val="20"/>
                <w:szCs w:val="20"/>
              </w:rPr>
              <w:t xml:space="preserve">Independent </w:t>
            </w:r>
            <w:proofErr w:type="spellStart"/>
            <w:r w:rsidRPr="00023B68">
              <w:rPr>
                <w:i/>
                <w:iCs/>
                <w:sz w:val="20"/>
                <w:szCs w:val="20"/>
              </w:rPr>
              <w:t>audit</w:t>
            </w:r>
            <w:proofErr w:type="spellEnd"/>
          </w:p>
        </w:tc>
        <w:tc>
          <w:tcPr>
            <w:tcW w:w="0" w:type="auto"/>
          </w:tcPr>
          <w:p w14:paraId="348431A7" w14:textId="6B14280D"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250600CA" w14:textId="77777777" w:rsidR="00A85FE9" w:rsidRPr="00023B68" w:rsidRDefault="00A85FE9" w:rsidP="00A85FE9">
            <w:pPr>
              <w:pStyle w:val="Default"/>
              <w:rPr>
                <w:sz w:val="20"/>
                <w:szCs w:val="20"/>
              </w:rPr>
            </w:pPr>
            <w:r w:rsidRPr="00023B68">
              <w:rPr>
                <w:sz w:val="20"/>
                <w:szCs w:val="20"/>
              </w:rPr>
              <w:t>Projekt przewiduje samoocenę dla poziomu 1 oraz niezależne audyty dla poziomów 2–4. Artykuł 20 zawiera wymagania dotyczące niezależności, konfliktów interesów, kompetencji technicznych i etyki audytorów, ale szczegółowe zasady działania organizacji audytujących mają zostać określone później w aktach delegowanych. </w:t>
            </w:r>
          </w:p>
          <w:p w14:paraId="725909F1" w14:textId="77777777" w:rsidR="00A85FE9" w:rsidRPr="00023B68" w:rsidRDefault="00A85FE9" w:rsidP="00A85FE9">
            <w:pPr>
              <w:pStyle w:val="Default"/>
              <w:rPr>
                <w:sz w:val="20"/>
                <w:szCs w:val="20"/>
              </w:rPr>
            </w:pPr>
            <w:r w:rsidRPr="00023B68">
              <w:rPr>
                <w:sz w:val="20"/>
                <w:szCs w:val="20"/>
              </w:rPr>
              <w:t>Fundacja rekomenduje wpisanie bezpośrednio do rozporządzenia:</w:t>
            </w:r>
          </w:p>
          <w:p w14:paraId="5CDF441B" w14:textId="77777777" w:rsidR="00A85FE9" w:rsidRPr="00023B68" w:rsidRDefault="00A85FE9" w:rsidP="00A85FE9">
            <w:pPr>
              <w:pStyle w:val="Default"/>
              <w:numPr>
                <w:ilvl w:val="0"/>
                <w:numId w:val="18"/>
              </w:numPr>
              <w:rPr>
                <w:sz w:val="20"/>
                <w:szCs w:val="20"/>
              </w:rPr>
            </w:pPr>
            <w:r w:rsidRPr="00023B68">
              <w:rPr>
                <w:sz w:val="20"/>
                <w:szCs w:val="20"/>
              </w:rPr>
              <w:t>obowiązku akredytacji organizacji audytujących;</w:t>
            </w:r>
          </w:p>
          <w:p w14:paraId="7C44ACD3" w14:textId="77777777" w:rsidR="00A85FE9" w:rsidRPr="00023B68" w:rsidRDefault="00A85FE9" w:rsidP="00A85FE9">
            <w:pPr>
              <w:pStyle w:val="Default"/>
              <w:numPr>
                <w:ilvl w:val="0"/>
                <w:numId w:val="18"/>
              </w:numPr>
              <w:rPr>
                <w:sz w:val="20"/>
                <w:szCs w:val="20"/>
              </w:rPr>
            </w:pPr>
            <w:r w:rsidRPr="00023B68">
              <w:rPr>
                <w:sz w:val="20"/>
                <w:szCs w:val="20"/>
              </w:rPr>
              <w:t>minimalnych kwalifikacji zespołu audytowego;</w:t>
            </w:r>
          </w:p>
          <w:p w14:paraId="71A725DE" w14:textId="77777777" w:rsidR="00A85FE9" w:rsidRPr="00023B68" w:rsidRDefault="00A85FE9" w:rsidP="00A85FE9">
            <w:pPr>
              <w:pStyle w:val="Default"/>
              <w:numPr>
                <w:ilvl w:val="0"/>
                <w:numId w:val="18"/>
              </w:numPr>
              <w:rPr>
                <w:sz w:val="20"/>
                <w:szCs w:val="20"/>
              </w:rPr>
            </w:pPr>
            <w:r w:rsidRPr="00023B68">
              <w:rPr>
                <w:sz w:val="20"/>
                <w:szCs w:val="20"/>
              </w:rPr>
              <w:t xml:space="preserve">wymagań dotyczących doświadczenia w chmurze, </w:t>
            </w:r>
            <w:proofErr w:type="spellStart"/>
            <w:r w:rsidRPr="00023B68">
              <w:rPr>
                <w:sz w:val="20"/>
                <w:szCs w:val="20"/>
              </w:rPr>
              <w:t>cyberbezpieczeństwie</w:t>
            </w:r>
            <w:proofErr w:type="spellEnd"/>
            <w:r w:rsidRPr="00023B68">
              <w:rPr>
                <w:sz w:val="20"/>
                <w:szCs w:val="20"/>
              </w:rPr>
              <w:t>, prawie i łańcuchach dostaw;</w:t>
            </w:r>
          </w:p>
          <w:p w14:paraId="3464A25F" w14:textId="77777777" w:rsidR="00A85FE9" w:rsidRPr="00023B68" w:rsidRDefault="00A85FE9" w:rsidP="00A85FE9">
            <w:pPr>
              <w:pStyle w:val="Default"/>
              <w:numPr>
                <w:ilvl w:val="0"/>
                <w:numId w:val="18"/>
              </w:numPr>
              <w:rPr>
                <w:sz w:val="20"/>
                <w:szCs w:val="20"/>
              </w:rPr>
            </w:pPr>
            <w:r w:rsidRPr="00023B68">
              <w:rPr>
                <w:sz w:val="20"/>
                <w:szCs w:val="20"/>
              </w:rPr>
              <w:t>zasad odpowiedzialności audytora;</w:t>
            </w:r>
          </w:p>
          <w:p w14:paraId="13B5DF92" w14:textId="77777777" w:rsidR="00A85FE9" w:rsidRPr="00023B68" w:rsidRDefault="00A85FE9" w:rsidP="00A85FE9">
            <w:pPr>
              <w:pStyle w:val="Default"/>
              <w:numPr>
                <w:ilvl w:val="0"/>
                <w:numId w:val="18"/>
              </w:numPr>
              <w:rPr>
                <w:sz w:val="20"/>
                <w:szCs w:val="20"/>
              </w:rPr>
            </w:pPr>
            <w:r w:rsidRPr="00023B68">
              <w:rPr>
                <w:sz w:val="20"/>
                <w:szCs w:val="20"/>
              </w:rPr>
              <w:t>mechanizmu kontroli jakości;</w:t>
            </w:r>
          </w:p>
          <w:p w14:paraId="434E9B56" w14:textId="77777777" w:rsidR="00A85FE9" w:rsidRPr="00023B68" w:rsidRDefault="00A85FE9" w:rsidP="00A85FE9">
            <w:pPr>
              <w:pStyle w:val="Default"/>
              <w:numPr>
                <w:ilvl w:val="0"/>
                <w:numId w:val="18"/>
              </w:numPr>
              <w:rPr>
                <w:sz w:val="20"/>
                <w:szCs w:val="20"/>
              </w:rPr>
            </w:pPr>
            <w:r w:rsidRPr="00023B68">
              <w:rPr>
                <w:sz w:val="20"/>
                <w:szCs w:val="20"/>
              </w:rPr>
              <w:t>europejskiego rejestru akredytowanych audytorów;</w:t>
            </w:r>
          </w:p>
          <w:p w14:paraId="39AA0E08" w14:textId="77777777" w:rsidR="00A85FE9" w:rsidRPr="00023B68" w:rsidRDefault="00A85FE9" w:rsidP="00A85FE9">
            <w:pPr>
              <w:pStyle w:val="Default"/>
              <w:numPr>
                <w:ilvl w:val="0"/>
                <w:numId w:val="18"/>
              </w:numPr>
              <w:rPr>
                <w:sz w:val="20"/>
                <w:szCs w:val="20"/>
              </w:rPr>
            </w:pPr>
            <w:r w:rsidRPr="00023B68">
              <w:rPr>
                <w:sz w:val="20"/>
                <w:szCs w:val="20"/>
              </w:rPr>
              <w:t>systemu skarg i zgłaszania nieprawidłowości;</w:t>
            </w:r>
          </w:p>
          <w:p w14:paraId="4BE90FF0" w14:textId="77777777" w:rsidR="00A85FE9" w:rsidRPr="00023B68" w:rsidRDefault="00A85FE9" w:rsidP="00A85FE9">
            <w:pPr>
              <w:pStyle w:val="Default"/>
              <w:numPr>
                <w:ilvl w:val="0"/>
                <w:numId w:val="18"/>
              </w:numPr>
              <w:rPr>
                <w:sz w:val="20"/>
                <w:szCs w:val="20"/>
              </w:rPr>
            </w:pPr>
            <w:r w:rsidRPr="00023B68">
              <w:rPr>
                <w:sz w:val="20"/>
                <w:szCs w:val="20"/>
              </w:rPr>
              <w:t>zasad nadzoru transgranicznego;</w:t>
            </w:r>
          </w:p>
          <w:p w14:paraId="47154B85" w14:textId="77777777" w:rsidR="00A85FE9" w:rsidRPr="00023B68" w:rsidRDefault="00A85FE9" w:rsidP="00A85FE9">
            <w:pPr>
              <w:pStyle w:val="Default"/>
              <w:numPr>
                <w:ilvl w:val="0"/>
                <w:numId w:val="18"/>
              </w:numPr>
              <w:rPr>
                <w:sz w:val="20"/>
                <w:szCs w:val="20"/>
              </w:rPr>
            </w:pPr>
            <w:r w:rsidRPr="00023B68">
              <w:rPr>
                <w:sz w:val="20"/>
                <w:szCs w:val="20"/>
              </w:rPr>
              <w:lastRenderedPageBreak/>
              <w:t>obowiązku ujawniania konfliktów interesów;</w:t>
            </w:r>
          </w:p>
          <w:p w14:paraId="16FF0549" w14:textId="77777777" w:rsidR="00A85FE9" w:rsidRPr="00023B68" w:rsidRDefault="00A85FE9" w:rsidP="00A85FE9">
            <w:pPr>
              <w:pStyle w:val="Default"/>
              <w:numPr>
                <w:ilvl w:val="0"/>
                <w:numId w:val="18"/>
              </w:numPr>
              <w:rPr>
                <w:sz w:val="20"/>
                <w:szCs w:val="20"/>
              </w:rPr>
            </w:pPr>
            <w:r w:rsidRPr="00023B68">
              <w:rPr>
                <w:sz w:val="20"/>
                <w:szCs w:val="20"/>
              </w:rPr>
              <w:t>proporcjonalnych wymagań i opłat dla MŚP.</w:t>
            </w:r>
          </w:p>
          <w:p w14:paraId="507A7E70" w14:textId="77777777" w:rsidR="00A85FE9" w:rsidRPr="00023B68" w:rsidRDefault="00A85FE9" w:rsidP="00A85FE9">
            <w:pPr>
              <w:pStyle w:val="Default"/>
              <w:rPr>
                <w:sz w:val="20"/>
                <w:szCs w:val="20"/>
              </w:rPr>
            </w:pPr>
            <w:r w:rsidRPr="00023B68">
              <w:rPr>
                <w:sz w:val="20"/>
                <w:szCs w:val="20"/>
              </w:rPr>
              <w:t>Samoocena na poziomie 1 może pozostać rozwiązaniem proporcjonalnym, ale powinna podlegać:</w:t>
            </w:r>
          </w:p>
          <w:p w14:paraId="06515C04" w14:textId="77777777" w:rsidR="00A85FE9" w:rsidRPr="00023B68" w:rsidRDefault="00A85FE9" w:rsidP="00A85FE9">
            <w:pPr>
              <w:pStyle w:val="Default"/>
              <w:numPr>
                <w:ilvl w:val="0"/>
                <w:numId w:val="19"/>
              </w:numPr>
              <w:rPr>
                <w:sz w:val="20"/>
                <w:szCs w:val="20"/>
              </w:rPr>
            </w:pPr>
            <w:r w:rsidRPr="00023B68">
              <w:rPr>
                <w:sz w:val="20"/>
                <w:szCs w:val="20"/>
              </w:rPr>
              <w:t>losowym i ukierunkowanym kontrolom;</w:t>
            </w:r>
          </w:p>
          <w:p w14:paraId="7A43CA4F" w14:textId="77777777" w:rsidR="00A85FE9" w:rsidRPr="00023B68" w:rsidRDefault="00A85FE9" w:rsidP="00A85FE9">
            <w:pPr>
              <w:pStyle w:val="Default"/>
              <w:numPr>
                <w:ilvl w:val="0"/>
                <w:numId w:val="19"/>
              </w:numPr>
              <w:rPr>
                <w:sz w:val="20"/>
                <w:szCs w:val="20"/>
              </w:rPr>
            </w:pPr>
            <w:r w:rsidRPr="00023B68">
              <w:rPr>
                <w:sz w:val="20"/>
                <w:szCs w:val="20"/>
              </w:rPr>
              <w:t>weryfikacji w przypadku skarg lub incydentów;</w:t>
            </w:r>
          </w:p>
          <w:p w14:paraId="15B53622" w14:textId="77777777" w:rsidR="00A85FE9" w:rsidRPr="00023B68" w:rsidRDefault="00A85FE9" w:rsidP="00A85FE9">
            <w:pPr>
              <w:pStyle w:val="Default"/>
              <w:numPr>
                <w:ilvl w:val="0"/>
                <w:numId w:val="19"/>
              </w:numPr>
              <w:rPr>
                <w:sz w:val="20"/>
                <w:szCs w:val="20"/>
              </w:rPr>
            </w:pPr>
            <w:r w:rsidRPr="00023B68">
              <w:rPr>
                <w:sz w:val="20"/>
                <w:szCs w:val="20"/>
              </w:rPr>
              <w:t>określonemu terminowi ważności;</w:t>
            </w:r>
          </w:p>
          <w:p w14:paraId="63EA6C86" w14:textId="77777777" w:rsidR="00A85FE9" w:rsidRPr="00023B68" w:rsidRDefault="00A85FE9" w:rsidP="00A85FE9">
            <w:pPr>
              <w:pStyle w:val="Default"/>
              <w:numPr>
                <w:ilvl w:val="0"/>
                <w:numId w:val="19"/>
              </w:numPr>
              <w:rPr>
                <w:sz w:val="20"/>
                <w:szCs w:val="20"/>
              </w:rPr>
            </w:pPr>
            <w:r w:rsidRPr="00023B68">
              <w:rPr>
                <w:sz w:val="20"/>
                <w:szCs w:val="20"/>
              </w:rPr>
              <w:t>sankcjom za niepełne lub wprowadzające w błąd deklaracje.</w:t>
            </w:r>
          </w:p>
          <w:p w14:paraId="33523708" w14:textId="77777777" w:rsidR="00A85FE9" w:rsidRPr="00023B68" w:rsidRDefault="00A85FE9" w:rsidP="00A85FE9">
            <w:pPr>
              <w:pStyle w:val="Default"/>
              <w:rPr>
                <w:sz w:val="20"/>
                <w:szCs w:val="20"/>
              </w:rPr>
            </w:pPr>
            <w:r w:rsidRPr="00023B68">
              <w:rPr>
                <w:sz w:val="20"/>
                <w:szCs w:val="20"/>
              </w:rPr>
              <w:t>Załącznik III określa przedstawione dowody jako „</w:t>
            </w:r>
            <w:proofErr w:type="spellStart"/>
            <w:r w:rsidRPr="00023B68">
              <w:rPr>
                <w:sz w:val="20"/>
                <w:szCs w:val="20"/>
              </w:rPr>
              <w:t>indicative</w:t>
            </w:r>
            <w:proofErr w:type="spellEnd"/>
            <w:r w:rsidRPr="00023B68">
              <w:rPr>
                <w:sz w:val="20"/>
                <w:szCs w:val="20"/>
              </w:rPr>
              <w:t>” i wielokrotnie używa sformułowania „</w:t>
            </w:r>
            <w:proofErr w:type="spellStart"/>
            <w:r w:rsidRPr="00023B68">
              <w:rPr>
                <w:sz w:val="20"/>
                <w:szCs w:val="20"/>
              </w:rPr>
              <w:t>should</w:t>
            </w:r>
            <w:proofErr w:type="spellEnd"/>
            <w:r w:rsidRPr="00023B68">
              <w:rPr>
                <w:sz w:val="20"/>
                <w:szCs w:val="20"/>
              </w:rPr>
              <w:t>”. Minimalny katalog dowodów powinien mieć charakter obowiązkowy, z możliwością żądania dowodów dodatkowych przez audytora. </w:t>
            </w:r>
          </w:p>
          <w:p w14:paraId="74160C63" w14:textId="77777777" w:rsidR="00A85FE9" w:rsidRPr="00023B68" w:rsidRDefault="00A85FE9" w:rsidP="00A85FE9">
            <w:pPr>
              <w:pStyle w:val="Default"/>
              <w:rPr>
                <w:sz w:val="20"/>
                <w:szCs w:val="20"/>
              </w:rPr>
            </w:pPr>
            <w:r w:rsidRPr="00023B68">
              <w:rPr>
                <w:b/>
                <w:bCs/>
                <w:sz w:val="20"/>
                <w:szCs w:val="20"/>
              </w:rPr>
              <w:t>Niespójność w art. 20</w:t>
            </w:r>
          </w:p>
          <w:p w14:paraId="0CE6340B" w14:textId="77777777" w:rsidR="00A85FE9" w:rsidRPr="00023B68" w:rsidRDefault="00A85FE9" w:rsidP="00A85FE9">
            <w:pPr>
              <w:pStyle w:val="Default"/>
              <w:rPr>
                <w:sz w:val="20"/>
                <w:szCs w:val="20"/>
              </w:rPr>
            </w:pPr>
            <w:r w:rsidRPr="00023B68">
              <w:rPr>
                <w:sz w:val="20"/>
                <w:szCs w:val="20"/>
              </w:rPr>
              <w:t>Artykuł 20 ust. 4 zabrania organizacji audytującej przeprowadzania audytu, jeżeli świadczyła usługi audytowe dla danego dostawcy w ciągu poprzednich dziesięciu lat. Jednocześnie ust. 8 pozwala, aby corocznego przeglądu dokonywała ta sama albo inna organizacja audytująca. Przepisy te są wzajemnie niespójne. </w:t>
            </w:r>
          </w:p>
          <w:p w14:paraId="76674A0F" w14:textId="77777777" w:rsidR="00A85FE9" w:rsidRPr="00023B68" w:rsidRDefault="00A85FE9" w:rsidP="00A85FE9">
            <w:pPr>
              <w:pStyle w:val="Default"/>
              <w:rPr>
                <w:sz w:val="20"/>
                <w:szCs w:val="20"/>
              </w:rPr>
            </w:pPr>
            <w:r w:rsidRPr="00023B68">
              <w:rPr>
                <w:sz w:val="20"/>
                <w:szCs w:val="20"/>
              </w:rPr>
              <w:t>Fundacja proponuje zastąpienie dziesięcioletniego wyłączenia:</w:t>
            </w:r>
          </w:p>
          <w:p w14:paraId="739106E6" w14:textId="77777777" w:rsidR="00A85FE9" w:rsidRPr="00023B68" w:rsidRDefault="00A85FE9" w:rsidP="00A85FE9">
            <w:pPr>
              <w:pStyle w:val="Default"/>
              <w:numPr>
                <w:ilvl w:val="0"/>
                <w:numId w:val="20"/>
              </w:numPr>
              <w:rPr>
                <w:sz w:val="20"/>
                <w:szCs w:val="20"/>
              </w:rPr>
            </w:pPr>
            <w:r w:rsidRPr="00023B68">
              <w:rPr>
                <w:sz w:val="20"/>
                <w:szCs w:val="20"/>
              </w:rPr>
              <w:t>okresem maksymalnie pięciu kolejnych lat współpracy;</w:t>
            </w:r>
          </w:p>
          <w:p w14:paraId="1DC2A3A9" w14:textId="77777777" w:rsidR="00A85FE9" w:rsidRPr="00023B68" w:rsidRDefault="00A85FE9" w:rsidP="00A85FE9">
            <w:pPr>
              <w:pStyle w:val="Default"/>
              <w:numPr>
                <w:ilvl w:val="0"/>
                <w:numId w:val="20"/>
              </w:numPr>
              <w:rPr>
                <w:sz w:val="20"/>
                <w:szCs w:val="20"/>
              </w:rPr>
            </w:pPr>
            <w:r w:rsidRPr="00023B68">
              <w:rPr>
                <w:sz w:val="20"/>
                <w:szCs w:val="20"/>
              </w:rPr>
              <w:t>obowiązkową rotacją głównego audytora;</w:t>
            </w:r>
          </w:p>
          <w:p w14:paraId="4F0D58D8" w14:textId="77777777" w:rsidR="00A85FE9" w:rsidRPr="00023B68" w:rsidRDefault="00A85FE9" w:rsidP="00A85FE9">
            <w:pPr>
              <w:pStyle w:val="Default"/>
              <w:numPr>
                <w:ilvl w:val="0"/>
                <w:numId w:val="20"/>
              </w:numPr>
              <w:rPr>
                <w:sz w:val="20"/>
                <w:szCs w:val="20"/>
              </w:rPr>
            </w:pPr>
            <w:r w:rsidRPr="00023B68">
              <w:rPr>
                <w:sz w:val="20"/>
                <w:szCs w:val="20"/>
              </w:rPr>
              <w:t>okresem karencji po zakończeniu dłuższej współpracy.</w:t>
            </w:r>
          </w:p>
          <w:p w14:paraId="4E71AB8F" w14:textId="77777777" w:rsidR="00A85FE9" w:rsidRPr="00023B68" w:rsidRDefault="00A85FE9" w:rsidP="00A85FE9">
            <w:pPr>
              <w:pStyle w:val="Default"/>
              <w:rPr>
                <w:sz w:val="20"/>
                <w:szCs w:val="20"/>
              </w:rPr>
            </w:pPr>
          </w:p>
        </w:tc>
      </w:tr>
      <w:tr w:rsidR="00A85FE9" w:rsidRPr="00023B68" w14:paraId="6F5FA385" w14:textId="77777777" w:rsidTr="00040008">
        <w:tc>
          <w:tcPr>
            <w:tcW w:w="0" w:type="auto"/>
          </w:tcPr>
          <w:p w14:paraId="0FED1D47" w14:textId="6BE34E6B" w:rsidR="00A85FE9" w:rsidRPr="00023B68" w:rsidRDefault="00A85FE9" w:rsidP="00A85FE9">
            <w:pPr>
              <w:pStyle w:val="Default"/>
              <w:rPr>
                <w:sz w:val="20"/>
                <w:szCs w:val="20"/>
              </w:rPr>
            </w:pPr>
            <w:r w:rsidRPr="00023B68">
              <w:rPr>
                <w:sz w:val="20"/>
                <w:szCs w:val="20"/>
              </w:rPr>
              <w:lastRenderedPageBreak/>
              <w:t xml:space="preserve">Artykuł 29 </w:t>
            </w:r>
          </w:p>
          <w:p w14:paraId="6875B6AD" w14:textId="7F2A2C29" w:rsidR="00A85FE9" w:rsidRPr="00023B68" w:rsidRDefault="00A85FE9" w:rsidP="00A85FE9">
            <w:pPr>
              <w:pStyle w:val="Default"/>
              <w:rPr>
                <w:sz w:val="20"/>
                <w:szCs w:val="20"/>
              </w:rPr>
            </w:pPr>
            <w:proofErr w:type="spellStart"/>
            <w:r w:rsidRPr="00023B68">
              <w:rPr>
                <w:i/>
                <w:iCs/>
                <w:sz w:val="20"/>
                <w:szCs w:val="20"/>
              </w:rPr>
              <w:t>Risk</w:t>
            </w:r>
            <w:proofErr w:type="spellEnd"/>
            <w:r w:rsidRPr="00023B68">
              <w:rPr>
                <w:i/>
                <w:iCs/>
                <w:sz w:val="20"/>
                <w:szCs w:val="20"/>
              </w:rPr>
              <w:t xml:space="preserve"> </w:t>
            </w:r>
            <w:proofErr w:type="spellStart"/>
            <w:r w:rsidRPr="00023B68">
              <w:rPr>
                <w:i/>
                <w:iCs/>
                <w:sz w:val="20"/>
                <w:szCs w:val="20"/>
              </w:rPr>
              <w:t>assessments</w:t>
            </w:r>
            <w:proofErr w:type="spellEnd"/>
          </w:p>
          <w:p w14:paraId="71CF4A0F" w14:textId="77777777" w:rsidR="00A85FE9" w:rsidRPr="00023B68" w:rsidRDefault="00A85FE9" w:rsidP="00A85FE9">
            <w:pPr>
              <w:pStyle w:val="Default"/>
              <w:rPr>
                <w:sz w:val="20"/>
                <w:szCs w:val="20"/>
              </w:rPr>
            </w:pPr>
          </w:p>
          <w:p w14:paraId="4AA4C49C" w14:textId="09A317DD" w:rsidR="00A85FE9" w:rsidRPr="00023B68" w:rsidRDefault="00A85FE9" w:rsidP="00A85FE9">
            <w:pPr>
              <w:pStyle w:val="Default"/>
              <w:rPr>
                <w:sz w:val="20"/>
                <w:szCs w:val="20"/>
              </w:rPr>
            </w:pPr>
          </w:p>
        </w:tc>
        <w:tc>
          <w:tcPr>
            <w:tcW w:w="0" w:type="auto"/>
          </w:tcPr>
          <w:p w14:paraId="2E1765BF" w14:textId="26F67064" w:rsidR="00A85FE9" w:rsidRPr="00023B68" w:rsidRDefault="00A85FE9" w:rsidP="00A85FE9">
            <w:pPr>
              <w:pStyle w:val="Default"/>
              <w:rPr>
                <w:sz w:val="20"/>
                <w:szCs w:val="20"/>
              </w:rPr>
            </w:pPr>
            <w:r w:rsidRPr="00023B68">
              <w:rPr>
                <w:sz w:val="20"/>
                <w:szCs w:val="20"/>
              </w:rPr>
              <w:t>Lewiatan</w:t>
            </w:r>
          </w:p>
        </w:tc>
        <w:tc>
          <w:tcPr>
            <w:tcW w:w="0" w:type="auto"/>
          </w:tcPr>
          <w:p w14:paraId="142A6AE2" w14:textId="77777777" w:rsidR="00A85FE9" w:rsidRPr="00023B68" w:rsidRDefault="00A85FE9" w:rsidP="00A85FE9">
            <w:pPr>
              <w:pStyle w:val="Default"/>
              <w:rPr>
                <w:sz w:val="20"/>
                <w:szCs w:val="20"/>
              </w:rPr>
            </w:pPr>
            <w:r w:rsidRPr="00023B68">
              <w:rPr>
                <w:sz w:val="20"/>
                <w:szCs w:val="20"/>
              </w:rPr>
              <w:t xml:space="preserve">Certyfikacja suwerenności proponowana przez Komisję ingeruje w zdolność państw członkowskich do dokonywania zamówień zgodnie z ich interesami w zakresie bezpieczeństwa narodowego. Z niepokojem odnosimy się do uprawnienia Komisji do uchylania własnych decyzji państw członkowskich podejmowanych w ramach oceny ryzyka dla suwerenności (art. 29 ust. 5) w drodze aktów wykonawczych. Uważamy, że Komisja nie powinna uchylać decyzji państw członkowskich, i zalecamy staranne przeanalizowanie tej propozycji pod kątem ryzyka naruszenia art. 4 Traktatu o Unii Europejskiej. </w:t>
            </w:r>
          </w:p>
          <w:p w14:paraId="3A532CAE" w14:textId="77777777" w:rsidR="00A85FE9" w:rsidRPr="00023B68" w:rsidRDefault="00A85FE9" w:rsidP="00A85FE9">
            <w:pPr>
              <w:pStyle w:val="Default"/>
              <w:numPr>
                <w:ilvl w:val="0"/>
                <w:numId w:val="4"/>
              </w:numPr>
              <w:rPr>
                <w:sz w:val="20"/>
                <w:szCs w:val="20"/>
              </w:rPr>
            </w:pPr>
            <w:r w:rsidRPr="00023B68">
              <w:rPr>
                <w:b/>
                <w:bCs/>
                <w:sz w:val="20"/>
                <w:szCs w:val="20"/>
              </w:rPr>
              <w:t xml:space="preserve">Proponowane rozwiązanie: </w:t>
            </w:r>
            <w:r w:rsidRPr="00023B68">
              <w:rPr>
                <w:sz w:val="20"/>
                <w:szCs w:val="20"/>
              </w:rPr>
              <w:t xml:space="preserve">usunięcie przysługującego Komisji uprawnienia do uchylania decyzji (art. 29 ust. 5); rozwiązanie zastępcze - ścisłe jego ograniczenie oraz uzależnienie go od szeroko zakrojonych konsultacji i rzetelnej procedury. </w:t>
            </w:r>
          </w:p>
          <w:p w14:paraId="194E9069" w14:textId="77777777" w:rsidR="00A85FE9" w:rsidRPr="00023B68" w:rsidRDefault="00A85FE9" w:rsidP="00A85FE9">
            <w:pPr>
              <w:pStyle w:val="Default"/>
              <w:rPr>
                <w:sz w:val="20"/>
                <w:szCs w:val="20"/>
              </w:rPr>
            </w:pPr>
          </w:p>
          <w:p w14:paraId="0BA97983" w14:textId="77777777" w:rsidR="00A85FE9" w:rsidRPr="00023B68" w:rsidRDefault="00A85FE9" w:rsidP="00A85FE9">
            <w:pPr>
              <w:pStyle w:val="Default"/>
              <w:rPr>
                <w:sz w:val="20"/>
                <w:szCs w:val="20"/>
              </w:rPr>
            </w:pPr>
            <w:r w:rsidRPr="00023B68">
              <w:rPr>
                <w:sz w:val="20"/>
                <w:szCs w:val="20"/>
              </w:rPr>
              <w:t xml:space="preserve">Ograniczeniu kompetencji Komisji do uchylania indywidualnych decyzji państw członkowskich powinno towarzyszyć zapewnienie jednolitego stosowania ram CADA w całej UE. Metodologia oceny ryzyka dla suwerenności powinna być określona na poziomie unijnym, opierać się na jasnych progach i kryteriach oceny oraz być stosowana przez zamawiających na podstawie jednolitego, obowiązkowego wzoru. Zakres swobody krajowej powinien być wystarczająco ograniczony, aby zapobiec powstawaniu rozbieżnych wymogów i fragmentacji jednolitego rynku. </w:t>
            </w:r>
          </w:p>
          <w:p w14:paraId="7FA74E2F" w14:textId="77777777" w:rsidR="00A85FE9" w:rsidRPr="00023B68" w:rsidRDefault="00A85FE9" w:rsidP="00A85FE9">
            <w:pPr>
              <w:pStyle w:val="Default"/>
              <w:numPr>
                <w:ilvl w:val="0"/>
                <w:numId w:val="5"/>
              </w:numPr>
              <w:rPr>
                <w:sz w:val="20"/>
                <w:szCs w:val="20"/>
              </w:rPr>
            </w:pPr>
            <w:r w:rsidRPr="00023B68">
              <w:rPr>
                <w:b/>
                <w:bCs/>
                <w:sz w:val="20"/>
                <w:szCs w:val="20"/>
              </w:rPr>
              <w:t xml:space="preserve">Proponowane rozwiązanie: </w:t>
            </w:r>
            <w:r w:rsidRPr="00023B68">
              <w:rPr>
                <w:sz w:val="20"/>
                <w:szCs w:val="20"/>
              </w:rPr>
              <w:t xml:space="preserve">wprowadzenie jednolitej metodologii i obowiązkowego wzoru oceny ryzyka, a także utworzenie prowadzonego przez Komisję, publicznie dostępnego i regularnie aktualizowanego repozytorium usług spełniających poszczególne poziomy gwarancji. Kompetencje Komisji powinny służyć ujednolicaniu metodologii i monitorowaniu jej stosowania, a nie zastępowaniu ocen państw członkowskich w indywidualnych przypadkach. </w:t>
            </w:r>
          </w:p>
          <w:p w14:paraId="52A71864" w14:textId="77777777" w:rsidR="00A85FE9" w:rsidRPr="00023B68" w:rsidRDefault="00A85FE9" w:rsidP="00A85FE9">
            <w:pPr>
              <w:pStyle w:val="Default"/>
              <w:rPr>
                <w:sz w:val="20"/>
                <w:szCs w:val="20"/>
              </w:rPr>
            </w:pPr>
          </w:p>
        </w:tc>
      </w:tr>
      <w:tr w:rsidR="00A85FE9" w:rsidRPr="00023B68" w14:paraId="1DF6113D" w14:textId="77777777" w:rsidTr="00040008">
        <w:tc>
          <w:tcPr>
            <w:tcW w:w="0" w:type="auto"/>
          </w:tcPr>
          <w:p w14:paraId="0B779A14" w14:textId="01077213"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065EB5C1" w14:textId="419FEEB8" w:rsidR="00A85FE9" w:rsidRPr="00023B68" w:rsidRDefault="00A85FE9" w:rsidP="00A85FE9">
            <w:pPr>
              <w:pStyle w:val="Default"/>
              <w:rPr>
                <w:sz w:val="20"/>
                <w:szCs w:val="20"/>
              </w:rPr>
            </w:pPr>
            <w:r w:rsidRPr="00023B68">
              <w:rPr>
                <w:sz w:val="20"/>
                <w:szCs w:val="20"/>
              </w:rPr>
              <w:t>ZPP</w:t>
            </w:r>
          </w:p>
        </w:tc>
        <w:tc>
          <w:tcPr>
            <w:tcW w:w="0" w:type="auto"/>
          </w:tcPr>
          <w:p w14:paraId="79F3DBC0" w14:textId="77777777" w:rsidR="00A85FE9" w:rsidRPr="00023B68" w:rsidRDefault="00A85FE9" w:rsidP="00A85FE9">
            <w:pPr>
              <w:pStyle w:val="Default"/>
              <w:rPr>
                <w:sz w:val="20"/>
                <w:szCs w:val="20"/>
              </w:rPr>
            </w:pPr>
            <w:r w:rsidRPr="00023B68">
              <w:rPr>
                <w:sz w:val="20"/>
                <w:szCs w:val="20"/>
              </w:rPr>
              <w:t xml:space="preserve">ZPP popiera wspólną metodologię ocen ryzyka oraz koordynacyjną rolę Komisji. Rozwiązania te mogą wspierać spójność jednolitego rynku i ograniczać różnice pomiędzy podejściami krajowymi. </w:t>
            </w:r>
          </w:p>
          <w:p w14:paraId="1B424D2A" w14:textId="77777777" w:rsidR="00A85FE9" w:rsidRPr="00023B68" w:rsidRDefault="00A85FE9" w:rsidP="00A85FE9">
            <w:pPr>
              <w:pStyle w:val="Default"/>
              <w:rPr>
                <w:sz w:val="20"/>
                <w:szCs w:val="20"/>
              </w:rPr>
            </w:pPr>
            <w:r w:rsidRPr="00023B68">
              <w:rPr>
                <w:sz w:val="20"/>
                <w:szCs w:val="20"/>
              </w:rPr>
              <w:t xml:space="preserve">Jednocześnie art. 29 ust. 5 dotyczy obszarów ściśle związanych z odpowiedzialnością państw członkowskich za bezpieczeństwo narodowe, obronność i ochronę granic. Zasadne jest zatem doprecyzowanie zakresu tego uprawnienia oraz zapewnienie, aby jego stosowanie odbywało się po konsultacji z zainteresowanym państwem członkowskim i właściwymi organami krajowymi, z zachowaniem zasady proporcjonalności. </w:t>
            </w:r>
          </w:p>
          <w:p w14:paraId="7A6F6156" w14:textId="5996F3D6" w:rsidR="00A85FE9" w:rsidRPr="00023B68" w:rsidRDefault="00A85FE9" w:rsidP="00A85FE9">
            <w:pPr>
              <w:pStyle w:val="Default"/>
              <w:rPr>
                <w:sz w:val="20"/>
                <w:szCs w:val="20"/>
              </w:rPr>
            </w:pPr>
          </w:p>
        </w:tc>
      </w:tr>
      <w:tr w:rsidR="00A85FE9" w:rsidRPr="00023B68" w14:paraId="77B962EB" w14:textId="77777777" w:rsidTr="00040008">
        <w:tc>
          <w:tcPr>
            <w:tcW w:w="0" w:type="auto"/>
          </w:tcPr>
          <w:p w14:paraId="6A53B729" w14:textId="54729777"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28A69589" w14:textId="542D1880" w:rsidR="00A85FE9" w:rsidRPr="00023B68" w:rsidRDefault="00A85FE9" w:rsidP="00A85FE9">
            <w:pPr>
              <w:pStyle w:val="Default"/>
              <w:rPr>
                <w:sz w:val="20"/>
                <w:szCs w:val="20"/>
              </w:rPr>
            </w:pPr>
            <w:proofErr w:type="spellStart"/>
            <w:r w:rsidRPr="00023B68">
              <w:rPr>
                <w:sz w:val="20"/>
                <w:szCs w:val="20"/>
              </w:rPr>
              <w:t>PIIiT</w:t>
            </w:r>
            <w:proofErr w:type="spellEnd"/>
          </w:p>
        </w:tc>
        <w:tc>
          <w:tcPr>
            <w:tcW w:w="0" w:type="auto"/>
          </w:tcPr>
          <w:p w14:paraId="17757AD5" w14:textId="6E4123B2" w:rsidR="00A85FE9" w:rsidRPr="00023B68" w:rsidRDefault="00A85FE9" w:rsidP="00A85FE9">
            <w:pPr>
              <w:pStyle w:val="Default"/>
              <w:rPr>
                <w:sz w:val="20"/>
                <w:szCs w:val="20"/>
              </w:rPr>
            </w:pPr>
            <w:r w:rsidRPr="00023B68">
              <w:rPr>
                <w:b/>
                <w:bCs/>
                <w:sz w:val="20"/>
                <w:szCs w:val="20"/>
              </w:rPr>
              <w:t xml:space="preserve">Przepisy przejściowe dla umów wieloletnich </w:t>
            </w:r>
          </w:p>
          <w:p w14:paraId="10F60192" w14:textId="77777777" w:rsidR="00A85FE9" w:rsidRPr="00023B68" w:rsidRDefault="00A85FE9" w:rsidP="00A85FE9">
            <w:pPr>
              <w:pStyle w:val="Default"/>
              <w:rPr>
                <w:sz w:val="20"/>
                <w:szCs w:val="20"/>
              </w:rPr>
            </w:pPr>
            <w:r w:rsidRPr="00023B68">
              <w:rPr>
                <w:sz w:val="20"/>
                <w:szCs w:val="20"/>
              </w:rPr>
              <w:t xml:space="preserve">Projekt nie przewiduje szczególnej ochrony umów zawartych przed rozpoczęciem jego stosowania. Roczne odroczenie stosowania rozporządzenia oraz maksymalnie dwunastomiesięczny okres migracji, gdy wymaga jej ocena ryzyka, nie rozwiązują problemu umów wieloletnich ani kosztów zmiany architektury w trakcie ich wykonywania. Praktyka rynkowa jest przewidywalna: zamawiający przeniesie nowe wymogi na wykonawcę klauzulami umownymi, a wykonawca — na podwykonawców. Mały podwykonawca w trakcie obowiązywania umowy stanie przed wyborem między kosztowną przebudową środowiska technologicznego a rozwiązaniem umowy; żadna z tych dróg nie zwiększa suwerenności, obie zwiększają ryzyko prawne po stronie najsłabszych uczestników rynku. </w:t>
            </w:r>
          </w:p>
          <w:p w14:paraId="03B2FCC3" w14:textId="48A6ED65" w:rsidR="00A85FE9" w:rsidRPr="00023B68" w:rsidRDefault="00A85FE9" w:rsidP="00A85FE9">
            <w:pPr>
              <w:pStyle w:val="Default"/>
              <w:rPr>
                <w:sz w:val="20"/>
                <w:szCs w:val="20"/>
              </w:rPr>
            </w:pPr>
            <w:r w:rsidRPr="00023B68">
              <w:rPr>
                <w:sz w:val="20"/>
                <w:szCs w:val="20"/>
              </w:rPr>
              <w:t>PIIT postuluje, aby umowy zawarte przed rozpoczęciem stosowania rozporządzenia mogły być wykonywane do końca okresu ich obowiązywania, nie krócej jednak niż przez 36 miesięcy od rozpoczęcia stosowania.</w:t>
            </w:r>
          </w:p>
          <w:p w14:paraId="19C362FE" w14:textId="77777777" w:rsidR="00A85FE9" w:rsidRPr="00023B68" w:rsidRDefault="00A85FE9" w:rsidP="00A85FE9">
            <w:pPr>
              <w:pStyle w:val="Default"/>
              <w:rPr>
                <w:sz w:val="20"/>
                <w:szCs w:val="20"/>
              </w:rPr>
            </w:pPr>
          </w:p>
        </w:tc>
      </w:tr>
      <w:tr w:rsidR="00A85FE9" w:rsidRPr="00023B68" w14:paraId="5994B11D" w14:textId="77777777" w:rsidTr="00040008">
        <w:tc>
          <w:tcPr>
            <w:tcW w:w="0" w:type="auto"/>
          </w:tcPr>
          <w:p w14:paraId="2C8E95CF" w14:textId="1EBFF924"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7515EE0D" w14:textId="0F977F11" w:rsidR="00A85FE9" w:rsidRPr="00023B68" w:rsidRDefault="00A85FE9" w:rsidP="00A85FE9">
            <w:pPr>
              <w:pStyle w:val="Default"/>
              <w:rPr>
                <w:sz w:val="20"/>
                <w:szCs w:val="20"/>
              </w:rPr>
            </w:pPr>
            <w:r w:rsidRPr="00023B68">
              <w:rPr>
                <w:sz w:val="20"/>
                <w:szCs w:val="20"/>
              </w:rPr>
              <w:t>Zw. Cyfrowa Polska</w:t>
            </w:r>
          </w:p>
        </w:tc>
        <w:tc>
          <w:tcPr>
            <w:tcW w:w="0" w:type="auto"/>
          </w:tcPr>
          <w:p w14:paraId="60CAFC62" w14:textId="77777777" w:rsidR="00A85FE9" w:rsidRPr="00023B68" w:rsidRDefault="00A85FE9" w:rsidP="00A85FE9">
            <w:pPr>
              <w:pStyle w:val="Default"/>
              <w:rPr>
                <w:sz w:val="20"/>
                <w:szCs w:val="20"/>
              </w:rPr>
            </w:pPr>
            <w:r w:rsidRPr="00023B68">
              <w:rPr>
                <w:sz w:val="20"/>
                <w:szCs w:val="20"/>
              </w:rPr>
              <w:t xml:space="preserve">Certyfikacja suwerenności proponowana przez Komisję ingeruje w zdolność państw członkowskich do dokonywania zamówień zgodnie z ich interesami w zakresie bezpieczeństwa narodowego. </w:t>
            </w:r>
          </w:p>
          <w:p w14:paraId="66412ADE" w14:textId="77777777" w:rsidR="00A85FE9" w:rsidRPr="00023B68" w:rsidRDefault="00A85FE9" w:rsidP="00A85FE9">
            <w:pPr>
              <w:pStyle w:val="Default"/>
              <w:rPr>
                <w:sz w:val="20"/>
                <w:szCs w:val="20"/>
              </w:rPr>
            </w:pPr>
            <w:r w:rsidRPr="00023B68">
              <w:rPr>
                <w:sz w:val="20"/>
                <w:szCs w:val="20"/>
              </w:rPr>
              <w:t xml:space="preserve">Z niepokojem odnosimy się do uprawnienia Komisji do uchylania własnych decyzji państw członkowskich podejmowanych w ramach oceny ryzyka dla suwerenności (art. 29 ust. 5) w drodze aktów wykonawczych. Uważamy, że Komisja nie powinna uchylać decyzji państw członkowskich, i zalecamy staranne przeanalizowanie tej propozycji pod kątem ryzyka naruszenia art. 4 Traktatu o Unii Europejskiej. </w:t>
            </w:r>
          </w:p>
          <w:p w14:paraId="6D167CBC" w14:textId="77777777" w:rsidR="00A85FE9" w:rsidRPr="00023B68" w:rsidRDefault="00A85FE9" w:rsidP="00A85FE9">
            <w:pPr>
              <w:pStyle w:val="Default"/>
              <w:rPr>
                <w:sz w:val="20"/>
                <w:szCs w:val="20"/>
              </w:rPr>
            </w:pPr>
            <w:r w:rsidRPr="00023B68">
              <w:rPr>
                <w:sz w:val="20"/>
                <w:szCs w:val="20"/>
              </w:rPr>
              <w:t xml:space="preserve">Rekomendowane rozwiązanie: </w:t>
            </w:r>
          </w:p>
          <w:p w14:paraId="12BC1C54" w14:textId="77777777" w:rsidR="00A85FE9" w:rsidRPr="00023B68" w:rsidRDefault="00A85FE9" w:rsidP="00A85FE9">
            <w:pPr>
              <w:pStyle w:val="Default"/>
              <w:numPr>
                <w:ilvl w:val="0"/>
                <w:numId w:val="40"/>
              </w:numPr>
              <w:rPr>
                <w:sz w:val="20"/>
                <w:szCs w:val="20"/>
              </w:rPr>
            </w:pPr>
            <w:r w:rsidRPr="00023B68">
              <w:rPr>
                <w:sz w:val="20"/>
                <w:szCs w:val="20"/>
              </w:rPr>
              <w:t xml:space="preserve">Usunięcie przysługującego Komisji uprawnienia do uchylania decyzji (art. 29 ust. 5); rozwiązanie zastępcze - ścisłe jego ograniczenie oraz uzależnienie go od szeroko zakrojonych konsultacji i rzetelnej procedury </w:t>
            </w:r>
          </w:p>
          <w:p w14:paraId="655A7057" w14:textId="77777777" w:rsidR="00A85FE9" w:rsidRPr="00023B68" w:rsidRDefault="00A85FE9" w:rsidP="00A85FE9">
            <w:pPr>
              <w:pStyle w:val="Default"/>
              <w:rPr>
                <w:sz w:val="20"/>
                <w:szCs w:val="20"/>
              </w:rPr>
            </w:pPr>
          </w:p>
        </w:tc>
      </w:tr>
      <w:tr w:rsidR="00A85FE9" w:rsidRPr="00023B68" w14:paraId="740D6B31" w14:textId="77777777" w:rsidTr="00040008">
        <w:tc>
          <w:tcPr>
            <w:tcW w:w="0" w:type="auto"/>
          </w:tcPr>
          <w:p w14:paraId="4B06441E" w14:textId="65AF7ECC"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4A7012F5" w14:textId="23705278"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472F2A32" w14:textId="77777777" w:rsidR="00A85FE9" w:rsidRPr="00023B68" w:rsidRDefault="00A85FE9" w:rsidP="00A85FE9">
            <w:pPr>
              <w:pStyle w:val="Default"/>
              <w:rPr>
                <w:sz w:val="20"/>
                <w:szCs w:val="20"/>
              </w:rPr>
            </w:pPr>
            <w:r w:rsidRPr="00023B68">
              <w:rPr>
                <w:sz w:val="20"/>
                <w:szCs w:val="20"/>
              </w:rPr>
              <w:t>Artykuł 29 ust. 6 wymaga przeprowadzenia migracji do innej usługi chmurowej w okresie nieprzekraczającym 12 miesięcy. </w:t>
            </w:r>
          </w:p>
          <w:p w14:paraId="7772A7DD" w14:textId="77777777" w:rsidR="00A85FE9" w:rsidRPr="00023B68" w:rsidRDefault="00A85FE9" w:rsidP="00A85FE9">
            <w:pPr>
              <w:pStyle w:val="Default"/>
              <w:rPr>
                <w:sz w:val="20"/>
                <w:szCs w:val="20"/>
              </w:rPr>
            </w:pPr>
            <w:r w:rsidRPr="00023B68">
              <w:rPr>
                <w:sz w:val="20"/>
                <w:szCs w:val="20"/>
              </w:rPr>
              <w:t xml:space="preserve">Jednocześnie ocena skutków regulacji wskazuje, że przeniesienie pojedynczej aplikacji może kosztować od około 30 tys. do 600 tys. euro i wymagać od 400 do 8 tys. godzin pracy. Analiza Komisji zakłada także, że migracje w praktyce będą następowały stopniowo, potencjalnie nawet w okresie pięciu lat. Maksymalistyczny scenariusz kosztów migracji aplikacji wymagających poziomów 2–4 oszacowano na około 86,3 mld euro, przy czym Komisja sama zaznacza, że byłby to nierealistyczny scenariusz typu „big </w:t>
            </w:r>
            <w:proofErr w:type="spellStart"/>
            <w:r w:rsidRPr="00023B68">
              <w:rPr>
                <w:sz w:val="20"/>
                <w:szCs w:val="20"/>
              </w:rPr>
              <w:t>bang</w:t>
            </w:r>
            <w:proofErr w:type="spellEnd"/>
            <w:r w:rsidRPr="00023B68">
              <w:rPr>
                <w:sz w:val="20"/>
                <w:szCs w:val="20"/>
              </w:rPr>
              <w:t>”. </w:t>
            </w:r>
          </w:p>
          <w:p w14:paraId="049EB21D" w14:textId="77777777" w:rsidR="00A85FE9" w:rsidRPr="00023B68" w:rsidRDefault="00A85FE9" w:rsidP="00A85FE9">
            <w:pPr>
              <w:pStyle w:val="Default"/>
              <w:rPr>
                <w:sz w:val="20"/>
                <w:szCs w:val="20"/>
              </w:rPr>
            </w:pPr>
            <w:r w:rsidRPr="00023B68">
              <w:rPr>
                <w:sz w:val="20"/>
                <w:szCs w:val="20"/>
              </w:rPr>
              <w:t>Fundacja rekomenduje następujące brzmienie:</w:t>
            </w:r>
          </w:p>
          <w:p w14:paraId="5723BA81" w14:textId="77777777" w:rsidR="00A85FE9" w:rsidRPr="00023B68" w:rsidRDefault="00A85FE9" w:rsidP="00A85FE9">
            <w:pPr>
              <w:pStyle w:val="Default"/>
              <w:rPr>
                <w:sz w:val="20"/>
                <w:szCs w:val="20"/>
              </w:rPr>
            </w:pPr>
            <w:r w:rsidRPr="00023B68">
              <w:rPr>
                <w:sz w:val="20"/>
                <w:szCs w:val="20"/>
              </w:rPr>
              <w:t>„Migracja powinna zostać przeprowadzona bez zbędnej zwłoki, w okresie nieprzekraczającym 24 miesięcy. W przypadku systemów krytycznych, złożonych albo starszych systemów państwo członkowskie lub właściwy podmiot może przedłużyć okres do 36 miesięcy, pod warunkiem przyjęcia zatwierdzonego planu transformacji, wprowadzenia środków ograniczających ryzyko oraz regularnego raportowania postępu”.</w:t>
            </w:r>
          </w:p>
          <w:p w14:paraId="10B6DB01" w14:textId="77777777" w:rsidR="00A85FE9" w:rsidRPr="00023B68" w:rsidRDefault="00A85FE9" w:rsidP="00A85FE9">
            <w:pPr>
              <w:pStyle w:val="Default"/>
              <w:rPr>
                <w:sz w:val="20"/>
                <w:szCs w:val="20"/>
              </w:rPr>
            </w:pPr>
            <w:r w:rsidRPr="00023B68">
              <w:rPr>
                <w:sz w:val="20"/>
                <w:szCs w:val="20"/>
              </w:rPr>
              <w:lastRenderedPageBreak/>
              <w:t>Plan powinien obejmować:</w:t>
            </w:r>
          </w:p>
          <w:p w14:paraId="51FC7DAB" w14:textId="77777777" w:rsidR="00A85FE9" w:rsidRPr="00023B68" w:rsidRDefault="00A85FE9" w:rsidP="00A85FE9">
            <w:pPr>
              <w:pStyle w:val="Default"/>
              <w:numPr>
                <w:ilvl w:val="0"/>
                <w:numId w:val="25"/>
              </w:numPr>
              <w:rPr>
                <w:sz w:val="20"/>
                <w:szCs w:val="20"/>
              </w:rPr>
            </w:pPr>
            <w:r w:rsidRPr="00023B68">
              <w:rPr>
                <w:sz w:val="20"/>
                <w:szCs w:val="20"/>
              </w:rPr>
              <w:t>inwentaryzację aplikacji i zależności;</w:t>
            </w:r>
          </w:p>
          <w:p w14:paraId="5E6DEDD3" w14:textId="77777777" w:rsidR="00A85FE9" w:rsidRPr="00023B68" w:rsidRDefault="00A85FE9" w:rsidP="00A85FE9">
            <w:pPr>
              <w:pStyle w:val="Default"/>
              <w:numPr>
                <w:ilvl w:val="0"/>
                <w:numId w:val="25"/>
              </w:numPr>
              <w:rPr>
                <w:sz w:val="20"/>
                <w:szCs w:val="20"/>
              </w:rPr>
            </w:pPr>
            <w:proofErr w:type="spellStart"/>
            <w:r w:rsidRPr="00023B68">
              <w:rPr>
                <w:sz w:val="20"/>
                <w:szCs w:val="20"/>
              </w:rPr>
              <w:t>priorytetyzację</w:t>
            </w:r>
            <w:proofErr w:type="spellEnd"/>
            <w:r w:rsidRPr="00023B68">
              <w:rPr>
                <w:sz w:val="20"/>
                <w:szCs w:val="20"/>
              </w:rPr>
              <w:t xml:space="preserve"> systemów;</w:t>
            </w:r>
          </w:p>
          <w:p w14:paraId="3A49964A" w14:textId="77777777" w:rsidR="00A85FE9" w:rsidRPr="00023B68" w:rsidRDefault="00A85FE9" w:rsidP="00A85FE9">
            <w:pPr>
              <w:pStyle w:val="Default"/>
              <w:numPr>
                <w:ilvl w:val="0"/>
                <w:numId w:val="25"/>
              </w:numPr>
              <w:rPr>
                <w:sz w:val="20"/>
                <w:szCs w:val="20"/>
              </w:rPr>
            </w:pPr>
            <w:r w:rsidRPr="00023B68">
              <w:rPr>
                <w:sz w:val="20"/>
                <w:szCs w:val="20"/>
              </w:rPr>
              <w:t>testy przenoszalności;</w:t>
            </w:r>
          </w:p>
          <w:p w14:paraId="3417582B" w14:textId="77777777" w:rsidR="00A85FE9" w:rsidRPr="00023B68" w:rsidRDefault="00A85FE9" w:rsidP="00A85FE9">
            <w:pPr>
              <w:pStyle w:val="Default"/>
              <w:numPr>
                <w:ilvl w:val="0"/>
                <w:numId w:val="25"/>
              </w:numPr>
              <w:rPr>
                <w:sz w:val="20"/>
                <w:szCs w:val="20"/>
              </w:rPr>
            </w:pPr>
            <w:r w:rsidRPr="00023B68">
              <w:rPr>
                <w:sz w:val="20"/>
                <w:szCs w:val="20"/>
              </w:rPr>
              <w:t>okres równoległego działania środowisk;</w:t>
            </w:r>
          </w:p>
          <w:p w14:paraId="7E9E47CD" w14:textId="77777777" w:rsidR="00A85FE9" w:rsidRPr="00023B68" w:rsidRDefault="00A85FE9" w:rsidP="00A85FE9">
            <w:pPr>
              <w:pStyle w:val="Default"/>
              <w:numPr>
                <w:ilvl w:val="0"/>
                <w:numId w:val="25"/>
              </w:numPr>
              <w:rPr>
                <w:sz w:val="20"/>
                <w:szCs w:val="20"/>
              </w:rPr>
            </w:pPr>
            <w:r w:rsidRPr="00023B68">
              <w:rPr>
                <w:sz w:val="20"/>
                <w:szCs w:val="20"/>
              </w:rPr>
              <w:t>plan ciągłości działania;</w:t>
            </w:r>
          </w:p>
          <w:p w14:paraId="1935900A" w14:textId="77777777" w:rsidR="00A85FE9" w:rsidRPr="00023B68" w:rsidRDefault="00A85FE9" w:rsidP="00A85FE9">
            <w:pPr>
              <w:pStyle w:val="Default"/>
              <w:numPr>
                <w:ilvl w:val="0"/>
                <w:numId w:val="25"/>
              </w:numPr>
              <w:rPr>
                <w:sz w:val="20"/>
                <w:szCs w:val="20"/>
              </w:rPr>
            </w:pPr>
            <w:r w:rsidRPr="00023B68">
              <w:rPr>
                <w:sz w:val="20"/>
                <w:szCs w:val="20"/>
              </w:rPr>
              <w:t>zabezpieczenie danych;</w:t>
            </w:r>
          </w:p>
          <w:p w14:paraId="36E3A02E" w14:textId="77777777" w:rsidR="00A85FE9" w:rsidRPr="00023B68" w:rsidRDefault="00A85FE9" w:rsidP="00A85FE9">
            <w:pPr>
              <w:pStyle w:val="Default"/>
              <w:numPr>
                <w:ilvl w:val="0"/>
                <w:numId w:val="25"/>
              </w:numPr>
              <w:rPr>
                <w:sz w:val="20"/>
                <w:szCs w:val="20"/>
              </w:rPr>
            </w:pPr>
            <w:r w:rsidRPr="00023B68">
              <w:rPr>
                <w:sz w:val="20"/>
                <w:szCs w:val="20"/>
              </w:rPr>
              <w:t>budżet;</w:t>
            </w:r>
          </w:p>
          <w:p w14:paraId="5584E8AA" w14:textId="77777777" w:rsidR="00A85FE9" w:rsidRPr="00023B68" w:rsidRDefault="00A85FE9" w:rsidP="00A85FE9">
            <w:pPr>
              <w:pStyle w:val="Default"/>
              <w:numPr>
                <w:ilvl w:val="0"/>
                <w:numId w:val="25"/>
              </w:numPr>
              <w:rPr>
                <w:sz w:val="20"/>
                <w:szCs w:val="20"/>
              </w:rPr>
            </w:pPr>
            <w:r w:rsidRPr="00023B68">
              <w:rPr>
                <w:sz w:val="20"/>
                <w:szCs w:val="20"/>
              </w:rPr>
              <w:t>zasoby kadrowe;</w:t>
            </w:r>
          </w:p>
          <w:p w14:paraId="66DEA76F" w14:textId="77777777" w:rsidR="00A85FE9" w:rsidRPr="00023B68" w:rsidRDefault="00A85FE9" w:rsidP="00A85FE9">
            <w:pPr>
              <w:pStyle w:val="Default"/>
              <w:numPr>
                <w:ilvl w:val="0"/>
                <w:numId w:val="25"/>
              </w:numPr>
              <w:rPr>
                <w:sz w:val="20"/>
                <w:szCs w:val="20"/>
              </w:rPr>
            </w:pPr>
            <w:r w:rsidRPr="00023B68">
              <w:rPr>
                <w:sz w:val="20"/>
                <w:szCs w:val="20"/>
              </w:rPr>
              <w:t>kryteria odbioru;</w:t>
            </w:r>
          </w:p>
          <w:p w14:paraId="06CA39D3" w14:textId="77777777" w:rsidR="00A85FE9" w:rsidRPr="00023B68" w:rsidRDefault="00A85FE9" w:rsidP="00A85FE9">
            <w:pPr>
              <w:pStyle w:val="Default"/>
              <w:numPr>
                <w:ilvl w:val="0"/>
                <w:numId w:val="25"/>
              </w:numPr>
              <w:rPr>
                <w:sz w:val="20"/>
                <w:szCs w:val="20"/>
              </w:rPr>
            </w:pPr>
            <w:r w:rsidRPr="00023B68">
              <w:rPr>
                <w:sz w:val="20"/>
                <w:szCs w:val="20"/>
              </w:rPr>
              <w:t>procedurę wycofania starej usługi.</w:t>
            </w:r>
          </w:p>
          <w:p w14:paraId="48941599" w14:textId="77777777" w:rsidR="00A85FE9" w:rsidRPr="00023B68" w:rsidRDefault="00A85FE9" w:rsidP="00A85FE9">
            <w:pPr>
              <w:pStyle w:val="Default"/>
              <w:rPr>
                <w:sz w:val="20"/>
                <w:szCs w:val="20"/>
              </w:rPr>
            </w:pPr>
          </w:p>
        </w:tc>
      </w:tr>
      <w:tr w:rsidR="00A85FE9" w:rsidRPr="00023B68" w14:paraId="3569084F" w14:textId="77777777" w:rsidTr="00040008">
        <w:tc>
          <w:tcPr>
            <w:tcW w:w="0" w:type="auto"/>
          </w:tcPr>
          <w:p w14:paraId="61C24ADE" w14:textId="05FE6113"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75BF17A3" w14:textId="4A588738"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19709492" w14:textId="77777777" w:rsidR="00A85FE9" w:rsidRPr="00023B68" w:rsidRDefault="00A85FE9" w:rsidP="00A85FE9">
            <w:pPr>
              <w:pStyle w:val="Default"/>
              <w:rPr>
                <w:sz w:val="20"/>
                <w:szCs w:val="20"/>
              </w:rPr>
            </w:pPr>
            <w:r w:rsidRPr="00023B68">
              <w:rPr>
                <w:sz w:val="20"/>
                <w:szCs w:val="20"/>
              </w:rPr>
              <w:t>Artykuł 29 wymaga od państw członkowskich identyfikowania publicznych zastosowań chmury związanych z porządkiem publicznym i przypisania im poziomu 2, 3 lub 4. Obecny katalog kryteriów koncentruje się na wrażliwości danych, ryzyku bezprawnego dostępu z państwa trzeciego oraz ryzyku przerwania usługi. </w:t>
            </w:r>
          </w:p>
          <w:p w14:paraId="0F005EAA" w14:textId="77777777" w:rsidR="00A85FE9" w:rsidRPr="00023B68" w:rsidRDefault="00A85FE9" w:rsidP="00A85FE9">
            <w:pPr>
              <w:pStyle w:val="Default"/>
              <w:rPr>
                <w:sz w:val="20"/>
                <w:szCs w:val="20"/>
              </w:rPr>
            </w:pPr>
            <w:r w:rsidRPr="00023B68">
              <w:rPr>
                <w:sz w:val="20"/>
                <w:szCs w:val="20"/>
              </w:rPr>
              <w:t>Fundacja rekomenduje rozszerzenie metodologii o:</w:t>
            </w:r>
          </w:p>
          <w:p w14:paraId="1C3C4706" w14:textId="77777777" w:rsidR="00A85FE9" w:rsidRPr="00023B68" w:rsidRDefault="00A85FE9" w:rsidP="00A85FE9">
            <w:pPr>
              <w:pStyle w:val="Default"/>
              <w:numPr>
                <w:ilvl w:val="0"/>
                <w:numId w:val="21"/>
              </w:numPr>
              <w:rPr>
                <w:sz w:val="20"/>
                <w:szCs w:val="20"/>
              </w:rPr>
            </w:pPr>
            <w:r w:rsidRPr="00023B68">
              <w:rPr>
                <w:sz w:val="20"/>
                <w:szCs w:val="20"/>
              </w:rPr>
              <w:t>ryzyko koncentracji dostawców;</w:t>
            </w:r>
          </w:p>
          <w:p w14:paraId="4F7D6B8C" w14:textId="77777777" w:rsidR="00A85FE9" w:rsidRPr="00023B68" w:rsidRDefault="00A85FE9" w:rsidP="00A85FE9">
            <w:pPr>
              <w:pStyle w:val="Default"/>
              <w:numPr>
                <w:ilvl w:val="0"/>
                <w:numId w:val="21"/>
              </w:numPr>
              <w:rPr>
                <w:sz w:val="20"/>
                <w:szCs w:val="20"/>
              </w:rPr>
            </w:pPr>
            <w:r w:rsidRPr="00023B68">
              <w:rPr>
                <w:sz w:val="20"/>
                <w:szCs w:val="20"/>
              </w:rPr>
              <w:t>możliwość zastąpienia usługi;</w:t>
            </w:r>
          </w:p>
          <w:p w14:paraId="1993C6CF" w14:textId="77777777" w:rsidR="00A85FE9" w:rsidRPr="00023B68" w:rsidRDefault="00A85FE9" w:rsidP="00A85FE9">
            <w:pPr>
              <w:pStyle w:val="Default"/>
              <w:numPr>
                <w:ilvl w:val="0"/>
                <w:numId w:val="21"/>
              </w:numPr>
              <w:rPr>
                <w:sz w:val="20"/>
                <w:szCs w:val="20"/>
              </w:rPr>
            </w:pPr>
            <w:r w:rsidRPr="00023B68">
              <w:rPr>
                <w:sz w:val="20"/>
                <w:szCs w:val="20"/>
              </w:rPr>
              <w:t xml:space="preserve">stopień </w:t>
            </w:r>
            <w:proofErr w:type="spellStart"/>
            <w:r w:rsidRPr="00023B68">
              <w:rPr>
                <w:sz w:val="20"/>
                <w:szCs w:val="20"/>
              </w:rPr>
              <w:t>vendor</w:t>
            </w:r>
            <w:proofErr w:type="spellEnd"/>
            <w:r w:rsidRPr="00023B68">
              <w:rPr>
                <w:sz w:val="20"/>
                <w:szCs w:val="20"/>
              </w:rPr>
              <w:t xml:space="preserve"> lock-in;</w:t>
            </w:r>
          </w:p>
          <w:p w14:paraId="553EAAB8" w14:textId="77777777" w:rsidR="00A85FE9" w:rsidRPr="00023B68" w:rsidRDefault="00A85FE9" w:rsidP="00A85FE9">
            <w:pPr>
              <w:pStyle w:val="Default"/>
              <w:numPr>
                <w:ilvl w:val="0"/>
                <w:numId w:val="21"/>
              </w:numPr>
              <w:rPr>
                <w:sz w:val="20"/>
                <w:szCs w:val="20"/>
              </w:rPr>
            </w:pPr>
            <w:r w:rsidRPr="00023B68">
              <w:rPr>
                <w:sz w:val="20"/>
                <w:szCs w:val="20"/>
              </w:rPr>
              <w:t>koszt i czas migracji;</w:t>
            </w:r>
          </w:p>
          <w:p w14:paraId="60284589" w14:textId="77777777" w:rsidR="00A85FE9" w:rsidRPr="00023B68" w:rsidRDefault="00A85FE9" w:rsidP="00A85FE9">
            <w:pPr>
              <w:pStyle w:val="Default"/>
              <w:numPr>
                <w:ilvl w:val="0"/>
                <w:numId w:val="21"/>
              </w:numPr>
              <w:rPr>
                <w:sz w:val="20"/>
                <w:szCs w:val="20"/>
              </w:rPr>
            </w:pPr>
            <w:r w:rsidRPr="00023B68">
              <w:rPr>
                <w:sz w:val="20"/>
                <w:szCs w:val="20"/>
              </w:rPr>
              <w:t xml:space="preserve">zależność od zewnętrznego </w:t>
            </w:r>
            <w:proofErr w:type="spellStart"/>
            <w:r w:rsidRPr="00023B68">
              <w:rPr>
                <w:sz w:val="20"/>
                <w:szCs w:val="20"/>
              </w:rPr>
              <w:t>control</w:t>
            </w:r>
            <w:proofErr w:type="spellEnd"/>
            <w:r w:rsidRPr="00023B68">
              <w:rPr>
                <w:sz w:val="20"/>
                <w:szCs w:val="20"/>
              </w:rPr>
              <w:t xml:space="preserve"> </w:t>
            </w:r>
            <w:proofErr w:type="spellStart"/>
            <w:r w:rsidRPr="00023B68">
              <w:rPr>
                <w:sz w:val="20"/>
                <w:szCs w:val="20"/>
              </w:rPr>
              <w:t>plane</w:t>
            </w:r>
            <w:proofErr w:type="spellEnd"/>
            <w:r w:rsidRPr="00023B68">
              <w:rPr>
                <w:sz w:val="20"/>
                <w:szCs w:val="20"/>
              </w:rPr>
              <w:t>;</w:t>
            </w:r>
          </w:p>
          <w:p w14:paraId="040079CE" w14:textId="77777777" w:rsidR="00A85FE9" w:rsidRPr="00023B68" w:rsidRDefault="00A85FE9" w:rsidP="00A85FE9">
            <w:pPr>
              <w:pStyle w:val="Default"/>
              <w:numPr>
                <w:ilvl w:val="0"/>
                <w:numId w:val="21"/>
              </w:numPr>
              <w:rPr>
                <w:sz w:val="20"/>
                <w:szCs w:val="20"/>
              </w:rPr>
            </w:pPr>
            <w:r w:rsidRPr="00023B68">
              <w:rPr>
                <w:sz w:val="20"/>
                <w:szCs w:val="20"/>
              </w:rPr>
              <w:t>kontrolę nad kluczami kryptograficznymi;</w:t>
            </w:r>
          </w:p>
          <w:p w14:paraId="214D8FEE" w14:textId="77777777" w:rsidR="00A85FE9" w:rsidRPr="00023B68" w:rsidRDefault="00A85FE9" w:rsidP="00A85FE9">
            <w:pPr>
              <w:pStyle w:val="Default"/>
              <w:numPr>
                <w:ilvl w:val="0"/>
                <w:numId w:val="21"/>
              </w:numPr>
              <w:rPr>
                <w:sz w:val="20"/>
                <w:szCs w:val="20"/>
              </w:rPr>
            </w:pPr>
            <w:r w:rsidRPr="00023B68">
              <w:rPr>
                <w:sz w:val="20"/>
                <w:szCs w:val="20"/>
              </w:rPr>
              <w:t xml:space="preserve">zależności od oprogramowania, sprzętu i </w:t>
            </w:r>
            <w:proofErr w:type="spellStart"/>
            <w:r w:rsidRPr="00023B68">
              <w:rPr>
                <w:sz w:val="20"/>
                <w:szCs w:val="20"/>
              </w:rPr>
              <w:t>firmware</w:t>
            </w:r>
            <w:proofErr w:type="spellEnd"/>
            <w:r w:rsidRPr="00023B68">
              <w:rPr>
                <w:sz w:val="20"/>
                <w:szCs w:val="20"/>
              </w:rPr>
              <w:t>;</w:t>
            </w:r>
          </w:p>
          <w:p w14:paraId="37976ADD" w14:textId="77777777" w:rsidR="00A85FE9" w:rsidRPr="00023B68" w:rsidRDefault="00A85FE9" w:rsidP="00A85FE9">
            <w:pPr>
              <w:pStyle w:val="Default"/>
              <w:numPr>
                <w:ilvl w:val="0"/>
                <w:numId w:val="21"/>
              </w:numPr>
              <w:rPr>
                <w:sz w:val="20"/>
                <w:szCs w:val="20"/>
              </w:rPr>
            </w:pPr>
            <w:r w:rsidRPr="00023B68">
              <w:rPr>
                <w:sz w:val="20"/>
                <w:szCs w:val="20"/>
              </w:rPr>
              <w:t>możliwość jednostronnej zmiany warunków lub funkcjonalności;</w:t>
            </w:r>
          </w:p>
          <w:p w14:paraId="46EB6C1D" w14:textId="77777777" w:rsidR="00A85FE9" w:rsidRPr="00023B68" w:rsidRDefault="00A85FE9" w:rsidP="00A85FE9">
            <w:pPr>
              <w:pStyle w:val="Default"/>
              <w:numPr>
                <w:ilvl w:val="0"/>
                <w:numId w:val="21"/>
              </w:numPr>
              <w:rPr>
                <w:sz w:val="20"/>
                <w:szCs w:val="20"/>
              </w:rPr>
            </w:pPr>
            <w:r w:rsidRPr="00023B68">
              <w:rPr>
                <w:sz w:val="20"/>
                <w:szCs w:val="20"/>
              </w:rPr>
              <w:t>ryzyko utraty dostępu do poprawek bezpieczeństwa;</w:t>
            </w:r>
          </w:p>
          <w:p w14:paraId="509F677B" w14:textId="77777777" w:rsidR="00A85FE9" w:rsidRPr="00023B68" w:rsidRDefault="00A85FE9" w:rsidP="00A85FE9">
            <w:pPr>
              <w:pStyle w:val="Default"/>
              <w:numPr>
                <w:ilvl w:val="0"/>
                <w:numId w:val="21"/>
              </w:numPr>
              <w:rPr>
                <w:sz w:val="20"/>
                <w:szCs w:val="20"/>
              </w:rPr>
            </w:pPr>
            <w:r w:rsidRPr="00023B68">
              <w:rPr>
                <w:sz w:val="20"/>
                <w:szCs w:val="20"/>
              </w:rPr>
              <w:t>ryzyko sankcji i ograniczeń eksportowych;</w:t>
            </w:r>
          </w:p>
          <w:p w14:paraId="0E51B673" w14:textId="77777777" w:rsidR="00A85FE9" w:rsidRPr="00023B68" w:rsidRDefault="00A85FE9" w:rsidP="00A85FE9">
            <w:pPr>
              <w:pStyle w:val="Default"/>
              <w:numPr>
                <w:ilvl w:val="0"/>
                <w:numId w:val="21"/>
              </w:numPr>
              <w:rPr>
                <w:sz w:val="20"/>
                <w:szCs w:val="20"/>
              </w:rPr>
            </w:pPr>
            <w:r w:rsidRPr="00023B68">
              <w:rPr>
                <w:sz w:val="20"/>
                <w:szCs w:val="20"/>
              </w:rPr>
              <w:t>ryzyko dotyczące modeli AI i ich aktualizacji;</w:t>
            </w:r>
          </w:p>
          <w:p w14:paraId="6FD1084E" w14:textId="77777777" w:rsidR="00A85FE9" w:rsidRPr="00023B68" w:rsidRDefault="00A85FE9" w:rsidP="00A85FE9">
            <w:pPr>
              <w:pStyle w:val="Default"/>
              <w:numPr>
                <w:ilvl w:val="0"/>
                <w:numId w:val="21"/>
              </w:numPr>
              <w:rPr>
                <w:sz w:val="20"/>
                <w:szCs w:val="20"/>
              </w:rPr>
            </w:pPr>
            <w:r w:rsidRPr="00023B68">
              <w:rPr>
                <w:sz w:val="20"/>
                <w:szCs w:val="20"/>
              </w:rPr>
              <w:t>dostępność kompetencji potrzebnych do utrzymania usługi;</w:t>
            </w:r>
          </w:p>
          <w:p w14:paraId="413890D2" w14:textId="77777777" w:rsidR="00A85FE9" w:rsidRPr="00023B68" w:rsidRDefault="00A85FE9" w:rsidP="00A85FE9">
            <w:pPr>
              <w:pStyle w:val="Default"/>
              <w:numPr>
                <w:ilvl w:val="0"/>
                <w:numId w:val="21"/>
              </w:numPr>
              <w:rPr>
                <w:sz w:val="20"/>
                <w:szCs w:val="20"/>
              </w:rPr>
            </w:pPr>
            <w:r w:rsidRPr="00023B68">
              <w:rPr>
                <w:sz w:val="20"/>
                <w:szCs w:val="20"/>
              </w:rPr>
              <w:t>ryzyko dla ciągłości działania całego sektora.</w:t>
            </w:r>
          </w:p>
          <w:p w14:paraId="3218A520" w14:textId="77777777" w:rsidR="00A85FE9" w:rsidRPr="00023B68" w:rsidRDefault="00A85FE9" w:rsidP="00A85FE9">
            <w:pPr>
              <w:pStyle w:val="Default"/>
              <w:rPr>
                <w:sz w:val="20"/>
                <w:szCs w:val="20"/>
              </w:rPr>
            </w:pPr>
            <w:r w:rsidRPr="00023B68">
              <w:rPr>
                <w:sz w:val="20"/>
                <w:szCs w:val="20"/>
              </w:rPr>
              <w:t xml:space="preserve">Metodologia powinna być </w:t>
            </w:r>
            <w:proofErr w:type="spellStart"/>
            <w:r w:rsidRPr="00023B68">
              <w:rPr>
                <w:sz w:val="20"/>
                <w:szCs w:val="20"/>
              </w:rPr>
              <w:t>interoperacyjna</w:t>
            </w:r>
            <w:proofErr w:type="spellEnd"/>
            <w:r w:rsidRPr="00023B68">
              <w:rPr>
                <w:sz w:val="20"/>
                <w:szCs w:val="20"/>
              </w:rPr>
              <w:t xml:space="preserve"> z:</w:t>
            </w:r>
          </w:p>
          <w:p w14:paraId="7683987C" w14:textId="77777777" w:rsidR="00A85FE9" w:rsidRPr="00023B68" w:rsidRDefault="00A85FE9" w:rsidP="00A85FE9">
            <w:pPr>
              <w:pStyle w:val="Default"/>
              <w:numPr>
                <w:ilvl w:val="0"/>
                <w:numId w:val="22"/>
              </w:numPr>
              <w:rPr>
                <w:sz w:val="20"/>
                <w:szCs w:val="20"/>
              </w:rPr>
            </w:pPr>
            <w:r w:rsidRPr="00023B68">
              <w:rPr>
                <w:sz w:val="20"/>
                <w:szCs w:val="20"/>
              </w:rPr>
              <w:t>analizą ryzyka NIS2;</w:t>
            </w:r>
          </w:p>
          <w:p w14:paraId="317DC169" w14:textId="77777777" w:rsidR="00A85FE9" w:rsidRPr="00023B68" w:rsidRDefault="00A85FE9" w:rsidP="00A85FE9">
            <w:pPr>
              <w:pStyle w:val="Default"/>
              <w:numPr>
                <w:ilvl w:val="0"/>
                <w:numId w:val="22"/>
              </w:numPr>
              <w:rPr>
                <w:sz w:val="20"/>
                <w:szCs w:val="20"/>
              </w:rPr>
            </w:pPr>
            <w:r w:rsidRPr="00023B68">
              <w:rPr>
                <w:sz w:val="20"/>
                <w:szCs w:val="20"/>
              </w:rPr>
              <w:t>zarządzaniem ryzykiem ICT i dostawców zewnętrznych zgodnie z DORA;</w:t>
            </w:r>
          </w:p>
          <w:p w14:paraId="4071B66E" w14:textId="77777777" w:rsidR="00A85FE9" w:rsidRPr="00023B68" w:rsidRDefault="00A85FE9" w:rsidP="00A85FE9">
            <w:pPr>
              <w:pStyle w:val="Default"/>
              <w:numPr>
                <w:ilvl w:val="0"/>
                <w:numId w:val="22"/>
              </w:numPr>
              <w:rPr>
                <w:sz w:val="20"/>
                <w:szCs w:val="20"/>
              </w:rPr>
            </w:pPr>
            <w:r w:rsidRPr="00023B68">
              <w:rPr>
                <w:sz w:val="20"/>
                <w:szCs w:val="20"/>
              </w:rPr>
              <w:t>DPIA wynikającą z RODO;</w:t>
            </w:r>
          </w:p>
          <w:p w14:paraId="65707945" w14:textId="77777777" w:rsidR="00A85FE9" w:rsidRPr="00023B68" w:rsidRDefault="00A85FE9" w:rsidP="00A85FE9">
            <w:pPr>
              <w:pStyle w:val="Default"/>
              <w:numPr>
                <w:ilvl w:val="0"/>
                <w:numId w:val="22"/>
              </w:numPr>
              <w:rPr>
                <w:sz w:val="20"/>
                <w:szCs w:val="20"/>
              </w:rPr>
            </w:pPr>
            <w:r w:rsidRPr="00023B68">
              <w:rPr>
                <w:sz w:val="20"/>
                <w:szCs w:val="20"/>
              </w:rPr>
              <w:t>oceną ryzyka i wpływu systemu AI;</w:t>
            </w:r>
          </w:p>
          <w:p w14:paraId="26E927B5" w14:textId="77777777" w:rsidR="00A85FE9" w:rsidRPr="00023B68" w:rsidRDefault="00A85FE9" w:rsidP="00A85FE9">
            <w:pPr>
              <w:pStyle w:val="Default"/>
              <w:numPr>
                <w:ilvl w:val="0"/>
                <w:numId w:val="22"/>
              </w:numPr>
              <w:rPr>
                <w:sz w:val="20"/>
                <w:szCs w:val="20"/>
              </w:rPr>
            </w:pPr>
            <w:r w:rsidRPr="00023B68">
              <w:rPr>
                <w:sz w:val="20"/>
                <w:szCs w:val="20"/>
              </w:rPr>
              <w:t xml:space="preserve">wymaganiami Data </w:t>
            </w:r>
            <w:proofErr w:type="spellStart"/>
            <w:r w:rsidRPr="00023B68">
              <w:rPr>
                <w:sz w:val="20"/>
                <w:szCs w:val="20"/>
              </w:rPr>
              <w:t>Act</w:t>
            </w:r>
            <w:proofErr w:type="spellEnd"/>
            <w:r w:rsidRPr="00023B68">
              <w:rPr>
                <w:sz w:val="20"/>
                <w:szCs w:val="20"/>
              </w:rPr>
              <w:t xml:space="preserve"> dotyczącymi zmiany dostawcy;</w:t>
            </w:r>
          </w:p>
          <w:p w14:paraId="59A503D9" w14:textId="77777777" w:rsidR="00A85FE9" w:rsidRPr="00023B68" w:rsidRDefault="00A85FE9" w:rsidP="00A85FE9">
            <w:pPr>
              <w:pStyle w:val="Default"/>
              <w:numPr>
                <w:ilvl w:val="0"/>
                <w:numId w:val="22"/>
              </w:numPr>
              <w:rPr>
                <w:sz w:val="20"/>
                <w:szCs w:val="20"/>
              </w:rPr>
            </w:pPr>
            <w:r w:rsidRPr="00023B68">
              <w:rPr>
                <w:sz w:val="20"/>
                <w:szCs w:val="20"/>
              </w:rPr>
              <w:t xml:space="preserve">wymaganiami </w:t>
            </w:r>
            <w:proofErr w:type="spellStart"/>
            <w:r w:rsidRPr="00023B68">
              <w:rPr>
                <w:sz w:val="20"/>
                <w:szCs w:val="20"/>
              </w:rPr>
              <w:t>Cyber</w:t>
            </w:r>
            <w:proofErr w:type="spellEnd"/>
            <w:r w:rsidRPr="00023B68">
              <w:rPr>
                <w:sz w:val="20"/>
                <w:szCs w:val="20"/>
              </w:rPr>
              <w:t xml:space="preserve"> </w:t>
            </w:r>
            <w:proofErr w:type="spellStart"/>
            <w:r w:rsidRPr="00023B68">
              <w:rPr>
                <w:sz w:val="20"/>
                <w:szCs w:val="20"/>
              </w:rPr>
              <w:t>Resilience</w:t>
            </w:r>
            <w:proofErr w:type="spellEnd"/>
            <w:r w:rsidRPr="00023B68">
              <w:rPr>
                <w:sz w:val="20"/>
                <w:szCs w:val="20"/>
              </w:rPr>
              <w:t xml:space="preserve"> </w:t>
            </w:r>
            <w:proofErr w:type="spellStart"/>
            <w:r w:rsidRPr="00023B68">
              <w:rPr>
                <w:sz w:val="20"/>
                <w:szCs w:val="20"/>
              </w:rPr>
              <w:t>Act</w:t>
            </w:r>
            <w:proofErr w:type="spellEnd"/>
            <w:r w:rsidRPr="00023B68">
              <w:rPr>
                <w:sz w:val="20"/>
                <w:szCs w:val="20"/>
              </w:rPr>
              <w:t>;</w:t>
            </w:r>
          </w:p>
          <w:p w14:paraId="2A918568" w14:textId="77777777" w:rsidR="00A85FE9" w:rsidRPr="00023B68" w:rsidRDefault="00A85FE9" w:rsidP="00A85FE9">
            <w:pPr>
              <w:pStyle w:val="Default"/>
              <w:numPr>
                <w:ilvl w:val="0"/>
                <w:numId w:val="22"/>
              </w:numPr>
              <w:rPr>
                <w:sz w:val="20"/>
                <w:szCs w:val="20"/>
              </w:rPr>
            </w:pPr>
            <w:r w:rsidRPr="00023B68">
              <w:rPr>
                <w:sz w:val="20"/>
                <w:szCs w:val="20"/>
              </w:rPr>
              <w:t xml:space="preserve">europejskimi systemami certyfikacji </w:t>
            </w:r>
            <w:proofErr w:type="spellStart"/>
            <w:r w:rsidRPr="00023B68">
              <w:rPr>
                <w:sz w:val="20"/>
                <w:szCs w:val="20"/>
              </w:rPr>
              <w:t>cyberbezpieczeństwa</w:t>
            </w:r>
            <w:proofErr w:type="spellEnd"/>
            <w:r w:rsidRPr="00023B68">
              <w:rPr>
                <w:sz w:val="20"/>
                <w:szCs w:val="20"/>
              </w:rPr>
              <w:t>.</w:t>
            </w:r>
          </w:p>
          <w:p w14:paraId="2BB7BE00" w14:textId="77777777" w:rsidR="00A85FE9" w:rsidRPr="00023B68" w:rsidRDefault="00A85FE9" w:rsidP="00A85FE9">
            <w:pPr>
              <w:pStyle w:val="Default"/>
              <w:rPr>
                <w:sz w:val="20"/>
                <w:szCs w:val="20"/>
              </w:rPr>
            </w:pPr>
            <w:r w:rsidRPr="00023B68">
              <w:rPr>
                <w:sz w:val="20"/>
                <w:szCs w:val="20"/>
              </w:rPr>
              <w:lastRenderedPageBreak/>
              <w:t xml:space="preserve">Należy przyjąć zasadę </w:t>
            </w:r>
            <w:r w:rsidRPr="00023B68">
              <w:rPr>
                <w:b/>
                <w:bCs/>
                <w:sz w:val="20"/>
                <w:szCs w:val="20"/>
              </w:rPr>
              <w:t>„oceniaj raz, wykorzystuj wielokrotnie”</w:t>
            </w:r>
            <w:r w:rsidRPr="00023B68">
              <w:rPr>
                <w:sz w:val="20"/>
                <w:szCs w:val="20"/>
              </w:rPr>
              <w:t>, tak aby organizacje nie musiały tworzyć kilku równoległych analiz tych samych dostawców, usług, danych i zależności.</w:t>
            </w:r>
          </w:p>
          <w:p w14:paraId="4300C9F6" w14:textId="77777777" w:rsidR="00A85FE9" w:rsidRPr="00023B68" w:rsidRDefault="00A85FE9" w:rsidP="00A85FE9">
            <w:pPr>
              <w:pStyle w:val="Default"/>
              <w:rPr>
                <w:sz w:val="20"/>
                <w:szCs w:val="20"/>
              </w:rPr>
            </w:pPr>
            <w:r w:rsidRPr="00023B68">
              <w:rPr>
                <w:b/>
                <w:bCs/>
                <w:sz w:val="20"/>
                <w:szCs w:val="20"/>
              </w:rPr>
              <w:t>Uprawnienie Komisji do zmiany poziomu określonego przez państwo</w:t>
            </w:r>
          </w:p>
          <w:p w14:paraId="1050B28B" w14:textId="77777777" w:rsidR="00A85FE9" w:rsidRPr="00023B68" w:rsidRDefault="00A85FE9" w:rsidP="00A85FE9">
            <w:pPr>
              <w:pStyle w:val="Default"/>
              <w:rPr>
                <w:sz w:val="20"/>
                <w:szCs w:val="20"/>
              </w:rPr>
            </w:pPr>
            <w:r w:rsidRPr="00023B68">
              <w:rPr>
                <w:sz w:val="20"/>
                <w:szCs w:val="20"/>
              </w:rPr>
              <w:t>Komisja ma otrzymać możliwość wskazania, w drodze aktu wykonawczego, innego poziomu zapewnienia, jeżeli uzna wynik krajowej oceny za niewłaściwy. </w:t>
            </w:r>
          </w:p>
          <w:p w14:paraId="02DE3F9D" w14:textId="77777777" w:rsidR="00A85FE9" w:rsidRPr="00023B68" w:rsidRDefault="00A85FE9" w:rsidP="00A85FE9">
            <w:pPr>
              <w:pStyle w:val="Default"/>
              <w:rPr>
                <w:sz w:val="20"/>
                <w:szCs w:val="20"/>
              </w:rPr>
            </w:pPr>
            <w:r w:rsidRPr="00023B68">
              <w:rPr>
                <w:sz w:val="20"/>
                <w:szCs w:val="20"/>
              </w:rPr>
              <w:t>Taka decyzja powinna:</w:t>
            </w:r>
          </w:p>
          <w:p w14:paraId="233B1798" w14:textId="77777777" w:rsidR="00A85FE9" w:rsidRPr="00023B68" w:rsidRDefault="00A85FE9" w:rsidP="00A85FE9">
            <w:pPr>
              <w:pStyle w:val="Default"/>
              <w:numPr>
                <w:ilvl w:val="0"/>
                <w:numId w:val="23"/>
              </w:numPr>
              <w:rPr>
                <w:sz w:val="20"/>
                <w:szCs w:val="20"/>
              </w:rPr>
            </w:pPr>
            <w:r w:rsidRPr="00023B68">
              <w:rPr>
                <w:sz w:val="20"/>
                <w:szCs w:val="20"/>
              </w:rPr>
              <w:t>zawierać szczegółowe uzasadnienie;</w:t>
            </w:r>
          </w:p>
          <w:p w14:paraId="2D04E67B" w14:textId="77777777" w:rsidR="00A85FE9" w:rsidRPr="00023B68" w:rsidRDefault="00A85FE9" w:rsidP="00A85FE9">
            <w:pPr>
              <w:pStyle w:val="Default"/>
              <w:numPr>
                <w:ilvl w:val="0"/>
                <w:numId w:val="23"/>
              </w:numPr>
              <w:rPr>
                <w:sz w:val="20"/>
                <w:szCs w:val="20"/>
              </w:rPr>
            </w:pPr>
            <w:r w:rsidRPr="00023B68">
              <w:rPr>
                <w:sz w:val="20"/>
                <w:szCs w:val="20"/>
              </w:rPr>
              <w:t>być poprzedzona konsultacją z państwem członkowskim;</w:t>
            </w:r>
          </w:p>
          <w:p w14:paraId="300AD95F" w14:textId="77777777" w:rsidR="00A85FE9" w:rsidRPr="00023B68" w:rsidRDefault="00A85FE9" w:rsidP="00A85FE9">
            <w:pPr>
              <w:pStyle w:val="Default"/>
              <w:numPr>
                <w:ilvl w:val="0"/>
                <w:numId w:val="23"/>
              </w:numPr>
              <w:rPr>
                <w:sz w:val="20"/>
                <w:szCs w:val="20"/>
              </w:rPr>
            </w:pPr>
            <w:r w:rsidRPr="00023B68">
              <w:rPr>
                <w:sz w:val="20"/>
                <w:szCs w:val="20"/>
              </w:rPr>
              <w:t>uwzględniać informacje niejawne i szczególną odpowiedzialność państw za bezpieczeństwo narodowe;</w:t>
            </w:r>
          </w:p>
          <w:p w14:paraId="2B41DF70" w14:textId="77777777" w:rsidR="00A85FE9" w:rsidRPr="00023B68" w:rsidRDefault="00A85FE9" w:rsidP="00A85FE9">
            <w:pPr>
              <w:pStyle w:val="Default"/>
              <w:numPr>
                <w:ilvl w:val="0"/>
                <w:numId w:val="23"/>
              </w:numPr>
              <w:rPr>
                <w:sz w:val="20"/>
                <w:szCs w:val="20"/>
              </w:rPr>
            </w:pPr>
            <w:r w:rsidRPr="00023B68">
              <w:rPr>
                <w:sz w:val="20"/>
                <w:szCs w:val="20"/>
              </w:rPr>
              <w:t>przewidywać możliwość kontroli prawnej;</w:t>
            </w:r>
          </w:p>
          <w:p w14:paraId="1925A1EF" w14:textId="77777777" w:rsidR="00A85FE9" w:rsidRPr="00023B68" w:rsidRDefault="00A85FE9" w:rsidP="00A85FE9">
            <w:pPr>
              <w:pStyle w:val="Default"/>
              <w:numPr>
                <w:ilvl w:val="0"/>
                <w:numId w:val="23"/>
              </w:numPr>
              <w:rPr>
                <w:sz w:val="20"/>
                <w:szCs w:val="20"/>
              </w:rPr>
            </w:pPr>
            <w:r w:rsidRPr="00023B68">
              <w:rPr>
                <w:sz w:val="20"/>
                <w:szCs w:val="20"/>
              </w:rPr>
              <w:t>określać realistyczny okres przejściowy;</w:t>
            </w:r>
          </w:p>
          <w:p w14:paraId="53C203EC" w14:textId="77777777" w:rsidR="00A85FE9" w:rsidRPr="00023B68" w:rsidRDefault="00A85FE9" w:rsidP="00A85FE9">
            <w:pPr>
              <w:pStyle w:val="Default"/>
              <w:numPr>
                <w:ilvl w:val="0"/>
                <w:numId w:val="23"/>
              </w:numPr>
              <w:rPr>
                <w:sz w:val="20"/>
                <w:szCs w:val="20"/>
              </w:rPr>
            </w:pPr>
            <w:r w:rsidRPr="00023B68">
              <w:rPr>
                <w:sz w:val="20"/>
                <w:szCs w:val="20"/>
              </w:rPr>
              <w:t>uwzględniać rzeczywistą dostępność usług danego poziomu na rynku.</w:t>
            </w:r>
          </w:p>
          <w:p w14:paraId="3EFAC51F" w14:textId="77777777" w:rsidR="00A85FE9" w:rsidRPr="00023B68" w:rsidRDefault="00A85FE9" w:rsidP="00A85FE9">
            <w:pPr>
              <w:pStyle w:val="Default"/>
              <w:rPr>
                <w:sz w:val="20"/>
                <w:szCs w:val="20"/>
              </w:rPr>
            </w:pPr>
          </w:p>
        </w:tc>
      </w:tr>
      <w:tr w:rsidR="00A85FE9" w:rsidRPr="00023B68" w14:paraId="73667688" w14:textId="77777777" w:rsidTr="00040008">
        <w:tc>
          <w:tcPr>
            <w:tcW w:w="0" w:type="auto"/>
          </w:tcPr>
          <w:p w14:paraId="402B59EE" w14:textId="3B203EFC"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5A25D879" w14:textId="05E65CBC"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1D7B80F9" w14:textId="2523A236" w:rsidR="00A85FE9" w:rsidRPr="00023B68" w:rsidRDefault="00A85FE9" w:rsidP="00A85FE9">
            <w:pPr>
              <w:pStyle w:val="Default"/>
              <w:rPr>
                <w:sz w:val="20"/>
                <w:szCs w:val="20"/>
              </w:rPr>
            </w:pPr>
            <w:r w:rsidRPr="00023B68">
              <w:rPr>
                <w:sz w:val="20"/>
                <w:szCs w:val="20"/>
              </w:rPr>
              <w:t>Z niepokojem odnosimy się do uprawnienia Komisji do uchylania własnych decyzji państw członkowskich podejmowanych w ramach oceny ryzyka dla suwerenności (art. 29 ust. 5) w drodze aktów wykonawczych. Uważamy, że Komisja nie powinna uchylać decyzji państw członkowskich, i zalecamy staranne przeanalizowanie tej</w:t>
            </w:r>
          </w:p>
          <w:p w14:paraId="260F995D" w14:textId="77777777" w:rsidR="00A85FE9" w:rsidRPr="00023B68" w:rsidRDefault="00A85FE9" w:rsidP="00A85FE9">
            <w:pPr>
              <w:pStyle w:val="Default"/>
              <w:rPr>
                <w:sz w:val="20"/>
                <w:szCs w:val="20"/>
              </w:rPr>
            </w:pPr>
            <w:r w:rsidRPr="00023B68">
              <w:rPr>
                <w:sz w:val="20"/>
                <w:szCs w:val="20"/>
              </w:rPr>
              <w:t>propozycji pod kątem ryzyka naruszenia art. 4 Traktatu o Unii Europejskiej</w:t>
            </w:r>
          </w:p>
          <w:p w14:paraId="1E691847" w14:textId="77777777" w:rsidR="00A85FE9" w:rsidRPr="00023B68" w:rsidRDefault="00A85FE9" w:rsidP="00A85FE9">
            <w:pPr>
              <w:pStyle w:val="Default"/>
              <w:rPr>
                <w:sz w:val="20"/>
                <w:szCs w:val="20"/>
              </w:rPr>
            </w:pPr>
            <w:r w:rsidRPr="00023B68">
              <w:rPr>
                <w:b/>
                <w:bCs/>
                <w:sz w:val="20"/>
                <w:szCs w:val="20"/>
              </w:rPr>
              <w:t xml:space="preserve">Proponowane rozwiązanie: </w:t>
            </w:r>
            <w:r w:rsidRPr="00023B68">
              <w:rPr>
                <w:sz w:val="20"/>
                <w:szCs w:val="20"/>
              </w:rPr>
              <w:t>usunięcie przysługującego Komisji uprawnienia do</w:t>
            </w:r>
          </w:p>
          <w:p w14:paraId="40D51FAE" w14:textId="77777777" w:rsidR="00A85FE9" w:rsidRPr="00023B68" w:rsidRDefault="00A85FE9" w:rsidP="00A85FE9">
            <w:pPr>
              <w:pStyle w:val="Default"/>
              <w:rPr>
                <w:sz w:val="20"/>
                <w:szCs w:val="20"/>
              </w:rPr>
            </w:pPr>
            <w:r w:rsidRPr="00023B68">
              <w:rPr>
                <w:sz w:val="20"/>
                <w:szCs w:val="20"/>
              </w:rPr>
              <w:t>uchylania decyzji (art. 29 ust. 5); rozwiązanie zastępcze - ścisłe jego ograniczenie oraz</w:t>
            </w:r>
          </w:p>
          <w:p w14:paraId="17C12BA5" w14:textId="77777777" w:rsidR="00A85FE9" w:rsidRPr="00023B68" w:rsidRDefault="00A85FE9" w:rsidP="00A85FE9">
            <w:pPr>
              <w:pStyle w:val="Default"/>
              <w:rPr>
                <w:sz w:val="20"/>
                <w:szCs w:val="20"/>
              </w:rPr>
            </w:pPr>
            <w:r w:rsidRPr="00023B68">
              <w:rPr>
                <w:sz w:val="20"/>
                <w:szCs w:val="20"/>
              </w:rPr>
              <w:t>uzależnienie go od szeroko zakrojonych konsultacji i rzetelnej procedury.</w:t>
            </w:r>
          </w:p>
          <w:p w14:paraId="78EE9210" w14:textId="4B2D1F6A" w:rsidR="00A85FE9" w:rsidRPr="00023B68" w:rsidRDefault="00A85FE9" w:rsidP="00A85FE9">
            <w:pPr>
              <w:pStyle w:val="Default"/>
              <w:rPr>
                <w:sz w:val="20"/>
                <w:szCs w:val="20"/>
              </w:rPr>
            </w:pPr>
          </w:p>
        </w:tc>
      </w:tr>
      <w:tr w:rsidR="00A85FE9" w:rsidRPr="00023B68" w14:paraId="1AFD9B33" w14:textId="77777777" w:rsidTr="00040008">
        <w:tc>
          <w:tcPr>
            <w:tcW w:w="0" w:type="auto"/>
          </w:tcPr>
          <w:p w14:paraId="2E042966" w14:textId="21E7BB50" w:rsidR="00A85FE9" w:rsidRPr="00023B68" w:rsidRDefault="00A85FE9" w:rsidP="00A85FE9">
            <w:pPr>
              <w:pStyle w:val="Default"/>
              <w:rPr>
                <w:sz w:val="20"/>
                <w:szCs w:val="20"/>
              </w:rPr>
            </w:pPr>
            <w:r w:rsidRPr="00023B68">
              <w:rPr>
                <w:sz w:val="20"/>
                <w:szCs w:val="20"/>
              </w:rPr>
              <w:t>Artykuł 30</w:t>
            </w:r>
            <w:r w:rsidRPr="00023B68">
              <w:rPr>
                <w:i/>
                <w:iCs/>
                <w:sz w:val="20"/>
                <w:szCs w:val="20"/>
              </w:rPr>
              <w:br/>
              <w:t xml:space="preserve">Public </w:t>
            </w:r>
            <w:proofErr w:type="spellStart"/>
            <w:r w:rsidRPr="00023B68">
              <w:rPr>
                <w:i/>
                <w:iCs/>
                <w:sz w:val="20"/>
                <w:szCs w:val="20"/>
              </w:rPr>
              <w:t>procurement</w:t>
            </w:r>
            <w:proofErr w:type="spellEnd"/>
            <w:r w:rsidRPr="00023B68">
              <w:rPr>
                <w:i/>
                <w:iCs/>
                <w:sz w:val="20"/>
                <w:szCs w:val="20"/>
              </w:rPr>
              <w:t> </w:t>
            </w:r>
          </w:p>
        </w:tc>
        <w:tc>
          <w:tcPr>
            <w:tcW w:w="0" w:type="auto"/>
          </w:tcPr>
          <w:p w14:paraId="70B4F875" w14:textId="571CE0BA"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0BFF95A5" w14:textId="0453AB40" w:rsidR="00A85FE9" w:rsidRPr="00023B68" w:rsidRDefault="00A85FE9" w:rsidP="00A85FE9">
            <w:pPr>
              <w:pStyle w:val="Default"/>
              <w:rPr>
                <w:sz w:val="20"/>
                <w:szCs w:val="20"/>
              </w:rPr>
            </w:pPr>
            <w:r w:rsidRPr="00023B68">
              <w:rPr>
                <w:sz w:val="20"/>
                <w:szCs w:val="20"/>
              </w:rPr>
              <w:t>Artykuł 30 pozwala na odstępstwa między innymi w przypadku braku odpowiedniej usługi, niepowodzenia wcześniejszego postępowania albo nieproporcjonalnego kosztu. Fundacja rekomenduje, aby każde odstępstwo:</w:t>
            </w:r>
          </w:p>
          <w:p w14:paraId="671C9948" w14:textId="77777777" w:rsidR="00A85FE9" w:rsidRPr="00023B68" w:rsidRDefault="00A85FE9" w:rsidP="00A85FE9">
            <w:pPr>
              <w:pStyle w:val="Default"/>
              <w:numPr>
                <w:ilvl w:val="0"/>
                <w:numId w:val="30"/>
              </w:numPr>
              <w:rPr>
                <w:sz w:val="20"/>
                <w:szCs w:val="20"/>
              </w:rPr>
            </w:pPr>
            <w:r w:rsidRPr="00023B68">
              <w:rPr>
                <w:sz w:val="20"/>
                <w:szCs w:val="20"/>
              </w:rPr>
              <w:t>było udokumentowane;</w:t>
            </w:r>
          </w:p>
          <w:p w14:paraId="4F313DCA" w14:textId="77777777" w:rsidR="00A85FE9" w:rsidRPr="00023B68" w:rsidRDefault="00A85FE9" w:rsidP="00A85FE9">
            <w:pPr>
              <w:pStyle w:val="Default"/>
              <w:numPr>
                <w:ilvl w:val="0"/>
                <w:numId w:val="30"/>
              </w:numPr>
              <w:rPr>
                <w:sz w:val="20"/>
                <w:szCs w:val="20"/>
              </w:rPr>
            </w:pPr>
            <w:r w:rsidRPr="00023B68">
              <w:rPr>
                <w:sz w:val="20"/>
                <w:szCs w:val="20"/>
              </w:rPr>
              <w:t>miało ograniczony czas obowiązywania;</w:t>
            </w:r>
          </w:p>
          <w:p w14:paraId="2F1C5808" w14:textId="77777777" w:rsidR="00A85FE9" w:rsidRPr="00023B68" w:rsidRDefault="00A85FE9" w:rsidP="00A85FE9">
            <w:pPr>
              <w:pStyle w:val="Default"/>
              <w:numPr>
                <w:ilvl w:val="0"/>
                <w:numId w:val="30"/>
              </w:numPr>
              <w:rPr>
                <w:sz w:val="20"/>
                <w:szCs w:val="20"/>
              </w:rPr>
            </w:pPr>
            <w:r w:rsidRPr="00023B68">
              <w:rPr>
                <w:sz w:val="20"/>
                <w:szCs w:val="20"/>
              </w:rPr>
              <w:t>wskazywało plan ponownej oceny rynku;</w:t>
            </w:r>
          </w:p>
          <w:p w14:paraId="6D6A0917" w14:textId="77777777" w:rsidR="00A85FE9" w:rsidRPr="00023B68" w:rsidRDefault="00A85FE9" w:rsidP="00A85FE9">
            <w:pPr>
              <w:pStyle w:val="Default"/>
              <w:numPr>
                <w:ilvl w:val="0"/>
                <w:numId w:val="30"/>
              </w:numPr>
              <w:rPr>
                <w:sz w:val="20"/>
                <w:szCs w:val="20"/>
              </w:rPr>
            </w:pPr>
            <w:r w:rsidRPr="00023B68">
              <w:rPr>
                <w:sz w:val="20"/>
                <w:szCs w:val="20"/>
              </w:rPr>
              <w:t>zawierało ocenę ryzyka;</w:t>
            </w:r>
          </w:p>
          <w:p w14:paraId="17EB9D8F" w14:textId="77777777" w:rsidR="00A85FE9" w:rsidRPr="00023B68" w:rsidRDefault="00A85FE9" w:rsidP="00A85FE9">
            <w:pPr>
              <w:pStyle w:val="Default"/>
              <w:numPr>
                <w:ilvl w:val="0"/>
                <w:numId w:val="30"/>
              </w:numPr>
              <w:rPr>
                <w:sz w:val="20"/>
                <w:szCs w:val="20"/>
              </w:rPr>
            </w:pPr>
            <w:r w:rsidRPr="00023B68">
              <w:rPr>
                <w:sz w:val="20"/>
                <w:szCs w:val="20"/>
              </w:rPr>
              <w:t>uwzględniało koszt całego cyklu życia, a nie tylko cenę zakupu;</w:t>
            </w:r>
          </w:p>
          <w:p w14:paraId="4508477F" w14:textId="77777777" w:rsidR="00A85FE9" w:rsidRPr="00023B68" w:rsidRDefault="00A85FE9" w:rsidP="00A85FE9">
            <w:pPr>
              <w:pStyle w:val="Default"/>
              <w:numPr>
                <w:ilvl w:val="0"/>
                <w:numId w:val="30"/>
              </w:numPr>
              <w:rPr>
                <w:sz w:val="20"/>
                <w:szCs w:val="20"/>
              </w:rPr>
            </w:pPr>
            <w:r w:rsidRPr="00023B68">
              <w:rPr>
                <w:sz w:val="20"/>
                <w:szCs w:val="20"/>
              </w:rPr>
              <w:t>było raportowane właściwemu organowi;</w:t>
            </w:r>
          </w:p>
          <w:p w14:paraId="69ABB717" w14:textId="77777777" w:rsidR="00A85FE9" w:rsidRPr="00023B68" w:rsidRDefault="00A85FE9" w:rsidP="00A85FE9">
            <w:pPr>
              <w:pStyle w:val="Default"/>
              <w:numPr>
                <w:ilvl w:val="0"/>
                <w:numId w:val="30"/>
              </w:numPr>
              <w:rPr>
                <w:sz w:val="20"/>
                <w:szCs w:val="20"/>
              </w:rPr>
            </w:pPr>
            <w:r w:rsidRPr="00023B68">
              <w:rPr>
                <w:sz w:val="20"/>
                <w:szCs w:val="20"/>
              </w:rPr>
              <w:t>było publikowane w zakresie nienaruszającym bezpieczeństwa i tajemnicy przedsiębiorstwa;</w:t>
            </w:r>
          </w:p>
          <w:p w14:paraId="7B9BD308" w14:textId="77777777" w:rsidR="00A85FE9" w:rsidRPr="00023B68" w:rsidRDefault="00A85FE9" w:rsidP="00A85FE9">
            <w:pPr>
              <w:pStyle w:val="Default"/>
              <w:numPr>
                <w:ilvl w:val="0"/>
                <w:numId w:val="30"/>
              </w:numPr>
              <w:rPr>
                <w:sz w:val="20"/>
                <w:szCs w:val="20"/>
              </w:rPr>
            </w:pPr>
            <w:r w:rsidRPr="00023B68">
              <w:rPr>
                <w:sz w:val="20"/>
                <w:szCs w:val="20"/>
              </w:rPr>
              <w:t>obejmowało plan wyjścia i ograniczenia zależności.</w:t>
            </w:r>
          </w:p>
          <w:p w14:paraId="23FBC668" w14:textId="77777777" w:rsidR="00A85FE9" w:rsidRPr="00023B68" w:rsidRDefault="00A85FE9" w:rsidP="00A85FE9">
            <w:pPr>
              <w:pStyle w:val="Default"/>
              <w:rPr>
                <w:sz w:val="20"/>
                <w:szCs w:val="20"/>
              </w:rPr>
            </w:pPr>
            <w:r w:rsidRPr="00023B68">
              <w:rPr>
                <w:sz w:val="20"/>
                <w:szCs w:val="20"/>
              </w:rPr>
              <w:t>Odstępstwo nie powinno umożliwiać trwałego utrzymywania niezgodnego rozwiązania wyłącznie dlatego, że jego natychmiastowa migracja jest kosztowna.</w:t>
            </w:r>
          </w:p>
          <w:p w14:paraId="69AC8881" w14:textId="77777777" w:rsidR="00A85FE9" w:rsidRPr="00023B68" w:rsidRDefault="00A85FE9" w:rsidP="00A85FE9">
            <w:pPr>
              <w:pStyle w:val="Default"/>
              <w:rPr>
                <w:sz w:val="20"/>
                <w:szCs w:val="20"/>
              </w:rPr>
            </w:pPr>
          </w:p>
        </w:tc>
      </w:tr>
      <w:tr w:rsidR="00A85FE9" w:rsidRPr="00023B68" w14:paraId="475430DE" w14:textId="77777777" w:rsidTr="00040008">
        <w:tc>
          <w:tcPr>
            <w:tcW w:w="0" w:type="auto"/>
          </w:tcPr>
          <w:p w14:paraId="6F51C343" w14:textId="77777777" w:rsidR="00A85FE9" w:rsidRPr="00023B68" w:rsidRDefault="00A85FE9" w:rsidP="00A85FE9">
            <w:pPr>
              <w:pStyle w:val="Default"/>
              <w:rPr>
                <w:sz w:val="20"/>
                <w:szCs w:val="20"/>
              </w:rPr>
            </w:pPr>
            <w:r w:rsidRPr="00023B68">
              <w:rPr>
                <w:sz w:val="20"/>
                <w:szCs w:val="20"/>
              </w:rPr>
              <w:t>Artykuł 31</w:t>
            </w:r>
          </w:p>
          <w:p w14:paraId="2D641D61" w14:textId="0B95079D" w:rsidR="00A85FE9" w:rsidRPr="00023B68" w:rsidRDefault="00A85FE9" w:rsidP="00A85FE9">
            <w:pPr>
              <w:pStyle w:val="Default"/>
              <w:rPr>
                <w:i/>
                <w:iCs/>
                <w:sz w:val="20"/>
                <w:szCs w:val="20"/>
              </w:rPr>
            </w:pPr>
            <w:proofErr w:type="spellStart"/>
            <w:r w:rsidRPr="00023B68">
              <w:rPr>
                <w:i/>
                <w:iCs/>
                <w:sz w:val="20"/>
                <w:szCs w:val="20"/>
              </w:rPr>
              <w:t>Impact</w:t>
            </w:r>
            <w:proofErr w:type="spellEnd"/>
            <w:r w:rsidRPr="00023B68">
              <w:rPr>
                <w:i/>
                <w:iCs/>
                <w:sz w:val="20"/>
                <w:szCs w:val="20"/>
              </w:rPr>
              <w:t xml:space="preserve"> </w:t>
            </w:r>
            <w:proofErr w:type="spellStart"/>
            <w:r w:rsidRPr="00023B68">
              <w:rPr>
                <w:i/>
                <w:iCs/>
                <w:sz w:val="20"/>
                <w:szCs w:val="20"/>
              </w:rPr>
              <w:t>assessments</w:t>
            </w:r>
            <w:proofErr w:type="spellEnd"/>
          </w:p>
        </w:tc>
        <w:tc>
          <w:tcPr>
            <w:tcW w:w="0" w:type="auto"/>
          </w:tcPr>
          <w:p w14:paraId="74C7CBBE" w14:textId="1DBC865A" w:rsidR="00A85FE9" w:rsidRPr="00023B68" w:rsidRDefault="00A85FE9" w:rsidP="00A85FE9">
            <w:pPr>
              <w:pStyle w:val="Default"/>
              <w:rPr>
                <w:sz w:val="20"/>
                <w:szCs w:val="20"/>
              </w:rPr>
            </w:pPr>
            <w:r w:rsidRPr="00023B68">
              <w:rPr>
                <w:sz w:val="20"/>
                <w:szCs w:val="20"/>
              </w:rPr>
              <w:t>ZPP</w:t>
            </w:r>
          </w:p>
        </w:tc>
        <w:tc>
          <w:tcPr>
            <w:tcW w:w="0" w:type="auto"/>
          </w:tcPr>
          <w:p w14:paraId="44D434E4" w14:textId="77777777" w:rsidR="00A85FE9" w:rsidRPr="00023B68" w:rsidRDefault="00A85FE9" w:rsidP="00A85FE9">
            <w:pPr>
              <w:pStyle w:val="Default"/>
              <w:rPr>
                <w:sz w:val="20"/>
                <w:szCs w:val="20"/>
              </w:rPr>
            </w:pPr>
            <w:r w:rsidRPr="00023B68">
              <w:rPr>
                <w:sz w:val="20"/>
                <w:szCs w:val="20"/>
              </w:rPr>
              <w:t xml:space="preserve">Doprecyzowania wymaga również art. 31 dotyczący sektora prywatnego. Projekt powinien możliwie jednoznacznie określać kategorie podmiotów i usług, które mogą zostać objęte dodatkowymi obowiązkami, przesłanki ich zastosowania, relację CADA z NIS2, DORA i regulacjami sektorowymi oraz odpowiednie okresy przejściowe. Pozwoli to zwiększyć przewidywalność </w:t>
            </w:r>
            <w:r w:rsidRPr="00023B68">
              <w:rPr>
                <w:sz w:val="20"/>
                <w:szCs w:val="20"/>
              </w:rPr>
              <w:lastRenderedPageBreak/>
              <w:t>regulacyjną i zapewnić, że zakres obowiązków będzie odpowiadał rzeczywistemu znaczeniu danej działalności dla bezpieczeństwa i porządku publicznego.</w:t>
            </w:r>
          </w:p>
          <w:p w14:paraId="2FE034BE" w14:textId="77777777" w:rsidR="00A85FE9" w:rsidRPr="00023B68" w:rsidRDefault="00A85FE9" w:rsidP="00A85FE9">
            <w:pPr>
              <w:pStyle w:val="Default"/>
              <w:rPr>
                <w:sz w:val="20"/>
                <w:szCs w:val="20"/>
              </w:rPr>
            </w:pPr>
          </w:p>
        </w:tc>
      </w:tr>
      <w:tr w:rsidR="00A85FE9" w:rsidRPr="00023B68" w14:paraId="7E6395DF" w14:textId="77777777" w:rsidTr="00040008">
        <w:tc>
          <w:tcPr>
            <w:tcW w:w="0" w:type="auto"/>
          </w:tcPr>
          <w:p w14:paraId="3DDD43F4" w14:textId="616E8B72"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6C84AF6B" w14:textId="7194E864"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18C82F4D" w14:textId="77777777" w:rsidR="00A85FE9" w:rsidRPr="00023B68" w:rsidRDefault="00A85FE9" w:rsidP="00A85FE9">
            <w:pPr>
              <w:pStyle w:val="Default"/>
              <w:rPr>
                <w:sz w:val="20"/>
                <w:szCs w:val="20"/>
              </w:rPr>
            </w:pPr>
            <w:r w:rsidRPr="00023B68">
              <w:rPr>
                <w:sz w:val="20"/>
                <w:szCs w:val="20"/>
              </w:rPr>
              <w:t>Artykuł 31 umożliwia Komisji wprowadzenie w drodze aktu delegowanego obowiązkowych ocen i środków ograniczających ryzyko dla prywatnych podmiotów z sektorów wysoce krytycznych. </w:t>
            </w:r>
          </w:p>
          <w:p w14:paraId="52CB4B94" w14:textId="77777777" w:rsidR="00A85FE9" w:rsidRPr="00023B68" w:rsidRDefault="00A85FE9" w:rsidP="00A85FE9">
            <w:pPr>
              <w:pStyle w:val="Default"/>
              <w:rPr>
                <w:sz w:val="20"/>
                <w:szCs w:val="20"/>
              </w:rPr>
            </w:pPr>
            <w:r w:rsidRPr="00023B68">
              <w:rPr>
                <w:sz w:val="20"/>
                <w:szCs w:val="20"/>
              </w:rPr>
              <w:t>Fundacja rekomenduje, aby zasadnicze elementy takich obowiązków zostały określone bezpośrednio w rozporządzeniu, w tym:</w:t>
            </w:r>
          </w:p>
          <w:p w14:paraId="5C1F45DB" w14:textId="77777777" w:rsidR="00A85FE9" w:rsidRPr="00023B68" w:rsidRDefault="00A85FE9" w:rsidP="00A85FE9">
            <w:pPr>
              <w:pStyle w:val="Default"/>
              <w:numPr>
                <w:ilvl w:val="0"/>
                <w:numId w:val="24"/>
              </w:numPr>
              <w:rPr>
                <w:sz w:val="20"/>
                <w:szCs w:val="20"/>
              </w:rPr>
            </w:pPr>
            <w:r w:rsidRPr="00023B68">
              <w:rPr>
                <w:sz w:val="20"/>
                <w:szCs w:val="20"/>
              </w:rPr>
              <w:t>objęte sektory;</w:t>
            </w:r>
          </w:p>
          <w:p w14:paraId="36C7BB46" w14:textId="77777777" w:rsidR="00A85FE9" w:rsidRPr="00023B68" w:rsidRDefault="00A85FE9" w:rsidP="00A85FE9">
            <w:pPr>
              <w:pStyle w:val="Default"/>
              <w:numPr>
                <w:ilvl w:val="0"/>
                <w:numId w:val="24"/>
              </w:numPr>
              <w:rPr>
                <w:sz w:val="20"/>
                <w:szCs w:val="20"/>
              </w:rPr>
            </w:pPr>
            <w:r w:rsidRPr="00023B68">
              <w:rPr>
                <w:sz w:val="20"/>
                <w:szCs w:val="20"/>
              </w:rPr>
              <w:t>progi wielkości;</w:t>
            </w:r>
          </w:p>
          <w:p w14:paraId="276848AB" w14:textId="77777777" w:rsidR="00A85FE9" w:rsidRPr="00023B68" w:rsidRDefault="00A85FE9" w:rsidP="00A85FE9">
            <w:pPr>
              <w:pStyle w:val="Default"/>
              <w:numPr>
                <w:ilvl w:val="0"/>
                <w:numId w:val="24"/>
              </w:numPr>
              <w:rPr>
                <w:sz w:val="20"/>
                <w:szCs w:val="20"/>
              </w:rPr>
            </w:pPr>
            <w:r w:rsidRPr="00023B68">
              <w:rPr>
                <w:sz w:val="20"/>
                <w:szCs w:val="20"/>
              </w:rPr>
              <w:t>kryteria krytyczności;</w:t>
            </w:r>
          </w:p>
          <w:p w14:paraId="66B89299" w14:textId="77777777" w:rsidR="00A85FE9" w:rsidRPr="00023B68" w:rsidRDefault="00A85FE9" w:rsidP="00A85FE9">
            <w:pPr>
              <w:pStyle w:val="Default"/>
              <w:numPr>
                <w:ilvl w:val="0"/>
                <w:numId w:val="24"/>
              </w:numPr>
              <w:rPr>
                <w:sz w:val="20"/>
                <w:szCs w:val="20"/>
              </w:rPr>
            </w:pPr>
            <w:r w:rsidRPr="00023B68">
              <w:rPr>
                <w:sz w:val="20"/>
                <w:szCs w:val="20"/>
              </w:rPr>
              <w:t>zakres oceny;</w:t>
            </w:r>
          </w:p>
          <w:p w14:paraId="51DCE68D" w14:textId="77777777" w:rsidR="00A85FE9" w:rsidRPr="00023B68" w:rsidRDefault="00A85FE9" w:rsidP="00A85FE9">
            <w:pPr>
              <w:pStyle w:val="Default"/>
              <w:numPr>
                <w:ilvl w:val="0"/>
                <w:numId w:val="24"/>
              </w:numPr>
              <w:rPr>
                <w:sz w:val="20"/>
                <w:szCs w:val="20"/>
              </w:rPr>
            </w:pPr>
            <w:r w:rsidRPr="00023B68">
              <w:rPr>
                <w:sz w:val="20"/>
                <w:szCs w:val="20"/>
              </w:rPr>
              <w:t>minimalny okres dostosowawczy;</w:t>
            </w:r>
          </w:p>
          <w:p w14:paraId="22858970" w14:textId="77777777" w:rsidR="00A85FE9" w:rsidRPr="00023B68" w:rsidRDefault="00A85FE9" w:rsidP="00A85FE9">
            <w:pPr>
              <w:pStyle w:val="Default"/>
              <w:numPr>
                <w:ilvl w:val="0"/>
                <w:numId w:val="24"/>
              </w:numPr>
              <w:rPr>
                <w:sz w:val="20"/>
                <w:szCs w:val="20"/>
              </w:rPr>
            </w:pPr>
            <w:r w:rsidRPr="00023B68">
              <w:rPr>
                <w:sz w:val="20"/>
                <w:szCs w:val="20"/>
              </w:rPr>
              <w:t>zasady unikania dublowania obowiązków DORA i NIS2;</w:t>
            </w:r>
          </w:p>
          <w:p w14:paraId="77F65BD6" w14:textId="77777777" w:rsidR="00A85FE9" w:rsidRPr="00023B68" w:rsidRDefault="00A85FE9" w:rsidP="00A85FE9">
            <w:pPr>
              <w:pStyle w:val="Default"/>
              <w:numPr>
                <w:ilvl w:val="0"/>
                <w:numId w:val="24"/>
              </w:numPr>
              <w:rPr>
                <w:sz w:val="20"/>
                <w:szCs w:val="20"/>
              </w:rPr>
            </w:pPr>
            <w:r w:rsidRPr="00023B68">
              <w:rPr>
                <w:sz w:val="20"/>
                <w:szCs w:val="20"/>
              </w:rPr>
              <w:t>obowiązek przeprowadzenia konsultacji i oceny skutków.</w:t>
            </w:r>
          </w:p>
          <w:p w14:paraId="394A9C86" w14:textId="77777777" w:rsidR="00A85FE9" w:rsidRPr="00023B68" w:rsidRDefault="00A85FE9" w:rsidP="00A85FE9">
            <w:pPr>
              <w:pStyle w:val="Default"/>
              <w:rPr>
                <w:sz w:val="20"/>
                <w:szCs w:val="20"/>
              </w:rPr>
            </w:pPr>
          </w:p>
        </w:tc>
      </w:tr>
      <w:tr w:rsidR="00A85FE9" w:rsidRPr="00023B68" w14:paraId="00A02105" w14:textId="77777777" w:rsidTr="00040008">
        <w:tc>
          <w:tcPr>
            <w:tcW w:w="0" w:type="auto"/>
          </w:tcPr>
          <w:p w14:paraId="032CCB2E" w14:textId="7BA7758F"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687B52C4" w14:textId="31F78C3D" w:rsidR="00A85FE9" w:rsidRPr="00023B68" w:rsidRDefault="00A85FE9" w:rsidP="00A85FE9">
            <w:pPr>
              <w:pStyle w:val="Default"/>
              <w:rPr>
                <w:sz w:val="20"/>
                <w:szCs w:val="20"/>
              </w:rPr>
            </w:pPr>
            <w:r w:rsidRPr="00023B68">
              <w:rPr>
                <w:sz w:val="20"/>
                <w:szCs w:val="20"/>
              </w:rPr>
              <w:t>Zw. Cyfrowa Polska</w:t>
            </w:r>
          </w:p>
        </w:tc>
        <w:tc>
          <w:tcPr>
            <w:tcW w:w="0" w:type="auto"/>
          </w:tcPr>
          <w:p w14:paraId="1A1F6BE0" w14:textId="77777777" w:rsidR="00A85FE9" w:rsidRPr="00023B68" w:rsidRDefault="00A85FE9" w:rsidP="00A85FE9">
            <w:pPr>
              <w:pStyle w:val="Default"/>
              <w:rPr>
                <w:sz w:val="20"/>
                <w:szCs w:val="20"/>
              </w:rPr>
            </w:pPr>
            <w:r w:rsidRPr="00023B68">
              <w:rPr>
                <w:sz w:val="20"/>
                <w:szCs w:val="20"/>
              </w:rPr>
              <w:t xml:space="preserve">Zgłaszamy także obawy dotyczące uprawnień delegowanych. Komisja może rozszerzyć wymogi CADA na sektor prywatny w drodze aktu delegowanego (bez pełnej procedury legislacyjnej), obejmując potencjalnie energetykę, zdrowie, bankowość i transport, bez zwykłych zabezpieczeń legislacyjnych. Tworzy to znaczną niepewność prawną i zniechęca do długoterminowych inwestycji. </w:t>
            </w:r>
          </w:p>
          <w:p w14:paraId="427A268D" w14:textId="77777777" w:rsidR="00A85FE9" w:rsidRPr="00023B68" w:rsidRDefault="00A85FE9" w:rsidP="00A85FE9">
            <w:pPr>
              <w:pStyle w:val="Default"/>
              <w:rPr>
                <w:sz w:val="20"/>
                <w:szCs w:val="20"/>
              </w:rPr>
            </w:pPr>
            <w:r w:rsidRPr="00023B68">
              <w:rPr>
                <w:sz w:val="20"/>
                <w:szCs w:val="20"/>
              </w:rPr>
              <w:t xml:space="preserve">Rekomendowane rozwiązania: </w:t>
            </w:r>
          </w:p>
          <w:p w14:paraId="6325BAB6" w14:textId="77777777" w:rsidR="00A85FE9" w:rsidRPr="00023B68" w:rsidRDefault="00A85FE9" w:rsidP="00A85FE9">
            <w:pPr>
              <w:pStyle w:val="Default"/>
              <w:numPr>
                <w:ilvl w:val="0"/>
                <w:numId w:val="50"/>
              </w:numPr>
              <w:rPr>
                <w:sz w:val="20"/>
                <w:szCs w:val="20"/>
              </w:rPr>
            </w:pPr>
            <w:r w:rsidRPr="00023B68">
              <w:rPr>
                <w:sz w:val="20"/>
                <w:szCs w:val="20"/>
              </w:rPr>
              <w:t xml:space="preserve">Przeprowadzenie rygorystycznej oceny skutków przed przyjęciem regulacji. </w:t>
            </w:r>
          </w:p>
          <w:p w14:paraId="3978C537" w14:textId="77777777" w:rsidR="00A85FE9" w:rsidRPr="00023B68" w:rsidRDefault="00A85FE9" w:rsidP="00A85FE9">
            <w:pPr>
              <w:pStyle w:val="Default"/>
              <w:numPr>
                <w:ilvl w:val="0"/>
                <w:numId w:val="50"/>
              </w:numPr>
              <w:rPr>
                <w:sz w:val="20"/>
                <w:szCs w:val="20"/>
              </w:rPr>
            </w:pPr>
            <w:r w:rsidRPr="00023B68">
              <w:rPr>
                <w:sz w:val="20"/>
                <w:szCs w:val="20"/>
              </w:rPr>
              <w:t xml:space="preserve">Ograniczenie uprawnień delegowanych wyłącznie do specyfikacji technicznych. </w:t>
            </w:r>
          </w:p>
          <w:p w14:paraId="69329470" w14:textId="77777777" w:rsidR="00A85FE9" w:rsidRPr="00023B68" w:rsidRDefault="00A85FE9" w:rsidP="00A85FE9">
            <w:pPr>
              <w:pStyle w:val="Default"/>
              <w:numPr>
                <w:ilvl w:val="0"/>
                <w:numId w:val="50"/>
              </w:numPr>
              <w:rPr>
                <w:sz w:val="20"/>
                <w:szCs w:val="20"/>
              </w:rPr>
            </w:pPr>
            <w:r w:rsidRPr="00023B68">
              <w:rPr>
                <w:sz w:val="20"/>
                <w:szCs w:val="20"/>
              </w:rPr>
              <w:t xml:space="preserve">Zapewnienie, by każde rozszerzenie na sektor prywatny wymagało zwykłej procedury legislacyjnej, konsultacji z interesariuszami i niezależnej oceny skutków. </w:t>
            </w:r>
          </w:p>
          <w:p w14:paraId="5E2305BE" w14:textId="77777777" w:rsidR="00A85FE9" w:rsidRPr="00023B68" w:rsidRDefault="00A85FE9" w:rsidP="00A85FE9">
            <w:pPr>
              <w:pStyle w:val="Default"/>
              <w:rPr>
                <w:sz w:val="20"/>
                <w:szCs w:val="20"/>
              </w:rPr>
            </w:pPr>
          </w:p>
        </w:tc>
      </w:tr>
      <w:tr w:rsidR="00A85FE9" w:rsidRPr="00023B68" w14:paraId="7476B571" w14:textId="77777777" w:rsidTr="00040008">
        <w:tc>
          <w:tcPr>
            <w:tcW w:w="0" w:type="auto"/>
          </w:tcPr>
          <w:p w14:paraId="1B56EF03" w14:textId="77777777" w:rsidR="00A85FE9" w:rsidRPr="00023B68" w:rsidRDefault="00A85FE9" w:rsidP="00A85FE9">
            <w:pPr>
              <w:pStyle w:val="Default"/>
              <w:rPr>
                <w:sz w:val="20"/>
                <w:szCs w:val="20"/>
              </w:rPr>
            </w:pPr>
            <w:r w:rsidRPr="00023B68">
              <w:rPr>
                <w:sz w:val="20"/>
                <w:szCs w:val="20"/>
              </w:rPr>
              <w:t xml:space="preserve">Artykuł 32 </w:t>
            </w:r>
          </w:p>
          <w:p w14:paraId="5E392813" w14:textId="2EBCC825" w:rsidR="00A85FE9" w:rsidRPr="00023B68" w:rsidRDefault="00A85FE9" w:rsidP="00A85FE9">
            <w:pPr>
              <w:pStyle w:val="Default"/>
              <w:rPr>
                <w:sz w:val="20"/>
                <w:szCs w:val="20"/>
              </w:rPr>
            </w:pPr>
            <w:r w:rsidRPr="00023B68">
              <w:rPr>
                <w:i/>
                <w:iCs/>
                <w:sz w:val="20"/>
                <w:szCs w:val="20"/>
              </w:rPr>
              <w:t xml:space="preserve">Union </w:t>
            </w:r>
            <w:proofErr w:type="spellStart"/>
            <w:r w:rsidRPr="00023B68">
              <w:rPr>
                <w:i/>
                <w:iCs/>
                <w:sz w:val="20"/>
                <w:szCs w:val="20"/>
              </w:rPr>
              <w:t>added</w:t>
            </w:r>
            <w:proofErr w:type="spellEnd"/>
            <w:r w:rsidRPr="00023B68">
              <w:rPr>
                <w:i/>
                <w:iCs/>
                <w:sz w:val="20"/>
                <w:szCs w:val="20"/>
              </w:rPr>
              <w:t xml:space="preserve"> </w:t>
            </w:r>
            <w:proofErr w:type="spellStart"/>
            <w:r w:rsidRPr="00023B68">
              <w:rPr>
                <w:i/>
                <w:iCs/>
                <w:sz w:val="20"/>
                <w:szCs w:val="20"/>
              </w:rPr>
              <w:t>value</w:t>
            </w:r>
            <w:proofErr w:type="spellEnd"/>
          </w:p>
        </w:tc>
        <w:tc>
          <w:tcPr>
            <w:tcW w:w="0" w:type="auto"/>
          </w:tcPr>
          <w:p w14:paraId="51C35950" w14:textId="0612D871" w:rsidR="00A85FE9" w:rsidRPr="00023B68" w:rsidRDefault="00A85FE9" w:rsidP="00A85FE9">
            <w:pPr>
              <w:pStyle w:val="Default"/>
              <w:rPr>
                <w:sz w:val="20"/>
                <w:szCs w:val="20"/>
              </w:rPr>
            </w:pPr>
            <w:r w:rsidRPr="00023B68">
              <w:rPr>
                <w:sz w:val="20"/>
                <w:szCs w:val="20"/>
              </w:rPr>
              <w:t>SIAPL KIGEIT</w:t>
            </w:r>
          </w:p>
        </w:tc>
        <w:tc>
          <w:tcPr>
            <w:tcW w:w="0" w:type="auto"/>
          </w:tcPr>
          <w:p w14:paraId="1A4926D8" w14:textId="77777777" w:rsidR="00A85FE9" w:rsidRPr="00023B68" w:rsidRDefault="00A85FE9" w:rsidP="00A85FE9">
            <w:pPr>
              <w:pStyle w:val="Default"/>
              <w:rPr>
                <w:sz w:val="20"/>
                <w:szCs w:val="20"/>
              </w:rPr>
            </w:pPr>
            <w:r w:rsidRPr="00023B68">
              <w:rPr>
                <w:sz w:val="20"/>
                <w:szCs w:val="20"/>
              </w:rPr>
              <w:t>Dobrowolność mechanizmów zamówień publicznych</w:t>
            </w:r>
          </w:p>
          <w:p w14:paraId="6D4DA16D" w14:textId="77777777" w:rsidR="00A85FE9" w:rsidRPr="00023B68" w:rsidRDefault="00A85FE9" w:rsidP="00A85FE9">
            <w:pPr>
              <w:pStyle w:val="Default"/>
              <w:rPr>
                <w:sz w:val="20"/>
                <w:szCs w:val="20"/>
              </w:rPr>
            </w:pPr>
            <w:r w:rsidRPr="00023B68">
              <w:rPr>
                <w:sz w:val="20"/>
                <w:szCs w:val="20"/>
              </w:rPr>
              <w:t xml:space="preserve">Artykuł 32 CADA obliguje instytucje zamawiające do stosowania "kryteriów unijnej wartości dodanej" w zamówieniach usług chmurowych, lecz nie ustanawia żadnych wiążących progów, wartości docelowych ani wymogów udziału europejskich dostawców. Sprawozdawczość dla państw członkowskich (art. 33) jest mechanizmem monitorowania, nie wykonania. Wobec dominacji trzech </w:t>
            </w:r>
            <w:proofErr w:type="spellStart"/>
            <w:r w:rsidRPr="00023B68">
              <w:rPr>
                <w:sz w:val="20"/>
                <w:szCs w:val="20"/>
              </w:rPr>
              <w:t>hiperscalerów</w:t>
            </w:r>
            <w:proofErr w:type="spellEnd"/>
            <w:r w:rsidRPr="00023B68">
              <w:rPr>
                <w:sz w:val="20"/>
                <w:szCs w:val="20"/>
              </w:rPr>
              <w:t xml:space="preserve"> (kontrolujących ok. 70% rynku UE) i braku wiążących preferencji europejskich, naturalny efekt inercji zakupowej administracji publicznej będzie utrwalał status quo.</w:t>
            </w:r>
          </w:p>
          <w:p w14:paraId="4D9BFE92" w14:textId="77777777" w:rsidR="00A85FE9" w:rsidRPr="00023B68" w:rsidRDefault="00A85FE9" w:rsidP="00A85FE9">
            <w:pPr>
              <w:pStyle w:val="Default"/>
              <w:rPr>
                <w:sz w:val="20"/>
                <w:szCs w:val="20"/>
              </w:rPr>
            </w:pPr>
          </w:p>
          <w:p w14:paraId="63711B4D" w14:textId="77777777" w:rsidR="00A85FE9" w:rsidRPr="00023B68" w:rsidRDefault="00A85FE9" w:rsidP="00A85FE9">
            <w:pPr>
              <w:pStyle w:val="Default"/>
              <w:rPr>
                <w:sz w:val="20"/>
                <w:szCs w:val="20"/>
              </w:rPr>
            </w:pPr>
            <w:r w:rsidRPr="00023B68">
              <w:rPr>
                <w:sz w:val="20"/>
                <w:szCs w:val="20"/>
              </w:rPr>
              <w:t>Art. 32 lub 33 CADA powinny zostać uzupełnione o wiążące cele ilościowe:</w:t>
            </w:r>
          </w:p>
          <w:p w14:paraId="05315715" w14:textId="77777777" w:rsidR="00A85FE9" w:rsidRPr="00023B68" w:rsidRDefault="00A85FE9" w:rsidP="00A85FE9">
            <w:pPr>
              <w:pStyle w:val="Default"/>
              <w:rPr>
                <w:sz w:val="20"/>
                <w:szCs w:val="20"/>
              </w:rPr>
            </w:pPr>
            <w:r w:rsidRPr="00023B68">
              <w:rPr>
                <w:sz w:val="20"/>
                <w:szCs w:val="20"/>
              </w:rPr>
              <w:t xml:space="preserve">• Co najmniej 50% wydatków publicznych na usługi chmurowe do 2030 r. powinno trafiać do suwerennych europejskich dostawców (Union </w:t>
            </w:r>
            <w:proofErr w:type="spellStart"/>
            <w:r w:rsidRPr="00023B68">
              <w:rPr>
                <w:sz w:val="20"/>
                <w:szCs w:val="20"/>
              </w:rPr>
              <w:t>assurance</w:t>
            </w:r>
            <w:proofErr w:type="spellEnd"/>
            <w:r w:rsidRPr="00023B68">
              <w:rPr>
                <w:sz w:val="20"/>
                <w:szCs w:val="20"/>
              </w:rPr>
              <w:t xml:space="preserve"> </w:t>
            </w:r>
            <w:proofErr w:type="spellStart"/>
            <w:r w:rsidRPr="00023B68">
              <w:rPr>
                <w:sz w:val="20"/>
                <w:szCs w:val="20"/>
              </w:rPr>
              <w:t>level</w:t>
            </w:r>
            <w:proofErr w:type="spellEnd"/>
            <w:r w:rsidRPr="00023B68">
              <w:rPr>
                <w:sz w:val="20"/>
                <w:szCs w:val="20"/>
              </w:rPr>
              <w:t xml:space="preserve"> 2+).</w:t>
            </w:r>
          </w:p>
          <w:p w14:paraId="50E668A4" w14:textId="77777777" w:rsidR="00A85FE9" w:rsidRPr="00023B68" w:rsidRDefault="00A85FE9" w:rsidP="00A85FE9">
            <w:pPr>
              <w:pStyle w:val="Default"/>
              <w:rPr>
                <w:sz w:val="20"/>
                <w:szCs w:val="20"/>
              </w:rPr>
            </w:pPr>
            <w:r w:rsidRPr="00023B68">
              <w:rPr>
                <w:sz w:val="20"/>
                <w:szCs w:val="20"/>
              </w:rPr>
              <w:t xml:space="preserve">• Coroczne raportowanie realizacji celów przez państwa członkowskie z możliwością zastosowania mechanizmu </w:t>
            </w:r>
            <w:proofErr w:type="spellStart"/>
            <w:r w:rsidRPr="00023B68">
              <w:rPr>
                <w:sz w:val="20"/>
                <w:szCs w:val="20"/>
              </w:rPr>
              <w:t>zaleceniowego</w:t>
            </w:r>
            <w:proofErr w:type="spellEnd"/>
            <w:r w:rsidRPr="00023B68">
              <w:rPr>
                <w:sz w:val="20"/>
                <w:szCs w:val="20"/>
              </w:rPr>
              <w:t xml:space="preserve"> KE w przypadku niedostatecznych postępów.</w:t>
            </w:r>
          </w:p>
          <w:p w14:paraId="3909B728" w14:textId="77777777" w:rsidR="00A85FE9" w:rsidRPr="00023B68" w:rsidRDefault="00A85FE9" w:rsidP="00A85FE9">
            <w:pPr>
              <w:pStyle w:val="Default"/>
              <w:rPr>
                <w:sz w:val="20"/>
                <w:szCs w:val="20"/>
              </w:rPr>
            </w:pPr>
            <w:r w:rsidRPr="00023B68">
              <w:rPr>
                <w:sz w:val="20"/>
                <w:szCs w:val="20"/>
              </w:rPr>
              <w:lastRenderedPageBreak/>
              <w:t>• Domniemanie na rzecz europejskich rozwiązań dla zamówień powyżej progu unijnego dotyczących infrastruktury krytycznej, z obowiązkiem uzasadnienia pisemnego przy wyborze dostawcy spoza UE.</w:t>
            </w:r>
          </w:p>
          <w:p w14:paraId="4E4627EE" w14:textId="32493545" w:rsidR="00A85FE9" w:rsidRPr="00023B68" w:rsidRDefault="00A85FE9" w:rsidP="00A85FE9">
            <w:pPr>
              <w:pStyle w:val="Default"/>
              <w:rPr>
                <w:sz w:val="20"/>
                <w:szCs w:val="20"/>
              </w:rPr>
            </w:pPr>
          </w:p>
        </w:tc>
      </w:tr>
      <w:tr w:rsidR="00A85FE9" w:rsidRPr="00023B68" w14:paraId="35F7EE63" w14:textId="77777777" w:rsidTr="00040008">
        <w:tc>
          <w:tcPr>
            <w:tcW w:w="0" w:type="auto"/>
          </w:tcPr>
          <w:p w14:paraId="7774B080" w14:textId="44731C79"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52A42299" w14:textId="6CB9F251" w:rsidR="00A85FE9" w:rsidRPr="00023B68" w:rsidRDefault="00A85FE9" w:rsidP="00A85FE9">
            <w:pPr>
              <w:pStyle w:val="Default"/>
              <w:rPr>
                <w:sz w:val="20"/>
                <w:szCs w:val="20"/>
              </w:rPr>
            </w:pPr>
            <w:r w:rsidRPr="00023B68">
              <w:rPr>
                <w:sz w:val="20"/>
                <w:szCs w:val="20"/>
              </w:rPr>
              <w:t>ZPP</w:t>
            </w:r>
          </w:p>
        </w:tc>
        <w:tc>
          <w:tcPr>
            <w:tcW w:w="0" w:type="auto"/>
          </w:tcPr>
          <w:p w14:paraId="3BEF5A70" w14:textId="77777777" w:rsidR="00A85FE9" w:rsidRPr="00023B68" w:rsidRDefault="00A85FE9" w:rsidP="00A85FE9">
            <w:pPr>
              <w:pStyle w:val="Default"/>
              <w:rPr>
                <w:sz w:val="20"/>
                <w:szCs w:val="20"/>
              </w:rPr>
            </w:pPr>
            <w:r w:rsidRPr="00023B68">
              <w:rPr>
                <w:sz w:val="20"/>
                <w:szCs w:val="20"/>
              </w:rPr>
              <w:t xml:space="preserve">ZPP pozytywnie ocenia także wykorzystanie kryteriów </w:t>
            </w:r>
            <w:proofErr w:type="spellStart"/>
            <w:r w:rsidRPr="00023B68">
              <w:rPr>
                <w:sz w:val="20"/>
                <w:szCs w:val="20"/>
              </w:rPr>
              <w:t>pozacenowych</w:t>
            </w:r>
            <w:proofErr w:type="spellEnd"/>
            <w:r w:rsidRPr="00023B68">
              <w:rPr>
                <w:sz w:val="20"/>
                <w:szCs w:val="20"/>
              </w:rPr>
              <w:t xml:space="preserve"> w zamówieniach publicznych. Kryteria europejskiej wartości dodanej powinny uwzględniać rzeczywisty wkład dostawcy w europejską gospodarkę, w tym inwestycje, zatrudnienie, działalność badawczo-rozwojową, współpracę z MŚP, transfer wiedzy, interoperacyjność i bezpieczeństwo łańcucha dostaw. </w:t>
            </w:r>
          </w:p>
          <w:p w14:paraId="6D4D4088" w14:textId="77777777" w:rsidR="00A85FE9" w:rsidRPr="00023B68" w:rsidRDefault="00A85FE9" w:rsidP="00A85FE9">
            <w:pPr>
              <w:pStyle w:val="Default"/>
              <w:rPr>
                <w:sz w:val="20"/>
                <w:szCs w:val="20"/>
              </w:rPr>
            </w:pPr>
            <w:r w:rsidRPr="00023B68">
              <w:rPr>
                <w:sz w:val="20"/>
                <w:szCs w:val="20"/>
              </w:rPr>
              <w:t>W zamówieniach należy promować podział na części, otwarte interfejsy, plany migracji i architekturę wielochmurową. Pozwoli to zwiększać udział europejskich MŚP, wspierać konkurencję i budować bardziej zróżnicowany rynek dostawców.</w:t>
            </w:r>
          </w:p>
          <w:p w14:paraId="7DD02A69" w14:textId="686D5101" w:rsidR="00A85FE9" w:rsidRPr="00023B68" w:rsidRDefault="00A85FE9" w:rsidP="00A85FE9">
            <w:pPr>
              <w:pStyle w:val="Default"/>
              <w:rPr>
                <w:sz w:val="20"/>
                <w:szCs w:val="20"/>
              </w:rPr>
            </w:pPr>
          </w:p>
        </w:tc>
      </w:tr>
      <w:tr w:rsidR="00A85FE9" w:rsidRPr="00023B68" w14:paraId="2EE9DB0F" w14:textId="77777777" w:rsidTr="00040008">
        <w:tc>
          <w:tcPr>
            <w:tcW w:w="0" w:type="auto"/>
          </w:tcPr>
          <w:p w14:paraId="282DB862" w14:textId="79D50CD8"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7D07541A" w14:textId="1E200120" w:rsidR="00A85FE9" w:rsidRPr="00023B68" w:rsidRDefault="00A85FE9" w:rsidP="00A85FE9">
            <w:pPr>
              <w:pStyle w:val="Default"/>
              <w:rPr>
                <w:sz w:val="20"/>
                <w:szCs w:val="20"/>
              </w:rPr>
            </w:pPr>
            <w:proofErr w:type="spellStart"/>
            <w:r w:rsidRPr="00023B68">
              <w:rPr>
                <w:sz w:val="20"/>
                <w:szCs w:val="20"/>
              </w:rPr>
              <w:t>PIIiT</w:t>
            </w:r>
            <w:proofErr w:type="spellEnd"/>
          </w:p>
        </w:tc>
        <w:tc>
          <w:tcPr>
            <w:tcW w:w="0" w:type="auto"/>
          </w:tcPr>
          <w:p w14:paraId="5C85A6B7" w14:textId="3DBD179B" w:rsidR="00A85FE9" w:rsidRPr="00023B68" w:rsidRDefault="00A85FE9" w:rsidP="00A85FE9">
            <w:pPr>
              <w:pStyle w:val="Default"/>
              <w:rPr>
                <w:sz w:val="20"/>
                <w:szCs w:val="20"/>
              </w:rPr>
            </w:pPr>
            <w:r w:rsidRPr="00023B68">
              <w:rPr>
                <w:sz w:val="20"/>
                <w:szCs w:val="20"/>
              </w:rPr>
              <w:t xml:space="preserve">Kryterium „wartości europejskiej” (art. 32) i kryterium pochodzenia rodzą napięcie z zasadą równego traktowania i WTO Agreement on </w:t>
            </w:r>
            <w:proofErr w:type="spellStart"/>
            <w:r w:rsidRPr="00023B68">
              <w:rPr>
                <w:sz w:val="20"/>
                <w:szCs w:val="20"/>
              </w:rPr>
              <w:t>Government</w:t>
            </w:r>
            <w:proofErr w:type="spellEnd"/>
            <w:r w:rsidRPr="00023B68">
              <w:rPr>
                <w:sz w:val="20"/>
                <w:szCs w:val="20"/>
              </w:rPr>
              <w:t xml:space="preserve"> </w:t>
            </w:r>
            <w:proofErr w:type="spellStart"/>
            <w:r w:rsidRPr="00023B68">
              <w:rPr>
                <w:sz w:val="20"/>
                <w:szCs w:val="20"/>
              </w:rPr>
              <w:t>Procurement</w:t>
            </w:r>
            <w:proofErr w:type="spellEnd"/>
            <w:r w:rsidRPr="00023B68">
              <w:rPr>
                <w:sz w:val="20"/>
                <w:szCs w:val="20"/>
              </w:rPr>
              <w:t xml:space="preserve"> (GPA). Odejście od znanych procedur (art. 37–40), wspólne zamówienia i </w:t>
            </w:r>
            <w:proofErr w:type="spellStart"/>
            <w:r w:rsidRPr="00023B68">
              <w:rPr>
                <w:sz w:val="20"/>
                <w:szCs w:val="20"/>
              </w:rPr>
              <w:t>EuroCloud</w:t>
            </w:r>
            <w:proofErr w:type="spellEnd"/>
            <w:r w:rsidRPr="00023B68">
              <w:rPr>
                <w:sz w:val="20"/>
                <w:szCs w:val="20"/>
              </w:rPr>
              <w:t xml:space="preserve"> obniżają przejrzystość i mnożą obowiązki. Nowelizacja dyrektywy zamówieniowej to ekonomiczna ścieżka zmian na bazie znanych procedur bazowych. </w:t>
            </w:r>
          </w:p>
          <w:p w14:paraId="0E599346" w14:textId="77777777" w:rsidR="00A85FE9" w:rsidRPr="00023B68" w:rsidRDefault="00A85FE9" w:rsidP="00A85FE9">
            <w:pPr>
              <w:pStyle w:val="Default"/>
              <w:rPr>
                <w:sz w:val="20"/>
                <w:szCs w:val="20"/>
              </w:rPr>
            </w:pPr>
            <w:r w:rsidRPr="00023B68">
              <w:rPr>
                <w:sz w:val="20"/>
                <w:szCs w:val="20"/>
              </w:rPr>
              <w:t xml:space="preserve">Kryteria </w:t>
            </w:r>
            <w:proofErr w:type="spellStart"/>
            <w:r w:rsidRPr="00023B68">
              <w:rPr>
                <w:sz w:val="20"/>
                <w:szCs w:val="20"/>
              </w:rPr>
              <w:t>pozacenowe</w:t>
            </w:r>
            <w:proofErr w:type="spellEnd"/>
            <w:r w:rsidRPr="00023B68">
              <w:rPr>
                <w:sz w:val="20"/>
                <w:szCs w:val="20"/>
              </w:rPr>
              <w:t xml:space="preserve"> powinny wspierać otwarte technologie i architekturę wielochmurową (</w:t>
            </w:r>
            <w:proofErr w:type="spellStart"/>
            <w:r w:rsidRPr="00023B68">
              <w:rPr>
                <w:sz w:val="20"/>
                <w:szCs w:val="20"/>
              </w:rPr>
              <w:t>multi-cloud</w:t>
            </w:r>
            <w:proofErr w:type="spellEnd"/>
            <w:r w:rsidRPr="00023B68">
              <w:rPr>
                <w:sz w:val="20"/>
                <w:szCs w:val="20"/>
              </w:rPr>
              <w:t>) przeciwdziałając uzależnieniu od jednego dostawcy.</w:t>
            </w:r>
          </w:p>
          <w:p w14:paraId="1D3254BF" w14:textId="77777777" w:rsidR="00A85FE9" w:rsidRPr="00023B68" w:rsidRDefault="00A85FE9" w:rsidP="00A85FE9">
            <w:pPr>
              <w:pStyle w:val="Default"/>
              <w:rPr>
                <w:sz w:val="20"/>
                <w:szCs w:val="20"/>
              </w:rPr>
            </w:pPr>
          </w:p>
        </w:tc>
      </w:tr>
      <w:tr w:rsidR="00A85FE9" w:rsidRPr="00023B68" w14:paraId="24CB8DE9" w14:textId="77777777" w:rsidTr="00040008">
        <w:tc>
          <w:tcPr>
            <w:tcW w:w="0" w:type="auto"/>
          </w:tcPr>
          <w:p w14:paraId="6DC527AB" w14:textId="1145FD64"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3F8FC34F" w14:textId="5737EA67"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6DFE2C6D" w14:textId="2509FD4B" w:rsidR="00A85FE9" w:rsidRPr="00023B68" w:rsidRDefault="00A85FE9" w:rsidP="00A85FE9">
            <w:pPr>
              <w:pStyle w:val="Default"/>
              <w:rPr>
                <w:b/>
                <w:bCs/>
                <w:sz w:val="20"/>
                <w:szCs w:val="20"/>
              </w:rPr>
            </w:pPr>
            <w:r w:rsidRPr="00023B68">
              <w:rPr>
                <w:sz w:val="20"/>
                <w:szCs w:val="20"/>
              </w:rPr>
              <w:t xml:space="preserve">Artykuł 32 zobowiązuje zamawiających do stosowania </w:t>
            </w:r>
            <w:proofErr w:type="spellStart"/>
            <w:r w:rsidRPr="00023B68">
              <w:rPr>
                <w:sz w:val="20"/>
                <w:szCs w:val="20"/>
              </w:rPr>
              <w:t>pozacenowych</w:t>
            </w:r>
            <w:proofErr w:type="spellEnd"/>
            <w:r w:rsidRPr="00023B68">
              <w:rPr>
                <w:sz w:val="20"/>
                <w:szCs w:val="20"/>
              </w:rPr>
              <w:t xml:space="preserve"> kryteriów oceniających wkład oferenta w europejski ekosystem </w:t>
            </w:r>
            <w:proofErr w:type="spellStart"/>
            <w:r w:rsidRPr="00023B68">
              <w:rPr>
                <w:sz w:val="20"/>
                <w:szCs w:val="20"/>
              </w:rPr>
              <w:t>cloud</w:t>
            </w:r>
            <w:proofErr w:type="spellEnd"/>
            <w:r w:rsidRPr="00023B68">
              <w:rPr>
                <w:sz w:val="20"/>
                <w:szCs w:val="20"/>
              </w:rPr>
              <w:t xml:space="preserve"> i AI. Jednocześnie kryteria te mają być „</w:t>
            </w:r>
            <w:proofErr w:type="spellStart"/>
            <w:r w:rsidRPr="00023B68">
              <w:rPr>
                <w:sz w:val="20"/>
                <w:szCs w:val="20"/>
              </w:rPr>
              <w:t>ancillary</w:t>
            </w:r>
            <w:proofErr w:type="spellEnd"/>
            <w:r w:rsidRPr="00023B68">
              <w:rPr>
                <w:sz w:val="20"/>
                <w:szCs w:val="20"/>
              </w:rPr>
              <w:t xml:space="preserve"> and not </w:t>
            </w:r>
            <w:proofErr w:type="spellStart"/>
            <w:r w:rsidRPr="00023B68">
              <w:rPr>
                <w:sz w:val="20"/>
                <w:szCs w:val="20"/>
              </w:rPr>
              <w:t>decisive</w:t>
            </w:r>
            <w:proofErr w:type="spellEnd"/>
            <w:r w:rsidRPr="00023B68">
              <w:rPr>
                <w:sz w:val="20"/>
                <w:szCs w:val="20"/>
              </w:rPr>
              <w:t>”, czyli pomocnicze i niedecydujące o wyborze oferty. </w:t>
            </w:r>
            <w:r w:rsidRPr="00023B68">
              <w:rPr>
                <w:b/>
                <w:bCs/>
                <w:sz w:val="20"/>
                <w:szCs w:val="20"/>
              </w:rPr>
              <w:t>Takie ograniczenie może pozbawić przepis realnego znaczenia.</w:t>
            </w:r>
          </w:p>
          <w:p w14:paraId="4AFB4B81" w14:textId="77777777" w:rsidR="00A85FE9" w:rsidRPr="00023B68" w:rsidRDefault="00A85FE9" w:rsidP="00A85FE9">
            <w:pPr>
              <w:pStyle w:val="Default"/>
              <w:rPr>
                <w:b/>
                <w:bCs/>
                <w:sz w:val="20"/>
                <w:szCs w:val="20"/>
              </w:rPr>
            </w:pPr>
            <w:r w:rsidRPr="00023B68">
              <w:rPr>
                <w:b/>
                <w:bCs/>
                <w:sz w:val="20"/>
                <w:szCs w:val="20"/>
              </w:rPr>
              <w:t>Fundacja rekomenduje umożliwienie nadawania kryteriom związanym z europejską wartością dodaną łącznej wagi od 15% do 30%, zależnie od przedmiotu i krytyczności zamówienia.</w:t>
            </w:r>
          </w:p>
          <w:p w14:paraId="258C8216" w14:textId="77777777" w:rsidR="00A85FE9" w:rsidRPr="00023B68" w:rsidRDefault="00A85FE9" w:rsidP="00A85FE9">
            <w:pPr>
              <w:pStyle w:val="Default"/>
              <w:rPr>
                <w:sz w:val="20"/>
                <w:szCs w:val="20"/>
              </w:rPr>
            </w:pPr>
            <w:r w:rsidRPr="00023B68">
              <w:rPr>
                <w:sz w:val="20"/>
                <w:szCs w:val="20"/>
              </w:rPr>
              <w:t>Kryteria powinny obejmować:</w:t>
            </w:r>
          </w:p>
          <w:p w14:paraId="1A6740E3" w14:textId="77777777" w:rsidR="00A85FE9" w:rsidRPr="00023B68" w:rsidRDefault="00A85FE9" w:rsidP="00A85FE9">
            <w:pPr>
              <w:pStyle w:val="Default"/>
              <w:numPr>
                <w:ilvl w:val="0"/>
                <w:numId w:val="27"/>
              </w:numPr>
              <w:rPr>
                <w:sz w:val="20"/>
                <w:szCs w:val="20"/>
              </w:rPr>
            </w:pPr>
            <w:r w:rsidRPr="00023B68">
              <w:rPr>
                <w:sz w:val="20"/>
                <w:szCs w:val="20"/>
              </w:rPr>
              <w:t>bezpieczeństwo i odporność;</w:t>
            </w:r>
          </w:p>
          <w:p w14:paraId="06311577" w14:textId="77777777" w:rsidR="00A85FE9" w:rsidRPr="00023B68" w:rsidRDefault="00A85FE9" w:rsidP="00A85FE9">
            <w:pPr>
              <w:pStyle w:val="Default"/>
              <w:numPr>
                <w:ilvl w:val="0"/>
                <w:numId w:val="27"/>
              </w:numPr>
              <w:rPr>
                <w:sz w:val="20"/>
                <w:szCs w:val="20"/>
              </w:rPr>
            </w:pPr>
            <w:r w:rsidRPr="00023B68">
              <w:rPr>
                <w:sz w:val="20"/>
                <w:szCs w:val="20"/>
              </w:rPr>
              <w:t>interoperacyjność;</w:t>
            </w:r>
          </w:p>
          <w:p w14:paraId="24113745" w14:textId="77777777" w:rsidR="00A85FE9" w:rsidRPr="00023B68" w:rsidRDefault="00A85FE9" w:rsidP="00A85FE9">
            <w:pPr>
              <w:pStyle w:val="Default"/>
              <w:numPr>
                <w:ilvl w:val="0"/>
                <w:numId w:val="27"/>
              </w:numPr>
              <w:rPr>
                <w:sz w:val="20"/>
                <w:szCs w:val="20"/>
              </w:rPr>
            </w:pPr>
            <w:r w:rsidRPr="00023B68">
              <w:rPr>
                <w:sz w:val="20"/>
                <w:szCs w:val="20"/>
              </w:rPr>
              <w:t>przenoszalność;</w:t>
            </w:r>
          </w:p>
          <w:p w14:paraId="43821F05" w14:textId="77777777" w:rsidR="00A85FE9" w:rsidRPr="00023B68" w:rsidRDefault="00A85FE9" w:rsidP="00A85FE9">
            <w:pPr>
              <w:pStyle w:val="Default"/>
              <w:numPr>
                <w:ilvl w:val="0"/>
                <w:numId w:val="27"/>
              </w:numPr>
              <w:rPr>
                <w:sz w:val="20"/>
                <w:szCs w:val="20"/>
              </w:rPr>
            </w:pPr>
            <w:r w:rsidRPr="00023B68">
              <w:rPr>
                <w:sz w:val="20"/>
                <w:szCs w:val="20"/>
              </w:rPr>
              <w:t>otwarte standardy;</w:t>
            </w:r>
          </w:p>
          <w:p w14:paraId="71ECCB32" w14:textId="77777777" w:rsidR="00A85FE9" w:rsidRPr="00023B68" w:rsidRDefault="00A85FE9" w:rsidP="00A85FE9">
            <w:pPr>
              <w:pStyle w:val="Default"/>
              <w:numPr>
                <w:ilvl w:val="0"/>
                <w:numId w:val="27"/>
              </w:numPr>
              <w:rPr>
                <w:sz w:val="20"/>
                <w:szCs w:val="20"/>
              </w:rPr>
            </w:pPr>
            <w:r w:rsidRPr="00023B68">
              <w:rPr>
                <w:sz w:val="20"/>
                <w:szCs w:val="20"/>
              </w:rPr>
              <w:t>plan wyjścia;</w:t>
            </w:r>
          </w:p>
          <w:p w14:paraId="243C28D7" w14:textId="77777777" w:rsidR="00A85FE9" w:rsidRPr="00023B68" w:rsidRDefault="00A85FE9" w:rsidP="00A85FE9">
            <w:pPr>
              <w:pStyle w:val="Default"/>
              <w:numPr>
                <w:ilvl w:val="0"/>
                <w:numId w:val="27"/>
              </w:numPr>
              <w:rPr>
                <w:sz w:val="20"/>
                <w:szCs w:val="20"/>
              </w:rPr>
            </w:pPr>
            <w:r w:rsidRPr="00023B68">
              <w:rPr>
                <w:sz w:val="20"/>
                <w:szCs w:val="20"/>
              </w:rPr>
              <w:t>europejskie badania i rozwój;</w:t>
            </w:r>
          </w:p>
          <w:p w14:paraId="32F77455" w14:textId="77777777" w:rsidR="00A85FE9" w:rsidRPr="00023B68" w:rsidRDefault="00A85FE9" w:rsidP="00A85FE9">
            <w:pPr>
              <w:pStyle w:val="Default"/>
              <w:numPr>
                <w:ilvl w:val="0"/>
                <w:numId w:val="27"/>
              </w:numPr>
              <w:rPr>
                <w:sz w:val="20"/>
                <w:szCs w:val="20"/>
              </w:rPr>
            </w:pPr>
            <w:r w:rsidRPr="00023B68">
              <w:rPr>
                <w:sz w:val="20"/>
                <w:szCs w:val="20"/>
              </w:rPr>
              <w:t>udział europejskich MŚP;</w:t>
            </w:r>
          </w:p>
          <w:p w14:paraId="5A36AB82" w14:textId="77777777" w:rsidR="00A85FE9" w:rsidRPr="00023B68" w:rsidRDefault="00A85FE9" w:rsidP="00A85FE9">
            <w:pPr>
              <w:pStyle w:val="Default"/>
              <w:numPr>
                <w:ilvl w:val="0"/>
                <w:numId w:val="27"/>
              </w:numPr>
              <w:rPr>
                <w:sz w:val="20"/>
                <w:szCs w:val="20"/>
              </w:rPr>
            </w:pPr>
            <w:r w:rsidRPr="00023B68">
              <w:rPr>
                <w:sz w:val="20"/>
                <w:szCs w:val="20"/>
              </w:rPr>
              <w:t>rozwój kompetencji klienta;</w:t>
            </w:r>
          </w:p>
          <w:p w14:paraId="7E5E70C4" w14:textId="77777777" w:rsidR="00A85FE9" w:rsidRPr="00023B68" w:rsidRDefault="00A85FE9" w:rsidP="00A85FE9">
            <w:pPr>
              <w:pStyle w:val="Default"/>
              <w:numPr>
                <w:ilvl w:val="0"/>
                <w:numId w:val="27"/>
              </w:numPr>
              <w:rPr>
                <w:sz w:val="20"/>
                <w:szCs w:val="20"/>
              </w:rPr>
            </w:pPr>
            <w:r w:rsidRPr="00023B68">
              <w:rPr>
                <w:sz w:val="20"/>
                <w:szCs w:val="20"/>
              </w:rPr>
              <w:t>możliwość przejęcia utrzymania;</w:t>
            </w:r>
          </w:p>
          <w:p w14:paraId="0819078B" w14:textId="77777777" w:rsidR="00A85FE9" w:rsidRPr="00023B68" w:rsidRDefault="00A85FE9" w:rsidP="00A85FE9">
            <w:pPr>
              <w:pStyle w:val="Default"/>
              <w:numPr>
                <w:ilvl w:val="0"/>
                <w:numId w:val="27"/>
              </w:numPr>
              <w:rPr>
                <w:sz w:val="20"/>
                <w:szCs w:val="20"/>
              </w:rPr>
            </w:pPr>
            <w:r w:rsidRPr="00023B68">
              <w:rPr>
                <w:sz w:val="20"/>
                <w:szCs w:val="20"/>
              </w:rPr>
              <w:t>kontrolę łańcucha dostaw;</w:t>
            </w:r>
          </w:p>
          <w:p w14:paraId="4343082F" w14:textId="77777777" w:rsidR="00A85FE9" w:rsidRPr="00023B68" w:rsidRDefault="00A85FE9" w:rsidP="00A85FE9">
            <w:pPr>
              <w:pStyle w:val="Default"/>
              <w:numPr>
                <w:ilvl w:val="0"/>
                <w:numId w:val="27"/>
              </w:numPr>
              <w:rPr>
                <w:sz w:val="20"/>
                <w:szCs w:val="20"/>
              </w:rPr>
            </w:pPr>
            <w:r w:rsidRPr="00023B68">
              <w:rPr>
                <w:sz w:val="20"/>
                <w:szCs w:val="20"/>
              </w:rPr>
              <w:t>efektywność energetyczną;</w:t>
            </w:r>
          </w:p>
          <w:p w14:paraId="7D9DBEC0" w14:textId="77777777" w:rsidR="00A85FE9" w:rsidRPr="00023B68" w:rsidRDefault="00A85FE9" w:rsidP="00A85FE9">
            <w:pPr>
              <w:pStyle w:val="Default"/>
              <w:numPr>
                <w:ilvl w:val="0"/>
                <w:numId w:val="27"/>
              </w:numPr>
              <w:rPr>
                <w:sz w:val="20"/>
                <w:szCs w:val="20"/>
              </w:rPr>
            </w:pPr>
            <w:r w:rsidRPr="00023B68">
              <w:rPr>
                <w:sz w:val="20"/>
                <w:szCs w:val="20"/>
              </w:rPr>
              <w:t>wsparcie realizowane z UE;</w:t>
            </w:r>
          </w:p>
          <w:p w14:paraId="27ABB720" w14:textId="77777777" w:rsidR="00A85FE9" w:rsidRPr="00023B68" w:rsidRDefault="00A85FE9" w:rsidP="00A85FE9">
            <w:pPr>
              <w:pStyle w:val="Default"/>
              <w:numPr>
                <w:ilvl w:val="0"/>
                <w:numId w:val="27"/>
              </w:numPr>
              <w:rPr>
                <w:sz w:val="20"/>
                <w:szCs w:val="20"/>
              </w:rPr>
            </w:pPr>
            <w:r w:rsidRPr="00023B68">
              <w:rPr>
                <w:sz w:val="20"/>
                <w:szCs w:val="20"/>
              </w:rPr>
              <w:t>lokalizację funkcji operacyjnych i reagowania na incydenty.</w:t>
            </w:r>
          </w:p>
          <w:p w14:paraId="019D0558" w14:textId="77777777" w:rsidR="00A85FE9" w:rsidRPr="00023B68" w:rsidRDefault="00A85FE9" w:rsidP="00A85FE9">
            <w:pPr>
              <w:pStyle w:val="Default"/>
              <w:rPr>
                <w:sz w:val="20"/>
                <w:szCs w:val="20"/>
              </w:rPr>
            </w:pPr>
            <w:r w:rsidRPr="00023B68">
              <w:rPr>
                <w:sz w:val="20"/>
                <w:szCs w:val="20"/>
              </w:rPr>
              <w:t>Nie należy natomiast utożsamiać europejskiej wartości dodanej wyłącznie z formalnym miejscem rejestracji dostawcy.</w:t>
            </w:r>
          </w:p>
          <w:p w14:paraId="094485BE" w14:textId="77777777" w:rsidR="00A85FE9" w:rsidRPr="00023B68" w:rsidRDefault="00A85FE9" w:rsidP="00A85FE9">
            <w:pPr>
              <w:pStyle w:val="Default"/>
              <w:rPr>
                <w:sz w:val="20"/>
                <w:szCs w:val="20"/>
              </w:rPr>
            </w:pPr>
          </w:p>
        </w:tc>
      </w:tr>
      <w:tr w:rsidR="00A85FE9" w:rsidRPr="00023B68" w14:paraId="399648B9" w14:textId="77777777" w:rsidTr="00040008">
        <w:tc>
          <w:tcPr>
            <w:tcW w:w="0" w:type="auto"/>
          </w:tcPr>
          <w:p w14:paraId="6E66D7E4" w14:textId="076D291C" w:rsidR="00A85FE9" w:rsidRPr="00023B68" w:rsidRDefault="00A85FE9" w:rsidP="00A85FE9">
            <w:pPr>
              <w:pStyle w:val="Default"/>
              <w:rPr>
                <w:sz w:val="20"/>
                <w:szCs w:val="20"/>
              </w:rPr>
            </w:pPr>
            <w:r w:rsidRPr="00023B68">
              <w:rPr>
                <w:sz w:val="20"/>
                <w:szCs w:val="20"/>
              </w:rPr>
              <w:lastRenderedPageBreak/>
              <w:t>Artykuł 33</w:t>
            </w:r>
          </w:p>
          <w:p w14:paraId="51C71FD3" w14:textId="7A75437B" w:rsidR="00A85FE9" w:rsidRPr="00023B68" w:rsidRDefault="00A85FE9" w:rsidP="00A85FE9">
            <w:pPr>
              <w:pStyle w:val="Default"/>
              <w:rPr>
                <w:i/>
                <w:iCs/>
                <w:sz w:val="20"/>
                <w:szCs w:val="20"/>
              </w:rPr>
            </w:pPr>
            <w:r w:rsidRPr="00023B68">
              <w:rPr>
                <w:i/>
                <w:iCs/>
                <w:sz w:val="20"/>
                <w:szCs w:val="20"/>
              </w:rPr>
              <w:t xml:space="preserve">Monitoring of </w:t>
            </w:r>
            <w:proofErr w:type="spellStart"/>
            <w:r w:rsidRPr="00023B68">
              <w:rPr>
                <w:i/>
                <w:iCs/>
                <w:sz w:val="20"/>
                <w:szCs w:val="20"/>
              </w:rPr>
              <w:t>procurement</w:t>
            </w:r>
            <w:proofErr w:type="spellEnd"/>
            <w:r w:rsidRPr="00023B68">
              <w:rPr>
                <w:i/>
                <w:iCs/>
                <w:sz w:val="20"/>
                <w:szCs w:val="20"/>
              </w:rPr>
              <w:t xml:space="preserve"> of </w:t>
            </w:r>
            <w:proofErr w:type="spellStart"/>
            <w:r w:rsidRPr="00023B68">
              <w:rPr>
                <w:i/>
                <w:iCs/>
                <w:sz w:val="20"/>
                <w:szCs w:val="20"/>
              </w:rPr>
              <w:t>innovation</w:t>
            </w:r>
            <w:proofErr w:type="spellEnd"/>
            <w:r w:rsidRPr="00023B68">
              <w:rPr>
                <w:i/>
                <w:iCs/>
                <w:sz w:val="20"/>
                <w:szCs w:val="20"/>
              </w:rPr>
              <w:t xml:space="preserve"> in </w:t>
            </w:r>
            <w:proofErr w:type="spellStart"/>
            <w:r w:rsidRPr="00023B68">
              <w:rPr>
                <w:i/>
                <w:iCs/>
                <w:sz w:val="20"/>
                <w:szCs w:val="20"/>
              </w:rPr>
              <w:t>cloud</w:t>
            </w:r>
            <w:proofErr w:type="spellEnd"/>
            <w:r w:rsidRPr="00023B68">
              <w:rPr>
                <w:i/>
                <w:iCs/>
                <w:sz w:val="20"/>
                <w:szCs w:val="20"/>
              </w:rPr>
              <w:t xml:space="preserve"> and AI</w:t>
            </w:r>
          </w:p>
        </w:tc>
        <w:tc>
          <w:tcPr>
            <w:tcW w:w="0" w:type="auto"/>
          </w:tcPr>
          <w:p w14:paraId="5F1CD437" w14:textId="6779D3ED"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1065AC6C" w14:textId="20FCD240" w:rsidR="00A85FE9" w:rsidRPr="00023B68" w:rsidRDefault="00A85FE9" w:rsidP="00A85FE9">
            <w:pPr>
              <w:pStyle w:val="Default"/>
              <w:rPr>
                <w:sz w:val="20"/>
                <w:szCs w:val="20"/>
              </w:rPr>
            </w:pPr>
            <w:r w:rsidRPr="00023B68">
              <w:rPr>
                <w:sz w:val="20"/>
                <w:szCs w:val="20"/>
              </w:rPr>
              <w:t>Artykuł 33 ustanawia cel, zgodnie z którym co najmniej 25% zamówień dotyczących chmury i systemów AI powinno trafiać do innowacyjnych MŚP. Przewidziano także raportowanie wartości kontraktów, dzielenie zamówień na części i konsultacje rynkowe. Fundacja popiera ten cel, ale rekomenduje doprecyzowanie:</w:t>
            </w:r>
          </w:p>
          <w:p w14:paraId="27946AC6" w14:textId="77777777" w:rsidR="00A85FE9" w:rsidRPr="00023B68" w:rsidRDefault="00A85FE9" w:rsidP="00A85FE9">
            <w:pPr>
              <w:pStyle w:val="Default"/>
              <w:numPr>
                <w:ilvl w:val="0"/>
                <w:numId w:val="28"/>
              </w:numPr>
              <w:rPr>
                <w:sz w:val="20"/>
                <w:szCs w:val="20"/>
              </w:rPr>
            </w:pPr>
            <w:r w:rsidRPr="00023B68">
              <w:rPr>
                <w:sz w:val="20"/>
                <w:szCs w:val="20"/>
              </w:rPr>
              <w:t>czy 25% liczy się według wartości kontraktów, liczby kontraktów, liczby części czy łącznie;</w:t>
            </w:r>
          </w:p>
          <w:p w14:paraId="03D108F9" w14:textId="77777777" w:rsidR="00A85FE9" w:rsidRPr="00023B68" w:rsidRDefault="00A85FE9" w:rsidP="00A85FE9">
            <w:pPr>
              <w:pStyle w:val="Default"/>
              <w:numPr>
                <w:ilvl w:val="0"/>
                <w:numId w:val="28"/>
              </w:numPr>
              <w:rPr>
                <w:sz w:val="20"/>
                <w:szCs w:val="20"/>
              </w:rPr>
            </w:pPr>
            <w:r w:rsidRPr="00023B68">
              <w:rPr>
                <w:sz w:val="20"/>
                <w:szCs w:val="20"/>
              </w:rPr>
              <w:t>czy uwzględniani są członkowie konsorcjów i podwykonawcy;</w:t>
            </w:r>
          </w:p>
          <w:p w14:paraId="0551E02C" w14:textId="77777777" w:rsidR="00A85FE9" w:rsidRPr="00023B68" w:rsidRDefault="00A85FE9" w:rsidP="00A85FE9">
            <w:pPr>
              <w:pStyle w:val="Default"/>
              <w:numPr>
                <w:ilvl w:val="0"/>
                <w:numId w:val="28"/>
              </w:numPr>
              <w:rPr>
                <w:sz w:val="20"/>
                <w:szCs w:val="20"/>
              </w:rPr>
            </w:pPr>
            <w:r w:rsidRPr="00023B68">
              <w:rPr>
                <w:sz w:val="20"/>
                <w:szCs w:val="20"/>
              </w:rPr>
              <w:t>jak zapobiegać sztucznemu dzieleniu zamówień;</w:t>
            </w:r>
          </w:p>
          <w:p w14:paraId="3111B5CD" w14:textId="77777777" w:rsidR="00A85FE9" w:rsidRPr="00023B68" w:rsidRDefault="00A85FE9" w:rsidP="00A85FE9">
            <w:pPr>
              <w:pStyle w:val="Default"/>
              <w:numPr>
                <w:ilvl w:val="0"/>
                <w:numId w:val="28"/>
              </w:numPr>
              <w:rPr>
                <w:sz w:val="20"/>
                <w:szCs w:val="20"/>
              </w:rPr>
            </w:pPr>
            <w:r w:rsidRPr="00023B68">
              <w:rPr>
                <w:sz w:val="20"/>
                <w:szCs w:val="20"/>
              </w:rPr>
              <w:t>jak definiować „innowacyjne MŚP”;</w:t>
            </w:r>
          </w:p>
          <w:p w14:paraId="0F784DB2" w14:textId="77777777" w:rsidR="00A85FE9" w:rsidRPr="00023B68" w:rsidRDefault="00A85FE9" w:rsidP="00A85FE9">
            <w:pPr>
              <w:pStyle w:val="Default"/>
              <w:numPr>
                <w:ilvl w:val="0"/>
                <w:numId w:val="28"/>
              </w:numPr>
              <w:rPr>
                <w:sz w:val="20"/>
                <w:szCs w:val="20"/>
              </w:rPr>
            </w:pPr>
            <w:r w:rsidRPr="00023B68">
              <w:rPr>
                <w:sz w:val="20"/>
                <w:szCs w:val="20"/>
              </w:rPr>
              <w:t>jak uwzględniać mikroprzedsiębiorstwa i regionalnych dostawców;</w:t>
            </w:r>
          </w:p>
          <w:p w14:paraId="15495F70" w14:textId="77777777" w:rsidR="00A85FE9" w:rsidRPr="00023B68" w:rsidRDefault="00A85FE9" w:rsidP="00A85FE9">
            <w:pPr>
              <w:pStyle w:val="Default"/>
              <w:numPr>
                <w:ilvl w:val="0"/>
                <w:numId w:val="28"/>
              </w:numPr>
              <w:rPr>
                <w:sz w:val="20"/>
                <w:szCs w:val="20"/>
              </w:rPr>
            </w:pPr>
            <w:r w:rsidRPr="00023B68">
              <w:rPr>
                <w:sz w:val="20"/>
                <w:szCs w:val="20"/>
              </w:rPr>
              <w:t>jak kontrolować rzeczywisty udział MŚP w realizacji, a nie tylko formalne wskazanie ich w ofercie.</w:t>
            </w:r>
          </w:p>
          <w:p w14:paraId="3ADF00E3" w14:textId="77777777" w:rsidR="00A85FE9" w:rsidRPr="00023B68" w:rsidRDefault="00A85FE9" w:rsidP="00A85FE9">
            <w:pPr>
              <w:pStyle w:val="Default"/>
              <w:rPr>
                <w:sz w:val="20"/>
                <w:szCs w:val="20"/>
              </w:rPr>
            </w:pPr>
            <w:r w:rsidRPr="00023B68">
              <w:rPr>
                <w:sz w:val="20"/>
                <w:szCs w:val="20"/>
              </w:rPr>
              <w:t>Rekomendowane jest raportowanie jednocześnie:</w:t>
            </w:r>
          </w:p>
          <w:p w14:paraId="1831DCF5" w14:textId="77777777" w:rsidR="00A85FE9" w:rsidRPr="00023B68" w:rsidRDefault="00A85FE9" w:rsidP="00A85FE9">
            <w:pPr>
              <w:pStyle w:val="Default"/>
              <w:numPr>
                <w:ilvl w:val="0"/>
                <w:numId w:val="29"/>
              </w:numPr>
              <w:rPr>
                <w:sz w:val="20"/>
                <w:szCs w:val="20"/>
              </w:rPr>
            </w:pPr>
            <w:r w:rsidRPr="00023B68">
              <w:rPr>
                <w:sz w:val="20"/>
                <w:szCs w:val="20"/>
              </w:rPr>
              <w:t>udziału MŚP w całkowitej wartości zamówień;</w:t>
            </w:r>
          </w:p>
          <w:p w14:paraId="4BF66A56" w14:textId="77777777" w:rsidR="00A85FE9" w:rsidRPr="00023B68" w:rsidRDefault="00A85FE9" w:rsidP="00A85FE9">
            <w:pPr>
              <w:pStyle w:val="Default"/>
              <w:numPr>
                <w:ilvl w:val="0"/>
                <w:numId w:val="29"/>
              </w:numPr>
              <w:rPr>
                <w:sz w:val="20"/>
                <w:szCs w:val="20"/>
              </w:rPr>
            </w:pPr>
            <w:r w:rsidRPr="00023B68">
              <w:rPr>
                <w:sz w:val="20"/>
                <w:szCs w:val="20"/>
              </w:rPr>
              <w:t>udziału w liczbie kontraktów;</w:t>
            </w:r>
          </w:p>
          <w:p w14:paraId="475A3C15" w14:textId="77777777" w:rsidR="00A85FE9" w:rsidRPr="00023B68" w:rsidRDefault="00A85FE9" w:rsidP="00A85FE9">
            <w:pPr>
              <w:pStyle w:val="Default"/>
              <w:numPr>
                <w:ilvl w:val="0"/>
                <w:numId w:val="29"/>
              </w:numPr>
              <w:rPr>
                <w:sz w:val="20"/>
                <w:szCs w:val="20"/>
              </w:rPr>
            </w:pPr>
            <w:r w:rsidRPr="00023B68">
              <w:rPr>
                <w:sz w:val="20"/>
                <w:szCs w:val="20"/>
              </w:rPr>
              <w:t>udziału w liczbie części zamówienia;</w:t>
            </w:r>
          </w:p>
          <w:p w14:paraId="6BBFDF79" w14:textId="77777777" w:rsidR="00A85FE9" w:rsidRPr="00023B68" w:rsidRDefault="00A85FE9" w:rsidP="00A85FE9">
            <w:pPr>
              <w:pStyle w:val="Default"/>
              <w:numPr>
                <w:ilvl w:val="0"/>
                <w:numId w:val="29"/>
              </w:numPr>
              <w:rPr>
                <w:sz w:val="20"/>
                <w:szCs w:val="20"/>
              </w:rPr>
            </w:pPr>
            <w:r w:rsidRPr="00023B68">
              <w:rPr>
                <w:sz w:val="20"/>
                <w:szCs w:val="20"/>
              </w:rPr>
              <w:t>wartości faktycznie zrealizowanych dostaw i usług;</w:t>
            </w:r>
          </w:p>
          <w:p w14:paraId="3AED09BC" w14:textId="77777777" w:rsidR="00A85FE9" w:rsidRPr="00023B68" w:rsidRDefault="00A85FE9" w:rsidP="00A85FE9">
            <w:pPr>
              <w:pStyle w:val="Default"/>
              <w:numPr>
                <w:ilvl w:val="0"/>
                <w:numId w:val="29"/>
              </w:numPr>
              <w:rPr>
                <w:sz w:val="20"/>
                <w:szCs w:val="20"/>
              </w:rPr>
            </w:pPr>
            <w:r w:rsidRPr="00023B68">
              <w:rPr>
                <w:sz w:val="20"/>
                <w:szCs w:val="20"/>
              </w:rPr>
              <w:t>udziału transgranicznego MŚP.</w:t>
            </w:r>
          </w:p>
          <w:p w14:paraId="700637C4" w14:textId="77777777" w:rsidR="00A85FE9" w:rsidRPr="00023B68" w:rsidRDefault="00A85FE9" w:rsidP="00A85FE9">
            <w:pPr>
              <w:pStyle w:val="Default"/>
              <w:rPr>
                <w:sz w:val="20"/>
                <w:szCs w:val="20"/>
              </w:rPr>
            </w:pPr>
          </w:p>
        </w:tc>
      </w:tr>
      <w:tr w:rsidR="00A85FE9" w:rsidRPr="00023B68" w14:paraId="31554C75" w14:textId="77777777" w:rsidTr="00040008">
        <w:tc>
          <w:tcPr>
            <w:tcW w:w="0" w:type="auto"/>
          </w:tcPr>
          <w:p w14:paraId="6BF58B20" w14:textId="77777777" w:rsidR="00A85FE9" w:rsidRPr="00023B68" w:rsidRDefault="00A85FE9" w:rsidP="00A85FE9">
            <w:pPr>
              <w:pStyle w:val="Default"/>
              <w:rPr>
                <w:sz w:val="20"/>
                <w:szCs w:val="20"/>
              </w:rPr>
            </w:pPr>
            <w:r w:rsidRPr="00023B68">
              <w:rPr>
                <w:sz w:val="20"/>
                <w:szCs w:val="20"/>
              </w:rPr>
              <w:t xml:space="preserve">Rozdział III art. 34–36 </w:t>
            </w:r>
          </w:p>
          <w:p w14:paraId="2D25B662" w14:textId="5EF80570" w:rsidR="00A85FE9" w:rsidRPr="00023B68" w:rsidRDefault="00A85FE9" w:rsidP="00A85FE9">
            <w:pPr>
              <w:pStyle w:val="Default"/>
              <w:rPr>
                <w:sz w:val="20"/>
                <w:szCs w:val="20"/>
              </w:rPr>
            </w:pPr>
            <w:proofErr w:type="spellStart"/>
            <w:r w:rsidRPr="00023B68">
              <w:rPr>
                <w:i/>
                <w:iCs/>
                <w:sz w:val="20"/>
                <w:szCs w:val="20"/>
              </w:rPr>
              <w:t>EuroCloud</w:t>
            </w:r>
            <w:proofErr w:type="spellEnd"/>
            <w:r w:rsidRPr="00023B68">
              <w:rPr>
                <w:i/>
                <w:iCs/>
                <w:sz w:val="20"/>
                <w:szCs w:val="20"/>
              </w:rPr>
              <w:t xml:space="preserve"> </w:t>
            </w:r>
            <w:proofErr w:type="spellStart"/>
            <w:r w:rsidRPr="00023B68">
              <w:rPr>
                <w:i/>
                <w:iCs/>
                <w:sz w:val="20"/>
                <w:szCs w:val="20"/>
              </w:rPr>
              <w:t>Federation</w:t>
            </w:r>
            <w:proofErr w:type="spellEnd"/>
            <w:r w:rsidRPr="00023B68">
              <w:rPr>
                <w:sz w:val="20"/>
                <w:szCs w:val="20"/>
              </w:rPr>
              <w:t xml:space="preserve"> </w:t>
            </w:r>
          </w:p>
        </w:tc>
        <w:tc>
          <w:tcPr>
            <w:tcW w:w="0" w:type="auto"/>
          </w:tcPr>
          <w:p w14:paraId="1AD28A12" w14:textId="15C1A96A" w:rsidR="00A85FE9" w:rsidRPr="00023B68" w:rsidRDefault="00A85FE9" w:rsidP="00A85FE9">
            <w:pPr>
              <w:pStyle w:val="Default"/>
              <w:rPr>
                <w:sz w:val="20"/>
                <w:szCs w:val="20"/>
              </w:rPr>
            </w:pPr>
            <w:r w:rsidRPr="00023B68">
              <w:rPr>
                <w:sz w:val="20"/>
                <w:szCs w:val="20"/>
              </w:rPr>
              <w:t>SIAPL KIGEIT</w:t>
            </w:r>
          </w:p>
        </w:tc>
        <w:tc>
          <w:tcPr>
            <w:tcW w:w="0" w:type="auto"/>
          </w:tcPr>
          <w:p w14:paraId="2A430CF4" w14:textId="5BBC6A0D" w:rsidR="00A85FE9" w:rsidRPr="00023B68" w:rsidRDefault="00A85FE9" w:rsidP="00A85FE9">
            <w:pPr>
              <w:pStyle w:val="Default"/>
              <w:rPr>
                <w:sz w:val="20"/>
                <w:szCs w:val="20"/>
              </w:rPr>
            </w:pPr>
            <w:r w:rsidRPr="00023B68">
              <w:rPr>
                <w:sz w:val="20"/>
                <w:szCs w:val="20"/>
              </w:rPr>
              <w:t xml:space="preserve">Docenia powołanie </w:t>
            </w:r>
            <w:proofErr w:type="spellStart"/>
            <w:r w:rsidRPr="00023B68">
              <w:rPr>
                <w:sz w:val="20"/>
                <w:szCs w:val="20"/>
              </w:rPr>
              <w:t>EuroCloud</w:t>
            </w:r>
            <w:proofErr w:type="spellEnd"/>
            <w:r w:rsidRPr="00023B68">
              <w:rPr>
                <w:sz w:val="20"/>
                <w:szCs w:val="20"/>
              </w:rPr>
              <w:t xml:space="preserve"> </w:t>
            </w:r>
            <w:proofErr w:type="spellStart"/>
            <w:r w:rsidRPr="00023B68">
              <w:rPr>
                <w:sz w:val="20"/>
                <w:szCs w:val="20"/>
              </w:rPr>
              <w:t>Federation</w:t>
            </w:r>
            <w:proofErr w:type="spellEnd"/>
            <w:r w:rsidRPr="00023B68">
              <w:rPr>
                <w:sz w:val="20"/>
                <w:szCs w:val="20"/>
              </w:rPr>
              <w:t xml:space="preserve"> jako platformy wymiany zasobów chmurowych między podmiotami sektora publicznego państw członkowskich; </w:t>
            </w:r>
          </w:p>
          <w:p w14:paraId="3025B91C" w14:textId="77777777" w:rsidR="00A85FE9" w:rsidRPr="00023B68" w:rsidRDefault="00A85FE9" w:rsidP="00A85FE9">
            <w:pPr>
              <w:pStyle w:val="Default"/>
              <w:rPr>
                <w:sz w:val="20"/>
                <w:szCs w:val="20"/>
              </w:rPr>
            </w:pPr>
          </w:p>
          <w:p w14:paraId="397B2A34" w14:textId="77777777" w:rsidR="00A85FE9" w:rsidRPr="00023B68" w:rsidRDefault="00A85FE9" w:rsidP="00A85FE9">
            <w:pPr>
              <w:pStyle w:val="Default"/>
              <w:rPr>
                <w:sz w:val="20"/>
                <w:szCs w:val="20"/>
              </w:rPr>
            </w:pPr>
            <w:r w:rsidRPr="00023B68">
              <w:rPr>
                <w:sz w:val="20"/>
                <w:szCs w:val="20"/>
              </w:rPr>
              <w:t>CADA powinien ustanowić europejską federację jako cel przemysłowy z operacyjnymi mechanizmami wdrożenia:</w:t>
            </w:r>
          </w:p>
          <w:p w14:paraId="450ED4BF" w14:textId="77777777" w:rsidR="00A85FE9" w:rsidRPr="00023B68" w:rsidRDefault="00A85FE9" w:rsidP="00A85FE9">
            <w:pPr>
              <w:pStyle w:val="Default"/>
              <w:rPr>
                <w:sz w:val="20"/>
                <w:szCs w:val="20"/>
              </w:rPr>
            </w:pPr>
            <w:r w:rsidRPr="00023B68">
              <w:rPr>
                <w:sz w:val="20"/>
                <w:szCs w:val="20"/>
              </w:rPr>
              <w:t>• Wykorzystanie obowiązkowego publicznego standardu oferującego interoperacyjność dla dostawców ubiegających się o preferencje w zamówieniach publicznych.</w:t>
            </w:r>
          </w:p>
          <w:p w14:paraId="650484A4" w14:textId="77777777" w:rsidR="00A85FE9" w:rsidRPr="00023B68" w:rsidRDefault="00A85FE9" w:rsidP="00A85FE9">
            <w:pPr>
              <w:pStyle w:val="Default"/>
              <w:rPr>
                <w:sz w:val="20"/>
                <w:szCs w:val="20"/>
              </w:rPr>
            </w:pPr>
            <w:r w:rsidRPr="00023B68">
              <w:rPr>
                <w:sz w:val="20"/>
                <w:szCs w:val="20"/>
              </w:rPr>
              <w:t xml:space="preserve">• Konwergencja istniejących inicjatyw (IPCEI-CIS, SIMPL, SECA, Tech </w:t>
            </w:r>
            <w:proofErr w:type="spellStart"/>
            <w:r w:rsidRPr="00023B68">
              <w:rPr>
                <w:sz w:val="20"/>
                <w:szCs w:val="20"/>
              </w:rPr>
              <w:t>Sovereignty</w:t>
            </w:r>
            <w:proofErr w:type="spellEnd"/>
            <w:r w:rsidRPr="00023B68">
              <w:rPr>
                <w:sz w:val="20"/>
                <w:szCs w:val="20"/>
              </w:rPr>
              <w:t xml:space="preserve"> </w:t>
            </w:r>
            <w:proofErr w:type="spellStart"/>
            <w:r w:rsidRPr="00023B68">
              <w:rPr>
                <w:sz w:val="20"/>
                <w:szCs w:val="20"/>
              </w:rPr>
              <w:t>Catalogue</w:t>
            </w:r>
            <w:proofErr w:type="spellEnd"/>
            <w:r w:rsidRPr="00023B68">
              <w:rPr>
                <w:sz w:val="20"/>
                <w:szCs w:val="20"/>
              </w:rPr>
              <w:t>) pod mandatem koordynacyjnym KE, z jasnym harmonogramem do 2028 r.</w:t>
            </w:r>
          </w:p>
          <w:p w14:paraId="79617EF0" w14:textId="77777777" w:rsidR="00A85FE9" w:rsidRPr="00023B68" w:rsidRDefault="00A85FE9" w:rsidP="00A85FE9">
            <w:pPr>
              <w:pStyle w:val="Default"/>
              <w:rPr>
                <w:sz w:val="20"/>
                <w:szCs w:val="20"/>
              </w:rPr>
            </w:pPr>
            <w:r w:rsidRPr="00023B68">
              <w:rPr>
                <w:sz w:val="20"/>
                <w:szCs w:val="20"/>
              </w:rPr>
              <w:t>• Dostęp do zamówień powyżej progu UE uwarunkowany przynależnością do uznanej federacji i spełnianiem standardu interoperacyjności.</w:t>
            </w:r>
          </w:p>
          <w:p w14:paraId="00B2703B" w14:textId="77777777" w:rsidR="00A85FE9" w:rsidRPr="00023B68" w:rsidRDefault="00A85FE9" w:rsidP="00A85FE9">
            <w:pPr>
              <w:pStyle w:val="Default"/>
              <w:rPr>
                <w:sz w:val="20"/>
                <w:szCs w:val="20"/>
              </w:rPr>
            </w:pPr>
            <w:r w:rsidRPr="00023B68">
              <w:rPr>
                <w:sz w:val="20"/>
                <w:szCs w:val="20"/>
              </w:rPr>
              <w:t xml:space="preserve">• </w:t>
            </w:r>
            <w:proofErr w:type="spellStart"/>
            <w:r w:rsidRPr="00023B68">
              <w:rPr>
                <w:sz w:val="20"/>
                <w:szCs w:val="20"/>
              </w:rPr>
              <w:t>Miks</w:t>
            </w:r>
            <w:proofErr w:type="spellEnd"/>
            <w:r w:rsidRPr="00023B68">
              <w:rPr>
                <w:sz w:val="20"/>
                <w:szCs w:val="20"/>
              </w:rPr>
              <w:t xml:space="preserve"> finansowania (EIB + środki publiczne) dla dostawców MŚP uczestniczących w federacji w regionach niedoboru zdolności obliczeniowych.</w:t>
            </w:r>
          </w:p>
          <w:p w14:paraId="1A079E6C" w14:textId="2C4FA497" w:rsidR="00A85FE9" w:rsidRPr="00023B68" w:rsidRDefault="00A85FE9" w:rsidP="00A85FE9">
            <w:pPr>
              <w:pStyle w:val="Default"/>
              <w:rPr>
                <w:sz w:val="20"/>
                <w:szCs w:val="20"/>
              </w:rPr>
            </w:pPr>
          </w:p>
        </w:tc>
      </w:tr>
      <w:tr w:rsidR="00A85FE9" w:rsidRPr="00023B68" w14:paraId="105FF8F5" w14:textId="77777777" w:rsidTr="00040008">
        <w:tc>
          <w:tcPr>
            <w:tcW w:w="0" w:type="auto"/>
          </w:tcPr>
          <w:p w14:paraId="6C535511" w14:textId="0E058F47"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53F3534D" w14:textId="4B7275B2" w:rsidR="00A85FE9" w:rsidRPr="00023B68" w:rsidRDefault="00A85FE9" w:rsidP="00A85FE9">
            <w:pPr>
              <w:pStyle w:val="Default"/>
              <w:rPr>
                <w:sz w:val="20"/>
                <w:szCs w:val="20"/>
              </w:rPr>
            </w:pPr>
            <w:proofErr w:type="spellStart"/>
            <w:r w:rsidRPr="00023B68">
              <w:rPr>
                <w:sz w:val="20"/>
                <w:szCs w:val="20"/>
              </w:rPr>
              <w:t>PIIiT</w:t>
            </w:r>
            <w:proofErr w:type="spellEnd"/>
          </w:p>
        </w:tc>
        <w:tc>
          <w:tcPr>
            <w:tcW w:w="0" w:type="auto"/>
          </w:tcPr>
          <w:p w14:paraId="62DBF6D8" w14:textId="77777777" w:rsidR="00A85FE9" w:rsidRPr="00023B68" w:rsidRDefault="00A85FE9" w:rsidP="00A85FE9">
            <w:pPr>
              <w:pStyle w:val="Default"/>
              <w:rPr>
                <w:sz w:val="20"/>
                <w:szCs w:val="20"/>
              </w:rPr>
            </w:pPr>
            <w:r w:rsidRPr="00023B68">
              <w:rPr>
                <w:sz w:val="20"/>
                <w:szCs w:val="20"/>
              </w:rPr>
              <w:t xml:space="preserve">Izba sprzeciwia się utworzeniu Federacji </w:t>
            </w:r>
            <w:proofErr w:type="spellStart"/>
            <w:r w:rsidRPr="00023B68">
              <w:rPr>
                <w:sz w:val="20"/>
                <w:szCs w:val="20"/>
              </w:rPr>
              <w:t>EuroCloud</w:t>
            </w:r>
            <w:proofErr w:type="spellEnd"/>
            <w:r w:rsidRPr="00023B68">
              <w:rPr>
                <w:sz w:val="20"/>
                <w:szCs w:val="20"/>
              </w:rPr>
              <w:t xml:space="preserve"> (art. 34–36) jako jednostki organizacyjnej, pozbawionej osobowości prawnej i podlegającej wyłącznie zasadom określonym w aktach wykonawczych Komisji Europejskiej. To kolejny przejaw forsowanej przez Komisję centralizacji sektora publicznego. Dostrzega celowość współpracy jednostek sektora finansów publicznych i potencjał ich współpracy w zakresie dostępu do usług przetwarzania w chmurze, w tym korzystania z SaaS. Co do katalogu rozwiązań to w tym zakresie taka platforma w obszarze AI już istnieje. Finansowanie kolejnej z budżetu ogólnego Unii byłoby działaniem na szkodę interesów finansowych Unii. Wymyślenie podstawy prawnej do takich </w:t>
            </w:r>
            <w:proofErr w:type="spellStart"/>
            <w:r w:rsidRPr="00023B68">
              <w:rPr>
                <w:sz w:val="20"/>
                <w:szCs w:val="20"/>
              </w:rPr>
              <w:t>zachowań</w:t>
            </w:r>
            <w:proofErr w:type="spellEnd"/>
            <w:r w:rsidRPr="00023B68">
              <w:rPr>
                <w:sz w:val="20"/>
                <w:szCs w:val="20"/>
              </w:rPr>
              <w:t xml:space="preserve"> nie zmienia oceny takiego zachowania. Dodatkowo (motyw 73) stanowi kolejny wyłom z reżimu zamówień. Federacja mogłaby powstać jako dobrowolne zrzeszenie, w formie prawnej przewidzianej przez prawo państwa członkowskiego i tamże zarejestrowane.</w:t>
            </w:r>
          </w:p>
          <w:p w14:paraId="38CFA0FE" w14:textId="3FF7192D" w:rsidR="00A85FE9" w:rsidRPr="00023B68" w:rsidRDefault="00A85FE9" w:rsidP="00A85FE9">
            <w:pPr>
              <w:pStyle w:val="Default"/>
              <w:rPr>
                <w:sz w:val="20"/>
                <w:szCs w:val="20"/>
              </w:rPr>
            </w:pPr>
          </w:p>
        </w:tc>
      </w:tr>
      <w:tr w:rsidR="00A85FE9" w:rsidRPr="00023B68" w14:paraId="6AC76D2F" w14:textId="77777777" w:rsidTr="00040008">
        <w:tc>
          <w:tcPr>
            <w:tcW w:w="0" w:type="auto"/>
          </w:tcPr>
          <w:p w14:paraId="43C102E7" w14:textId="218536AA"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5E99235F" w14:textId="6BEFCF42" w:rsidR="00A85FE9" w:rsidRPr="00023B68" w:rsidRDefault="00A85FE9" w:rsidP="00A85FE9">
            <w:pPr>
              <w:pStyle w:val="Default"/>
              <w:rPr>
                <w:sz w:val="20"/>
                <w:szCs w:val="20"/>
              </w:rPr>
            </w:pPr>
            <w:r w:rsidRPr="00023B68">
              <w:rPr>
                <w:sz w:val="20"/>
                <w:szCs w:val="20"/>
              </w:rPr>
              <w:t xml:space="preserve">Fundacja IT </w:t>
            </w:r>
            <w:proofErr w:type="spellStart"/>
            <w:r w:rsidRPr="00023B68">
              <w:rPr>
                <w:sz w:val="20"/>
                <w:szCs w:val="20"/>
              </w:rPr>
              <w:t>Leaders</w:t>
            </w:r>
            <w:proofErr w:type="spellEnd"/>
            <w:r w:rsidRPr="00023B68">
              <w:rPr>
                <w:sz w:val="20"/>
                <w:szCs w:val="20"/>
              </w:rPr>
              <w:t xml:space="preserve"> Club Polska</w:t>
            </w:r>
          </w:p>
        </w:tc>
        <w:tc>
          <w:tcPr>
            <w:tcW w:w="0" w:type="auto"/>
          </w:tcPr>
          <w:p w14:paraId="7FB49D74" w14:textId="77777777" w:rsidR="00A85FE9" w:rsidRPr="00023B68" w:rsidRDefault="00A85FE9" w:rsidP="00A85FE9">
            <w:pPr>
              <w:pStyle w:val="Default"/>
              <w:rPr>
                <w:sz w:val="20"/>
                <w:szCs w:val="20"/>
              </w:rPr>
            </w:pPr>
            <w:r w:rsidRPr="00023B68">
              <w:rPr>
                <w:sz w:val="20"/>
                <w:szCs w:val="20"/>
              </w:rPr>
              <w:t>Fundacja popiera federowanie publicznych zasobów chmurowych i agregowanie popytu. Konieczne jest jednak zapewnienie, aby wspólne zamówienia nie prowadziły do faworyzowania wyłącznie największych dostawców, którzy jako jedyni są w stanie spełnić wielkoskalowe warunki udziału.</w:t>
            </w:r>
          </w:p>
          <w:p w14:paraId="4F09753C" w14:textId="77777777" w:rsidR="00A85FE9" w:rsidRPr="00023B68" w:rsidRDefault="00A85FE9" w:rsidP="00A85FE9">
            <w:pPr>
              <w:pStyle w:val="Default"/>
              <w:rPr>
                <w:sz w:val="20"/>
                <w:szCs w:val="20"/>
              </w:rPr>
            </w:pPr>
            <w:r w:rsidRPr="00023B68">
              <w:rPr>
                <w:sz w:val="20"/>
                <w:szCs w:val="20"/>
              </w:rPr>
              <w:t>Mechanizm powinien opierać się na:</w:t>
            </w:r>
          </w:p>
          <w:p w14:paraId="38E34FA5" w14:textId="77777777" w:rsidR="00A85FE9" w:rsidRPr="00023B68" w:rsidRDefault="00A85FE9" w:rsidP="00A85FE9">
            <w:pPr>
              <w:pStyle w:val="Default"/>
              <w:numPr>
                <w:ilvl w:val="0"/>
                <w:numId w:val="36"/>
              </w:numPr>
              <w:rPr>
                <w:sz w:val="20"/>
                <w:szCs w:val="20"/>
              </w:rPr>
            </w:pPr>
            <w:r w:rsidRPr="00023B68">
              <w:rPr>
                <w:sz w:val="20"/>
                <w:szCs w:val="20"/>
              </w:rPr>
              <w:t>otwartych API;</w:t>
            </w:r>
          </w:p>
          <w:p w14:paraId="03734669" w14:textId="77777777" w:rsidR="00A85FE9" w:rsidRPr="00023B68" w:rsidRDefault="00A85FE9" w:rsidP="00A85FE9">
            <w:pPr>
              <w:pStyle w:val="Default"/>
              <w:numPr>
                <w:ilvl w:val="0"/>
                <w:numId w:val="36"/>
              </w:numPr>
              <w:rPr>
                <w:sz w:val="20"/>
                <w:szCs w:val="20"/>
              </w:rPr>
            </w:pPr>
            <w:r w:rsidRPr="00023B68">
              <w:rPr>
                <w:sz w:val="20"/>
                <w:szCs w:val="20"/>
              </w:rPr>
              <w:t>wspólnych standardach tożsamości i dostępu;</w:t>
            </w:r>
          </w:p>
          <w:p w14:paraId="7860D8F9" w14:textId="77777777" w:rsidR="00A85FE9" w:rsidRPr="00023B68" w:rsidRDefault="00A85FE9" w:rsidP="00A85FE9">
            <w:pPr>
              <w:pStyle w:val="Default"/>
              <w:numPr>
                <w:ilvl w:val="0"/>
                <w:numId w:val="36"/>
              </w:numPr>
              <w:rPr>
                <w:sz w:val="20"/>
                <w:szCs w:val="20"/>
              </w:rPr>
            </w:pPr>
            <w:r w:rsidRPr="00023B68">
              <w:rPr>
                <w:sz w:val="20"/>
                <w:szCs w:val="20"/>
              </w:rPr>
              <w:t>przenośnych logach i danych telemetrycznych;</w:t>
            </w:r>
          </w:p>
          <w:p w14:paraId="3670B674" w14:textId="77777777" w:rsidR="00A85FE9" w:rsidRPr="00023B68" w:rsidRDefault="00A85FE9" w:rsidP="00A85FE9">
            <w:pPr>
              <w:pStyle w:val="Default"/>
              <w:numPr>
                <w:ilvl w:val="0"/>
                <w:numId w:val="36"/>
              </w:numPr>
              <w:rPr>
                <w:sz w:val="20"/>
                <w:szCs w:val="20"/>
              </w:rPr>
            </w:pPr>
            <w:r w:rsidRPr="00023B68">
              <w:rPr>
                <w:sz w:val="20"/>
                <w:szCs w:val="20"/>
              </w:rPr>
              <w:t>wspólnych standardach rozliczeń;</w:t>
            </w:r>
          </w:p>
          <w:p w14:paraId="1D144C7F" w14:textId="77777777" w:rsidR="00A85FE9" w:rsidRPr="00023B68" w:rsidRDefault="00A85FE9" w:rsidP="00A85FE9">
            <w:pPr>
              <w:pStyle w:val="Default"/>
              <w:numPr>
                <w:ilvl w:val="0"/>
                <w:numId w:val="36"/>
              </w:numPr>
              <w:rPr>
                <w:sz w:val="20"/>
                <w:szCs w:val="20"/>
              </w:rPr>
            </w:pPr>
            <w:proofErr w:type="spellStart"/>
            <w:r w:rsidRPr="00023B68">
              <w:rPr>
                <w:sz w:val="20"/>
                <w:szCs w:val="20"/>
              </w:rPr>
              <w:t>interoperacyjnych</w:t>
            </w:r>
            <w:proofErr w:type="spellEnd"/>
            <w:r w:rsidRPr="00023B68">
              <w:rPr>
                <w:sz w:val="20"/>
                <w:szCs w:val="20"/>
              </w:rPr>
              <w:t xml:space="preserve"> mechanizmach bezpieczeństwa;</w:t>
            </w:r>
          </w:p>
          <w:p w14:paraId="2EC75B23" w14:textId="77777777" w:rsidR="00A85FE9" w:rsidRPr="00023B68" w:rsidRDefault="00A85FE9" w:rsidP="00A85FE9">
            <w:pPr>
              <w:pStyle w:val="Default"/>
              <w:numPr>
                <w:ilvl w:val="0"/>
                <w:numId w:val="36"/>
              </w:numPr>
              <w:rPr>
                <w:sz w:val="20"/>
                <w:szCs w:val="20"/>
              </w:rPr>
            </w:pPr>
            <w:r w:rsidRPr="00023B68">
              <w:rPr>
                <w:sz w:val="20"/>
                <w:szCs w:val="20"/>
              </w:rPr>
              <w:t>modularnych częściach zamówień;</w:t>
            </w:r>
          </w:p>
          <w:p w14:paraId="31000DA1" w14:textId="77777777" w:rsidR="00A85FE9" w:rsidRPr="00023B68" w:rsidRDefault="00A85FE9" w:rsidP="00A85FE9">
            <w:pPr>
              <w:pStyle w:val="Default"/>
              <w:numPr>
                <w:ilvl w:val="0"/>
                <w:numId w:val="36"/>
              </w:numPr>
              <w:rPr>
                <w:sz w:val="20"/>
                <w:szCs w:val="20"/>
              </w:rPr>
            </w:pPr>
            <w:r w:rsidRPr="00023B68">
              <w:rPr>
                <w:sz w:val="20"/>
                <w:szCs w:val="20"/>
              </w:rPr>
              <w:t>możliwości udziału konsorcjów MŚP;</w:t>
            </w:r>
          </w:p>
          <w:p w14:paraId="6A17B101" w14:textId="77777777" w:rsidR="00A85FE9" w:rsidRPr="00023B68" w:rsidRDefault="00A85FE9" w:rsidP="00A85FE9">
            <w:pPr>
              <w:pStyle w:val="Default"/>
              <w:numPr>
                <w:ilvl w:val="0"/>
                <w:numId w:val="36"/>
              </w:numPr>
              <w:rPr>
                <w:sz w:val="20"/>
                <w:szCs w:val="20"/>
              </w:rPr>
            </w:pPr>
            <w:r w:rsidRPr="00023B68">
              <w:rPr>
                <w:sz w:val="20"/>
                <w:szCs w:val="20"/>
              </w:rPr>
              <w:t>publicznych testach interoperacyjności;</w:t>
            </w:r>
          </w:p>
          <w:p w14:paraId="29EE5333" w14:textId="77777777" w:rsidR="00A85FE9" w:rsidRPr="00023B68" w:rsidRDefault="00A85FE9" w:rsidP="00A85FE9">
            <w:pPr>
              <w:pStyle w:val="Default"/>
              <w:numPr>
                <w:ilvl w:val="0"/>
                <w:numId w:val="36"/>
              </w:numPr>
              <w:rPr>
                <w:sz w:val="20"/>
                <w:szCs w:val="20"/>
              </w:rPr>
            </w:pPr>
            <w:r w:rsidRPr="00023B68">
              <w:rPr>
                <w:sz w:val="20"/>
                <w:szCs w:val="20"/>
              </w:rPr>
              <w:t>jasnym podziale odpowiedzialności za incydenty;</w:t>
            </w:r>
          </w:p>
          <w:p w14:paraId="36FA8B38" w14:textId="77777777" w:rsidR="00A85FE9" w:rsidRPr="00023B68" w:rsidRDefault="00A85FE9" w:rsidP="00A85FE9">
            <w:pPr>
              <w:pStyle w:val="Default"/>
              <w:numPr>
                <w:ilvl w:val="0"/>
                <w:numId w:val="36"/>
              </w:numPr>
              <w:rPr>
                <w:sz w:val="20"/>
                <w:szCs w:val="20"/>
              </w:rPr>
            </w:pPr>
            <w:r w:rsidRPr="00023B68">
              <w:rPr>
                <w:sz w:val="20"/>
                <w:szCs w:val="20"/>
              </w:rPr>
              <w:t>wspólnym modelu reagowania kryzysowego;</w:t>
            </w:r>
          </w:p>
          <w:p w14:paraId="44BBA5F4" w14:textId="77777777" w:rsidR="00A85FE9" w:rsidRPr="00023B68" w:rsidRDefault="00A85FE9" w:rsidP="00A85FE9">
            <w:pPr>
              <w:pStyle w:val="Default"/>
              <w:numPr>
                <w:ilvl w:val="0"/>
                <w:numId w:val="36"/>
              </w:numPr>
              <w:rPr>
                <w:sz w:val="20"/>
                <w:szCs w:val="20"/>
              </w:rPr>
            </w:pPr>
            <w:r w:rsidRPr="00023B68">
              <w:rPr>
                <w:sz w:val="20"/>
                <w:szCs w:val="20"/>
              </w:rPr>
              <w:t>możliwości wyjścia z federacji i przeniesienia usług.</w:t>
            </w:r>
          </w:p>
          <w:p w14:paraId="6DDA6DD6" w14:textId="77777777" w:rsidR="00A85FE9" w:rsidRPr="00023B68" w:rsidRDefault="00A85FE9" w:rsidP="00A85FE9">
            <w:pPr>
              <w:pStyle w:val="Default"/>
              <w:rPr>
                <w:sz w:val="20"/>
                <w:szCs w:val="20"/>
              </w:rPr>
            </w:pPr>
            <w:r w:rsidRPr="00023B68">
              <w:rPr>
                <w:sz w:val="20"/>
                <w:szCs w:val="20"/>
              </w:rPr>
              <w:t xml:space="preserve">Komitet sterujący wspólnych zamówień składa się głównie z Komisji i przedstawicieli uczestniczących państw członkowskich. Fundacja rekomenduje utworzenie stałego ciała doradczego obejmującego przedstawicieli MŚP, użytkowników publicznych, środowiska naukowego, </w:t>
            </w:r>
            <w:proofErr w:type="spellStart"/>
            <w:r w:rsidRPr="00023B68">
              <w:rPr>
                <w:sz w:val="20"/>
                <w:szCs w:val="20"/>
              </w:rPr>
              <w:t>cyberbezpieczeństwa</w:t>
            </w:r>
            <w:proofErr w:type="spellEnd"/>
            <w:r w:rsidRPr="00023B68">
              <w:rPr>
                <w:sz w:val="20"/>
                <w:szCs w:val="20"/>
              </w:rPr>
              <w:t>, organizacji branżowych i społeczeństwa obywatelskiego. </w:t>
            </w:r>
          </w:p>
          <w:p w14:paraId="33EEC9FB" w14:textId="77777777" w:rsidR="00A85FE9" w:rsidRPr="00023B68" w:rsidRDefault="00A85FE9" w:rsidP="00A85FE9">
            <w:pPr>
              <w:pStyle w:val="Default"/>
              <w:rPr>
                <w:sz w:val="20"/>
                <w:szCs w:val="20"/>
              </w:rPr>
            </w:pPr>
          </w:p>
        </w:tc>
      </w:tr>
      <w:tr w:rsidR="00A85FE9" w:rsidRPr="00023B68" w14:paraId="4842BBC5" w14:textId="77777777" w:rsidTr="00040008">
        <w:tc>
          <w:tcPr>
            <w:tcW w:w="0" w:type="auto"/>
          </w:tcPr>
          <w:p w14:paraId="2242BEC2" w14:textId="2D61C78A" w:rsidR="00A85FE9" w:rsidRPr="00023B68" w:rsidRDefault="00A85FE9" w:rsidP="00A85FE9">
            <w:pPr>
              <w:pStyle w:val="Default"/>
              <w:rPr>
                <w:sz w:val="20"/>
                <w:szCs w:val="20"/>
              </w:rPr>
            </w:pPr>
            <w:r w:rsidRPr="00023B68">
              <w:rPr>
                <w:sz w:val="20"/>
                <w:szCs w:val="20"/>
              </w:rPr>
              <w:t>Rozdział IV Art. 37-40</w:t>
            </w:r>
          </w:p>
          <w:p w14:paraId="2EAE100F" w14:textId="77777777" w:rsidR="00A85FE9" w:rsidRPr="00023B68" w:rsidRDefault="00A85FE9" w:rsidP="00A85FE9">
            <w:pPr>
              <w:pStyle w:val="Default"/>
              <w:rPr>
                <w:i/>
                <w:iCs/>
                <w:sz w:val="20"/>
                <w:szCs w:val="20"/>
              </w:rPr>
            </w:pPr>
            <w:proofErr w:type="spellStart"/>
            <w:r w:rsidRPr="00023B68">
              <w:rPr>
                <w:i/>
                <w:iCs/>
                <w:sz w:val="20"/>
                <w:szCs w:val="20"/>
              </w:rPr>
              <w:t>Procurement</w:t>
            </w:r>
            <w:proofErr w:type="spellEnd"/>
            <w:r w:rsidRPr="00023B68">
              <w:rPr>
                <w:i/>
                <w:iCs/>
                <w:sz w:val="20"/>
                <w:szCs w:val="20"/>
              </w:rPr>
              <w:t xml:space="preserve"> of data </w:t>
            </w:r>
            <w:proofErr w:type="spellStart"/>
            <w:r w:rsidRPr="00023B68">
              <w:rPr>
                <w:i/>
                <w:iCs/>
                <w:sz w:val="20"/>
                <w:szCs w:val="20"/>
              </w:rPr>
              <w:t>centre</w:t>
            </w:r>
            <w:proofErr w:type="spellEnd"/>
            <w:r w:rsidRPr="00023B68">
              <w:rPr>
                <w:i/>
                <w:iCs/>
                <w:sz w:val="20"/>
                <w:szCs w:val="20"/>
              </w:rPr>
              <w:t xml:space="preserve"> services, </w:t>
            </w:r>
            <w:proofErr w:type="spellStart"/>
            <w:r w:rsidRPr="00023B68">
              <w:rPr>
                <w:i/>
                <w:iCs/>
                <w:sz w:val="20"/>
                <w:szCs w:val="20"/>
              </w:rPr>
              <w:t>cloud</w:t>
            </w:r>
            <w:proofErr w:type="spellEnd"/>
            <w:r w:rsidRPr="00023B68">
              <w:rPr>
                <w:i/>
                <w:iCs/>
                <w:sz w:val="20"/>
                <w:szCs w:val="20"/>
              </w:rPr>
              <w:t xml:space="preserve"> </w:t>
            </w:r>
            <w:proofErr w:type="spellStart"/>
            <w:r w:rsidRPr="00023B68">
              <w:rPr>
                <w:i/>
                <w:iCs/>
                <w:sz w:val="20"/>
                <w:szCs w:val="20"/>
              </w:rPr>
              <w:t>computing</w:t>
            </w:r>
            <w:proofErr w:type="spellEnd"/>
            <w:r w:rsidRPr="00023B68">
              <w:rPr>
                <w:i/>
                <w:iCs/>
                <w:sz w:val="20"/>
                <w:szCs w:val="20"/>
              </w:rPr>
              <w:t xml:space="preserve"> services, software and AI </w:t>
            </w:r>
            <w:proofErr w:type="spellStart"/>
            <w:r w:rsidRPr="00023B68">
              <w:rPr>
                <w:i/>
                <w:iCs/>
                <w:sz w:val="20"/>
                <w:szCs w:val="20"/>
              </w:rPr>
              <w:t>systems</w:t>
            </w:r>
            <w:proofErr w:type="spellEnd"/>
            <w:r w:rsidRPr="00023B68">
              <w:rPr>
                <w:i/>
                <w:iCs/>
                <w:sz w:val="20"/>
                <w:szCs w:val="20"/>
              </w:rPr>
              <w:t xml:space="preserve"> by the </w:t>
            </w:r>
            <w:proofErr w:type="spellStart"/>
            <w:r w:rsidRPr="00023B68">
              <w:rPr>
                <w:i/>
                <w:iCs/>
                <w:sz w:val="20"/>
                <w:szCs w:val="20"/>
              </w:rPr>
              <w:t>Commission</w:t>
            </w:r>
            <w:proofErr w:type="spellEnd"/>
            <w:r w:rsidRPr="00023B68">
              <w:rPr>
                <w:i/>
                <w:iCs/>
                <w:sz w:val="20"/>
                <w:szCs w:val="20"/>
              </w:rPr>
              <w:t xml:space="preserve"> </w:t>
            </w:r>
          </w:p>
          <w:p w14:paraId="6CF578F2" w14:textId="73052131" w:rsidR="00A85FE9" w:rsidRPr="00023B68" w:rsidRDefault="00A85FE9" w:rsidP="00A85FE9">
            <w:pPr>
              <w:pStyle w:val="Default"/>
              <w:rPr>
                <w:sz w:val="20"/>
                <w:szCs w:val="20"/>
              </w:rPr>
            </w:pPr>
          </w:p>
        </w:tc>
        <w:tc>
          <w:tcPr>
            <w:tcW w:w="0" w:type="auto"/>
          </w:tcPr>
          <w:p w14:paraId="202DC677" w14:textId="4C5422A0" w:rsidR="00A85FE9" w:rsidRPr="00023B68" w:rsidRDefault="00A85FE9" w:rsidP="00A85FE9">
            <w:pPr>
              <w:pStyle w:val="Default"/>
              <w:rPr>
                <w:sz w:val="20"/>
                <w:szCs w:val="20"/>
              </w:rPr>
            </w:pPr>
            <w:r w:rsidRPr="00023B68">
              <w:rPr>
                <w:sz w:val="20"/>
                <w:szCs w:val="20"/>
              </w:rPr>
              <w:t>SIAPL KIGEIT</w:t>
            </w:r>
          </w:p>
        </w:tc>
        <w:tc>
          <w:tcPr>
            <w:tcW w:w="0" w:type="auto"/>
          </w:tcPr>
          <w:p w14:paraId="17238219" w14:textId="294C1790" w:rsidR="00A85FE9" w:rsidRPr="00023B68" w:rsidRDefault="00A85FE9" w:rsidP="00A85FE9">
            <w:pPr>
              <w:pStyle w:val="Default"/>
              <w:rPr>
                <w:sz w:val="20"/>
                <w:szCs w:val="20"/>
              </w:rPr>
            </w:pPr>
            <w:r w:rsidRPr="00023B68">
              <w:rPr>
                <w:sz w:val="20"/>
                <w:szCs w:val="20"/>
              </w:rPr>
              <w:t xml:space="preserve">Docenia ustanowienie mechanizmu wspólnych zamówień publicznych (joint </w:t>
            </w:r>
            <w:proofErr w:type="spellStart"/>
            <w:r w:rsidRPr="00023B68">
              <w:rPr>
                <w:sz w:val="20"/>
                <w:szCs w:val="20"/>
              </w:rPr>
              <w:t>procurement</w:t>
            </w:r>
            <w:proofErr w:type="spellEnd"/>
            <w:r w:rsidRPr="00023B68">
              <w:rPr>
                <w:sz w:val="20"/>
                <w:szCs w:val="20"/>
              </w:rPr>
              <w:t>) jako instrumentu konsolidacji popytu sektora publicznego.</w:t>
            </w:r>
          </w:p>
        </w:tc>
      </w:tr>
      <w:tr w:rsidR="00A85FE9" w:rsidRPr="00023B68" w14:paraId="3375A3E6" w14:textId="77777777" w:rsidTr="00040008">
        <w:tc>
          <w:tcPr>
            <w:tcW w:w="0" w:type="auto"/>
          </w:tcPr>
          <w:p w14:paraId="6F1DD05D" w14:textId="46E50A91"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65CF65B0" w14:textId="06C74E08" w:rsidR="00A85FE9" w:rsidRPr="00023B68" w:rsidRDefault="00A85FE9" w:rsidP="00A85FE9">
            <w:pPr>
              <w:pStyle w:val="Default"/>
              <w:rPr>
                <w:sz w:val="20"/>
                <w:szCs w:val="20"/>
              </w:rPr>
            </w:pPr>
            <w:proofErr w:type="spellStart"/>
            <w:r w:rsidRPr="00023B68">
              <w:rPr>
                <w:sz w:val="20"/>
                <w:szCs w:val="20"/>
              </w:rPr>
              <w:t>PIIiT</w:t>
            </w:r>
            <w:proofErr w:type="spellEnd"/>
          </w:p>
        </w:tc>
        <w:tc>
          <w:tcPr>
            <w:tcW w:w="0" w:type="auto"/>
          </w:tcPr>
          <w:p w14:paraId="55E3DA88" w14:textId="03F891E4" w:rsidR="00A85FE9" w:rsidRPr="00023B68" w:rsidRDefault="00A85FE9" w:rsidP="00A85FE9">
            <w:pPr>
              <w:pStyle w:val="Default"/>
              <w:rPr>
                <w:sz w:val="20"/>
                <w:szCs w:val="20"/>
              </w:rPr>
            </w:pPr>
            <w:r w:rsidRPr="00023B68">
              <w:rPr>
                <w:sz w:val="20"/>
                <w:szCs w:val="20"/>
              </w:rPr>
              <w:t xml:space="preserve">Na dzisiaj trudno ocenić jak odejście od znanych wszystkim procedur udzielenia zamówienia publicznego (na rzecz nie do końca określonych jeszcze zasad Komisji, art. 37–40) wpłynie na przejrzystość postępowania. Sygnalizowane korzyści to hipotetyczna możliwość obniżenia ceny dla zamawiającego, a dla oferenta znaczący lewar rynkowy pozwalający na wejście na rynki sektora publicznego w kilku państwach członkowskich jednocześnie. Dla zamawiających z p.cz. oznacza to naukę i obsługę dodatkowych procedur między Komisją a zamawiającymi. Niejasna jest relacja nowej platformy zakupowej do istniejącego portalu TED. Uwzględnienie w TED nowych wymogów polityki suwerenności (i tak obowiązkowe po ew. uchwalenie aktu) i procedur wspólnych zamówień, niekoniecznie przy udziale Komisji, wydaje się wystarczające i proporcjonalne. Możliwe jest także wspólne zamawianie przy pośrednictwie jednego z państw członkowskich i przy wykorzystaniu jego platform zakupowych, znanych już krajowym oferentom. Forsowanie centralizacji nie zawsze jest dobrym rozwiązaniem w praktyce, choć wydaje się aksjomatem działania Komisji. </w:t>
            </w:r>
          </w:p>
          <w:p w14:paraId="607CEBF9" w14:textId="35A587DB" w:rsidR="00A85FE9" w:rsidRPr="00023B68" w:rsidRDefault="00A85FE9" w:rsidP="00A85FE9">
            <w:pPr>
              <w:pStyle w:val="Default"/>
              <w:rPr>
                <w:sz w:val="20"/>
                <w:szCs w:val="20"/>
              </w:rPr>
            </w:pPr>
          </w:p>
        </w:tc>
      </w:tr>
      <w:tr w:rsidR="00A85FE9" w:rsidRPr="00023B68" w14:paraId="48E90334" w14:textId="77777777" w:rsidTr="00040008">
        <w:tc>
          <w:tcPr>
            <w:tcW w:w="0" w:type="auto"/>
          </w:tcPr>
          <w:p w14:paraId="3A229046" w14:textId="341C8476" w:rsidR="00A85FE9" w:rsidRPr="00023B68" w:rsidRDefault="00A85FE9" w:rsidP="00A85FE9">
            <w:pPr>
              <w:pStyle w:val="Default"/>
              <w:rPr>
                <w:sz w:val="20"/>
                <w:szCs w:val="20"/>
              </w:rPr>
            </w:pPr>
            <w:r w:rsidRPr="00023B68">
              <w:rPr>
                <w:sz w:val="20"/>
                <w:szCs w:val="20"/>
              </w:rPr>
              <w:t>Rozdział V art. 41–44</w:t>
            </w:r>
          </w:p>
          <w:p w14:paraId="68DACF39" w14:textId="77777777" w:rsidR="00A85FE9" w:rsidRPr="00023B68" w:rsidRDefault="00A85FE9" w:rsidP="00A85FE9">
            <w:pPr>
              <w:pStyle w:val="Default"/>
              <w:rPr>
                <w:b/>
                <w:bCs/>
                <w:sz w:val="20"/>
                <w:szCs w:val="20"/>
              </w:rPr>
            </w:pPr>
            <w:r w:rsidRPr="00023B68">
              <w:rPr>
                <w:i/>
                <w:iCs/>
                <w:sz w:val="20"/>
                <w:szCs w:val="20"/>
              </w:rPr>
              <w:t xml:space="preserve">Open </w:t>
            </w:r>
            <w:proofErr w:type="spellStart"/>
            <w:r w:rsidRPr="00023B68">
              <w:rPr>
                <w:i/>
                <w:iCs/>
                <w:sz w:val="20"/>
                <w:szCs w:val="20"/>
              </w:rPr>
              <w:t>source</w:t>
            </w:r>
            <w:proofErr w:type="spellEnd"/>
            <w:r w:rsidRPr="00023B68">
              <w:rPr>
                <w:b/>
                <w:bCs/>
                <w:sz w:val="20"/>
                <w:szCs w:val="20"/>
              </w:rPr>
              <w:t xml:space="preserve"> </w:t>
            </w:r>
          </w:p>
          <w:p w14:paraId="08A3E1BD" w14:textId="77777777" w:rsidR="00A85FE9" w:rsidRPr="00023B68" w:rsidRDefault="00A85FE9" w:rsidP="00A85FE9">
            <w:pPr>
              <w:pStyle w:val="Default"/>
              <w:rPr>
                <w:b/>
                <w:bCs/>
                <w:sz w:val="20"/>
                <w:szCs w:val="20"/>
              </w:rPr>
            </w:pPr>
          </w:p>
          <w:p w14:paraId="5B17B23B" w14:textId="2FD92920" w:rsidR="00A85FE9" w:rsidRPr="00023B68" w:rsidRDefault="00A85FE9" w:rsidP="00A85FE9">
            <w:pPr>
              <w:pStyle w:val="Default"/>
              <w:rPr>
                <w:sz w:val="20"/>
                <w:szCs w:val="20"/>
              </w:rPr>
            </w:pPr>
            <w:r w:rsidRPr="00023B68">
              <w:rPr>
                <w:sz w:val="20"/>
                <w:szCs w:val="20"/>
              </w:rPr>
              <w:lastRenderedPageBreak/>
              <w:t>Artykuł 41</w:t>
            </w:r>
          </w:p>
          <w:p w14:paraId="326CC0FF" w14:textId="77777777" w:rsidR="00A85FE9" w:rsidRPr="00023B68" w:rsidRDefault="00A85FE9" w:rsidP="00A85FE9">
            <w:pPr>
              <w:pStyle w:val="Default"/>
              <w:rPr>
                <w:i/>
                <w:iCs/>
                <w:sz w:val="20"/>
                <w:szCs w:val="20"/>
              </w:rPr>
            </w:pPr>
            <w:proofErr w:type="spellStart"/>
            <w:r w:rsidRPr="00023B68">
              <w:rPr>
                <w:i/>
                <w:iCs/>
                <w:sz w:val="20"/>
                <w:szCs w:val="20"/>
              </w:rPr>
              <w:t>Promoting</w:t>
            </w:r>
            <w:proofErr w:type="spellEnd"/>
            <w:r w:rsidRPr="00023B68">
              <w:rPr>
                <w:i/>
                <w:iCs/>
                <w:sz w:val="20"/>
                <w:szCs w:val="20"/>
              </w:rPr>
              <w:t xml:space="preserve"> open </w:t>
            </w:r>
            <w:proofErr w:type="spellStart"/>
            <w:r w:rsidRPr="00023B68">
              <w:rPr>
                <w:i/>
                <w:iCs/>
                <w:sz w:val="20"/>
                <w:szCs w:val="20"/>
              </w:rPr>
              <w:t>source</w:t>
            </w:r>
            <w:proofErr w:type="spellEnd"/>
            <w:r w:rsidRPr="00023B68">
              <w:rPr>
                <w:i/>
                <w:iCs/>
                <w:sz w:val="20"/>
                <w:szCs w:val="20"/>
              </w:rPr>
              <w:t xml:space="preserve"> </w:t>
            </w:r>
            <w:proofErr w:type="spellStart"/>
            <w:r w:rsidRPr="00023B68">
              <w:rPr>
                <w:i/>
                <w:iCs/>
                <w:sz w:val="20"/>
                <w:szCs w:val="20"/>
              </w:rPr>
              <w:t>solutions</w:t>
            </w:r>
            <w:proofErr w:type="spellEnd"/>
            <w:r w:rsidRPr="00023B68">
              <w:rPr>
                <w:i/>
                <w:iCs/>
                <w:sz w:val="20"/>
                <w:szCs w:val="20"/>
              </w:rPr>
              <w:t xml:space="preserve"> </w:t>
            </w:r>
            <w:proofErr w:type="spellStart"/>
            <w:r w:rsidRPr="00023B68">
              <w:rPr>
                <w:i/>
                <w:iCs/>
                <w:sz w:val="20"/>
                <w:szCs w:val="20"/>
              </w:rPr>
              <w:t>andopen</w:t>
            </w:r>
            <w:proofErr w:type="spellEnd"/>
            <w:r w:rsidRPr="00023B68">
              <w:rPr>
                <w:i/>
                <w:iCs/>
                <w:sz w:val="20"/>
                <w:szCs w:val="20"/>
              </w:rPr>
              <w:t xml:space="preserve"> </w:t>
            </w:r>
            <w:proofErr w:type="spellStart"/>
            <w:r w:rsidRPr="00023B68">
              <w:rPr>
                <w:i/>
                <w:iCs/>
                <w:sz w:val="20"/>
                <w:szCs w:val="20"/>
              </w:rPr>
              <w:t>source</w:t>
            </w:r>
            <w:proofErr w:type="spellEnd"/>
            <w:r w:rsidRPr="00023B68">
              <w:rPr>
                <w:i/>
                <w:iCs/>
                <w:sz w:val="20"/>
                <w:szCs w:val="20"/>
              </w:rPr>
              <w:t xml:space="preserve"> </w:t>
            </w:r>
            <w:proofErr w:type="spellStart"/>
            <w:r w:rsidRPr="00023B68">
              <w:rPr>
                <w:i/>
                <w:iCs/>
                <w:sz w:val="20"/>
                <w:szCs w:val="20"/>
              </w:rPr>
              <w:t>first</w:t>
            </w:r>
            <w:proofErr w:type="spellEnd"/>
          </w:p>
          <w:p w14:paraId="2DEA5B23" w14:textId="77777777" w:rsidR="00A85FE9" w:rsidRPr="00023B68" w:rsidRDefault="00A85FE9" w:rsidP="00A85FE9">
            <w:pPr>
              <w:pStyle w:val="Default"/>
              <w:rPr>
                <w:sz w:val="20"/>
                <w:szCs w:val="20"/>
              </w:rPr>
            </w:pPr>
          </w:p>
          <w:p w14:paraId="34A7FE65" w14:textId="4CFAA7F0" w:rsidR="00A85FE9" w:rsidRPr="00023B68" w:rsidRDefault="00A85FE9" w:rsidP="00A85FE9">
            <w:pPr>
              <w:pStyle w:val="Default"/>
              <w:rPr>
                <w:sz w:val="20"/>
                <w:szCs w:val="20"/>
              </w:rPr>
            </w:pPr>
            <w:r w:rsidRPr="00023B68">
              <w:rPr>
                <w:sz w:val="20"/>
                <w:szCs w:val="20"/>
              </w:rPr>
              <w:t>Artykuł 42</w:t>
            </w:r>
            <w:r w:rsidRPr="00023B68">
              <w:rPr>
                <w:i/>
                <w:iCs/>
                <w:sz w:val="20"/>
                <w:szCs w:val="20"/>
              </w:rPr>
              <w:br/>
            </w:r>
            <w:proofErr w:type="spellStart"/>
            <w:r w:rsidRPr="00023B68">
              <w:rPr>
                <w:i/>
                <w:iCs/>
                <w:sz w:val="20"/>
                <w:szCs w:val="20"/>
              </w:rPr>
              <w:t>Share</w:t>
            </w:r>
            <w:proofErr w:type="spellEnd"/>
            <w:r w:rsidRPr="00023B68">
              <w:rPr>
                <w:i/>
                <w:iCs/>
                <w:sz w:val="20"/>
                <w:szCs w:val="20"/>
              </w:rPr>
              <w:t xml:space="preserve"> and </w:t>
            </w:r>
            <w:proofErr w:type="spellStart"/>
            <w:r w:rsidRPr="00023B68">
              <w:rPr>
                <w:i/>
                <w:iCs/>
                <w:sz w:val="20"/>
                <w:szCs w:val="20"/>
              </w:rPr>
              <w:t>reuse</w:t>
            </w:r>
            <w:proofErr w:type="spellEnd"/>
            <w:r w:rsidRPr="00023B68">
              <w:rPr>
                <w:i/>
                <w:iCs/>
                <w:sz w:val="20"/>
                <w:szCs w:val="20"/>
              </w:rPr>
              <w:t xml:space="preserve"> of software</w:t>
            </w:r>
          </w:p>
        </w:tc>
        <w:tc>
          <w:tcPr>
            <w:tcW w:w="0" w:type="auto"/>
          </w:tcPr>
          <w:p w14:paraId="2BD7260F" w14:textId="0E192415" w:rsidR="00A85FE9" w:rsidRPr="00023B68" w:rsidRDefault="00A85FE9" w:rsidP="00A85FE9">
            <w:pPr>
              <w:pStyle w:val="Default"/>
              <w:rPr>
                <w:sz w:val="20"/>
                <w:szCs w:val="20"/>
              </w:rPr>
            </w:pPr>
            <w:r w:rsidRPr="00023B68">
              <w:rPr>
                <w:sz w:val="20"/>
                <w:szCs w:val="20"/>
              </w:rPr>
              <w:lastRenderedPageBreak/>
              <w:t>SIAPL KIGEIT</w:t>
            </w:r>
          </w:p>
        </w:tc>
        <w:tc>
          <w:tcPr>
            <w:tcW w:w="0" w:type="auto"/>
          </w:tcPr>
          <w:p w14:paraId="094D3345" w14:textId="77777777" w:rsidR="00A85FE9" w:rsidRPr="00023B68" w:rsidRDefault="00A85FE9" w:rsidP="00A85FE9">
            <w:pPr>
              <w:pStyle w:val="Default"/>
              <w:rPr>
                <w:sz w:val="20"/>
                <w:szCs w:val="20"/>
              </w:rPr>
            </w:pPr>
            <w:r w:rsidRPr="00023B68">
              <w:rPr>
                <w:sz w:val="20"/>
                <w:szCs w:val="20"/>
              </w:rPr>
              <w:t xml:space="preserve">Osłabione przepisy o open </w:t>
            </w:r>
            <w:proofErr w:type="spellStart"/>
            <w:r w:rsidRPr="00023B68">
              <w:rPr>
                <w:sz w:val="20"/>
                <w:szCs w:val="20"/>
              </w:rPr>
              <w:t>source</w:t>
            </w:r>
            <w:proofErr w:type="spellEnd"/>
          </w:p>
          <w:p w14:paraId="256A5A97" w14:textId="77777777" w:rsidR="00A85FE9" w:rsidRPr="00023B68" w:rsidRDefault="00A85FE9" w:rsidP="00A85FE9">
            <w:pPr>
              <w:pStyle w:val="Default"/>
              <w:rPr>
                <w:sz w:val="20"/>
                <w:szCs w:val="20"/>
              </w:rPr>
            </w:pPr>
          </w:p>
          <w:p w14:paraId="75907BF2" w14:textId="77777777" w:rsidR="00A85FE9" w:rsidRPr="00023B68" w:rsidRDefault="00A85FE9" w:rsidP="00A85FE9">
            <w:pPr>
              <w:pStyle w:val="Default"/>
              <w:rPr>
                <w:sz w:val="20"/>
                <w:szCs w:val="20"/>
              </w:rPr>
            </w:pPr>
            <w:r w:rsidRPr="00023B68">
              <w:rPr>
                <w:sz w:val="20"/>
                <w:szCs w:val="20"/>
              </w:rPr>
              <w:lastRenderedPageBreak/>
              <w:t xml:space="preserve">Artykuł 41 CADA ogranicza zasadę "open </w:t>
            </w:r>
            <w:proofErr w:type="spellStart"/>
            <w:r w:rsidRPr="00023B68">
              <w:rPr>
                <w:sz w:val="20"/>
                <w:szCs w:val="20"/>
              </w:rPr>
              <w:t>source</w:t>
            </w:r>
            <w:proofErr w:type="spellEnd"/>
            <w:r w:rsidRPr="00023B68">
              <w:rPr>
                <w:sz w:val="20"/>
                <w:szCs w:val="20"/>
              </w:rPr>
              <w:t xml:space="preserve"> </w:t>
            </w:r>
            <w:proofErr w:type="spellStart"/>
            <w:r w:rsidRPr="00023B68">
              <w:rPr>
                <w:sz w:val="20"/>
                <w:szCs w:val="20"/>
              </w:rPr>
              <w:t>first</w:t>
            </w:r>
            <w:proofErr w:type="spellEnd"/>
            <w:r w:rsidRPr="00023B68">
              <w:rPr>
                <w:sz w:val="20"/>
                <w:szCs w:val="20"/>
              </w:rPr>
              <w:t xml:space="preserve">" do obowiązku zachęcania organów publicznych do stosowania rozwiązań open </w:t>
            </w:r>
            <w:proofErr w:type="spellStart"/>
            <w:r w:rsidRPr="00023B68">
              <w:rPr>
                <w:sz w:val="20"/>
                <w:szCs w:val="20"/>
              </w:rPr>
              <w:t>source</w:t>
            </w:r>
            <w:proofErr w:type="spellEnd"/>
            <w:r w:rsidRPr="00023B68">
              <w:rPr>
                <w:sz w:val="20"/>
                <w:szCs w:val="20"/>
              </w:rPr>
              <w:t xml:space="preserve"> bez żadnej sposobu egzekwowania mocniejszego stawiania na open </w:t>
            </w:r>
            <w:proofErr w:type="spellStart"/>
            <w:r w:rsidRPr="00023B68">
              <w:rPr>
                <w:sz w:val="20"/>
                <w:szCs w:val="20"/>
              </w:rPr>
              <w:t>source</w:t>
            </w:r>
            <w:proofErr w:type="spellEnd"/>
            <w:r w:rsidRPr="00023B68">
              <w:rPr>
                <w:sz w:val="20"/>
                <w:szCs w:val="20"/>
              </w:rPr>
              <w:t xml:space="preserve">. Artykuł 42-43 dotyczący zasady "public </w:t>
            </w:r>
            <w:proofErr w:type="spellStart"/>
            <w:r w:rsidRPr="00023B68">
              <w:rPr>
                <w:sz w:val="20"/>
                <w:szCs w:val="20"/>
              </w:rPr>
              <w:t>money</w:t>
            </w:r>
            <w:proofErr w:type="spellEnd"/>
            <w:r w:rsidRPr="00023B68">
              <w:rPr>
                <w:sz w:val="20"/>
                <w:szCs w:val="20"/>
              </w:rPr>
              <w:t xml:space="preserve">, public </w:t>
            </w:r>
            <w:proofErr w:type="spellStart"/>
            <w:r w:rsidRPr="00023B68">
              <w:rPr>
                <w:sz w:val="20"/>
                <w:szCs w:val="20"/>
              </w:rPr>
              <w:t>code</w:t>
            </w:r>
            <w:proofErr w:type="spellEnd"/>
            <w:r w:rsidRPr="00023B68">
              <w:rPr>
                <w:sz w:val="20"/>
                <w:szCs w:val="20"/>
              </w:rPr>
              <w:t xml:space="preserve">" nakłada wyłącznie obowiązki katalogowe i tylko gdy organ publiczny sam posiada prawa własności intelektualnej. Brak obowiązku udostępniania oprogramowania wytworzonego ze środków publicznych w ramach licencji open </w:t>
            </w:r>
            <w:proofErr w:type="spellStart"/>
            <w:r w:rsidRPr="00023B68">
              <w:rPr>
                <w:sz w:val="20"/>
                <w:szCs w:val="20"/>
              </w:rPr>
              <w:t>source</w:t>
            </w:r>
            <w:proofErr w:type="spellEnd"/>
            <w:r w:rsidRPr="00023B68">
              <w:rPr>
                <w:sz w:val="20"/>
                <w:szCs w:val="20"/>
              </w:rPr>
              <w:t xml:space="preserve"> (gdy prawa posiada wykonawca) stanowi utracony impuls dla budowy europejskiego ekosystemu open </w:t>
            </w:r>
            <w:proofErr w:type="spellStart"/>
            <w:r w:rsidRPr="00023B68">
              <w:rPr>
                <w:sz w:val="20"/>
                <w:szCs w:val="20"/>
              </w:rPr>
              <w:t>source</w:t>
            </w:r>
            <w:proofErr w:type="spellEnd"/>
            <w:r w:rsidRPr="00023B68">
              <w:rPr>
                <w:sz w:val="20"/>
                <w:szCs w:val="20"/>
              </w:rPr>
              <w:t>.</w:t>
            </w:r>
          </w:p>
          <w:p w14:paraId="090CA622" w14:textId="77777777" w:rsidR="00A85FE9" w:rsidRPr="00023B68" w:rsidRDefault="00A85FE9" w:rsidP="00A85FE9">
            <w:pPr>
              <w:pStyle w:val="Default"/>
              <w:rPr>
                <w:sz w:val="20"/>
                <w:szCs w:val="20"/>
              </w:rPr>
            </w:pPr>
          </w:p>
          <w:p w14:paraId="5B88E483" w14:textId="77777777" w:rsidR="00A85FE9" w:rsidRPr="00023B68" w:rsidRDefault="00A85FE9" w:rsidP="00A85FE9">
            <w:pPr>
              <w:pStyle w:val="Default"/>
              <w:rPr>
                <w:sz w:val="20"/>
                <w:szCs w:val="20"/>
              </w:rPr>
            </w:pPr>
            <w:r w:rsidRPr="00023B68">
              <w:rPr>
                <w:sz w:val="20"/>
                <w:szCs w:val="20"/>
              </w:rPr>
              <w:t>Art. 41-42 CADA powinny zostać wzmocnione:</w:t>
            </w:r>
          </w:p>
          <w:p w14:paraId="2DB352CD" w14:textId="77777777" w:rsidR="00A85FE9" w:rsidRPr="00023B68" w:rsidRDefault="00A85FE9" w:rsidP="00A85FE9">
            <w:pPr>
              <w:pStyle w:val="Default"/>
              <w:rPr>
                <w:sz w:val="20"/>
                <w:szCs w:val="20"/>
              </w:rPr>
            </w:pPr>
            <w:r w:rsidRPr="00023B68">
              <w:rPr>
                <w:sz w:val="20"/>
                <w:szCs w:val="20"/>
              </w:rPr>
              <w:t xml:space="preserve">• "Open </w:t>
            </w:r>
            <w:proofErr w:type="spellStart"/>
            <w:r w:rsidRPr="00023B68">
              <w:rPr>
                <w:sz w:val="20"/>
                <w:szCs w:val="20"/>
              </w:rPr>
              <w:t>source</w:t>
            </w:r>
            <w:proofErr w:type="spellEnd"/>
            <w:r w:rsidRPr="00023B68">
              <w:rPr>
                <w:sz w:val="20"/>
                <w:szCs w:val="20"/>
              </w:rPr>
              <w:t xml:space="preserve"> </w:t>
            </w:r>
            <w:proofErr w:type="spellStart"/>
            <w:r w:rsidRPr="00023B68">
              <w:rPr>
                <w:sz w:val="20"/>
                <w:szCs w:val="20"/>
              </w:rPr>
              <w:t>first</w:t>
            </w:r>
            <w:proofErr w:type="spellEnd"/>
            <w:r w:rsidRPr="00023B68">
              <w:rPr>
                <w:sz w:val="20"/>
                <w:szCs w:val="20"/>
              </w:rPr>
              <w:t>" powinno być wyrażone jako domniemanie prawne, od którego odejście wymaga udokumentowanego uzasadnienia (odwrócenie ciężaru dowodu), nie jedynie "zachęty".</w:t>
            </w:r>
          </w:p>
          <w:p w14:paraId="537C5AD0" w14:textId="77777777" w:rsidR="00A85FE9" w:rsidRPr="00023B68" w:rsidRDefault="00A85FE9" w:rsidP="00A85FE9">
            <w:pPr>
              <w:pStyle w:val="Default"/>
              <w:rPr>
                <w:sz w:val="20"/>
                <w:szCs w:val="20"/>
              </w:rPr>
            </w:pPr>
            <w:r w:rsidRPr="00023B68">
              <w:rPr>
                <w:sz w:val="20"/>
                <w:szCs w:val="20"/>
              </w:rPr>
              <w:t xml:space="preserve">• Zasada "public </w:t>
            </w:r>
            <w:proofErr w:type="spellStart"/>
            <w:r w:rsidRPr="00023B68">
              <w:rPr>
                <w:sz w:val="20"/>
                <w:szCs w:val="20"/>
              </w:rPr>
              <w:t>money</w:t>
            </w:r>
            <w:proofErr w:type="spellEnd"/>
            <w:r w:rsidRPr="00023B68">
              <w:rPr>
                <w:sz w:val="20"/>
                <w:szCs w:val="20"/>
              </w:rPr>
              <w:t xml:space="preserve">, public </w:t>
            </w:r>
            <w:proofErr w:type="spellStart"/>
            <w:r w:rsidRPr="00023B68">
              <w:rPr>
                <w:sz w:val="20"/>
                <w:szCs w:val="20"/>
              </w:rPr>
              <w:t>code</w:t>
            </w:r>
            <w:proofErr w:type="spellEnd"/>
            <w:r w:rsidRPr="00023B68">
              <w:rPr>
                <w:sz w:val="20"/>
                <w:szCs w:val="20"/>
              </w:rPr>
              <w:t xml:space="preserve">" powinna nakładać obowiązek udostępnienia kodu źródłowego oprogramowania wytworzonego ze środków publicznych na licencji open </w:t>
            </w:r>
            <w:proofErr w:type="spellStart"/>
            <w:r w:rsidRPr="00023B68">
              <w:rPr>
                <w:sz w:val="20"/>
                <w:szCs w:val="20"/>
              </w:rPr>
              <w:t>source</w:t>
            </w:r>
            <w:proofErr w:type="spellEnd"/>
            <w:r w:rsidRPr="00023B68">
              <w:rPr>
                <w:sz w:val="20"/>
                <w:szCs w:val="20"/>
              </w:rPr>
              <w:t>, niezależnie od tego, kto posiada prawa IP (z możliwością wyłączenia dla oprogramowania wrażliwego dla bezpieczeństwa narodowego).</w:t>
            </w:r>
          </w:p>
          <w:p w14:paraId="64B4BD52" w14:textId="77777777" w:rsidR="00A85FE9" w:rsidRPr="00023B68" w:rsidRDefault="00A85FE9" w:rsidP="00A85FE9">
            <w:pPr>
              <w:pStyle w:val="Default"/>
              <w:rPr>
                <w:sz w:val="20"/>
                <w:szCs w:val="20"/>
              </w:rPr>
            </w:pPr>
            <w:r w:rsidRPr="00023B68">
              <w:rPr>
                <w:sz w:val="20"/>
                <w:szCs w:val="20"/>
              </w:rPr>
              <w:t>• Organy publiczne powinny być zobowiązane do prowadzenia SBOM (Software Bill of Materials) dla całego używanego oprogramowania od 2028 r.</w:t>
            </w:r>
          </w:p>
          <w:p w14:paraId="1A5CE591" w14:textId="77777777" w:rsidR="00A85FE9" w:rsidRPr="00023B68" w:rsidRDefault="00A85FE9" w:rsidP="00A85FE9">
            <w:pPr>
              <w:pStyle w:val="Default"/>
              <w:rPr>
                <w:sz w:val="20"/>
                <w:szCs w:val="20"/>
              </w:rPr>
            </w:pPr>
            <w:r w:rsidRPr="00023B68">
              <w:rPr>
                <w:sz w:val="20"/>
                <w:szCs w:val="20"/>
              </w:rPr>
              <w:t>• Katalog Rozwiązań Open Source (art. 43) powinien dawać preferencje w zamówieniach publicznych.</w:t>
            </w:r>
          </w:p>
          <w:p w14:paraId="77DBDE38" w14:textId="04CFD1E1" w:rsidR="00A85FE9" w:rsidRPr="00023B68" w:rsidRDefault="00A85FE9" w:rsidP="00A85FE9">
            <w:pPr>
              <w:pStyle w:val="Default"/>
              <w:rPr>
                <w:sz w:val="20"/>
                <w:szCs w:val="20"/>
              </w:rPr>
            </w:pPr>
          </w:p>
        </w:tc>
      </w:tr>
      <w:tr w:rsidR="00A85FE9" w:rsidRPr="00023B68" w14:paraId="763F463E" w14:textId="77777777" w:rsidTr="00040008">
        <w:tc>
          <w:tcPr>
            <w:tcW w:w="0" w:type="auto"/>
          </w:tcPr>
          <w:p w14:paraId="6FB2972E" w14:textId="75530B1D"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315EB1AE" w14:textId="774EDDED"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1888AC82" w14:textId="77777777" w:rsidR="00A85FE9" w:rsidRPr="00023B68" w:rsidRDefault="00A85FE9" w:rsidP="00A85FE9">
            <w:pPr>
              <w:pStyle w:val="Default"/>
              <w:rPr>
                <w:sz w:val="20"/>
                <w:szCs w:val="20"/>
              </w:rPr>
            </w:pPr>
            <w:r w:rsidRPr="00023B68">
              <w:rPr>
                <w:sz w:val="20"/>
                <w:szCs w:val="20"/>
              </w:rPr>
              <w:t xml:space="preserve">Artykuł 41 zobowiązuje UE i państwa członkowskie jedynie do zachęcania podmiotów publicznych do stosowania i ponownego wykorzystywania otwartych standardów oraz komponentów open </w:t>
            </w:r>
            <w:proofErr w:type="spellStart"/>
            <w:r w:rsidRPr="00023B68">
              <w:rPr>
                <w:sz w:val="20"/>
                <w:szCs w:val="20"/>
              </w:rPr>
              <w:t>source</w:t>
            </w:r>
            <w:proofErr w:type="spellEnd"/>
            <w:r w:rsidRPr="00023B68">
              <w:rPr>
                <w:sz w:val="20"/>
                <w:szCs w:val="20"/>
              </w:rPr>
              <w:t xml:space="preserve">. </w:t>
            </w:r>
          </w:p>
          <w:p w14:paraId="3E9AE329" w14:textId="77777777" w:rsidR="00A85FE9" w:rsidRPr="00023B68" w:rsidRDefault="00A85FE9" w:rsidP="00A85FE9">
            <w:pPr>
              <w:pStyle w:val="Default"/>
              <w:rPr>
                <w:sz w:val="20"/>
                <w:szCs w:val="20"/>
              </w:rPr>
            </w:pPr>
          </w:p>
          <w:p w14:paraId="7476AE88" w14:textId="4E4EC2FB" w:rsidR="00A85FE9" w:rsidRPr="00023B68" w:rsidRDefault="00A85FE9" w:rsidP="00A85FE9">
            <w:pPr>
              <w:pStyle w:val="Default"/>
              <w:rPr>
                <w:sz w:val="20"/>
                <w:szCs w:val="20"/>
              </w:rPr>
            </w:pPr>
            <w:r w:rsidRPr="00023B68">
              <w:rPr>
                <w:sz w:val="20"/>
                <w:szCs w:val="20"/>
              </w:rPr>
              <w:t>Artykuł 42 określa zasady publikacji dopiero wtedy, gdy podmiot publiczny zdecyduje się udostępnić oprogramowanie. Nie ustanawia natomiast domniemania publikacji ani obowiązku uzasadnienia wyboru rozwiązania zamkniętego. </w:t>
            </w:r>
          </w:p>
          <w:p w14:paraId="2204B2D0" w14:textId="77777777" w:rsidR="00A85FE9" w:rsidRPr="00023B68" w:rsidRDefault="00A85FE9" w:rsidP="00A85FE9">
            <w:pPr>
              <w:pStyle w:val="Default"/>
              <w:rPr>
                <w:sz w:val="20"/>
                <w:szCs w:val="20"/>
              </w:rPr>
            </w:pPr>
          </w:p>
          <w:p w14:paraId="08129AE9" w14:textId="57097CC7" w:rsidR="00A85FE9" w:rsidRPr="00023B68" w:rsidRDefault="00A85FE9" w:rsidP="00A85FE9">
            <w:pPr>
              <w:pStyle w:val="Default"/>
              <w:rPr>
                <w:sz w:val="20"/>
                <w:szCs w:val="20"/>
              </w:rPr>
            </w:pPr>
            <w:r w:rsidRPr="00023B68">
              <w:rPr>
                <w:sz w:val="20"/>
                <w:szCs w:val="20"/>
              </w:rPr>
              <w:t>Fundacja rekomenduje wprowadzenie kwalifikowanej zasady:</w:t>
            </w:r>
          </w:p>
          <w:p w14:paraId="4CCD87BA" w14:textId="77777777" w:rsidR="00A85FE9" w:rsidRPr="00023B68" w:rsidRDefault="00A85FE9" w:rsidP="00A85FE9">
            <w:pPr>
              <w:pStyle w:val="Default"/>
              <w:rPr>
                <w:sz w:val="20"/>
                <w:szCs w:val="20"/>
              </w:rPr>
            </w:pPr>
            <w:r w:rsidRPr="00023B68">
              <w:rPr>
                <w:b/>
                <w:bCs/>
                <w:sz w:val="20"/>
                <w:szCs w:val="20"/>
              </w:rPr>
              <w:t xml:space="preserve">Open </w:t>
            </w:r>
            <w:proofErr w:type="spellStart"/>
            <w:r w:rsidRPr="00023B68">
              <w:rPr>
                <w:b/>
                <w:bCs/>
                <w:sz w:val="20"/>
                <w:szCs w:val="20"/>
              </w:rPr>
              <w:t>source</w:t>
            </w:r>
            <w:proofErr w:type="spellEnd"/>
            <w:r w:rsidRPr="00023B68">
              <w:rPr>
                <w:b/>
                <w:bCs/>
                <w:sz w:val="20"/>
                <w:szCs w:val="20"/>
              </w:rPr>
              <w:t xml:space="preserve"> </w:t>
            </w:r>
            <w:proofErr w:type="spellStart"/>
            <w:r w:rsidRPr="00023B68">
              <w:rPr>
                <w:b/>
                <w:bCs/>
                <w:sz w:val="20"/>
                <w:szCs w:val="20"/>
              </w:rPr>
              <w:t>first</w:t>
            </w:r>
            <w:proofErr w:type="spellEnd"/>
          </w:p>
          <w:p w14:paraId="03DCD56C" w14:textId="77777777" w:rsidR="00A85FE9" w:rsidRPr="00023B68" w:rsidRDefault="00A85FE9" w:rsidP="00A85FE9">
            <w:pPr>
              <w:pStyle w:val="Default"/>
              <w:rPr>
                <w:sz w:val="20"/>
                <w:szCs w:val="20"/>
              </w:rPr>
            </w:pPr>
            <w:r w:rsidRPr="00023B68">
              <w:rPr>
                <w:sz w:val="20"/>
                <w:szCs w:val="20"/>
              </w:rPr>
              <w:t xml:space="preserve">Rozwiązanie open </w:t>
            </w:r>
            <w:proofErr w:type="spellStart"/>
            <w:r w:rsidRPr="00023B68">
              <w:rPr>
                <w:sz w:val="20"/>
                <w:szCs w:val="20"/>
              </w:rPr>
              <w:t>source</w:t>
            </w:r>
            <w:proofErr w:type="spellEnd"/>
            <w:r w:rsidRPr="00023B68">
              <w:rPr>
                <w:sz w:val="20"/>
                <w:szCs w:val="20"/>
              </w:rPr>
              <w:t xml:space="preserve"> powinno być preferowane, jeżeli:</w:t>
            </w:r>
          </w:p>
          <w:p w14:paraId="49F44476" w14:textId="77777777" w:rsidR="00A85FE9" w:rsidRPr="00023B68" w:rsidRDefault="00A85FE9" w:rsidP="00A85FE9">
            <w:pPr>
              <w:pStyle w:val="Default"/>
              <w:numPr>
                <w:ilvl w:val="0"/>
                <w:numId w:val="31"/>
              </w:numPr>
              <w:rPr>
                <w:sz w:val="20"/>
                <w:szCs w:val="20"/>
              </w:rPr>
            </w:pPr>
            <w:r w:rsidRPr="00023B68">
              <w:rPr>
                <w:sz w:val="20"/>
                <w:szCs w:val="20"/>
              </w:rPr>
              <w:t>zapewnia porównywalną albo lepszą funkcjonalność;</w:t>
            </w:r>
          </w:p>
          <w:p w14:paraId="3AF32D7F" w14:textId="77777777" w:rsidR="00A85FE9" w:rsidRPr="00023B68" w:rsidRDefault="00A85FE9" w:rsidP="00A85FE9">
            <w:pPr>
              <w:pStyle w:val="Default"/>
              <w:numPr>
                <w:ilvl w:val="0"/>
                <w:numId w:val="31"/>
              </w:numPr>
              <w:rPr>
                <w:sz w:val="20"/>
                <w:szCs w:val="20"/>
              </w:rPr>
            </w:pPr>
            <w:r w:rsidRPr="00023B68">
              <w:rPr>
                <w:sz w:val="20"/>
                <w:szCs w:val="20"/>
              </w:rPr>
              <w:t>spełnia wymagania bezpieczeństwa;</w:t>
            </w:r>
          </w:p>
          <w:p w14:paraId="1E2537AE" w14:textId="77777777" w:rsidR="00A85FE9" w:rsidRPr="00023B68" w:rsidRDefault="00A85FE9" w:rsidP="00A85FE9">
            <w:pPr>
              <w:pStyle w:val="Default"/>
              <w:numPr>
                <w:ilvl w:val="0"/>
                <w:numId w:val="31"/>
              </w:numPr>
              <w:rPr>
                <w:sz w:val="20"/>
                <w:szCs w:val="20"/>
              </w:rPr>
            </w:pPr>
            <w:r w:rsidRPr="00023B68">
              <w:rPr>
                <w:sz w:val="20"/>
                <w:szCs w:val="20"/>
              </w:rPr>
              <w:t>ma stabilny model utrzymania;</w:t>
            </w:r>
          </w:p>
          <w:p w14:paraId="14D5E02F" w14:textId="77777777" w:rsidR="00A85FE9" w:rsidRPr="00023B68" w:rsidRDefault="00A85FE9" w:rsidP="00A85FE9">
            <w:pPr>
              <w:pStyle w:val="Default"/>
              <w:numPr>
                <w:ilvl w:val="0"/>
                <w:numId w:val="31"/>
              </w:numPr>
              <w:rPr>
                <w:sz w:val="20"/>
                <w:szCs w:val="20"/>
              </w:rPr>
            </w:pPr>
            <w:r w:rsidRPr="00023B68">
              <w:rPr>
                <w:sz w:val="20"/>
                <w:szCs w:val="20"/>
              </w:rPr>
              <w:t>ogranicza zależność od jednego dostawcy;</w:t>
            </w:r>
          </w:p>
          <w:p w14:paraId="6C0639F9" w14:textId="77777777" w:rsidR="00A85FE9" w:rsidRPr="00023B68" w:rsidRDefault="00A85FE9" w:rsidP="00A85FE9">
            <w:pPr>
              <w:pStyle w:val="Default"/>
              <w:numPr>
                <w:ilvl w:val="0"/>
                <w:numId w:val="31"/>
              </w:numPr>
              <w:rPr>
                <w:sz w:val="20"/>
                <w:szCs w:val="20"/>
              </w:rPr>
            </w:pPr>
            <w:r w:rsidRPr="00023B68">
              <w:rPr>
                <w:sz w:val="20"/>
                <w:szCs w:val="20"/>
              </w:rPr>
              <w:t>wspiera interoperacyjność;</w:t>
            </w:r>
          </w:p>
          <w:p w14:paraId="45EAE990" w14:textId="77777777" w:rsidR="00A85FE9" w:rsidRPr="00023B68" w:rsidRDefault="00A85FE9" w:rsidP="00A85FE9">
            <w:pPr>
              <w:pStyle w:val="Default"/>
              <w:numPr>
                <w:ilvl w:val="0"/>
                <w:numId w:val="31"/>
              </w:numPr>
              <w:rPr>
                <w:sz w:val="20"/>
                <w:szCs w:val="20"/>
              </w:rPr>
            </w:pPr>
            <w:r w:rsidRPr="00023B68">
              <w:rPr>
                <w:sz w:val="20"/>
                <w:szCs w:val="20"/>
              </w:rPr>
              <w:t>ma uzasadniony całkowity koszt posiadania.</w:t>
            </w:r>
          </w:p>
          <w:p w14:paraId="600F0690" w14:textId="77777777" w:rsidR="00A85FE9" w:rsidRPr="00023B68" w:rsidRDefault="00A85FE9" w:rsidP="00A85FE9">
            <w:pPr>
              <w:pStyle w:val="Default"/>
              <w:rPr>
                <w:sz w:val="20"/>
                <w:szCs w:val="20"/>
              </w:rPr>
            </w:pPr>
            <w:r w:rsidRPr="00023B68">
              <w:rPr>
                <w:sz w:val="20"/>
                <w:szCs w:val="20"/>
              </w:rPr>
              <w:t>Odstępstwo powinno być możliwe, ale wymagać udokumentowania.</w:t>
            </w:r>
          </w:p>
          <w:p w14:paraId="7D50DB54" w14:textId="77777777" w:rsidR="00A85FE9" w:rsidRPr="00023B68" w:rsidRDefault="00A85FE9" w:rsidP="00A85FE9">
            <w:pPr>
              <w:pStyle w:val="Default"/>
              <w:rPr>
                <w:b/>
                <w:bCs/>
                <w:sz w:val="20"/>
                <w:szCs w:val="20"/>
              </w:rPr>
            </w:pPr>
          </w:p>
          <w:p w14:paraId="3B7BA691" w14:textId="294CAB35" w:rsidR="00A85FE9" w:rsidRPr="00023B68" w:rsidRDefault="00A85FE9" w:rsidP="00A85FE9">
            <w:pPr>
              <w:pStyle w:val="Default"/>
              <w:rPr>
                <w:sz w:val="20"/>
                <w:szCs w:val="20"/>
              </w:rPr>
            </w:pPr>
            <w:r w:rsidRPr="00023B68">
              <w:rPr>
                <w:b/>
                <w:bCs/>
                <w:sz w:val="20"/>
                <w:szCs w:val="20"/>
              </w:rPr>
              <w:t xml:space="preserve">Public </w:t>
            </w:r>
            <w:proofErr w:type="spellStart"/>
            <w:r w:rsidRPr="00023B68">
              <w:rPr>
                <w:b/>
                <w:bCs/>
                <w:sz w:val="20"/>
                <w:szCs w:val="20"/>
              </w:rPr>
              <w:t>money</w:t>
            </w:r>
            <w:proofErr w:type="spellEnd"/>
            <w:r w:rsidRPr="00023B68">
              <w:rPr>
                <w:b/>
                <w:bCs/>
                <w:sz w:val="20"/>
                <w:szCs w:val="20"/>
              </w:rPr>
              <w:t xml:space="preserve">, public </w:t>
            </w:r>
            <w:proofErr w:type="spellStart"/>
            <w:r w:rsidRPr="00023B68">
              <w:rPr>
                <w:b/>
                <w:bCs/>
                <w:sz w:val="20"/>
                <w:szCs w:val="20"/>
              </w:rPr>
              <w:t>code</w:t>
            </w:r>
            <w:proofErr w:type="spellEnd"/>
          </w:p>
          <w:p w14:paraId="11B1E3DE" w14:textId="77777777" w:rsidR="00A85FE9" w:rsidRPr="00023B68" w:rsidRDefault="00A85FE9" w:rsidP="00A85FE9">
            <w:pPr>
              <w:pStyle w:val="Default"/>
              <w:rPr>
                <w:sz w:val="20"/>
                <w:szCs w:val="20"/>
              </w:rPr>
            </w:pPr>
            <w:r w:rsidRPr="00023B68">
              <w:rPr>
                <w:sz w:val="20"/>
                <w:szCs w:val="20"/>
              </w:rPr>
              <w:t>Oprogramowanie finansowane ze środków publicznych, do którego podmiot publiczny posiada prawa, powinno być domyślnie udostępniane do ponownego wykorzystania, z wyjątkami dotyczącymi:</w:t>
            </w:r>
          </w:p>
          <w:p w14:paraId="707F714B" w14:textId="77777777" w:rsidR="00A85FE9" w:rsidRPr="00023B68" w:rsidRDefault="00A85FE9" w:rsidP="00A85FE9">
            <w:pPr>
              <w:pStyle w:val="Default"/>
              <w:numPr>
                <w:ilvl w:val="0"/>
                <w:numId w:val="32"/>
              </w:numPr>
              <w:rPr>
                <w:sz w:val="20"/>
                <w:szCs w:val="20"/>
              </w:rPr>
            </w:pPr>
            <w:r w:rsidRPr="00023B68">
              <w:rPr>
                <w:sz w:val="20"/>
                <w:szCs w:val="20"/>
              </w:rPr>
              <w:t>bezpieczeństwa narodowego;</w:t>
            </w:r>
          </w:p>
          <w:p w14:paraId="642A4C8B" w14:textId="77777777" w:rsidR="00A85FE9" w:rsidRPr="00023B68" w:rsidRDefault="00A85FE9" w:rsidP="00A85FE9">
            <w:pPr>
              <w:pStyle w:val="Default"/>
              <w:numPr>
                <w:ilvl w:val="0"/>
                <w:numId w:val="32"/>
              </w:numPr>
              <w:rPr>
                <w:sz w:val="20"/>
                <w:szCs w:val="20"/>
              </w:rPr>
            </w:pPr>
            <w:r w:rsidRPr="00023B68">
              <w:rPr>
                <w:sz w:val="20"/>
                <w:szCs w:val="20"/>
              </w:rPr>
              <w:lastRenderedPageBreak/>
              <w:t>informacji niejawnych;</w:t>
            </w:r>
          </w:p>
          <w:p w14:paraId="45C76BE7" w14:textId="77777777" w:rsidR="00A85FE9" w:rsidRPr="00023B68" w:rsidRDefault="00A85FE9" w:rsidP="00A85FE9">
            <w:pPr>
              <w:pStyle w:val="Default"/>
              <w:numPr>
                <w:ilvl w:val="0"/>
                <w:numId w:val="32"/>
              </w:numPr>
              <w:rPr>
                <w:sz w:val="20"/>
                <w:szCs w:val="20"/>
              </w:rPr>
            </w:pPr>
            <w:r w:rsidRPr="00023B68">
              <w:rPr>
                <w:sz w:val="20"/>
                <w:szCs w:val="20"/>
              </w:rPr>
              <w:t>ochrony danych;</w:t>
            </w:r>
          </w:p>
          <w:p w14:paraId="0E835CFB" w14:textId="77777777" w:rsidR="00A85FE9" w:rsidRPr="00023B68" w:rsidRDefault="00A85FE9" w:rsidP="00A85FE9">
            <w:pPr>
              <w:pStyle w:val="Default"/>
              <w:numPr>
                <w:ilvl w:val="0"/>
                <w:numId w:val="32"/>
              </w:numPr>
              <w:rPr>
                <w:sz w:val="20"/>
                <w:szCs w:val="20"/>
              </w:rPr>
            </w:pPr>
            <w:r w:rsidRPr="00023B68">
              <w:rPr>
                <w:sz w:val="20"/>
                <w:szCs w:val="20"/>
              </w:rPr>
              <w:t>praw osób trzecich;</w:t>
            </w:r>
          </w:p>
          <w:p w14:paraId="6092B76A" w14:textId="77777777" w:rsidR="00A85FE9" w:rsidRPr="00023B68" w:rsidRDefault="00A85FE9" w:rsidP="00A85FE9">
            <w:pPr>
              <w:pStyle w:val="Default"/>
              <w:numPr>
                <w:ilvl w:val="0"/>
                <w:numId w:val="32"/>
              </w:numPr>
              <w:rPr>
                <w:sz w:val="20"/>
                <w:szCs w:val="20"/>
              </w:rPr>
            </w:pPr>
            <w:r w:rsidRPr="00023B68">
              <w:rPr>
                <w:sz w:val="20"/>
                <w:szCs w:val="20"/>
              </w:rPr>
              <w:t>bezpieczeństwa systemu;</w:t>
            </w:r>
          </w:p>
          <w:p w14:paraId="77933A1E" w14:textId="77777777" w:rsidR="00A85FE9" w:rsidRPr="00023B68" w:rsidRDefault="00A85FE9" w:rsidP="00A85FE9">
            <w:pPr>
              <w:pStyle w:val="Default"/>
              <w:numPr>
                <w:ilvl w:val="0"/>
                <w:numId w:val="32"/>
              </w:numPr>
              <w:rPr>
                <w:sz w:val="20"/>
                <w:szCs w:val="20"/>
              </w:rPr>
            </w:pPr>
            <w:r w:rsidRPr="00023B68">
              <w:rPr>
                <w:sz w:val="20"/>
                <w:szCs w:val="20"/>
              </w:rPr>
              <w:t>nieproporcjonalnego kosztu przygotowania do publikacji.</w:t>
            </w:r>
          </w:p>
          <w:p w14:paraId="66297E38" w14:textId="77777777" w:rsidR="00A85FE9" w:rsidRPr="00023B68" w:rsidRDefault="00A85FE9" w:rsidP="00A85FE9">
            <w:pPr>
              <w:pStyle w:val="Default"/>
              <w:rPr>
                <w:sz w:val="20"/>
                <w:szCs w:val="20"/>
              </w:rPr>
            </w:pPr>
            <w:r w:rsidRPr="00023B68">
              <w:rPr>
                <w:sz w:val="20"/>
                <w:szCs w:val="20"/>
              </w:rPr>
              <w:t xml:space="preserve">Jednocześnie należy podkreślić, że open </w:t>
            </w:r>
            <w:proofErr w:type="spellStart"/>
            <w:r w:rsidRPr="00023B68">
              <w:rPr>
                <w:sz w:val="20"/>
                <w:szCs w:val="20"/>
              </w:rPr>
              <w:t>source</w:t>
            </w:r>
            <w:proofErr w:type="spellEnd"/>
            <w:r w:rsidRPr="00023B68">
              <w:rPr>
                <w:sz w:val="20"/>
                <w:szCs w:val="20"/>
              </w:rPr>
              <w:t xml:space="preserve"> nie oznacza automatycznie bezpieczeństwa ani suwerenności. Wymagane powinny być:</w:t>
            </w:r>
          </w:p>
          <w:p w14:paraId="60DC04C8" w14:textId="77777777" w:rsidR="00A85FE9" w:rsidRPr="00023B68" w:rsidRDefault="00A85FE9" w:rsidP="00A85FE9">
            <w:pPr>
              <w:pStyle w:val="Default"/>
              <w:numPr>
                <w:ilvl w:val="0"/>
                <w:numId w:val="33"/>
              </w:numPr>
              <w:rPr>
                <w:sz w:val="20"/>
                <w:szCs w:val="20"/>
              </w:rPr>
            </w:pPr>
            <w:r w:rsidRPr="00023B68">
              <w:rPr>
                <w:sz w:val="20"/>
                <w:szCs w:val="20"/>
              </w:rPr>
              <w:t>SBOM;</w:t>
            </w:r>
          </w:p>
          <w:p w14:paraId="73B04FB5" w14:textId="77777777" w:rsidR="00A85FE9" w:rsidRPr="00023B68" w:rsidRDefault="00A85FE9" w:rsidP="00A85FE9">
            <w:pPr>
              <w:pStyle w:val="Default"/>
              <w:numPr>
                <w:ilvl w:val="0"/>
                <w:numId w:val="33"/>
              </w:numPr>
              <w:rPr>
                <w:sz w:val="20"/>
                <w:szCs w:val="20"/>
              </w:rPr>
            </w:pPr>
            <w:r w:rsidRPr="00023B68">
              <w:rPr>
                <w:sz w:val="20"/>
                <w:szCs w:val="20"/>
              </w:rPr>
              <w:t>podpisywanie artefaktów;</w:t>
            </w:r>
          </w:p>
          <w:p w14:paraId="4DEED7E7" w14:textId="77777777" w:rsidR="00A85FE9" w:rsidRPr="00023B68" w:rsidRDefault="00A85FE9" w:rsidP="00A85FE9">
            <w:pPr>
              <w:pStyle w:val="Default"/>
              <w:numPr>
                <w:ilvl w:val="0"/>
                <w:numId w:val="33"/>
              </w:numPr>
              <w:rPr>
                <w:sz w:val="20"/>
                <w:szCs w:val="20"/>
              </w:rPr>
            </w:pPr>
            <w:r w:rsidRPr="00023B68">
              <w:rPr>
                <w:sz w:val="20"/>
                <w:szCs w:val="20"/>
              </w:rPr>
              <w:t>zarządzanie podatnościami;</w:t>
            </w:r>
          </w:p>
          <w:p w14:paraId="5EDD8A37" w14:textId="77777777" w:rsidR="00A85FE9" w:rsidRPr="00023B68" w:rsidRDefault="00A85FE9" w:rsidP="00A85FE9">
            <w:pPr>
              <w:pStyle w:val="Default"/>
              <w:numPr>
                <w:ilvl w:val="0"/>
                <w:numId w:val="33"/>
              </w:numPr>
              <w:rPr>
                <w:sz w:val="20"/>
                <w:szCs w:val="20"/>
              </w:rPr>
            </w:pPr>
            <w:r w:rsidRPr="00023B68">
              <w:rPr>
                <w:sz w:val="20"/>
                <w:szCs w:val="20"/>
              </w:rPr>
              <w:t xml:space="preserve">polityka </w:t>
            </w:r>
            <w:proofErr w:type="spellStart"/>
            <w:r w:rsidRPr="00023B68">
              <w:rPr>
                <w:sz w:val="20"/>
                <w:szCs w:val="20"/>
              </w:rPr>
              <w:t>coordinated</w:t>
            </w:r>
            <w:proofErr w:type="spellEnd"/>
            <w:r w:rsidRPr="00023B68">
              <w:rPr>
                <w:sz w:val="20"/>
                <w:szCs w:val="20"/>
              </w:rPr>
              <w:t xml:space="preserve"> </w:t>
            </w:r>
            <w:proofErr w:type="spellStart"/>
            <w:r w:rsidRPr="00023B68">
              <w:rPr>
                <w:sz w:val="20"/>
                <w:szCs w:val="20"/>
              </w:rPr>
              <w:t>vulnerability</w:t>
            </w:r>
            <w:proofErr w:type="spellEnd"/>
            <w:r w:rsidRPr="00023B68">
              <w:rPr>
                <w:sz w:val="20"/>
                <w:szCs w:val="20"/>
              </w:rPr>
              <w:t xml:space="preserve"> </w:t>
            </w:r>
            <w:proofErr w:type="spellStart"/>
            <w:r w:rsidRPr="00023B68">
              <w:rPr>
                <w:sz w:val="20"/>
                <w:szCs w:val="20"/>
              </w:rPr>
              <w:t>disclosure</w:t>
            </w:r>
            <w:proofErr w:type="spellEnd"/>
            <w:r w:rsidRPr="00023B68">
              <w:rPr>
                <w:sz w:val="20"/>
                <w:szCs w:val="20"/>
              </w:rPr>
              <w:t>;</w:t>
            </w:r>
          </w:p>
          <w:p w14:paraId="740C3CE4" w14:textId="77777777" w:rsidR="00A85FE9" w:rsidRPr="00023B68" w:rsidRDefault="00A85FE9" w:rsidP="00A85FE9">
            <w:pPr>
              <w:pStyle w:val="Default"/>
              <w:numPr>
                <w:ilvl w:val="0"/>
                <w:numId w:val="33"/>
              </w:numPr>
              <w:rPr>
                <w:sz w:val="20"/>
                <w:szCs w:val="20"/>
              </w:rPr>
            </w:pPr>
            <w:r w:rsidRPr="00023B68">
              <w:rPr>
                <w:sz w:val="20"/>
                <w:szCs w:val="20"/>
              </w:rPr>
              <w:t>wskazanie podmiotu odpowiedzialnego za utrzymanie;</w:t>
            </w:r>
          </w:p>
          <w:p w14:paraId="1488D9A9" w14:textId="77777777" w:rsidR="00A85FE9" w:rsidRPr="00023B68" w:rsidRDefault="00A85FE9" w:rsidP="00A85FE9">
            <w:pPr>
              <w:pStyle w:val="Default"/>
              <w:numPr>
                <w:ilvl w:val="0"/>
                <w:numId w:val="33"/>
              </w:numPr>
              <w:rPr>
                <w:sz w:val="20"/>
                <w:szCs w:val="20"/>
              </w:rPr>
            </w:pPr>
            <w:r w:rsidRPr="00023B68">
              <w:rPr>
                <w:sz w:val="20"/>
                <w:szCs w:val="20"/>
              </w:rPr>
              <w:t>finansowanie aktualizacji;</w:t>
            </w:r>
          </w:p>
          <w:p w14:paraId="6112F259" w14:textId="77777777" w:rsidR="00A85FE9" w:rsidRPr="00023B68" w:rsidRDefault="00A85FE9" w:rsidP="00A85FE9">
            <w:pPr>
              <w:pStyle w:val="Default"/>
              <w:numPr>
                <w:ilvl w:val="0"/>
                <w:numId w:val="33"/>
              </w:numPr>
              <w:rPr>
                <w:sz w:val="20"/>
                <w:szCs w:val="20"/>
              </w:rPr>
            </w:pPr>
            <w:r w:rsidRPr="00023B68">
              <w:rPr>
                <w:sz w:val="20"/>
                <w:szCs w:val="20"/>
              </w:rPr>
              <w:t>weryfikacja pochodzenia komponentów;</w:t>
            </w:r>
          </w:p>
          <w:p w14:paraId="2EE824E3" w14:textId="77777777" w:rsidR="00A85FE9" w:rsidRPr="00023B68" w:rsidRDefault="00A85FE9" w:rsidP="00A85FE9">
            <w:pPr>
              <w:pStyle w:val="Default"/>
              <w:numPr>
                <w:ilvl w:val="0"/>
                <w:numId w:val="33"/>
              </w:numPr>
              <w:rPr>
                <w:sz w:val="20"/>
                <w:szCs w:val="20"/>
              </w:rPr>
            </w:pPr>
            <w:r w:rsidRPr="00023B68">
              <w:rPr>
                <w:sz w:val="20"/>
                <w:szCs w:val="20"/>
              </w:rPr>
              <w:t>zarządzanie cyklem życia;</w:t>
            </w:r>
          </w:p>
          <w:p w14:paraId="1ADBE92A" w14:textId="77777777" w:rsidR="00A85FE9" w:rsidRPr="00023B68" w:rsidRDefault="00A85FE9" w:rsidP="00A85FE9">
            <w:pPr>
              <w:pStyle w:val="Default"/>
              <w:numPr>
                <w:ilvl w:val="0"/>
                <w:numId w:val="33"/>
              </w:numPr>
              <w:rPr>
                <w:sz w:val="20"/>
                <w:szCs w:val="20"/>
              </w:rPr>
            </w:pPr>
            <w:r w:rsidRPr="00023B68">
              <w:rPr>
                <w:sz w:val="20"/>
                <w:szCs w:val="20"/>
              </w:rPr>
              <w:t>ocena ładu projektu i kontroli nad repozytorium.</w:t>
            </w:r>
          </w:p>
          <w:p w14:paraId="018CBBCA" w14:textId="77777777" w:rsidR="00A85FE9" w:rsidRPr="00023B68" w:rsidRDefault="00A85FE9" w:rsidP="00A85FE9">
            <w:pPr>
              <w:pStyle w:val="Default"/>
              <w:rPr>
                <w:sz w:val="20"/>
                <w:szCs w:val="20"/>
              </w:rPr>
            </w:pPr>
            <w:r w:rsidRPr="00023B68">
              <w:rPr>
                <w:sz w:val="20"/>
                <w:szCs w:val="20"/>
              </w:rPr>
              <w:t xml:space="preserve">Ocena skutków wskazuje, że konsekwentne wykorzystanie open </w:t>
            </w:r>
            <w:proofErr w:type="spellStart"/>
            <w:r w:rsidRPr="00023B68">
              <w:rPr>
                <w:sz w:val="20"/>
                <w:szCs w:val="20"/>
              </w:rPr>
              <w:t>source</w:t>
            </w:r>
            <w:proofErr w:type="spellEnd"/>
            <w:r w:rsidRPr="00023B68">
              <w:rPr>
                <w:sz w:val="20"/>
                <w:szCs w:val="20"/>
              </w:rPr>
              <w:t xml:space="preserve"> może ograniczyć </w:t>
            </w:r>
            <w:proofErr w:type="spellStart"/>
            <w:r w:rsidRPr="00023B68">
              <w:rPr>
                <w:sz w:val="20"/>
                <w:szCs w:val="20"/>
              </w:rPr>
              <w:t>vendor</w:t>
            </w:r>
            <w:proofErr w:type="spellEnd"/>
            <w:r w:rsidRPr="00023B68">
              <w:rPr>
                <w:sz w:val="20"/>
                <w:szCs w:val="20"/>
              </w:rPr>
              <w:t xml:space="preserve"> lock-in i przynieść znaczne oszczędności, choć Komisja zaznacza szeroką niepewność szacunków. </w:t>
            </w:r>
          </w:p>
          <w:p w14:paraId="18D31E54" w14:textId="77777777" w:rsidR="00A85FE9" w:rsidRPr="00023B68" w:rsidRDefault="00A85FE9" w:rsidP="00A85FE9">
            <w:pPr>
              <w:pStyle w:val="Default"/>
              <w:rPr>
                <w:sz w:val="20"/>
                <w:szCs w:val="20"/>
              </w:rPr>
            </w:pPr>
          </w:p>
        </w:tc>
      </w:tr>
      <w:tr w:rsidR="00A85FE9" w:rsidRPr="00023B68" w14:paraId="5C9A769D" w14:textId="77777777" w:rsidTr="00040008">
        <w:tc>
          <w:tcPr>
            <w:tcW w:w="0" w:type="auto"/>
          </w:tcPr>
          <w:p w14:paraId="3723199A" w14:textId="1547E655" w:rsidR="00A85FE9" w:rsidRPr="00023B68" w:rsidRDefault="00A85FE9" w:rsidP="00A85FE9">
            <w:pPr>
              <w:pStyle w:val="Default"/>
              <w:rPr>
                <w:sz w:val="20"/>
                <w:szCs w:val="20"/>
              </w:rPr>
            </w:pPr>
            <w:r w:rsidRPr="00023B68">
              <w:rPr>
                <w:sz w:val="20"/>
                <w:szCs w:val="20"/>
              </w:rPr>
              <w:lastRenderedPageBreak/>
              <w:t>Artykuł 47</w:t>
            </w:r>
            <w:r w:rsidRPr="00023B68">
              <w:rPr>
                <w:i/>
                <w:iCs/>
                <w:sz w:val="20"/>
                <w:szCs w:val="20"/>
              </w:rPr>
              <w:br/>
            </w:r>
            <w:proofErr w:type="spellStart"/>
            <w:r w:rsidRPr="00023B68">
              <w:rPr>
                <w:i/>
                <w:iCs/>
                <w:sz w:val="20"/>
                <w:szCs w:val="20"/>
              </w:rPr>
              <w:t>Review</w:t>
            </w:r>
            <w:proofErr w:type="spellEnd"/>
          </w:p>
        </w:tc>
        <w:tc>
          <w:tcPr>
            <w:tcW w:w="0" w:type="auto"/>
          </w:tcPr>
          <w:p w14:paraId="589A0901" w14:textId="4628BCB7"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2CC5525B" w14:textId="77777777" w:rsidR="00A85FE9" w:rsidRPr="00023B68" w:rsidRDefault="00A85FE9" w:rsidP="00A85FE9">
            <w:pPr>
              <w:pStyle w:val="Default"/>
              <w:rPr>
                <w:sz w:val="20"/>
                <w:szCs w:val="20"/>
              </w:rPr>
            </w:pPr>
            <w:r w:rsidRPr="00023B68">
              <w:rPr>
                <w:sz w:val="20"/>
                <w:szCs w:val="20"/>
              </w:rPr>
              <w:t>Artykuł 47 przewiduje pierwszy formalny przegląd rozporządzenia cztery lata po jego wejściu w życie, a następne co pięć lat. </w:t>
            </w:r>
          </w:p>
          <w:p w14:paraId="28F5476D" w14:textId="77777777" w:rsidR="00A85FE9" w:rsidRPr="00023B68" w:rsidRDefault="00A85FE9" w:rsidP="00A85FE9">
            <w:pPr>
              <w:pStyle w:val="Default"/>
              <w:rPr>
                <w:sz w:val="20"/>
                <w:szCs w:val="20"/>
              </w:rPr>
            </w:pPr>
            <w:r w:rsidRPr="00023B68">
              <w:rPr>
                <w:sz w:val="20"/>
                <w:szCs w:val="20"/>
              </w:rPr>
              <w:t xml:space="preserve">W przypadku rynku chmury i AI cztery lata mogą oznaczać kilka generacji technologii, modeli i </w:t>
            </w:r>
            <w:proofErr w:type="spellStart"/>
            <w:r w:rsidRPr="00023B68">
              <w:rPr>
                <w:sz w:val="20"/>
                <w:szCs w:val="20"/>
              </w:rPr>
              <w:t>architektur</w:t>
            </w:r>
            <w:proofErr w:type="spellEnd"/>
            <w:r w:rsidRPr="00023B68">
              <w:rPr>
                <w:sz w:val="20"/>
                <w:szCs w:val="20"/>
              </w:rPr>
              <w:t>.</w:t>
            </w:r>
          </w:p>
          <w:p w14:paraId="64C1D652" w14:textId="77777777" w:rsidR="00A85FE9" w:rsidRPr="00023B68" w:rsidRDefault="00A85FE9" w:rsidP="00A85FE9">
            <w:pPr>
              <w:pStyle w:val="Default"/>
              <w:rPr>
                <w:sz w:val="20"/>
                <w:szCs w:val="20"/>
              </w:rPr>
            </w:pPr>
            <w:r w:rsidRPr="00023B68">
              <w:rPr>
                <w:sz w:val="20"/>
                <w:szCs w:val="20"/>
              </w:rPr>
              <w:t>Fundacja rekomenduje:</w:t>
            </w:r>
          </w:p>
          <w:p w14:paraId="7B47EAB1" w14:textId="77777777" w:rsidR="00A85FE9" w:rsidRPr="00023B68" w:rsidRDefault="00A85FE9" w:rsidP="00A85FE9">
            <w:pPr>
              <w:pStyle w:val="Default"/>
              <w:numPr>
                <w:ilvl w:val="0"/>
                <w:numId w:val="37"/>
              </w:numPr>
              <w:rPr>
                <w:sz w:val="20"/>
                <w:szCs w:val="20"/>
              </w:rPr>
            </w:pPr>
            <w:r w:rsidRPr="00023B68">
              <w:rPr>
                <w:sz w:val="20"/>
                <w:szCs w:val="20"/>
              </w:rPr>
              <w:t>pierwszy pełny przegląd po dwóch latach stosowania;</w:t>
            </w:r>
          </w:p>
          <w:p w14:paraId="11037F84" w14:textId="77777777" w:rsidR="00A85FE9" w:rsidRPr="00023B68" w:rsidRDefault="00A85FE9" w:rsidP="00A85FE9">
            <w:pPr>
              <w:pStyle w:val="Default"/>
              <w:numPr>
                <w:ilvl w:val="0"/>
                <w:numId w:val="37"/>
              </w:numPr>
              <w:rPr>
                <w:sz w:val="20"/>
                <w:szCs w:val="20"/>
              </w:rPr>
            </w:pPr>
            <w:r w:rsidRPr="00023B68">
              <w:rPr>
                <w:sz w:val="20"/>
                <w:szCs w:val="20"/>
              </w:rPr>
              <w:t>coroczny raport Komisji z wdrażania;</w:t>
            </w:r>
          </w:p>
          <w:p w14:paraId="4E3F9E21" w14:textId="77777777" w:rsidR="00A85FE9" w:rsidRPr="00023B68" w:rsidRDefault="00A85FE9" w:rsidP="00A85FE9">
            <w:pPr>
              <w:pStyle w:val="Default"/>
              <w:numPr>
                <w:ilvl w:val="0"/>
                <w:numId w:val="37"/>
              </w:numPr>
              <w:rPr>
                <w:sz w:val="20"/>
                <w:szCs w:val="20"/>
              </w:rPr>
            </w:pPr>
            <w:r w:rsidRPr="00023B68">
              <w:rPr>
                <w:sz w:val="20"/>
                <w:szCs w:val="20"/>
              </w:rPr>
              <w:t>przegląd załączników technicznych co najmniej raz na 12 miesięcy;</w:t>
            </w:r>
          </w:p>
          <w:p w14:paraId="79A23426" w14:textId="77777777" w:rsidR="00A85FE9" w:rsidRPr="00023B68" w:rsidRDefault="00A85FE9" w:rsidP="00A85FE9">
            <w:pPr>
              <w:pStyle w:val="Default"/>
              <w:numPr>
                <w:ilvl w:val="0"/>
                <w:numId w:val="37"/>
              </w:numPr>
              <w:rPr>
                <w:sz w:val="20"/>
                <w:szCs w:val="20"/>
              </w:rPr>
            </w:pPr>
            <w:r w:rsidRPr="00023B68">
              <w:rPr>
                <w:sz w:val="20"/>
                <w:szCs w:val="20"/>
              </w:rPr>
              <w:t>możliwość szybkiej aktualizacji kryteriów w sytuacji powstania nowego ryzyka systemowego.</w:t>
            </w:r>
          </w:p>
          <w:p w14:paraId="5EB77FAD" w14:textId="77777777" w:rsidR="00A85FE9" w:rsidRPr="00023B68" w:rsidRDefault="00A85FE9" w:rsidP="00A85FE9">
            <w:pPr>
              <w:pStyle w:val="Default"/>
              <w:rPr>
                <w:sz w:val="20"/>
                <w:szCs w:val="20"/>
              </w:rPr>
            </w:pPr>
            <w:r w:rsidRPr="00023B68">
              <w:rPr>
                <w:sz w:val="20"/>
                <w:szCs w:val="20"/>
              </w:rPr>
              <w:t>Wskaźniki monitorowania powinny obejmować:</w:t>
            </w:r>
          </w:p>
          <w:p w14:paraId="40AA0303" w14:textId="77777777" w:rsidR="00A85FE9" w:rsidRPr="00023B68" w:rsidRDefault="00A85FE9" w:rsidP="00A85FE9">
            <w:pPr>
              <w:pStyle w:val="Default"/>
              <w:numPr>
                <w:ilvl w:val="0"/>
                <w:numId w:val="38"/>
              </w:numPr>
              <w:rPr>
                <w:sz w:val="20"/>
                <w:szCs w:val="20"/>
              </w:rPr>
            </w:pPr>
            <w:r w:rsidRPr="00023B68">
              <w:rPr>
                <w:sz w:val="20"/>
                <w:szCs w:val="20"/>
              </w:rPr>
              <w:t>koncentrację rynku;</w:t>
            </w:r>
          </w:p>
          <w:p w14:paraId="55426AE5" w14:textId="77777777" w:rsidR="00A85FE9" w:rsidRPr="00023B68" w:rsidRDefault="00A85FE9" w:rsidP="00A85FE9">
            <w:pPr>
              <w:pStyle w:val="Default"/>
              <w:numPr>
                <w:ilvl w:val="0"/>
                <w:numId w:val="38"/>
              </w:numPr>
              <w:rPr>
                <w:sz w:val="20"/>
                <w:szCs w:val="20"/>
              </w:rPr>
            </w:pPr>
            <w:r w:rsidRPr="00023B68">
              <w:rPr>
                <w:sz w:val="20"/>
                <w:szCs w:val="20"/>
              </w:rPr>
              <w:t>udział europejskich dostawców;</w:t>
            </w:r>
          </w:p>
          <w:p w14:paraId="700BC71A" w14:textId="77777777" w:rsidR="00A85FE9" w:rsidRPr="00023B68" w:rsidRDefault="00A85FE9" w:rsidP="00A85FE9">
            <w:pPr>
              <w:pStyle w:val="Default"/>
              <w:numPr>
                <w:ilvl w:val="0"/>
                <w:numId w:val="38"/>
              </w:numPr>
              <w:rPr>
                <w:sz w:val="20"/>
                <w:szCs w:val="20"/>
              </w:rPr>
            </w:pPr>
            <w:r w:rsidRPr="00023B68">
              <w:rPr>
                <w:sz w:val="20"/>
                <w:szCs w:val="20"/>
              </w:rPr>
              <w:t>udział MŚP w zamówieniach;</w:t>
            </w:r>
          </w:p>
          <w:p w14:paraId="0EE23093" w14:textId="77777777" w:rsidR="00A85FE9" w:rsidRPr="00023B68" w:rsidRDefault="00A85FE9" w:rsidP="00A85FE9">
            <w:pPr>
              <w:pStyle w:val="Default"/>
              <w:numPr>
                <w:ilvl w:val="0"/>
                <w:numId w:val="38"/>
              </w:numPr>
              <w:rPr>
                <w:sz w:val="20"/>
                <w:szCs w:val="20"/>
              </w:rPr>
            </w:pPr>
            <w:r w:rsidRPr="00023B68">
              <w:rPr>
                <w:sz w:val="20"/>
                <w:szCs w:val="20"/>
              </w:rPr>
              <w:t>liczbę usług na poszczególnych poziomach zapewnienia;</w:t>
            </w:r>
          </w:p>
          <w:p w14:paraId="166E4242" w14:textId="77777777" w:rsidR="00A85FE9" w:rsidRPr="00023B68" w:rsidRDefault="00A85FE9" w:rsidP="00A85FE9">
            <w:pPr>
              <w:pStyle w:val="Default"/>
              <w:numPr>
                <w:ilvl w:val="0"/>
                <w:numId w:val="38"/>
              </w:numPr>
              <w:rPr>
                <w:sz w:val="20"/>
                <w:szCs w:val="20"/>
              </w:rPr>
            </w:pPr>
            <w:r w:rsidRPr="00023B68">
              <w:rPr>
                <w:sz w:val="20"/>
                <w:szCs w:val="20"/>
              </w:rPr>
              <w:t>wyniki kontroli i liczbę cofniętych uznań;</w:t>
            </w:r>
          </w:p>
          <w:p w14:paraId="1EF0A310" w14:textId="77777777" w:rsidR="00A85FE9" w:rsidRPr="00023B68" w:rsidRDefault="00A85FE9" w:rsidP="00A85FE9">
            <w:pPr>
              <w:pStyle w:val="Default"/>
              <w:numPr>
                <w:ilvl w:val="0"/>
                <w:numId w:val="38"/>
              </w:numPr>
              <w:rPr>
                <w:sz w:val="20"/>
                <w:szCs w:val="20"/>
              </w:rPr>
            </w:pPr>
            <w:r w:rsidRPr="00023B68">
              <w:rPr>
                <w:sz w:val="20"/>
                <w:szCs w:val="20"/>
              </w:rPr>
              <w:t>koszty i czas migracji;</w:t>
            </w:r>
          </w:p>
          <w:p w14:paraId="10AC626D" w14:textId="77777777" w:rsidR="00A85FE9" w:rsidRPr="00023B68" w:rsidRDefault="00A85FE9" w:rsidP="00A85FE9">
            <w:pPr>
              <w:pStyle w:val="Default"/>
              <w:numPr>
                <w:ilvl w:val="0"/>
                <w:numId w:val="38"/>
              </w:numPr>
              <w:rPr>
                <w:sz w:val="20"/>
                <w:szCs w:val="20"/>
              </w:rPr>
            </w:pPr>
            <w:r w:rsidRPr="00023B68">
              <w:rPr>
                <w:sz w:val="20"/>
                <w:szCs w:val="20"/>
              </w:rPr>
              <w:t>incydenty i przerwy w świadczeniu usług;</w:t>
            </w:r>
          </w:p>
          <w:p w14:paraId="40489942" w14:textId="77777777" w:rsidR="00A85FE9" w:rsidRPr="00023B68" w:rsidRDefault="00A85FE9" w:rsidP="00A85FE9">
            <w:pPr>
              <w:pStyle w:val="Default"/>
              <w:numPr>
                <w:ilvl w:val="0"/>
                <w:numId w:val="38"/>
              </w:numPr>
              <w:rPr>
                <w:sz w:val="20"/>
                <w:szCs w:val="20"/>
              </w:rPr>
            </w:pPr>
            <w:r w:rsidRPr="00023B68">
              <w:rPr>
                <w:sz w:val="20"/>
                <w:szCs w:val="20"/>
              </w:rPr>
              <w:t>liczbę specjalistów posiadających neutralne certyfikaty;</w:t>
            </w:r>
          </w:p>
          <w:p w14:paraId="3C2C5284" w14:textId="77777777" w:rsidR="00A85FE9" w:rsidRPr="00023B68" w:rsidRDefault="00A85FE9" w:rsidP="00A85FE9">
            <w:pPr>
              <w:pStyle w:val="Default"/>
              <w:numPr>
                <w:ilvl w:val="0"/>
                <w:numId w:val="38"/>
              </w:numPr>
              <w:rPr>
                <w:sz w:val="20"/>
                <w:szCs w:val="20"/>
              </w:rPr>
            </w:pPr>
            <w:r w:rsidRPr="00023B68">
              <w:rPr>
                <w:sz w:val="20"/>
                <w:szCs w:val="20"/>
              </w:rPr>
              <w:t xml:space="preserve">adopcję open </w:t>
            </w:r>
            <w:proofErr w:type="spellStart"/>
            <w:r w:rsidRPr="00023B68">
              <w:rPr>
                <w:sz w:val="20"/>
                <w:szCs w:val="20"/>
              </w:rPr>
              <w:t>source</w:t>
            </w:r>
            <w:proofErr w:type="spellEnd"/>
            <w:r w:rsidRPr="00023B68">
              <w:rPr>
                <w:sz w:val="20"/>
                <w:szCs w:val="20"/>
              </w:rPr>
              <w:t>;</w:t>
            </w:r>
          </w:p>
          <w:p w14:paraId="0B666E1E" w14:textId="77777777" w:rsidR="00A85FE9" w:rsidRPr="00023B68" w:rsidRDefault="00A85FE9" w:rsidP="00A85FE9">
            <w:pPr>
              <w:pStyle w:val="Default"/>
              <w:numPr>
                <w:ilvl w:val="0"/>
                <w:numId w:val="38"/>
              </w:numPr>
              <w:rPr>
                <w:sz w:val="20"/>
                <w:szCs w:val="20"/>
              </w:rPr>
            </w:pPr>
            <w:r w:rsidRPr="00023B68">
              <w:rPr>
                <w:sz w:val="20"/>
                <w:szCs w:val="20"/>
              </w:rPr>
              <w:t>ponowne wykorzystanie oprogramowania publicznego;</w:t>
            </w:r>
          </w:p>
          <w:p w14:paraId="739B3868" w14:textId="77777777" w:rsidR="00A85FE9" w:rsidRPr="00023B68" w:rsidRDefault="00A85FE9" w:rsidP="00A85FE9">
            <w:pPr>
              <w:pStyle w:val="Default"/>
              <w:numPr>
                <w:ilvl w:val="0"/>
                <w:numId w:val="38"/>
              </w:numPr>
              <w:rPr>
                <w:sz w:val="20"/>
                <w:szCs w:val="20"/>
              </w:rPr>
            </w:pPr>
            <w:r w:rsidRPr="00023B68">
              <w:rPr>
                <w:sz w:val="20"/>
                <w:szCs w:val="20"/>
              </w:rPr>
              <w:lastRenderedPageBreak/>
              <w:t>regionalną dostępność mocy obliczeniowej;</w:t>
            </w:r>
          </w:p>
          <w:p w14:paraId="24CFE0E0" w14:textId="77777777" w:rsidR="00A85FE9" w:rsidRPr="00023B68" w:rsidRDefault="00A85FE9" w:rsidP="00A85FE9">
            <w:pPr>
              <w:pStyle w:val="Default"/>
              <w:numPr>
                <w:ilvl w:val="0"/>
                <w:numId w:val="38"/>
              </w:numPr>
              <w:rPr>
                <w:sz w:val="20"/>
                <w:szCs w:val="20"/>
              </w:rPr>
            </w:pPr>
            <w:r w:rsidRPr="00023B68">
              <w:rPr>
                <w:sz w:val="20"/>
                <w:szCs w:val="20"/>
              </w:rPr>
              <w:t>zużycie energii i wody;</w:t>
            </w:r>
          </w:p>
          <w:p w14:paraId="55F2A4DA" w14:textId="77777777" w:rsidR="00A85FE9" w:rsidRPr="00023B68" w:rsidRDefault="00A85FE9" w:rsidP="00A85FE9">
            <w:pPr>
              <w:pStyle w:val="Default"/>
              <w:numPr>
                <w:ilvl w:val="0"/>
                <w:numId w:val="38"/>
              </w:numPr>
              <w:rPr>
                <w:sz w:val="20"/>
                <w:szCs w:val="20"/>
              </w:rPr>
            </w:pPr>
            <w:r w:rsidRPr="00023B68">
              <w:rPr>
                <w:sz w:val="20"/>
                <w:szCs w:val="20"/>
              </w:rPr>
              <w:t>wykorzystanie ciepła odpadowego;</w:t>
            </w:r>
          </w:p>
          <w:p w14:paraId="58AB10DE" w14:textId="77777777" w:rsidR="00A85FE9" w:rsidRPr="00023B68" w:rsidRDefault="00A85FE9" w:rsidP="00A85FE9">
            <w:pPr>
              <w:pStyle w:val="Default"/>
              <w:numPr>
                <w:ilvl w:val="0"/>
                <w:numId w:val="38"/>
              </w:numPr>
              <w:rPr>
                <w:sz w:val="20"/>
                <w:szCs w:val="20"/>
              </w:rPr>
            </w:pPr>
            <w:r w:rsidRPr="00023B68">
              <w:rPr>
                <w:sz w:val="20"/>
                <w:szCs w:val="20"/>
              </w:rPr>
              <w:t>poziom interoperacyjności i liczbę skutecznie przeprowadzonych migracji.</w:t>
            </w:r>
          </w:p>
          <w:p w14:paraId="28583FF6" w14:textId="77777777" w:rsidR="00A85FE9" w:rsidRPr="00023B68" w:rsidRDefault="00A85FE9" w:rsidP="00A85FE9">
            <w:pPr>
              <w:pStyle w:val="Default"/>
              <w:rPr>
                <w:sz w:val="20"/>
                <w:szCs w:val="20"/>
              </w:rPr>
            </w:pPr>
          </w:p>
        </w:tc>
      </w:tr>
      <w:tr w:rsidR="00A85FE9" w:rsidRPr="00023B68" w14:paraId="171CCF00" w14:textId="77777777" w:rsidTr="00040008">
        <w:tc>
          <w:tcPr>
            <w:tcW w:w="0" w:type="auto"/>
          </w:tcPr>
          <w:p w14:paraId="038B803E" w14:textId="77777777" w:rsidR="00A85FE9" w:rsidRPr="00023B68" w:rsidRDefault="00A85FE9" w:rsidP="00A85FE9">
            <w:pPr>
              <w:pStyle w:val="Default"/>
              <w:rPr>
                <w:b/>
                <w:bCs/>
                <w:sz w:val="20"/>
                <w:szCs w:val="20"/>
              </w:rPr>
            </w:pPr>
            <w:r w:rsidRPr="00023B68">
              <w:rPr>
                <w:b/>
                <w:bCs/>
                <w:sz w:val="20"/>
                <w:szCs w:val="20"/>
              </w:rPr>
              <w:lastRenderedPageBreak/>
              <w:t xml:space="preserve">ANNEX II </w:t>
            </w:r>
            <w:proofErr w:type="spellStart"/>
            <w:r w:rsidRPr="00023B68">
              <w:rPr>
                <w:b/>
                <w:bCs/>
                <w:sz w:val="20"/>
                <w:szCs w:val="20"/>
              </w:rPr>
              <w:t>Criteria</w:t>
            </w:r>
            <w:proofErr w:type="spellEnd"/>
            <w:r w:rsidRPr="00023B68">
              <w:rPr>
                <w:b/>
                <w:bCs/>
                <w:sz w:val="20"/>
                <w:szCs w:val="20"/>
              </w:rPr>
              <w:t xml:space="preserve"> For Union Assurance </w:t>
            </w:r>
            <w:proofErr w:type="spellStart"/>
            <w:r w:rsidRPr="00023B68">
              <w:rPr>
                <w:b/>
                <w:bCs/>
                <w:sz w:val="20"/>
                <w:szCs w:val="20"/>
              </w:rPr>
              <w:t>Levels</w:t>
            </w:r>
            <w:proofErr w:type="spellEnd"/>
          </w:p>
          <w:p w14:paraId="6E368E32" w14:textId="5B442742" w:rsidR="00A85FE9" w:rsidRPr="00023B68" w:rsidRDefault="00A85FE9" w:rsidP="00A85FE9">
            <w:pPr>
              <w:pStyle w:val="Default"/>
              <w:rPr>
                <w:b/>
                <w:bCs/>
                <w:sz w:val="20"/>
                <w:szCs w:val="20"/>
              </w:rPr>
            </w:pPr>
          </w:p>
        </w:tc>
        <w:tc>
          <w:tcPr>
            <w:tcW w:w="0" w:type="auto"/>
          </w:tcPr>
          <w:p w14:paraId="3DFA00F6" w14:textId="77777777" w:rsidR="00A85FE9" w:rsidRPr="00023B68" w:rsidRDefault="00A85FE9" w:rsidP="00A85FE9">
            <w:pPr>
              <w:pStyle w:val="Default"/>
              <w:rPr>
                <w:sz w:val="20"/>
                <w:szCs w:val="20"/>
              </w:rPr>
            </w:pPr>
          </w:p>
        </w:tc>
        <w:tc>
          <w:tcPr>
            <w:tcW w:w="0" w:type="auto"/>
          </w:tcPr>
          <w:p w14:paraId="3B03AD51" w14:textId="77777777" w:rsidR="00A85FE9" w:rsidRPr="00023B68" w:rsidRDefault="00A85FE9" w:rsidP="00A85FE9">
            <w:pPr>
              <w:pStyle w:val="Default"/>
              <w:rPr>
                <w:sz w:val="20"/>
                <w:szCs w:val="20"/>
              </w:rPr>
            </w:pPr>
          </w:p>
        </w:tc>
      </w:tr>
      <w:tr w:rsidR="00A85FE9" w:rsidRPr="00023B68" w14:paraId="1E8ED692" w14:textId="77777777" w:rsidTr="00040008">
        <w:tc>
          <w:tcPr>
            <w:tcW w:w="0" w:type="auto"/>
          </w:tcPr>
          <w:p w14:paraId="6C52D23C" w14:textId="77777777" w:rsidR="00A85FE9" w:rsidRPr="00023B68" w:rsidRDefault="00A85FE9" w:rsidP="00A85FE9">
            <w:pPr>
              <w:pStyle w:val="Default"/>
              <w:rPr>
                <w:sz w:val="20"/>
                <w:szCs w:val="20"/>
              </w:rPr>
            </w:pPr>
            <w:r w:rsidRPr="00023B68">
              <w:rPr>
                <w:sz w:val="20"/>
                <w:szCs w:val="20"/>
              </w:rPr>
              <w:t xml:space="preserve">ANNEX II </w:t>
            </w:r>
          </w:p>
          <w:p w14:paraId="6F363F14" w14:textId="7566302B" w:rsidR="00A85FE9" w:rsidRPr="00023B68" w:rsidRDefault="00A85FE9" w:rsidP="00A85FE9">
            <w:pPr>
              <w:pStyle w:val="Default"/>
              <w:rPr>
                <w:sz w:val="20"/>
                <w:szCs w:val="20"/>
              </w:rPr>
            </w:pPr>
            <w:proofErr w:type="spellStart"/>
            <w:r w:rsidRPr="00023B68">
              <w:rPr>
                <w:sz w:val="20"/>
                <w:szCs w:val="20"/>
              </w:rPr>
              <w:t>Criteria</w:t>
            </w:r>
            <w:proofErr w:type="spellEnd"/>
            <w:r w:rsidRPr="00023B68">
              <w:rPr>
                <w:sz w:val="20"/>
                <w:szCs w:val="20"/>
              </w:rPr>
              <w:t xml:space="preserve"> For Union Assurance </w:t>
            </w:r>
            <w:proofErr w:type="spellStart"/>
            <w:r w:rsidRPr="00023B68">
              <w:rPr>
                <w:sz w:val="20"/>
                <w:szCs w:val="20"/>
              </w:rPr>
              <w:t>Levels</w:t>
            </w:r>
            <w:proofErr w:type="spellEnd"/>
          </w:p>
        </w:tc>
        <w:tc>
          <w:tcPr>
            <w:tcW w:w="0" w:type="auto"/>
          </w:tcPr>
          <w:p w14:paraId="0F1EE565" w14:textId="4433266F" w:rsidR="00A85FE9" w:rsidRPr="00023B68" w:rsidRDefault="00A85FE9" w:rsidP="00A85FE9">
            <w:pPr>
              <w:pStyle w:val="Default"/>
              <w:rPr>
                <w:sz w:val="20"/>
                <w:szCs w:val="20"/>
              </w:rPr>
            </w:pPr>
            <w:proofErr w:type="spellStart"/>
            <w:r w:rsidRPr="00023B68">
              <w:rPr>
                <w:sz w:val="20"/>
                <w:szCs w:val="20"/>
              </w:rPr>
              <w:t>PIIiT</w:t>
            </w:r>
            <w:proofErr w:type="spellEnd"/>
          </w:p>
        </w:tc>
        <w:tc>
          <w:tcPr>
            <w:tcW w:w="0" w:type="auto"/>
          </w:tcPr>
          <w:p w14:paraId="0302D2AE" w14:textId="77777777" w:rsidR="00A85FE9" w:rsidRPr="00023B68" w:rsidRDefault="00A85FE9" w:rsidP="00A85FE9">
            <w:pPr>
              <w:pStyle w:val="Default"/>
              <w:rPr>
                <w:sz w:val="20"/>
                <w:szCs w:val="20"/>
              </w:rPr>
            </w:pPr>
            <w:r w:rsidRPr="00023B68">
              <w:rPr>
                <w:sz w:val="20"/>
                <w:szCs w:val="20"/>
              </w:rPr>
              <w:t>PIIT uważa sam termin „</w:t>
            </w:r>
            <w:proofErr w:type="spellStart"/>
            <w:r w:rsidRPr="00023B68">
              <w:rPr>
                <w:sz w:val="20"/>
                <w:szCs w:val="20"/>
              </w:rPr>
              <w:t>level</w:t>
            </w:r>
            <w:proofErr w:type="spellEnd"/>
            <w:r w:rsidRPr="00023B68">
              <w:rPr>
                <w:sz w:val="20"/>
                <w:szCs w:val="20"/>
              </w:rPr>
              <w:t xml:space="preserve"> of </w:t>
            </w:r>
            <w:proofErr w:type="spellStart"/>
            <w:r w:rsidRPr="00023B68">
              <w:rPr>
                <w:sz w:val="20"/>
                <w:szCs w:val="20"/>
              </w:rPr>
              <w:t>assurance</w:t>
            </w:r>
            <w:proofErr w:type="spellEnd"/>
            <w:r w:rsidRPr="00023B68">
              <w:rPr>
                <w:sz w:val="20"/>
                <w:szCs w:val="20"/>
              </w:rPr>
              <w:t>” za nieprecyzyjny i mylący; proponuje zrozumiałe pojęcie (np. unijny certyfikat suwerenności, poświadczenie zgodności z wymogami suwerenności). Lista wymogów na poszczególnych poziomach powinna być przedmiotem pogłębionej analizy. W obecnym kształcie nie może być zaakceptowana. Gdy ocena ryzyka (art. 29) wskaże, że działalność zamawiającego ma znaczenie dla porządku publicznego — w sektorach z załączników I/II dyrektywy NIS2 oraz w obszarach bezpieczeństwa narodowego, wewnętrznego, granic, obrony, wymiaru sprawiedliwości i ścigania to w tak szeroko zdefiniowanych branżach będzie można kupować „</w:t>
            </w:r>
            <w:proofErr w:type="spellStart"/>
            <w:r w:rsidRPr="00023B68">
              <w:rPr>
                <w:sz w:val="20"/>
                <w:szCs w:val="20"/>
              </w:rPr>
              <w:t>only</w:t>
            </w:r>
            <w:proofErr w:type="spellEnd"/>
            <w:r w:rsidRPr="00023B68">
              <w:rPr>
                <w:sz w:val="20"/>
                <w:szCs w:val="20"/>
              </w:rPr>
              <w:t xml:space="preserve"> </w:t>
            </w:r>
            <w:proofErr w:type="spellStart"/>
            <w:r w:rsidRPr="00023B68">
              <w:rPr>
                <w:sz w:val="20"/>
                <w:szCs w:val="20"/>
              </w:rPr>
              <w:t>cloud</w:t>
            </w:r>
            <w:proofErr w:type="spellEnd"/>
            <w:r w:rsidRPr="00023B68">
              <w:rPr>
                <w:sz w:val="20"/>
                <w:szCs w:val="20"/>
              </w:rPr>
              <w:t xml:space="preserve"> </w:t>
            </w:r>
            <w:proofErr w:type="spellStart"/>
            <w:r w:rsidRPr="00023B68">
              <w:rPr>
                <w:sz w:val="20"/>
                <w:szCs w:val="20"/>
              </w:rPr>
              <w:t>computing</w:t>
            </w:r>
            <w:proofErr w:type="spellEnd"/>
            <w:r w:rsidRPr="00023B68">
              <w:rPr>
                <w:sz w:val="20"/>
                <w:szCs w:val="20"/>
              </w:rPr>
              <w:t xml:space="preserve"> services </w:t>
            </w:r>
            <w:proofErr w:type="spellStart"/>
            <w:r w:rsidRPr="00023B68">
              <w:rPr>
                <w:sz w:val="20"/>
                <w:szCs w:val="20"/>
              </w:rPr>
              <w:t>that</w:t>
            </w:r>
            <w:proofErr w:type="spellEnd"/>
            <w:r w:rsidRPr="00023B68">
              <w:rPr>
                <w:sz w:val="20"/>
                <w:szCs w:val="20"/>
              </w:rPr>
              <w:t xml:space="preserve"> </w:t>
            </w:r>
            <w:proofErr w:type="spellStart"/>
            <w:r w:rsidRPr="00023B68">
              <w:rPr>
                <w:sz w:val="20"/>
                <w:szCs w:val="20"/>
              </w:rPr>
              <w:t>have</w:t>
            </w:r>
            <w:proofErr w:type="spellEnd"/>
            <w:r w:rsidRPr="00023B68">
              <w:rPr>
                <w:sz w:val="20"/>
                <w:szCs w:val="20"/>
              </w:rPr>
              <w:t xml:space="preserve"> </w:t>
            </w:r>
            <w:proofErr w:type="spellStart"/>
            <w:r w:rsidRPr="00023B68">
              <w:rPr>
                <w:sz w:val="20"/>
                <w:szCs w:val="20"/>
              </w:rPr>
              <w:t>been</w:t>
            </w:r>
            <w:proofErr w:type="spellEnd"/>
            <w:r w:rsidRPr="00023B68">
              <w:rPr>
                <w:sz w:val="20"/>
                <w:szCs w:val="20"/>
              </w:rPr>
              <w:t xml:space="preserve"> </w:t>
            </w:r>
            <w:proofErr w:type="spellStart"/>
            <w:r w:rsidRPr="00023B68">
              <w:rPr>
                <w:sz w:val="20"/>
                <w:szCs w:val="20"/>
              </w:rPr>
              <w:t>recognised</w:t>
            </w:r>
            <w:proofErr w:type="spellEnd"/>
            <w:r w:rsidRPr="00023B68">
              <w:rPr>
                <w:sz w:val="20"/>
                <w:szCs w:val="20"/>
              </w:rPr>
              <w:t xml:space="preserve"> as </w:t>
            </w:r>
            <w:proofErr w:type="spellStart"/>
            <w:r w:rsidRPr="00023B68">
              <w:rPr>
                <w:sz w:val="20"/>
                <w:szCs w:val="20"/>
              </w:rPr>
              <w:t>having</w:t>
            </w:r>
            <w:proofErr w:type="spellEnd"/>
            <w:r w:rsidRPr="00023B68">
              <w:rPr>
                <w:sz w:val="20"/>
                <w:szCs w:val="20"/>
              </w:rPr>
              <w:t xml:space="preserve"> a Union </w:t>
            </w:r>
            <w:proofErr w:type="spellStart"/>
            <w:r w:rsidRPr="00023B68">
              <w:rPr>
                <w:sz w:val="20"/>
                <w:szCs w:val="20"/>
              </w:rPr>
              <w:t>assurance</w:t>
            </w:r>
            <w:proofErr w:type="spellEnd"/>
            <w:r w:rsidRPr="00023B68">
              <w:rPr>
                <w:sz w:val="20"/>
                <w:szCs w:val="20"/>
              </w:rPr>
              <w:t xml:space="preserve"> </w:t>
            </w:r>
            <w:proofErr w:type="spellStart"/>
            <w:r w:rsidRPr="00023B68">
              <w:rPr>
                <w:sz w:val="20"/>
                <w:szCs w:val="20"/>
              </w:rPr>
              <w:t>level</w:t>
            </w:r>
            <w:proofErr w:type="spellEnd"/>
            <w:r w:rsidRPr="00023B68">
              <w:rPr>
                <w:sz w:val="20"/>
                <w:szCs w:val="20"/>
              </w:rPr>
              <w:t xml:space="preserve"> 2, 3 </w:t>
            </w:r>
            <w:proofErr w:type="spellStart"/>
            <w:r w:rsidRPr="00023B68">
              <w:rPr>
                <w:sz w:val="20"/>
                <w:szCs w:val="20"/>
              </w:rPr>
              <w:t>or</w:t>
            </w:r>
            <w:proofErr w:type="spellEnd"/>
            <w:r w:rsidRPr="00023B68">
              <w:rPr>
                <w:sz w:val="20"/>
                <w:szCs w:val="20"/>
              </w:rPr>
              <w:t xml:space="preserve"> 4”. Odstępstwa (art. 30 ust. 4) są wąskie: brak uznanej usługi i brak alternatywy, wcześniejszy przetarg bez ofert, albo nieproporcjonalny koszt. </w:t>
            </w:r>
          </w:p>
          <w:p w14:paraId="331A4F4B" w14:textId="33CE0E2E" w:rsidR="00A85FE9" w:rsidRPr="00023B68" w:rsidRDefault="00A85FE9" w:rsidP="00A85FE9">
            <w:pPr>
              <w:pStyle w:val="Default"/>
              <w:rPr>
                <w:sz w:val="20"/>
                <w:szCs w:val="20"/>
              </w:rPr>
            </w:pPr>
            <w:r w:rsidRPr="00023B68">
              <w:rPr>
                <w:sz w:val="20"/>
                <w:szCs w:val="20"/>
              </w:rPr>
              <w:t xml:space="preserve">Wymogi suwerenności, ujęte w załączniku II, są niezwykle rozbudowane. Natomiast lista wymogów powinna być definiowana wąsko. Lista ta będzie wymagać szczegółowych konsultacji, zwłaszcza, że niektóre przepisy mogą wywoływać niespodziewane skutki. </w:t>
            </w:r>
          </w:p>
          <w:p w14:paraId="1BADF955" w14:textId="77777777" w:rsidR="00A85FE9" w:rsidRPr="00023B68" w:rsidRDefault="00A85FE9" w:rsidP="00A85FE9">
            <w:pPr>
              <w:pStyle w:val="Default"/>
              <w:rPr>
                <w:sz w:val="20"/>
                <w:szCs w:val="20"/>
              </w:rPr>
            </w:pPr>
          </w:p>
          <w:p w14:paraId="1360C538" w14:textId="63BEDD1D" w:rsidR="00A85FE9" w:rsidRPr="00023B68" w:rsidRDefault="00A85FE9" w:rsidP="00A85FE9">
            <w:pPr>
              <w:pStyle w:val="Default"/>
              <w:rPr>
                <w:sz w:val="20"/>
                <w:szCs w:val="20"/>
              </w:rPr>
            </w:pPr>
            <w:r w:rsidRPr="00023B68">
              <w:rPr>
                <w:sz w:val="20"/>
                <w:szCs w:val="20"/>
              </w:rPr>
              <w:t xml:space="preserve">Nawet na najniższym poziomie UAL 1 propozycje uniemożliwią realizację kluczowych funkcji z zakresu </w:t>
            </w:r>
            <w:proofErr w:type="spellStart"/>
            <w:r w:rsidRPr="00023B68">
              <w:rPr>
                <w:sz w:val="20"/>
                <w:szCs w:val="20"/>
              </w:rPr>
              <w:t>cyberbezpieczeństwa</w:t>
            </w:r>
            <w:proofErr w:type="spellEnd"/>
            <w:r w:rsidRPr="00023B68">
              <w:rPr>
                <w:sz w:val="20"/>
                <w:szCs w:val="20"/>
              </w:rPr>
              <w:t xml:space="preserve"> w skali globalnej, ze względu na wymóg przechowywania wszystkich danych telemetrycznych, w tym wzorców </w:t>
            </w:r>
            <w:proofErr w:type="spellStart"/>
            <w:r w:rsidRPr="00023B68">
              <w:rPr>
                <w:sz w:val="20"/>
                <w:szCs w:val="20"/>
              </w:rPr>
              <w:t>cyberzagrożeń</w:t>
            </w:r>
            <w:proofErr w:type="spellEnd"/>
            <w:r w:rsidRPr="00023B68">
              <w:rPr>
                <w:sz w:val="20"/>
                <w:szCs w:val="20"/>
              </w:rPr>
              <w:t xml:space="preserve">, w Europie. PIIT sugeruje rozważenie usunięcia wymogów lokalizacji danych w odniesieniu do metadanych i danych telemetrycznych na poziomach UAL 1 i 2 (Załącznik II, sekcje 1.1c i 2.1c). Analogicznie celowe byłoby przeanalizowanie połączenia poziomów UAL 3 i 4 w jeden poziom, który umożliwi zaufanym operatorom spoza UE odgrywanie roli wspierającej w odniesieniu do ściśle niezależnych, obsługiwanych przez podmioty europejskie rozwiązań suwerennych, w tym poprzez dostarczanie bazowego oprogramowania. Izby uważa, że warto rozważyć odwrócenie przysługującego Komisji uprawnienia do ustanawiania odstępstw (Załącznik II, sekcja 3(g)). Godzi ono w zaufanych partnerów Unii. Komisja mogłaby cofać dopuszczenie w drodze uzasadnionej decyzji. </w:t>
            </w:r>
          </w:p>
          <w:p w14:paraId="027AA813" w14:textId="77777777" w:rsidR="00A85FE9" w:rsidRPr="00023B68" w:rsidRDefault="00A85FE9" w:rsidP="00A85FE9">
            <w:pPr>
              <w:pStyle w:val="Default"/>
              <w:rPr>
                <w:sz w:val="20"/>
                <w:szCs w:val="20"/>
              </w:rPr>
            </w:pPr>
            <w:r w:rsidRPr="00023B68">
              <w:rPr>
                <w:sz w:val="20"/>
                <w:szCs w:val="20"/>
              </w:rPr>
              <w:t xml:space="preserve">Uprawnieniu Komisji do uchylania decyzji państw członkowskich w ramach oceny ryzyka suwerenności (art. 29 ust. 5) może skutkować ryzykiem naruszenia art. 4 TUE i ingerencji w bezpieczeństwo narodowe. </w:t>
            </w:r>
          </w:p>
          <w:p w14:paraId="4FA39E01" w14:textId="77777777" w:rsidR="00A85FE9" w:rsidRPr="00023B68" w:rsidRDefault="00A85FE9" w:rsidP="00A85FE9">
            <w:pPr>
              <w:pStyle w:val="Default"/>
              <w:rPr>
                <w:sz w:val="20"/>
                <w:szCs w:val="20"/>
              </w:rPr>
            </w:pPr>
          </w:p>
          <w:p w14:paraId="368E9341" w14:textId="2ACD6449" w:rsidR="00A85FE9" w:rsidRPr="00023B68" w:rsidRDefault="00A85FE9" w:rsidP="00A85FE9">
            <w:pPr>
              <w:pStyle w:val="Default"/>
              <w:rPr>
                <w:sz w:val="20"/>
                <w:szCs w:val="20"/>
              </w:rPr>
            </w:pPr>
            <w:r w:rsidRPr="00023B68">
              <w:rPr>
                <w:b/>
                <w:bCs/>
                <w:sz w:val="20"/>
                <w:szCs w:val="20"/>
              </w:rPr>
              <w:t xml:space="preserve">Proporcjonalność wymogów UAL dla MŚP </w:t>
            </w:r>
          </w:p>
          <w:p w14:paraId="16B400DB" w14:textId="77777777" w:rsidR="00A85FE9" w:rsidRPr="00023B68" w:rsidRDefault="00A85FE9" w:rsidP="00A85FE9">
            <w:pPr>
              <w:pStyle w:val="Default"/>
              <w:rPr>
                <w:sz w:val="20"/>
                <w:szCs w:val="20"/>
              </w:rPr>
            </w:pPr>
            <w:r w:rsidRPr="00023B68">
              <w:rPr>
                <w:sz w:val="20"/>
                <w:szCs w:val="20"/>
              </w:rPr>
              <w:t xml:space="preserve">Projekt przewiduje na poziomie UAL 1 samoocenę z unijnym oświadczeniem o zgodności, automatycznie uznawanym w przypadku MŚP we wszystkich państwach członkowskich oraz cel co najmniej 25% zamówień chmurowych i AI dla innowacyjnych MŚP. PIIT ocenia te rozwiązania pozytywnie. Problem pojawia się na poziomie UAL 2, gdzie wymagany jest niezależny audyt prowadzony na koszt dostawcy. Koszt takiego audytu jest w przeważającej mierze stały i nie rośnie wraz z przychodem: dla globalnego dostawcy to pozycja w budżecie, dla firmy zatrudniającej kilka osób — bariera zamykająca dostęp </w:t>
            </w:r>
            <w:r w:rsidRPr="00023B68">
              <w:rPr>
                <w:sz w:val="20"/>
                <w:szCs w:val="20"/>
              </w:rPr>
              <w:lastRenderedPageBreak/>
              <w:t xml:space="preserve">do segmentu zamówień o podwyższonej wrażliwości. Skoro znaczna część działalności sektora publicznego zostanie przypisana do UAL 2, cel 25% udziału MŚP pozostanie deklaracją bez pokrycia w rzeczywistej dostępności certyfikacji. </w:t>
            </w:r>
          </w:p>
          <w:p w14:paraId="12918CAE" w14:textId="77777777" w:rsidR="00A85FE9" w:rsidRPr="00023B68" w:rsidRDefault="00A85FE9" w:rsidP="00A85FE9">
            <w:pPr>
              <w:pStyle w:val="Default"/>
              <w:rPr>
                <w:sz w:val="20"/>
                <w:szCs w:val="20"/>
              </w:rPr>
            </w:pPr>
            <w:r w:rsidRPr="00023B68">
              <w:rPr>
                <w:sz w:val="20"/>
                <w:szCs w:val="20"/>
              </w:rPr>
              <w:t xml:space="preserve">PIIT postuluje audyt uproszczony, o ograniczonym zakresie, na poziomie UAL 2 dla podmiotów spełniających definicję MŚP z zalecenia 2003/361/WE, z pełnym reżimem audytowym od poziomu UAL 3. </w:t>
            </w:r>
          </w:p>
          <w:p w14:paraId="11EAAA91" w14:textId="77777777" w:rsidR="00A85FE9" w:rsidRPr="00023B68" w:rsidRDefault="00A85FE9" w:rsidP="00A85FE9">
            <w:pPr>
              <w:pStyle w:val="Default"/>
              <w:rPr>
                <w:sz w:val="20"/>
                <w:szCs w:val="20"/>
              </w:rPr>
            </w:pPr>
          </w:p>
          <w:p w14:paraId="74CEAEBF" w14:textId="443AA0AE" w:rsidR="00A85FE9" w:rsidRPr="00023B68" w:rsidRDefault="00A85FE9" w:rsidP="00A85FE9">
            <w:pPr>
              <w:pStyle w:val="Default"/>
              <w:rPr>
                <w:sz w:val="20"/>
                <w:szCs w:val="20"/>
              </w:rPr>
            </w:pPr>
            <w:r w:rsidRPr="00023B68">
              <w:rPr>
                <w:b/>
                <w:bCs/>
                <w:sz w:val="20"/>
                <w:szCs w:val="20"/>
              </w:rPr>
              <w:t xml:space="preserve">Kumulatywne kryteria zgodności i ocena punktowa na poziomach UAL 2–4 </w:t>
            </w:r>
          </w:p>
          <w:p w14:paraId="5CD5FCBA" w14:textId="77777777" w:rsidR="00A85FE9" w:rsidRPr="00023B68" w:rsidRDefault="00A85FE9" w:rsidP="00A85FE9">
            <w:pPr>
              <w:pStyle w:val="Default"/>
              <w:rPr>
                <w:sz w:val="20"/>
                <w:szCs w:val="20"/>
              </w:rPr>
            </w:pPr>
            <w:r w:rsidRPr="00023B68">
              <w:rPr>
                <w:sz w:val="20"/>
                <w:szCs w:val="20"/>
              </w:rPr>
              <w:t xml:space="preserve">Załącznik II przewiduje kumulatywne kryteria dla każdego poziomu, a audyt na poziomach UAL 2–4 kończy się zasadniczo wynikiem pozytywnym albo negatywnym. Taka konstrukcja premiuje podmioty zdolne nabyć zgodność w całości i jednorazowo, a wyklucza dochodzenie do niej etapami. PIIT postuluje dopuszczenie alternatywnych lub kompensujących środków technicznych, ocenianych pod kątem celu danego wymagania i rzeczywiście redukowanego ryzyka — przykładowo przechowywanie kluczy szyfrujących poza infrastrukturą dostawcy ogranicza ryzyko dostępu do treści danych i mogłoby być uznane za środek kompensujący w odniesieniu do tego konkretnego ryzyka. </w:t>
            </w:r>
          </w:p>
          <w:p w14:paraId="5994C5B2" w14:textId="184D5B5E" w:rsidR="00A85FE9" w:rsidRPr="00023B68" w:rsidRDefault="00A85FE9" w:rsidP="00A85FE9">
            <w:pPr>
              <w:pStyle w:val="Default"/>
              <w:rPr>
                <w:sz w:val="20"/>
                <w:szCs w:val="20"/>
              </w:rPr>
            </w:pPr>
            <w:r w:rsidRPr="00023B68">
              <w:rPr>
                <w:sz w:val="20"/>
                <w:szCs w:val="20"/>
              </w:rPr>
              <w:t>Ocenę punktową zgłaszają w podobnym duchu również najwięksi dostawcy spoza UE, kierując się utrzymaniem dostępu do rynku, na którym już działają; z perspektywy sektora MŚP kluczowe jest natomiast to, by podmioty budujące zgodność stopniowo, w miarę wzrostu, mogły na ten rynek w ogóle wejść. Postulat ten jest zbieżny z propozycją Izby dotyczącą systemu punktacji, zgłoszoną w pkt 2.12.</w:t>
            </w:r>
          </w:p>
          <w:p w14:paraId="2D77BEDB" w14:textId="77777777" w:rsidR="00A85FE9" w:rsidRPr="00023B68" w:rsidRDefault="00A85FE9" w:rsidP="00A85FE9">
            <w:pPr>
              <w:pStyle w:val="Default"/>
              <w:rPr>
                <w:sz w:val="20"/>
                <w:szCs w:val="20"/>
              </w:rPr>
            </w:pPr>
          </w:p>
          <w:p w14:paraId="22746795" w14:textId="2C1F9345" w:rsidR="00A85FE9" w:rsidRPr="00023B68" w:rsidRDefault="00A85FE9" w:rsidP="00A85FE9">
            <w:pPr>
              <w:pStyle w:val="Default"/>
              <w:rPr>
                <w:b/>
                <w:bCs/>
                <w:sz w:val="20"/>
                <w:szCs w:val="20"/>
              </w:rPr>
            </w:pPr>
            <w:r w:rsidRPr="00023B68">
              <w:rPr>
                <w:b/>
                <w:bCs/>
                <w:sz w:val="20"/>
                <w:szCs w:val="20"/>
              </w:rPr>
              <w:t xml:space="preserve">Rynek dwóch prędkości i przewidywalność odstępstw </w:t>
            </w:r>
          </w:p>
          <w:p w14:paraId="6AE6EE2C" w14:textId="4E5DC4FC" w:rsidR="00A85FE9" w:rsidRPr="00023B68" w:rsidRDefault="00A85FE9" w:rsidP="00A85FE9">
            <w:pPr>
              <w:pStyle w:val="Default"/>
              <w:rPr>
                <w:sz w:val="20"/>
                <w:szCs w:val="20"/>
              </w:rPr>
            </w:pPr>
            <w:r w:rsidRPr="00023B68">
              <w:rPr>
                <w:sz w:val="20"/>
                <w:szCs w:val="20"/>
              </w:rPr>
              <w:t xml:space="preserve">Jeżeli usługi dla sektora publicznego zostaną związane z uznanymi usługami chmurowymi o określonym poziomie UAL, a sektor prywatny zachowa dostęp do pełnej oferty globalnej, różnica w dostępnych narzędziach rozłoży się na rynku nierówno — duży dostawca utrzyma dwa równoległe środowiska technologiczne, małego na to nie stać. Przykładowo podmiot publiczny korzystający z aplikacji AI dostarczanej przez małą firmę na infrastrukturze dostawcy spoza UE może, po ocenie ryzyka i przypisaniu poziomu UAL, zmusić dostawcę do migracji na infrastrukturę o węższej ofercie, utrzymywania dwóch wariantów produktu albo rezygnacji z rynku publicznego — chyba że zamawiający zastosuje przewidziane w rozporządzeniu odstępstwo (np. brak porównywalnej funkcjonalnie oferty lub nieproporcjonalne koszty). Odstępstwo zależne od decyzji zamawiającego nie zapewnia jednak małemu dostawcy przewidywalnego dostępu do rynku: nie da się budować produktu ani zatrudniać ludzi w oparciu o nadzieję, że zamawiający skorzysta z wyjątku. </w:t>
            </w:r>
          </w:p>
          <w:p w14:paraId="1DA49023" w14:textId="384BFC21" w:rsidR="00A85FE9" w:rsidRPr="00023B68" w:rsidRDefault="00A85FE9" w:rsidP="00A85FE9">
            <w:pPr>
              <w:pStyle w:val="Default"/>
              <w:rPr>
                <w:sz w:val="20"/>
                <w:szCs w:val="20"/>
              </w:rPr>
            </w:pPr>
            <w:r w:rsidRPr="00023B68">
              <w:rPr>
                <w:sz w:val="20"/>
                <w:szCs w:val="20"/>
              </w:rPr>
              <w:t>PIIT postuluje, aby rozporządzenie jednoznacznie wymagało ustalania poziomu UAL na poziomie konkretnej działalności sektora publicznego oraz precyzyjnie wydzielonej usługi lub komponentu chmurowego — korzystanie przez jednego dostawcę z infrastruktury o różnym poziomie zapewnienia nie powinno prowadzić do objęcia całego portfolio najwyższym z mających zastosowanie poziomów. Okres przejściowy dla usług już świadczonych sektorowi publicznemu powinien być liczony od chwili rzeczywistej dostępności uznanej oferty o porównywalnej funkcjonalności, a nie od daty rozpoczęcia stosowania rozporządzenia.</w:t>
            </w:r>
          </w:p>
          <w:p w14:paraId="4EDF0569" w14:textId="77777777" w:rsidR="00A85FE9" w:rsidRPr="00023B68" w:rsidRDefault="00A85FE9" w:rsidP="00A85FE9">
            <w:pPr>
              <w:pStyle w:val="Default"/>
              <w:rPr>
                <w:sz w:val="20"/>
                <w:szCs w:val="20"/>
              </w:rPr>
            </w:pPr>
          </w:p>
          <w:p w14:paraId="2DBE0049" w14:textId="536D6601" w:rsidR="00A85FE9" w:rsidRPr="00023B68" w:rsidRDefault="00A85FE9" w:rsidP="00A85FE9">
            <w:pPr>
              <w:pStyle w:val="Default"/>
              <w:rPr>
                <w:sz w:val="20"/>
                <w:szCs w:val="20"/>
              </w:rPr>
            </w:pPr>
            <w:r w:rsidRPr="00023B68">
              <w:rPr>
                <w:b/>
                <w:bCs/>
                <w:sz w:val="20"/>
                <w:szCs w:val="20"/>
              </w:rPr>
              <w:t xml:space="preserve">Ścieżka zastępcza do przyjęcia europejskiego schematu certyfikacji (EUCS) </w:t>
            </w:r>
          </w:p>
          <w:p w14:paraId="2621219F" w14:textId="6D1DB839" w:rsidR="00A85FE9" w:rsidRPr="00023B68" w:rsidRDefault="00A85FE9" w:rsidP="00A85FE9">
            <w:pPr>
              <w:pStyle w:val="Default"/>
              <w:rPr>
                <w:sz w:val="20"/>
                <w:szCs w:val="20"/>
              </w:rPr>
            </w:pPr>
            <w:r w:rsidRPr="00023B68">
              <w:rPr>
                <w:sz w:val="20"/>
                <w:szCs w:val="20"/>
              </w:rPr>
              <w:t xml:space="preserve">Poziomy UAL 2–4 odsyłają do europejskiego schematu certyfikacji </w:t>
            </w:r>
            <w:proofErr w:type="spellStart"/>
            <w:r w:rsidRPr="00023B68">
              <w:rPr>
                <w:sz w:val="20"/>
                <w:szCs w:val="20"/>
              </w:rPr>
              <w:t>cyberbezpieczeństwa</w:t>
            </w:r>
            <w:proofErr w:type="spellEnd"/>
            <w:r w:rsidRPr="00023B68">
              <w:rPr>
                <w:sz w:val="20"/>
                <w:szCs w:val="20"/>
              </w:rPr>
              <w:t xml:space="preserve"> usług chmurowych (EUCS), który pozostaje w przygotowaniu od 2020 r. Projekt przewiduje na okres przejściowy sekwencję zastępczą: krajowe schematy certyfikacji tam, gdzie istnieją, a w ich braku — wykazanie stosowania najwyższych standardów </w:t>
            </w:r>
            <w:proofErr w:type="spellStart"/>
            <w:r w:rsidRPr="00023B68">
              <w:rPr>
                <w:sz w:val="20"/>
                <w:szCs w:val="20"/>
              </w:rPr>
              <w:t>cyberbezpieczeństwa</w:t>
            </w:r>
            <w:proofErr w:type="spellEnd"/>
            <w:r w:rsidRPr="00023B68">
              <w:rPr>
                <w:sz w:val="20"/>
                <w:szCs w:val="20"/>
              </w:rPr>
              <w:t xml:space="preserve"> wynikających z prawa UE. Problemem nie jest brak ścieżki zastępczej, lecz jej kształt: fragmentacja między państwami </w:t>
            </w:r>
            <w:r w:rsidRPr="00023B68">
              <w:rPr>
                <w:sz w:val="20"/>
                <w:szCs w:val="20"/>
              </w:rPr>
              <w:lastRenderedPageBreak/>
              <w:t>członkowskimi, brak jednolitego standardu dowodowego oraz otwarta interpretacja pojęcia najwyższych standardów. Duży podmiot może przygotowywać się równolegle do kilku schematów krajowych i przyszłego schematu europejskiego; mała firma nie ma na to zasobów i do czasu przyjęcia schematu europejskiego nie wie, w co inwestować. PIIT postuluje, aby do czasu przyjęcia schematu europejskiego Komisja określiła w akcie wykonawczym jednolity, minimalny standard dowodowy dla ścieżki zastępczej, uznawany we wszystkich państwach członkowskich.</w:t>
            </w:r>
          </w:p>
          <w:p w14:paraId="1FED6D6C" w14:textId="77777777" w:rsidR="00A85FE9" w:rsidRPr="00023B68" w:rsidRDefault="00A85FE9" w:rsidP="00A85FE9">
            <w:pPr>
              <w:pStyle w:val="Default"/>
              <w:rPr>
                <w:sz w:val="20"/>
                <w:szCs w:val="20"/>
              </w:rPr>
            </w:pPr>
          </w:p>
          <w:p w14:paraId="0E5ADD8E" w14:textId="77777777" w:rsidR="00A85FE9" w:rsidRPr="00023B68" w:rsidRDefault="00A85FE9" w:rsidP="00A85FE9">
            <w:pPr>
              <w:pStyle w:val="Default"/>
              <w:rPr>
                <w:sz w:val="20"/>
                <w:szCs w:val="20"/>
              </w:rPr>
            </w:pPr>
            <w:r w:rsidRPr="00023B68">
              <w:rPr>
                <w:b/>
                <w:bCs/>
                <w:sz w:val="20"/>
                <w:szCs w:val="20"/>
              </w:rPr>
              <w:t xml:space="preserve">Certyfikacja i nadzór </w:t>
            </w:r>
          </w:p>
          <w:p w14:paraId="4EF24F3A" w14:textId="77777777" w:rsidR="00A85FE9" w:rsidRPr="00023B68" w:rsidRDefault="00A85FE9" w:rsidP="00A85FE9">
            <w:pPr>
              <w:pStyle w:val="Default"/>
              <w:rPr>
                <w:sz w:val="20"/>
                <w:szCs w:val="20"/>
              </w:rPr>
            </w:pPr>
            <w:r w:rsidRPr="00023B68">
              <w:rPr>
                <w:sz w:val="20"/>
                <w:szCs w:val="20"/>
              </w:rPr>
              <w:t xml:space="preserve">PIIT kwestionuje wprowadzenie odrębnego, dwustopniowego systemu certyfikacji usług, odmiennego od modelu CE i domniemania zgodności, niespójnego z AI </w:t>
            </w:r>
            <w:proofErr w:type="spellStart"/>
            <w:r w:rsidRPr="00023B68">
              <w:rPr>
                <w:sz w:val="20"/>
                <w:szCs w:val="20"/>
              </w:rPr>
              <w:t>Act</w:t>
            </w:r>
            <w:proofErr w:type="spellEnd"/>
            <w:r w:rsidRPr="00023B68">
              <w:rPr>
                <w:sz w:val="20"/>
                <w:szCs w:val="20"/>
              </w:rPr>
              <w:t xml:space="preserve">. Postuluje oparcie się na istniejącym systemie certyfikacji i jednostkach notyfikowanych zamiast weryfikacji procesu i wyniku certyfikacji przez „konfederację referentów z ministerstw”. </w:t>
            </w:r>
          </w:p>
          <w:p w14:paraId="706874FF" w14:textId="40D63837" w:rsidR="00A85FE9" w:rsidRPr="00023B68" w:rsidRDefault="00A85FE9" w:rsidP="00A85FE9">
            <w:pPr>
              <w:pStyle w:val="Default"/>
              <w:rPr>
                <w:sz w:val="20"/>
                <w:szCs w:val="20"/>
              </w:rPr>
            </w:pPr>
            <w:r w:rsidRPr="00023B68">
              <w:rPr>
                <w:sz w:val="20"/>
                <w:szCs w:val="20"/>
              </w:rPr>
              <w:t>Dla oceny suwerennej kontroli nad danymi i informacjami przetwarzanymi w sektorze publicznym (dostęp podmiotów trzecich, ryzyko jurysdykcyjne, ryzyko techniczne) wskazany byłby system punktacji dopuszczającej alternatywne, skuteczniejsze środki łagodzące (np. przechowywanie kluczy szyfrujących poza chmurą)</w:t>
            </w:r>
          </w:p>
          <w:p w14:paraId="2F530260" w14:textId="3C2DA9A6" w:rsidR="00A85FE9" w:rsidRPr="00023B68" w:rsidRDefault="00A85FE9" w:rsidP="00A85FE9">
            <w:pPr>
              <w:pStyle w:val="Default"/>
              <w:rPr>
                <w:sz w:val="20"/>
                <w:szCs w:val="20"/>
              </w:rPr>
            </w:pPr>
          </w:p>
        </w:tc>
      </w:tr>
      <w:tr w:rsidR="00A85FE9" w:rsidRPr="00023B68" w14:paraId="7DDA9636" w14:textId="77777777" w:rsidTr="00040008">
        <w:tc>
          <w:tcPr>
            <w:tcW w:w="0" w:type="auto"/>
          </w:tcPr>
          <w:p w14:paraId="0F96825A" w14:textId="287D639A"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67434ACF" w14:textId="0783752C" w:rsidR="00A85FE9" w:rsidRPr="00023B68" w:rsidRDefault="00A85FE9" w:rsidP="00A85FE9">
            <w:pPr>
              <w:pStyle w:val="Default"/>
              <w:rPr>
                <w:sz w:val="20"/>
                <w:szCs w:val="20"/>
              </w:rPr>
            </w:pPr>
            <w:r w:rsidRPr="00023B68">
              <w:rPr>
                <w:sz w:val="20"/>
                <w:szCs w:val="20"/>
              </w:rPr>
              <w:t xml:space="preserve">SIAPL KIGEIT </w:t>
            </w:r>
          </w:p>
          <w:p w14:paraId="1C13824D" w14:textId="1B99CE74" w:rsidR="00A85FE9" w:rsidRPr="00023B68" w:rsidRDefault="00A85FE9" w:rsidP="00A85FE9">
            <w:pPr>
              <w:pStyle w:val="Default"/>
              <w:rPr>
                <w:sz w:val="20"/>
                <w:szCs w:val="20"/>
              </w:rPr>
            </w:pPr>
          </w:p>
        </w:tc>
        <w:tc>
          <w:tcPr>
            <w:tcW w:w="0" w:type="auto"/>
          </w:tcPr>
          <w:p w14:paraId="15B7D076" w14:textId="77777777" w:rsidR="00A85FE9" w:rsidRPr="00023B68" w:rsidRDefault="00A85FE9" w:rsidP="00A85FE9">
            <w:pPr>
              <w:pStyle w:val="Default"/>
              <w:rPr>
                <w:sz w:val="20"/>
                <w:szCs w:val="20"/>
              </w:rPr>
            </w:pPr>
            <w:r w:rsidRPr="00023B68">
              <w:rPr>
                <w:sz w:val="20"/>
                <w:szCs w:val="20"/>
              </w:rPr>
              <w:t>Docenia uwzględnienie aspektów łańcucha dostaw oprogramowania (SBOM, kontrola kodu źródłowego) w kryteriach audytu dla poziomów 2-4;</w:t>
            </w:r>
          </w:p>
          <w:p w14:paraId="337A8204" w14:textId="19C3790E" w:rsidR="00A85FE9" w:rsidRPr="00023B68" w:rsidRDefault="00A85FE9" w:rsidP="00A85FE9">
            <w:pPr>
              <w:pStyle w:val="Default"/>
              <w:rPr>
                <w:sz w:val="20"/>
                <w:szCs w:val="20"/>
              </w:rPr>
            </w:pPr>
          </w:p>
        </w:tc>
      </w:tr>
      <w:tr w:rsidR="00A85FE9" w:rsidRPr="00023B68" w14:paraId="5B0852D8" w14:textId="77777777" w:rsidTr="00040008">
        <w:tc>
          <w:tcPr>
            <w:tcW w:w="0" w:type="auto"/>
          </w:tcPr>
          <w:p w14:paraId="6DBCE2BD" w14:textId="6F611F35" w:rsidR="00A85FE9" w:rsidRPr="00023B68" w:rsidRDefault="00A85FE9" w:rsidP="00A85FE9">
            <w:pPr>
              <w:pStyle w:val="Default"/>
              <w:rPr>
                <w:sz w:val="20"/>
                <w:szCs w:val="20"/>
              </w:rPr>
            </w:pPr>
            <w:proofErr w:type="spellStart"/>
            <w:r w:rsidRPr="00023B68">
              <w:rPr>
                <w:sz w:val="20"/>
                <w:szCs w:val="20"/>
              </w:rPr>
              <w:t>j.w</w:t>
            </w:r>
            <w:proofErr w:type="spellEnd"/>
            <w:r w:rsidRPr="00023B68">
              <w:rPr>
                <w:sz w:val="20"/>
                <w:szCs w:val="20"/>
              </w:rPr>
              <w:t>.</w:t>
            </w:r>
          </w:p>
        </w:tc>
        <w:tc>
          <w:tcPr>
            <w:tcW w:w="0" w:type="auto"/>
          </w:tcPr>
          <w:p w14:paraId="025351BE" w14:textId="034196E2" w:rsidR="00A85FE9" w:rsidRPr="00023B68" w:rsidRDefault="00A85FE9" w:rsidP="00A85FE9">
            <w:pPr>
              <w:pStyle w:val="Default"/>
              <w:rPr>
                <w:sz w:val="20"/>
                <w:szCs w:val="20"/>
              </w:rPr>
            </w:pPr>
            <w:r w:rsidRPr="00023B68">
              <w:rPr>
                <w:sz w:val="20"/>
                <w:szCs w:val="20"/>
              </w:rPr>
              <w:t>ZPP</w:t>
            </w:r>
          </w:p>
        </w:tc>
        <w:tc>
          <w:tcPr>
            <w:tcW w:w="0" w:type="auto"/>
          </w:tcPr>
          <w:p w14:paraId="0E93E91B" w14:textId="77777777" w:rsidR="00A85FE9" w:rsidRPr="00023B68" w:rsidRDefault="00A85FE9" w:rsidP="00A85FE9">
            <w:pPr>
              <w:pStyle w:val="Default"/>
              <w:rPr>
                <w:sz w:val="20"/>
                <w:szCs w:val="20"/>
              </w:rPr>
            </w:pPr>
            <w:r w:rsidRPr="00023B68">
              <w:rPr>
                <w:sz w:val="20"/>
                <w:szCs w:val="20"/>
              </w:rPr>
              <w:t xml:space="preserve">Załącznik II przewiduje, że na poziomach UAL 1 i UAL 2 dane klientów, w tym metadane i dane telemetryczne, powinny pozostawać na terytorium Unii Europejskiej. Cel polegający na zapewnieniu europejskiej kontroli nad danymi jest uzasadniony. Tak szeroko sformułowany wymóg może jednak ograniczać skuteczność analizy zagrożeń cybernetycznych prowadzonej na podstawie informacji pochodzących z wielu regionów. </w:t>
            </w:r>
          </w:p>
          <w:p w14:paraId="5B625C31" w14:textId="77777777" w:rsidR="00A85FE9" w:rsidRPr="00023B68" w:rsidRDefault="00A85FE9" w:rsidP="00A85FE9">
            <w:pPr>
              <w:pStyle w:val="Default"/>
              <w:rPr>
                <w:sz w:val="20"/>
                <w:szCs w:val="20"/>
              </w:rPr>
            </w:pPr>
            <w:r w:rsidRPr="00023B68">
              <w:rPr>
                <w:sz w:val="20"/>
                <w:szCs w:val="20"/>
              </w:rPr>
              <w:t xml:space="preserve">Dane telemetryczne są wykorzystywane do identyfikowania nowych typów ataków, wykrywania powtarzających się wzorców zagrożeń, tworzenia sygnatur bezpieczeństwa i reagowania na skoordynowane kampanie cybernetyczne. Dostęp do odpowiednio szerokiego zbioru takich informacji może bezpośrednio zwiększać odporność europejskich użytkowników. </w:t>
            </w:r>
          </w:p>
          <w:p w14:paraId="6777A428" w14:textId="77777777" w:rsidR="00A85FE9" w:rsidRPr="00023B68" w:rsidRDefault="00A85FE9" w:rsidP="00A85FE9">
            <w:pPr>
              <w:pStyle w:val="Default"/>
              <w:rPr>
                <w:sz w:val="20"/>
                <w:szCs w:val="20"/>
              </w:rPr>
            </w:pPr>
            <w:r w:rsidRPr="00023B68">
              <w:rPr>
                <w:sz w:val="20"/>
                <w:szCs w:val="20"/>
              </w:rPr>
              <w:t xml:space="preserve">ZPP rekomenduje zatem zmianę Załącznika II pkt 1.1 lit. c oraz pkt 2.1 lit. c poprzez wyłączenie z bezwzględnego wymogu lokalizacji danych niezbędnych do realizacji funkcji </w:t>
            </w:r>
            <w:proofErr w:type="spellStart"/>
            <w:r w:rsidRPr="00023B68">
              <w:rPr>
                <w:sz w:val="20"/>
                <w:szCs w:val="20"/>
              </w:rPr>
              <w:t>cyberbezpieczeństwa</w:t>
            </w:r>
            <w:proofErr w:type="spellEnd"/>
            <w:r w:rsidRPr="00023B68">
              <w:rPr>
                <w:sz w:val="20"/>
                <w:szCs w:val="20"/>
              </w:rPr>
              <w:t xml:space="preserve">. Wyłączenie powinno być ograniczone do celów bezpieczeństwa i powiązane z obowiązkiem minimalizacji danych, szyfrowania, kontroli dostępu oraz pełnej </w:t>
            </w:r>
            <w:proofErr w:type="spellStart"/>
            <w:r w:rsidRPr="00023B68">
              <w:rPr>
                <w:sz w:val="20"/>
                <w:szCs w:val="20"/>
              </w:rPr>
              <w:t>audytowalności</w:t>
            </w:r>
            <w:proofErr w:type="spellEnd"/>
            <w:r w:rsidRPr="00023B68">
              <w:rPr>
                <w:sz w:val="20"/>
                <w:szCs w:val="20"/>
              </w:rPr>
              <w:t xml:space="preserve"> operacji. </w:t>
            </w:r>
          </w:p>
          <w:p w14:paraId="76B27915" w14:textId="77777777" w:rsidR="00A85FE9" w:rsidRPr="00023B68" w:rsidRDefault="00A85FE9" w:rsidP="00A85FE9">
            <w:pPr>
              <w:pStyle w:val="Default"/>
              <w:rPr>
                <w:sz w:val="20"/>
                <w:szCs w:val="20"/>
              </w:rPr>
            </w:pPr>
            <w:r w:rsidRPr="00023B68">
              <w:rPr>
                <w:sz w:val="20"/>
                <w:szCs w:val="20"/>
              </w:rPr>
              <w:t xml:space="preserve">Na poziomie UAL 2 bardziej proporcjonalne byłoby również powiązanie ograniczeń dotyczących kontroli ze strony państw trzecich z konkretnym, zidentyfikowanym ryzykiem. Pozwoliłoby to uwzględniać specyfikę danej jurysdykcji, dostawcy i modelu świadczenia usługi, zamiast stosować jednakowe wymogi niezależnie od faktycznego poziomu zagrożenia. </w:t>
            </w:r>
          </w:p>
          <w:p w14:paraId="34CD0690" w14:textId="77777777" w:rsidR="00A85FE9" w:rsidRPr="00023B68" w:rsidRDefault="00A85FE9" w:rsidP="00A85FE9">
            <w:pPr>
              <w:pStyle w:val="Default"/>
              <w:rPr>
                <w:sz w:val="20"/>
                <w:szCs w:val="20"/>
              </w:rPr>
            </w:pPr>
          </w:p>
          <w:p w14:paraId="206F2702" w14:textId="77777777" w:rsidR="00A85FE9" w:rsidRPr="00023B68" w:rsidRDefault="00A85FE9" w:rsidP="00A85FE9">
            <w:pPr>
              <w:pStyle w:val="Default"/>
              <w:rPr>
                <w:sz w:val="20"/>
                <w:szCs w:val="20"/>
              </w:rPr>
            </w:pPr>
            <w:r w:rsidRPr="00023B68">
              <w:rPr>
                <w:sz w:val="20"/>
                <w:szCs w:val="20"/>
              </w:rPr>
              <w:t xml:space="preserve">Najwyższe poziomy gwarancji powinny zapewniać szczególną ochronę zastosowań związanych z bezpieczeństwem narodowym, obronnością, wymiarem sprawiedliwości i infrastrukturą krytyczną. W tych obszarach kluczowe znaczenie ma niezależna europejska kontrola nad danymi, działaniem usługi i możliwością zapewnienia jej ciągłości. </w:t>
            </w:r>
          </w:p>
          <w:p w14:paraId="63383338" w14:textId="77777777" w:rsidR="00A85FE9" w:rsidRPr="00023B68" w:rsidRDefault="00A85FE9" w:rsidP="00A85FE9">
            <w:pPr>
              <w:pStyle w:val="Default"/>
              <w:rPr>
                <w:sz w:val="20"/>
                <w:szCs w:val="20"/>
              </w:rPr>
            </w:pPr>
            <w:r w:rsidRPr="00023B68">
              <w:rPr>
                <w:sz w:val="20"/>
                <w:szCs w:val="20"/>
              </w:rPr>
              <w:t xml:space="preserve">Jednocześnie rozwój własnych zdolności technologicznych jest procesem wymagającym czasu, kapitału i dostępu do zaawansowanych komponentów. Dlatego projekt powinien pozostawiać możliwość stosowania modeli, w których rozwiązanie jest zarządzane i kontrolowane przez podmiot europejski, ale wykorzystuje wybrane technologie dostarczane przez zaufanego partnera. </w:t>
            </w:r>
          </w:p>
          <w:p w14:paraId="7E11CDB9" w14:textId="77777777" w:rsidR="00A85FE9" w:rsidRPr="00023B68" w:rsidRDefault="00A85FE9" w:rsidP="00A85FE9">
            <w:pPr>
              <w:pStyle w:val="Default"/>
              <w:rPr>
                <w:sz w:val="20"/>
                <w:szCs w:val="20"/>
              </w:rPr>
            </w:pPr>
            <w:r w:rsidRPr="00023B68">
              <w:rPr>
                <w:sz w:val="20"/>
                <w:szCs w:val="20"/>
              </w:rPr>
              <w:lastRenderedPageBreak/>
              <w:t xml:space="preserve">ZPP rekomenduje połączenie poziomów UAL 3 i UAL 4 albo ich funkcjonalne zbliżenie. Udział partnera spoza UE powinien być możliwy, jeżeli usługa jest zarządzana przez podmiot europejski, dane i klucze szyfrujące pozostają pod europejską kontrolą, partner zewnętrzny nie posiada samodzielnego dostępu do danych ani możliwości jednostronnego przerwania działania usługi, a rozwiązanie zapewnia techniczną i organizacyjną separację oraz możliwość dalszego działania lub migracji bez jego bieżącego udziału. </w:t>
            </w:r>
          </w:p>
          <w:p w14:paraId="0C0E1F02" w14:textId="77777777" w:rsidR="00A85FE9" w:rsidRPr="00023B68" w:rsidRDefault="00A85FE9" w:rsidP="00A85FE9">
            <w:pPr>
              <w:pStyle w:val="Default"/>
              <w:rPr>
                <w:sz w:val="20"/>
                <w:szCs w:val="20"/>
              </w:rPr>
            </w:pPr>
            <w:r w:rsidRPr="00023B68">
              <w:rPr>
                <w:sz w:val="20"/>
                <w:szCs w:val="20"/>
              </w:rPr>
              <w:t xml:space="preserve">ZPP popiera również ustanowienie wspólnego, przejrzystego mechanizmu oceny państw partnerskich. Dostawcy kontrolowani z państw spełniających określone warunki prawne, techniczne i organizacyjne powinni być co do zasady kwalifikowalni do uzyskania UAL 3. </w:t>
            </w:r>
          </w:p>
          <w:p w14:paraId="5E985E1D" w14:textId="14C83951" w:rsidR="00A85FE9" w:rsidRPr="00023B68" w:rsidRDefault="00A85FE9" w:rsidP="00A85FE9">
            <w:pPr>
              <w:pStyle w:val="Default"/>
              <w:rPr>
                <w:sz w:val="20"/>
                <w:szCs w:val="20"/>
              </w:rPr>
            </w:pPr>
            <w:r w:rsidRPr="00023B68">
              <w:rPr>
                <w:sz w:val="20"/>
                <w:szCs w:val="20"/>
              </w:rPr>
              <w:t>Komisja powinna zachować możliwość ograniczenia lub cofnięcia tej kwalifikowalności w przypadku wystąpienia konkretnego i udokumentowanego ryzyka, związanego przykładowo ze zmianą otoczenia prawnego, możliwością nieuprawnionego dostępu do danych lub zagrożeniem dla ciągłości świadczenia usług. Mechanizm ten powinien opierać się na regularnej ocenie ryzyka, przejrzystych kryteriach i odpowiedniej procedurze konsultacyjnej.</w:t>
            </w:r>
          </w:p>
          <w:p w14:paraId="51739AD9" w14:textId="73E182FF" w:rsidR="00A85FE9" w:rsidRPr="00023B68" w:rsidRDefault="00A85FE9" w:rsidP="00A85FE9">
            <w:pPr>
              <w:pStyle w:val="Default"/>
              <w:rPr>
                <w:sz w:val="20"/>
                <w:szCs w:val="20"/>
              </w:rPr>
            </w:pPr>
          </w:p>
        </w:tc>
      </w:tr>
      <w:tr w:rsidR="00A85FE9" w:rsidRPr="00023B68" w14:paraId="497EC69B" w14:textId="77777777" w:rsidTr="00040008">
        <w:tc>
          <w:tcPr>
            <w:tcW w:w="0" w:type="auto"/>
          </w:tcPr>
          <w:p w14:paraId="65CC3F70" w14:textId="1329A51B"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67AAA957" w14:textId="536D5846" w:rsidR="00A85FE9" w:rsidRPr="00023B68" w:rsidRDefault="00A85FE9" w:rsidP="00A85FE9">
            <w:pPr>
              <w:pStyle w:val="Default"/>
              <w:rPr>
                <w:sz w:val="20"/>
                <w:szCs w:val="20"/>
              </w:rPr>
            </w:pPr>
            <w:r w:rsidRPr="00023B68">
              <w:rPr>
                <w:sz w:val="20"/>
                <w:szCs w:val="20"/>
              </w:rPr>
              <w:t>Zw. Cyfrowa Polska</w:t>
            </w:r>
          </w:p>
        </w:tc>
        <w:tc>
          <w:tcPr>
            <w:tcW w:w="0" w:type="auto"/>
          </w:tcPr>
          <w:p w14:paraId="1BAA6698" w14:textId="77777777" w:rsidR="00A85FE9" w:rsidRPr="00023B68" w:rsidRDefault="00A85FE9" w:rsidP="00A85FE9">
            <w:pPr>
              <w:pStyle w:val="Default"/>
              <w:rPr>
                <w:sz w:val="20"/>
                <w:szCs w:val="20"/>
              </w:rPr>
            </w:pPr>
            <w:r w:rsidRPr="00023B68">
              <w:rPr>
                <w:b/>
                <w:bCs/>
                <w:sz w:val="20"/>
                <w:szCs w:val="20"/>
              </w:rPr>
              <w:t>Zbyt daleko idące propozycje Komisji, by w ramach certyfikacji suwerenności uwzględnić ograniczenia dotyczące państw spoza UE</w:t>
            </w:r>
            <w:r w:rsidRPr="00023B68">
              <w:rPr>
                <w:sz w:val="20"/>
                <w:szCs w:val="20"/>
              </w:rPr>
              <w:t xml:space="preserve">. </w:t>
            </w:r>
          </w:p>
          <w:p w14:paraId="732EA264" w14:textId="77777777" w:rsidR="00A85FE9" w:rsidRPr="00023B68" w:rsidRDefault="00A85FE9" w:rsidP="00A85FE9">
            <w:pPr>
              <w:pStyle w:val="Default"/>
              <w:rPr>
                <w:sz w:val="20"/>
                <w:szCs w:val="20"/>
              </w:rPr>
            </w:pPr>
            <w:r w:rsidRPr="00023B68">
              <w:rPr>
                <w:sz w:val="20"/>
                <w:szCs w:val="20"/>
              </w:rPr>
              <w:t xml:space="preserve">Choć z zadowoleniem przyjmujemy harmonizację europejskiego podejścia do suwerenności, kryteria określone w ramach unijnych poziomów gwarancji (Union Assurance </w:t>
            </w:r>
            <w:proofErr w:type="spellStart"/>
            <w:r w:rsidRPr="00023B68">
              <w:rPr>
                <w:sz w:val="20"/>
                <w:szCs w:val="20"/>
              </w:rPr>
              <w:t>Levels</w:t>
            </w:r>
            <w:proofErr w:type="spellEnd"/>
            <w:r w:rsidRPr="00023B68">
              <w:rPr>
                <w:sz w:val="20"/>
                <w:szCs w:val="20"/>
              </w:rPr>
              <w:t xml:space="preserve">, UAL) tworzą wysokie bariery dla dostawców globalnych i pomijają to, jak w praktyce funkcjonują globalne łańcuchy dostaw oraz krytyczne funkcje w zakresie </w:t>
            </w:r>
            <w:proofErr w:type="spellStart"/>
            <w:r w:rsidRPr="00023B68">
              <w:rPr>
                <w:sz w:val="20"/>
                <w:szCs w:val="20"/>
              </w:rPr>
              <w:t>cyberbezpieczeństwa</w:t>
            </w:r>
            <w:proofErr w:type="spellEnd"/>
            <w:r w:rsidRPr="00023B68">
              <w:rPr>
                <w:sz w:val="20"/>
                <w:szCs w:val="20"/>
              </w:rPr>
              <w:t xml:space="preserve">. Stwarza to ryzyko zakłóceń dla europejskich dostawców posiadających globalne łańcuchy dostaw, a nie tylko dla operatorów spoza UE. </w:t>
            </w:r>
          </w:p>
          <w:p w14:paraId="5F18D9FA" w14:textId="77777777" w:rsidR="00A85FE9" w:rsidRPr="00023B68" w:rsidRDefault="00A85FE9" w:rsidP="00A85FE9">
            <w:pPr>
              <w:pStyle w:val="Default"/>
              <w:rPr>
                <w:sz w:val="20"/>
                <w:szCs w:val="20"/>
              </w:rPr>
            </w:pPr>
            <w:r w:rsidRPr="00023B68">
              <w:rPr>
                <w:sz w:val="20"/>
                <w:szCs w:val="20"/>
              </w:rPr>
              <w:t xml:space="preserve">Na wszystkich poziomach kryteria te zakłócą niezbędną współpracę między operatorami globalnymi a klientami europejskimi. Nawet na najniższym poziomie UAL 1 propozycje uniemożliwią realizację kluczowych funkcji z zakresu </w:t>
            </w:r>
            <w:proofErr w:type="spellStart"/>
            <w:r w:rsidRPr="00023B68">
              <w:rPr>
                <w:sz w:val="20"/>
                <w:szCs w:val="20"/>
              </w:rPr>
              <w:t>cyberbezpieczeństwa</w:t>
            </w:r>
            <w:proofErr w:type="spellEnd"/>
            <w:r w:rsidRPr="00023B68">
              <w:rPr>
                <w:sz w:val="20"/>
                <w:szCs w:val="20"/>
              </w:rPr>
              <w:t xml:space="preserve"> w skali globalnej, ze względu na wymóg przechowywania wszystkich danych telemetrycznych, w tym wzorców </w:t>
            </w:r>
            <w:proofErr w:type="spellStart"/>
            <w:r w:rsidRPr="00023B68">
              <w:rPr>
                <w:sz w:val="20"/>
                <w:szCs w:val="20"/>
              </w:rPr>
              <w:t>cyberzagrożeń</w:t>
            </w:r>
            <w:proofErr w:type="spellEnd"/>
            <w:r w:rsidRPr="00023B68">
              <w:rPr>
                <w:sz w:val="20"/>
                <w:szCs w:val="20"/>
              </w:rPr>
              <w:t xml:space="preserve">, w Europie. </w:t>
            </w:r>
          </w:p>
          <w:p w14:paraId="325CFB72" w14:textId="77777777" w:rsidR="009477A2" w:rsidRPr="00023B68" w:rsidRDefault="009477A2" w:rsidP="00A85FE9">
            <w:pPr>
              <w:pStyle w:val="Default"/>
              <w:rPr>
                <w:sz w:val="20"/>
                <w:szCs w:val="20"/>
              </w:rPr>
            </w:pPr>
          </w:p>
          <w:p w14:paraId="576F2B34" w14:textId="77777777" w:rsidR="00A85FE9" w:rsidRPr="00023B68" w:rsidRDefault="00A85FE9" w:rsidP="00A85FE9">
            <w:pPr>
              <w:pStyle w:val="Default"/>
              <w:rPr>
                <w:sz w:val="20"/>
                <w:szCs w:val="20"/>
              </w:rPr>
            </w:pPr>
            <w:r w:rsidRPr="00023B68">
              <w:rPr>
                <w:sz w:val="20"/>
                <w:szCs w:val="20"/>
              </w:rPr>
              <w:t xml:space="preserve">Rekomendowane rozwiązania: </w:t>
            </w:r>
          </w:p>
          <w:p w14:paraId="5ED94C7F" w14:textId="77777777" w:rsidR="00A85FE9" w:rsidRPr="00023B68" w:rsidRDefault="00A85FE9" w:rsidP="00A85FE9">
            <w:pPr>
              <w:pStyle w:val="Default"/>
              <w:numPr>
                <w:ilvl w:val="0"/>
                <w:numId w:val="41"/>
              </w:numPr>
              <w:rPr>
                <w:sz w:val="20"/>
                <w:szCs w:val="20"/>
              </w:rPr>
            </w:pPr>
            <w:r w:rsidRPr="00023B68">
              <w:rPr>
                <w:sz w:val="20"/>
                <w:szCs w:val="20"/>
              </w:rPr>
              <w:t xml:space="preserve">Usunięcie wymogów lokalizacji danych w odniesieniu do metadanych i danych telemetrycznych na poziomach UAL 1 i 2 (Załącznik II, sekcja 1.1c). </w:t>
            </w:r>
          </w:p>
          <w:p w14:paraId="51587F79" w14:textId="77777777" w:rsidR="00A85FE9" w:rsidRPr="00023B68" w:rsidRDefault="00A85FE9" w:rsidP="00A85FE9">
            <w:pPr>
              <w:pStyle w:val="Default"/>
              <w:rPr>
                <w:sz w:val="20"/>
                <w:szCs w:val="20"/>
              </w:rPr>
            </w:pPr>
          </w:p>
          <w:p w14:paraId="4B1F2EE8" w14:textId="6B0F7F16" w:rsidR="00A85FE9" w:rsidRPr="00023B68" w:rsidRDefault="00A85FE9" w:rsidP="00A85FE9">
            <w:pPr>
              <w:pStyle w:val="Default"/>
              <w:rPr>
                <w:b/>
                <w:bCs/>
                <w:sz w:val="20"/>
                <w:szCs w:val="20"/>
              </w:rPr>
            </w:pPr>
            <w:r w:rsidRPr="00023B68">
              <w:rPr>
                <w:b/>
                <w:bCs/>
                <w:sz w:val="20"/>
                <w:szCs w:val="20"/>
              </w:rPr>
              <w:t xml:space="preserve">Na najwyższych poziomach konsekwencje dla współpracy z zaufanymi partnerami są skrajne - wykraczają poza najbardziej rygorystyczny standard suwerenności w Europie. </w:t>
            </w:r>
          </w:p>
          <w:p w14:paraId="3A99B327" w14:textId="5CC0B45D" w:rsidR="00A85FE9" w:rsidRPr="00023B68" w:rsidRDefault="00A85FE9" w:rsidP="00A85FE9">
            <w:pPr>
              <w:pStyle w:val="Default"/>
              <w:rPr>
                <w:sz w:val="20"/>
                <w:szCs w:val="20"/>
              </w:rPr>
            </w:pPr>
            <w:r w:rsidRPr="00023B68">
              <w:rPr>
                <w:sz w:val="20"/>
                <w:szCs w:val="20"/>
              </w:rPr>
              <w:t xml:space="preserve">Operatorom globalnym zakazano by w jakichkolwiek okolicznościach wspierania kluczowych europejskich usług obronnych (UAL 4), a domyślnie zakazano by im również wspierania usług o wysokim stopniu wrażliwości (UAL 3), przy czym Komisja zastrzegłaby sobie uprawnienie do zniesienia tego zakazu. Jest to bardziej restrykcyjne niż najsurowsze dotychczasowe wymogi w którymkolwiek państwie członkowskim, które umożliwiały zaufanym partnerom globalnym przedstawianie innowacyjnych rozwiązań technicznych i operacyjnych zapewniających ścisłą kontrolę. </w:t>
            </w:r>
          </w:p>
          <w:p w14:paraId="357AB869" w14:textId="77777777" w:rsidR="00A85FE9" w:rsidRPr="00023B68" w:rsidRDefault="00A85FE9" w:rsidP="00A85FE9">
            <w:pPr>
              <w:pStyle w:val="Default"/>
              <w:rPr>
                <w:sz w:val="20"/>
                <w:szCs w:val="20"/>
              </w:rPr>
            </w:pPr>
            <w:r w:rsidRPr="00023B68">
              <w:rPr>
                <w:sz w:val="20"/>
                <w:szCs w:val="20"/>
              </w:rPr>
              <w:t xml:space="preserve">Rekomendowane rozwiązania: </w:t>
            </w:r>
          </w:p>
          <w:p w14:paraId="4001546F" w14:textId="77777777" w:rsidR="00A85FE9" w:rsidRPr="00023B68" w:rsidRDefault="00A85FE9" w:rsidP="00A85FE9">
            <w:pPr>
              <w:pStyle w:val="Default"/>
              <w:numPr>
                <w:ilvl w:val="0"/>
                <w:numId w:val="42"/>
              </w:numPr>
              <w:rPr>
                <w:sz w:val="20"/>
                <w:szCs w:val="20"/>
              </w:rPr>
            </w:pPr>
            <w:r w:rsidRPr="00023B68">
              <w:rPr>
                <w:sz w:val="20"/>
                <w:szCs w:val="20"/>
              </w:rPr>
              <w:t xml:space="preserve">Połączenie poziomów UAL 3 i 4 w jeden poziom, który umożliwi zaufanym operatorom spoza UE odgrywanie roli wspierającej w odniesieniu do ściśle niezależnych, obsługiwanych przez podmioty europejskie rozwiązań suwerennych, w tym poprzez dostarczanie bazowego oprogramowania. </w:t>
            </w:r>
          </w:p>
          <w:p w14:paraId="0E10FA52" w14:textId="77777777" w:rsidR="00A85FE9" w:rsidRPr="00023B68" w:rsidRDefault="00A85FE9" w:rsidP="00A85FE9">
            <w:pPr>
              <w:pStyle w:val="Default"/>
              <w:numPr>
                <w:ilvl w:val="0"/>
                <w:numId w:val="42"/>
              </w:numPr>
              <w:rPr>
                <w:sz w:val="20"/>
                <w:szCs w:val="20"/>
              </w:rPr>
            </w:pPr>
            <w:r w:rsidRPr="00023B68">
              <w:rPr>
                <w:sz w:val="20"/>
                <w:szCs w:val="20"/>
              </w:rPr>
              <w:lastRenderedPageBreak/>
              <w:t xml:space="preserve">Odwrócenie przysługującego Komisji uprawnienia do ustanawiania odstępstw (Załącznik II, sekcja 3(g)), tak aby zaufani partnerzy spoza UE byli na tym poziomie domyślnie dopuszczeni, przy czym Komisja mogłaby cofnąć to dopuszczenie w drodze aktów wykonawczych. </w:t>
            </w:r>
          </w:p>
          <w:p w14:paraId="2D8F2D5F" w14:textId="77777777" w:rsidR="00A85FE9" w:rsidRPr="00023B68" w:rsidRDefault="00A85FE9" w:rsidP="00A85FE9">
            <w:pPr>
              <w:pStyle w:val="Default"/>
              <w:rPr>
                <w:sz w:val="20"/>
                <w:szCs w:val="20"/>
              </w:rPr>
            </w:pPr>
          </w:p>
          <w:p w14:paraId="11546CEF" w14:textId="77777777" w:rsidR="00A85FE9" w:rsidRPr="00023B68" w:rsidRDefault="00A85FE9" w:rsidP="00A85FE9">
            <w:pPr>
              <w:pStyle w:val="Default"/>
              <w:rPr>
                <w:b/>
                <w:bCs/>
                <w:sz w:val="20"/>
                <w:szCs w:val="20"/>
              </w:rPr>
            </w:pPr>
            <w:r w:rsidRPr="00023B68">
              <w:rPr>
                <w:b/>
                <w:bCs/>
                <w:sz w:val="20"/>
                <w:szCs w:val="20"/>
              </w:rPr>
              <w:t>Propozycja Komisji odwraca podejście do kontroli państw spoza UE zaproponowane dla innych sektorów w akcie w sprawie akceleratora przemysłowego (</w:t>
            </w:r>
            <w:proofErr w:type="spellStart"/>
            <w:r w:rsidRPr="00023B68">
              <w:rPr>
                <w:b/>
                <w:bCs/>
                <w:sz w:val="20"/>
                <w:szCs w:val="20"/>
              </w:rPr>
              <w:t>Industrial</w:t>
            </w:r>
            <w:proofErr w:type="spellEnd"/>
            <w:r w:rsidRPr="00023B68">
              <w:rPr>
                <w:b/>
                <w:bCs/>
                <w:sz w:val="20"/>
                <w:szCs w:val="20"/>
              </w:rPr>
              <w:t xml:space="preserve"> Accelerator </w:t>
            </w:r>
            <w:proofErr w:type="spellStart"/>
            <w:r w:rsidRPr="00023B68">
              <w:rPr>
                <w:b/>
                <w:bCs/>
                <w:sz w:val="20"/>
                <w:szCs w:val="20"/>
              </w:rPr>
              <w:t>Act</w:t>
            </w:r>
            <w:proofErr w:type="spellEnd"/>
            <w:r w:rsidRPr="00023B68">
              <w:rPr>
                <w:b/>
                <w:bCs/>
                <w:sz w:val="20"/>
                <w:szCs w:val="20"/>
              </w:rPr>
              <w:t xml:space="preserve">, IAA). </w:t>
            </w:r>
          </w:p>
          <w:p w14:paraId="5E21974A" w14:textId="77777777" w:rsidR="00A85FE9" w:rsidRPr="00023B68" w:rsidRDefault="00A85FE9" w:rsidP="00A85FE9">
            <w:pPr>
              <w:pStyle w:val="Default"/>
              <w:rPr>
                <w:sz w:val="20"/>
                <w:szCs w:val="20"/>
              </w:rPr>
            </w:pPr>
            <w:r w:rsidRPr="00023B68">
              <w:rPr>
                <w:sz w:val="20"/>
                <w:szCs w:val="20"/>
              </w:rPr>
              <w:t>UAL 3 ustanowiłby domyślny zakaz wobec operatorów z państw spoza UE, który mogłaby znieść wyłącznie Komisja. Odwraca to wyważone podejście przyjęte w ramach IAA, w którym współpraca z zaufanymi partnerami spoza UE jest utrzymywana poprzez traktowanie ich jako podmiotów pochodzenia unijnego, z zastrzeżeniem zgodności z solidnymi globalnymi regułami handlowymi (WTO/FTA) oraz uprawnieniami zabezpieczającymi umożliwiającymi cofnięcie statusu pochodzenia.</w:t>
            </w:r>
          </w:p>
          <w:p w14:paraId="0AB90777" w14:textId="77777777" w:rsidR="00A85FE9" w:rsidRPr="00023B68" w:rsidRDefault="00A85FE9" w:rsidP="00A85FE9">
            <w:pPr>
              <w:pStyle w:val="Default"/>
              <w:rPr>
                <w:sz w:val="20"/>
                <w:szCs w:val="20"/>
              </w:rPr>
            </w:pPr>
            <w:r w:rsidRPr="00023B68">
              <w:rPr>
                <w:sz w:val="20"/>
                <w:szCs w:val="20"/>
              </w:rPr>
              <w:t xml:space="preserve">Rekomendowane rozwiązania: </w:t>
            </w:r>
          </w:p>
          <w:p w14:paraId="77602456" w14:textId="77777777" w:rsidR="00A85FE9" w:rsidRPr="00023B68" w:rsidRDefault="00A85FE9" w:rsidP="00A85FE9">
            <w:pPr>
              <w:pStyle w:val="Default"/>
              <w:numPr>
                <w:ilvl w:val="0"/>
                <w:numId w:val="43"/>
              </w:numPr>
              <w:rPr>
                <w:sz w:val="20"/>
                <w:szCs w:val="20"/>
              </w:rPr>
            </w:pPr>
            <w:r w:rsidRPr="00023B68">
              <w:rPr>
                <w:sz w:val="20"/>
                <w:szCs w:val="20"/>
              </w:rPr>
              <w:t xml:space="preserve">Odwrócenie przysługującego Komisji uprawnienia do ustanawiania odstępstw (Załącznik II, sekcja 3(g)), tak aby zaufani partnerzy spoza UE byli na tym poziomie domyślnie dopuszczeni, przy czym Komisja mogłaby cofnąć to dopuszczenie w drodze aktów wykonawczych. </w:t>
            </w:r>
          </w:p>
          <w:p w14:paraId="3E5EFBB7" w14:textId="77777777" w:rsidR="00A85FE9" w:rsidRPr="00023B68" w:rsidRDefault="00A85FE9" w:rsidP="00A85FE9">
            <w:pPr>
              <w:pStyle w:val="Default"/>
              <w:numPr>
                <w:ilvl w:val="0"/>
                <w:numId w:val="43"/>
              </w:numPr>
              <w:rPr>
                <w:sz w:val="20"/>
                <w:szCs w:val="20"/>
              </w:rPr>
            </w:pPr>
            <w:r w:rsidRPr="00023B68">
              <w:rPr>
                <w:sz w:val="20"/>
                <w:szCs w:val="20"/>
              </w:rPr>
              <w:t xml:space="preserve">Usunięcie wymogów dotyczących operatorów z państw trzecich na poziomie UAL 2 (Załącznik II, sekcja 2.1(g)) i wprowadzenie ich jedynie wyjątkowo, w przypadku gdy Komisja nałoży ograniczenie na państwo trzecie pochodzenia w odniesieniu do konkretnego dostawcy. </w:t>
            </w:r>
          </w:p>
          <w:p w14:paraId="30EEEEFB" w14:textId="77777777" w:rsidR="00A85FE9" w:rsidRPr="00023B68" w:rsidRDefault="00A85FE9" w:rsidP="00A85FE9">
            <w:pPr>
              <w:pStyle w:val="Default"/>
              <w:rPr>
                <w:sz w:val="20"/>
                <w:szCs w:val="20"/>
              </w:rPr>
            </w:pPr>
          </w:p>
          <w:p w14:paraId="13B84B93" w14:textId="77777777" w:rsidR="00A85FE9" w:rsidRPr="00023B68" w:rsidRDefault="00A85FE9" w:rsidP="00A85FE9">
            <w:pPr>
              <w:pStyle w:val="Default"/>
              <w:rPr>
                <w:sz w:val="20"/>
                <w:szCs w:val="20"/>
              </w:rPr>
            </w:pPr>
            <w:r w:rsidRPr="00023B68">
              <w:rPr>
                <w:b/>
                <w:bCs/>
                <w:sz w:val="20"/>
                <w:szCs w:val="20"/>
              </w:rPr>
              <w:t>Wymogi obowiązujące na poszczególnych poziomach UAL muszą pozostawiać przestrzeń dla innowacji, umożliwiając dostawcom oferowanie odmiennych, skuteczniejszych środków łagodzących w odpowiedzi na obawy dotyczące suwerenności</w:t>
            </w:r>
            <w:r w:rsidRPr="00023B68">
              <w:rPr>
                <w:sz w:val="20"/>
                <w:szCs w:val="20"/>
              </w:rPr>
              <w:t xml:space="preserve">. </w:t>
            </w:r>
          </w:p>
          <w:p w14:paraId="59765DBA" w14:textId="2037EF51" w:rsidR="00A85FE9" w:rsidRPr="00023B68" w:rsidRDefault="00A85FE9" w:rsidP="00A85FE9">
            <w:pPr>
              <w:pStyle w:val="Default"/>
              <w:rPr>
                <w:sz w:val="20"/>
                <w:szCs w:val="20"/>
              </w:rPr>
            </w:pPr>
            <w:r w:rsidRPr="00023B68">
              <w:rPr>
                <w:sz w:val="20"/>
                <w:szCs w:val="20"/>
              </w:rPr>
              <w:t>Komisja powinna przyjąć podejście oparte na punktacji, zamiast np. binarnego podejścia „tak/nie” do kryteriów technicznych, które jest dorozumiane na poziomie UAL 2. Globalni dostawcy oferują portfolio chmury suwerennej zapewniające europejską autonomię poprzez kontrolę techniczną.</w:t>
            </w:r>
          </w:p>
          <w:p w14:paraId="387E5B50" w14:textId="77777777" w:rsidR="00A85FE9" w:rsidRPr="00023B68" w:rsidRDefault="00A85FE9" w:rsidP="00A85FE9">
            <w:pPr>
              <w:pStyle w:val="Default"/>
              <w:rPr>
                <w:sz w:val="20"/>
                <w:szCs w:val="20"/>
              </w:rPr>
            </w:pPr>
          </w:p>
          <w:p w14:paraId="21E615EF" w14:textId="77777777" w:rsidR="00A85FE9" w:rsidRPr="00023B68" w:rsidRDefault="00A85FE9" w:rsidP="00A85FE9">
            <w:pPr>
              <w:pStyle w:val="Default"/>
              <w:rPr>
                <w:sz w:val="20"/>
                <w:szCs w:val="20"/>
              </w:rPr>
            </w:pPr>
            <w:r w:rsidRPr="00023B68">
              <w:rPr>
                <w:sz w:val="20"/>
                <w:szCs w:val="20"/>
              </w:rPr>
              <w:t xml:space="preserve">Rekomendowane rozwiązanie: </w:t>
            </w:r>
          </w:p>
          <w:p w14:paraId="12E43783" w14:textId="77777777" w:rsidR="00A85FE9" w:rsidRPr="00023B68" w:rsidRDefault="00A85FE9" w:rsidP="00A85FE9">
            <w:pPr>
              <w:pStyle w:val="Default"/>
              <w:numPr>
                <w:ilvl w:val="0"/>
                <w:numId w:val="44"/>
              </w:numPr>
              <w:rPr>
                <w:sz w:val="20"/>
                <w:szCs w:val="20"/>
              </w:rPr>
            </w:pPr>
            <w:r w:rsidRPr="00023B68">
              <w:rPr>
                <w:sz w:val="20"/>
                <w:szCs w:val="20"/>
              </w:rPr>
              <w:t xml:space="preserve">Oceny suwerennej kontroli w odniesieniu do dostępu podmiotów trzecich oraz ryzyka jurysdykcyjnego powinny podlegać kryteriom opartym na punktacji. </w:t>
            </w:r>
          </w:p>
          <w:p w14:paraId="58324D38" w14:textId="77777777" w:rsidR="00A85FE9" w:rsidRPr="00023B68" w:rsidRDefault="00A85FE9" w:rsidP="00A85FE9">
            <w:pPr>
              <w:pStyle w:val="Default"/>
              <w:rPr>
                <w:sz w:val="20"/>
                <w:szCs w:val="20"/>
              </w:rPr>
            </w:pPr>
          </w:p>
          <w:p w14:paraId="1CC932C4" w14:textId="25F47608" w:rsidR="00A85FE9" w:rsidRPr="00023B68" w:rsidRDefault="00A85FE9" w:rsidP="00A85FE9">
            <w:pPr>
              <w:pStyle w:val="Default"/>
              <w:rPr>
                <w:b/>
                <w:bCs/>
                <w:sz w:val="20"/>
                <w:szCs w:val="20"/>
              </w:rPr>
            </w:pPr>
            <w:r w:rsidRPr="00023B68">
              <w:rPr>
                <w:b/>
                <w:bCs/>
                <w:sz w:val="20"/>
                <w:szCs w:val="20"/>
              </w:rPr>
              <w:t xml:space="preserve">Autonomia i ramy Union Assurance </w:t>
            </w:r>
            <w:proofErr w:type="spellStart"/>
            <w:r w:rsidRPr="00023B68">
              <w:rPr>
                <w:b/>
                <w:bCs/>
                <w:sz w:val="20"/>
                <w:szCs w:val="20"/>
              </w:rPr>
              <w:t>Levels</w:t>
            </w:r>
            <w:proofErr w:type="spellEnd"/>
            <w:r w:rsidRPr="00023B68">
              <w:rPr>
                <w:b/>
                <w:bCs/>
                <w:sz w:val="20"/>
                <w:szCs w:val="20"/>
              </w:rPr>
              <w:t xml:space="preserve"> (UAL) </w:t>
            </w:r>
          </w:p>
          <w:p w14:paraId="6DAD3F60" w14:textId="77777777" w:rsidR="00A85FE9" w:rsidRPr="00023B68" w:rsidRDefault="00A85FE9" w:rsidP="00A85FE9">
            <w:pPr>
              <w:pStyle w:val="Default"/>
              <w:rPr>
                <w:sz w:val="20"/>
                <w:szCs w:val="20"/>
              </w:rPr>
            </w:pPr>
            <w:r w:rsidRPr="00023B68">
              <w:rPr>
                <w:sz w:val="20"/>
                <w:szCs w:val="20"/>
              </w:rPr>
              <w:t xml:space="preserve">Poziomy Union Assurance </w:t>
            </w:r>
            <w:proofErr w:type="spellStart"/>
            <w:r w:rsidRPr="00023B68">
              <w:rPr>
                <w:sz w:val="20"/>
                <w:szCs w:val="20"/>
              </w:rPr>
              <w:t>Levels</w:t>
            </w:r>
            <w:proofErr w:type="spellEnd"/>
            <w:r w:rsidRPr="00023B68">
              <w:rPr>
                <w:sz w:val="20"/>
                <w:szCs w:val="20"/>
              </w:rPr>
              <w:t xml:space="preserve"> powinny zostać zdefiniowane na nowo wokół weryfikowalnych kontroli technicznych, a nie „narodowości” firmy. „Odporność na jurysdykcję spoza UE” jest prawnie niespójna. Wszystkie globalne firmy działają w ramach wielu jurysdykcji, w tym europejskich. Co więcej nieokreślony jest zakres „danych klienta, w tym metadanych i telemetrii” - może obejmować dane operacyjne krytyczne dla </w:t>
            </w:r>
            <w:proofErr w:type="spellStart"/>
            <w:r w:rsidRPr="00023B68">
              <w:rPr>
                <w:sz w:val="20"/>
                <w:szCs w:val="20"/>
              </w:rPr>
              <w:t>cyberbezpieczeństwa</w:t>
            </w:r>
            <w:proofErr w:type="spellEnd"/>
            <w:r w:rsidRPr="00023B68">
              <w:rPr>
                <w:sz w:val="20"/>
                <w:szCs w:val="20"/>
              </w:rPr>
              <w:t xml:space="preserve"> i odporności. Wskazujmy również, że lokalizacja danych nie równa się bezpieczeństwu danych: konflikt na Ukrainie wykazał, że fizycznie zlokalizowana infrastruktura jest podatna na zagrożenia; rozproszona chmura zapewniła ciągłość działania ukraińskiego rządu. W końcu, europejskie startupy z globalnie rozproszonymi systemami musiałyby ponieść kosztowne zmiany operacyjne, aby uczestniczyć w rynku. </w:t>
            </w:r>
          </w:p>
          <w:p w14:paraId="2A652C3B" w14:textId="77777777" w:rsidR="00A85FE9" w:rsidRPr="00023B68" w:rsidRDefault="00A85FE9" w:rsidP="00A85FE9">
            <w:pPr>
              <w:pStyle w:val="Default"/>
              <w:rPr>
                <w:sz w:val="20"/>
                <w:szCs w:val="20"/>
              </w:rPr>
            </w:pPr>
            <w:r w:rsidRPr="00023B68">
              <w:rPr>
                <w:sz w:val="20"/>
                <w:szCs w:val="20"/>
              </w:rPr>
              <w:t xml:space="preserve">Zidentyfikowane obecnie problemy to: </w:t>
            </w:r>
          </w:p>
          <w:p w14:paraId="065E8BB5" w14:textId="77777777" w:rsidR="00A85FE9" w:rsidRPr="00023B68" w:rsidRDefault="00A85FE9" w:rsidP="00A85FE9">
            <w:pPr>
              <w:pStyle w:val="Default"/>
              <w:numPr>
                <w:ilvl w:val="0"/>
                <w:numId w:val="45"/>
              </w:numPr>
              <w:rPr>
                <w:sz w:val="20"/>
                <w:szCs w:val="20"/>
              </w:rPr>
            </w:pPr>
            <w:r w:rsidRPr="00023B68">
              <w:rPr>
                <w:sz w:val="20"/>
                <w:szCs w:val="20"/>
              </w:rPr>
              <w:t xml:space="preserve">UAL 1: Rozległe wymogi lokalizacji danych dla danych niewrażliwych bez jasnej oceny potrzeb. </w:t>
            </w:r>
          </w:p>
          <w:p w14:paraId="74226209" w14:textId="77777777" w:rsidR="00A85FE9" w:rsidRPr="00023B68" w:rsidRDefault="00A85FE9" w:rsidP="00A85FE9">
            <w:pPr>
              <w:pStyle w:val="Default"/>
              <w:numPr>
                <w:ilvl w:val="0"/>
                <w:numId w:val="45"/>
              </w:numPr>
              <w:rPr>
                <w:sz w:val="20"/>
                <w:szCs w:val="20"/>
              </w:rPr>
            </w:pPr>
            <w:r w:rsidRPr="00023B68">
              <w:rPr>
                <w:sz w:val="20"/>
                <w:szCs w:val="20"/>
              </w:rPr>
              <w:lastRenderedPageBreak/>
              <w:t xml:space="preserve">UAL 2: Nierówne traktowanie - dostawcy spoza UE muszą udowodnić odporność na jurysdykcję </w:t>
            </w:r>
            <w:proofErr w:type="spellStart"/>
            <w:r w:rsidRPr="00023B68">
              <w:rPr>
                <w:sz w:val="20"/>
                <w:szCs w:val="20"/>
              </w:rPr>
              <w:t>pozaterytorialną</w:t>
            </w:r>
            <w:proofErr w:type="spellEnd"/>
            <w:r w:rsidRPr="00023B68">
              <w:rPr>
                <w:sz w:val="20"/>
                <w:szCs w:val="20"/>
              </w:rPr>
              <w:t xml:space="preserve">; dostawcy z UE nie muszą. </w:t>
            </w:r>
          </w:p>
          <w:p w14:paraId="6617F7D1" w14:textId="77777777" w:rsidR="00A85FE9" w:rsidRPr="00023B68" w:rsidRDefault="00A85FE9" w:rsidP="00A85FE9">
            <w:pPr>
              <w:pStyle w:val="Default"/>
              <w:numPr>
                <w:ilvl w:val="0"/>
                <w:numId w:val="45"/>
              </w:numPr>
              <w:rPr>
                <w:sz w:val="20"/>
                <w:szCs w:val="20"/>
              </w:rPr>
            </w:pPr>
            <w:r w:rsidRPr="00023B68">
              <w:rPr>
                <w:sz w:val="20"/>
                <w:szCs w:val="20"/>
              </w:rPr>
              <w:t xml:space="preserve">UAL 3-4: Ograniczenie konkurencji do zaledwie kilku wybranych dostawców. </w:t>
            </w:r>
          </w:p>
          <w:p w14:paraId="408AF334" w14:textId="77777777" w:rsidR="00A85FE9" w:rsidRPr="00023B68" w:rsidRDefault="00A85FE9" w:rsidP="00A85FE9">
            <w:pPr>
              <w:pStyle w:val="Default"/>
              <w:rPr>
                <w:sz w:val="20"/>
                <w:szCs w:val="20"/>
              </w:rPr>
            </w:pPr>
          </w:p>
          <w:p w14:paraId="2DA0E969" w14:textId="77777777" w:rsidR="00A85FE9" w:rsidRPr="00023B68" w:rsidRDefault="00A85FE9" w:rsidP="00A85FE9">
            <w:pPr>
              <w:pStyle w:val="Default"/>
              <w:rPr>
                <w:sz w:val="20"/>
                <w:szCs w:val="20"/>
              </w:rPr>
            </w:pPr>
            <w:r w:rsidRPr="00023B68">
              <w:rPr>
                <w:sz w:val="20"/>
                <w:szCs w:val="20"/>
              </w:rPr>
              <w:t xml:space="preserve">Rekomendowane rozwiązania: </w:t>
            </w:r>
          </w:p>
          <w:p w14:paraId="11271A9E" w14:textId="77777777" w:rsidR="00A85FE9" w:rsidRPr="00023B68" w:rsidRDefault="00A85FE9" w:rsidP="00A85FE9">
            <w:pPr>
              <w:pStyle w:val="Default"/>
              <w:numPr>
                <w:ilvl w:val="0"/>
                <w:numId w:val="46"/>
              </w:numPr>
              <w:rPr>
                <w:sz w:val="20"/>
                <w:szCs w:val="20"/>
              </w:rPr>
            </w:pPr>
            <w:r w:rsidRPr="00023B68">
              <w:rPr>
                <w:sz w:val="20"/>
                <w:szCs w:val="20"/>
              </w:rPr>
              <w:t xml:space="preserve">Ograniczyć zakres „danych klienta” w Załączniku II wyłącznie do danych kontrolowanych przez klienta. </w:t>
            </w:r>
          </w:p>
          <w:p w14:paraId="2434DF17" w14:textId="77777777" w:rsidR="00A85FE9" w:rsidRPr="00023B68" w:rsidRDefault="00A85FE9" w:rsidP="00A85FE9">
            <w:pPr>
              <w:pStyle w:val="Default"/>
              <w:numPr>
                <w:ilvl w:val="0"/>
                <w:numId w:val="46"/>
              </w:numPr>
              <w:rPr>
                <w:sz w:val="20"/>
                <w:szCs w:val="20"/>
              </w:rPr>
            </w:pPr>
            <w:r w:rsidRPr="00023B68">
              <w:rPr>
                <w:sz w:val="20"/>
                <w:szCs w:val="20"/>
              </w:rPr>
              <w:t xml:space="preserve">Wyraźnie wykluczyć dane operacyjne generowane przez dostawcę. </w:t>
            </w:r>
          </w:p>
          <w:p w14:paraId="1B5F37F8" w14:textId="77777777" w:rsidR="00A85FE9" w:rsidRPr="00023B68" w:rsidRDefault="00A85FE9" w:rsidP="00A85FE9">
            <w:pPr>
              <w:pStyle w:val="Default"/>
              <w:numPr>
                <w:ilvl w:val="0"/>
                <w:numId w:val="46"/>
              </w:numPr>
              <w:rPr>
                <w:sz w:val="20"/>
                <w:szCs w:val="20"/>
              </w:rPr>
            </w:pPr>
            <w:r w:rsidRPr="00023B68">
              <w:rPr>
                <w:sz w:val="20"/>
                <w:szCs w:val="20"/>
              </w:rPr>
              <w:t xml:space="preserve">Dostosować do definicji „danych </w:t>
            </w:r>
            <w:proofErr w:type="spellStart"/>
            <w:r w:rsidRPr="00023B68">
              <w:rPr>
                <w:sz w:val="20"/>
                <w:szCs w:val="20"/>
              </w:rPr>
              <w:t>eksportowalnych</w:t>
            </w:r>
            <w:proofErr w:type="spellEnd"/>
            <w:r w:rsidRPr="00023B68">
              <w:rPr>
                <w:sz w:val="20"/>
                <w:szCs w:val="20"/>
              </w:rPr>
              <w:t xml:space="preserve">” z art. 2(38) Aktu o Danych. </w:t>
            </w:r>
          </w:p>
          <w:p w14:paraId="7C70D530" w14:textId="6C0542AD" w:rsidR="00A85FE9" w:rsidRPr="00023B68" w:rsidRDefault="00A85FE9" w:rsidP="00A85FE9">
            <w:pPr>
              <w:pStyle w:val="Default"/>
              <w:numPr>
                <w:ilvl w:val="0"/>
                <w:numId w:val="46"/>
              </w:numPr>
              <w:rPr>
                <w:sz w:val="20"/>
                <w:szCs w:val="20"/>
              </w:rPr>
            </w:pPr>
            <w:r w:rsidRPr="00023B68">
              <w:rPr>
                <w:sz w:val="20"/>
                <w:szCs w:val="20"/>
              </w:rPr>
              <w:t xml:space="preserve">Utrzymywać jedynie kopię danych operacyjnych dostawcy w UE dla celów ciągłości. </w:t>
            </w:r>
          </w:p>
          <w:p w14:paraId="0FAF7C17" w14:textId="77777777" w:rsidR="00A85FE9" w:rsidRPr="00023B68" w:rsidRDefault="00A85FE9" w:rsidP="00A85FE9">
            <w:pPr>
              <w:pStyle w:val="Default"/>
              <w:numPr>
                <w:ilvl w:val="0"/>
                <w:numId w:val="47"/>
              </w:numPr>
              <w:rPr>
                <w:sz w:val="20"/>
                <w:szCs w:val="20"/>
              </w:rPr>
            </w:pPr>
            <w:r w:rsidRPr="00023B68">
              <w:rPr>
                <w:sz w:val="20"/>
                <w:szCs w:val="20"/>
              </w:rPr>
              <w:t xml:space="preserve">Zezwolić na przetwarzanie danych operacyjnych poza UE w celach monitorowania bezpieczeństwa, wywiadu o zagrożeniach i reagowania na incydenty </w:t>
            </w:r>
          </w:p>
          <w:p w14:paraId="2BFEC4DC" w14:textId="77777777" w:rsidR="00A85FE9" w:rsidRPr="00023B68" w:rsidRDefault="00A85FE9" w:rsidP="00A85FE9">
            <w:pPr>
              <w:pStyle w:val="Default"/>
              <w:rPr>
                <w:sz w:val="20"/>
                <w:szCs w:val="20"/>
              </w:rPr>
            </w:pPr>
          </w:p>
          <w:p w14:paraId="3AC33D36" w14:textId="77777777" w:rsidR="00A85FE9" w:rsidRPr="00023B68" w:rsidRDefault="00A85FE9" w:rsidP="00A85FE9">
            <w:pPr>
              <w:pStyle w:val="Default"/>
              <w:rPr>
                <w:sz w:val="20"/>
                <w:szCs w:val="20"/>
              </w:rPr>
            </w:pPr>
            <w:r w:rsidRPr="00023B68">
              <w:rPr>
                <w:b/>
                <w:bCs/>
                <w:sz w:val="20"/>
                <w:szCs w:val="20"/>
              </w:rPr>
              <w:t xml:space="preserve">Istotne są również ryzyka z obszaru </w:t>
            </w:r>
            <w:proofErr w:type="spellStart"/>
            <w:r w:rsidRPr="00023B68">
              <w:rPr>
                <w:b/>
                <w:bCs/>
                <w:sz w:val="20"/>
                <w:szCs w:val="20"/>
              </w:rPr>
              <w:t>cyberbezpieczeństwa</w:t>
            </w:r>
            <w:proofErr w:type="spellEnd"/>
            <w:r w:rsidRPr="00023B68">
              <w:rPr>
                <w:b/>
                <w:bCs/>
                <w:sz w:val="20"/>
                <w:szCs w:val="20"/>
              </w:rPr>
              <w:t>.</w:t>
            </w:r>
            <w:r w:rsidRPr="00023B68">
              <w:rPr>
                <w:sz w:val="20"/>
                <w:szCs w:val="20"/>
              </w:rPr>
              <w:t xml:space="preserve"> Globalni dostawcy chmurowi corocznie inwestują miliardy w rozwiązania wzmacniające bezpieczeństwo, monitorują zagrożenia. </w:t>
            </w:r>
          </w:p>
          <w:p w14:paraId="6F1025D8" w14:textId="77777777" w:rsidR="00A85FE9" w:rsidRPr="00023B68" w:rsidRDefault="00A85FE9" w:rsidP="00A85FE9">
            <w:pPr>
              <w:pStyle w:val="Default"/>
              <w:rPr>
                <w:sz w:val="20"/>
                <w:szCs w:val="20"/>
              </w:rPr>
            </w:pPr>
            <w:r w:rsidRPr="00023B68">
              <w:rPr>
                <w:sz w:val="20"/>
                <w:szCs w:val="20"/>
              </w:rPr>
              <w:t xml:space="preserve">Te wykryte są neutralizowane w czasie rzeczywistym. Zdolności tego typu wynikają ze skali działalności, której żaden pojedynczy dostawca krajowy nie jest w stanie odtworzyć. Ograniczenie wyboru i podniesienie kosztów może spowolnić modernizację, narażając usługi publiczne. </w:t>
            </w:r>
          </w:p>
          <w:p w14:paraId="5988B884" w14:textId="77777777" w:rsidR="00A85FE9" w:rsidRPr="00023B68" w:rsidRDefault="00A85FE9" w:rsidP="00A85FE9">
            <w:pPr>
              <w:pStyle w:val="Default"/>
              <w:rPr>
                <w:sz w:val="20"/>
                <w:szCs w:val="20"/>
              </w:rPr>
            </w:pPr>
            <w:r w:rsidRPr="00023B68">
              <w:rPr>
                <w:sz w:val="20"/>
                <w:szCs w:val="20"/>
              </w:rPr>
              <w:t xml:space="preserve">Podkreślamy także wpływ na firmy europejskie. Startupy i </w:t>
            </w:r>
            <w:proofErr w:type="spellStart"/>
            <w:r w:rsidRPr="00023B68">
              <w:rPr>
                <w:sz w:val="20"/>
                <w:szCs w:val="20"/>
              </w:rPr>
              <w:t>scale-upy</w:t>
            </w:r>
            <w:proofErr w:type="spellEnd"/>
            <w:r w:rsidRPr="00023B68">
              <w:rPr>
                <w:sz w:val="20"/>
                <w:szCs w:val="20"/>
              </w:rPr>
              <w:t xml:space="preserve"> z UE z inwestorami spoza UE, partnerami lub globalnymi operacjami mogą mieć trudności ze spełnieniem UAL 2–4. Europejskie firmy SaaS działające na rynku globalnym musiałyby utrzymywać oddzielne infrastruktury dla UE i reszty świata, zwiększając koszty. Na najwyższym poziomie UAL wymogi rozciągają się na cały łańcuch dostaw oprogramowania (system operacyjny, </w:t>
            </w:r>
            <w:proofErr w:type="spellStart"/>
            <w:r w:rsidRPr="00023B68">
              <w:rPr>
                <w:sz w:val="20"/>
                <w:szCs w:val="20"/>
              </w:rPr>
              <w:t>middleware</w:t>
            </w:r>
            <w:proofErr w:type="spellEnd"/>
            <w:r w:rsidRPr="00023B68">
              <w:rPr>
                <w:sz w:val="20"/>
                <w:szCs w:val="20"/>
              </w:rPr>
              <w:t xml:space="preserve">, narzędzia bezpieczeństwa); w przeważającej mierze rozwijany przez globalne zespoły. </w:t>
            </w:r>
          </w:p>
          <w:p w14:paraId="2E3C7029" w14:textId="77777777" w:rsidR="00A85FE9" w:rsidRPr="00023B68" w:rsidRDefault="00A85FE9" w:rsidP="00A85FE9">
            <w:pPr>
              <w:pStyle w:val="Default"/>
              <w:rPr>
                <w:sz w:val="20"/>
                <w:szCs w:val="20"/>
              </w:rPr>
            </w:pPr>
            <w:r w:rsidRPr="00023B68">
              <w:rPr>
                <w:sz w:val="20"/>
                <w:szCs w:val="20"/>
              </w:rPr>
              <w:t xml:space="preserve">Uzasadnione są także obawy dotyczące ryzyka fragmentacji. 27 państw członkowskich opracowujących różne oceny ryzyka prowadzi do 27 różnych map suwerenności, co podważa korzyści skali potrzebne do przyciągnięcia 200 mld EUR inwestycji prywatnych i stoi w sprzeczności z rekomendacjami Raportu </w:t>
            </w:r>
            <w:proofErr w:type="spellStart"/>
            <w:r w:rsidRPr="00023B68">
              <w:rPr>
                <w:sz w:val="20"/>
                <w:szCs w:val="20"/>
              </w:rPr>
              <w:t>Draghiego</w:t>
            </w:r>
            <w:proofErr w:type="spellEnd"/>
            <w:r w:rsidRPr="00023B68">
              <w:rPr>
                <w:sz w:val="20"/>
                <w:szCs w:val="20"/>
              </w:rPr>
              <w:t xml:space="preserve"> dotyczącymi zmniejszenia obciążeń regulacyjnych. CADA dodaje bowiem kumulatywnie: nowe ramy certyfikacji, nowe oceny ryzyka, nowe kryteria zamówień publicznych, nowe organy krajowe oraz nowe obowiązki sprawozdawcze - ponad i tak już złożony ekosystem regulacyjny. </w:t>
            </w:r>
          </w:p>
          <w:p w14:paraId="192F5FE6" w14:textId="2BB691CB" w:rsidR="00A85FE9" w:rsidRPr="00023B68" w:rsidRDefault="00A85FE9" w:rsidP="00A85FE9">
            <w:pPr>
              <w:pStyle w:val="Default"/>
              <w:rPr>
                <w:sz w:val="20"/>
                <w:szCs w:val="20"/>
              </w:rPr>
            </w:pPr>
          </w:p>
        </w:tc>
      </w:tr>
      <w:tr w:rsidR="00A85FE9" w:rsidRPr="00023B68" w14:paraId="5357414F" w14:textId="77777777" w:rsidTr="00040008">
        <w:tc>
          <w:tcPr>
            <w:tcW w:w="0" w:type="auto"/>
          </w:tcPr>
          <w:p w14:paraId="0785C911" w14:textId="7C219BD2"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327F488D" w14:textId="7E99E4DD" w:rsidR="00A85FE9" w:rsidRPr="00023B68" w:rsidRDefault="00A85FE9" w:rsidP="00A85FE9">
            <w:pPr>
              <w:pStyle w:val="Default"/>
              <w:rPr>
                <w:sz w:val="20"/>
                <w:szCs w:val="20"/>
              </w:rPr>
            </w:pPr>
            <w:proofErr w:type="spellStart"/>
            <w:r w:rsidRPr="00023B68">
              <w:rPr>
                <w:sz w:val="20"/>
                <w:szCs w:val="20"/>
              </w:rPr>
              <w:t>AmCham</w:t>
            </w:r>
            <w:proofErr w:type="spellEnd"/>
          </w:p>
        </w:tc>
        <w:tc>
          <w:tcPr>
            <w:tcW w:w="0" w:type="auto"/>
          </w:tcPr>
          <w:p w14:paraId="5B320973" w14:textId="77777777" w:rsidR="00A85FE9" w:rsidRPr="00023B68" w:rsidRDefault="00A85FE9" w:rsidP="00A85FE9">
            <w:pPr>
              <w:pStyle w:val="Default"/>
              <w:rPr>
                <w:sz w:val="20"/>
                <w:szCs w:val="20"/>
              </w:rPr>
            </w:pPr>
            <w:r w:rsidRPr="00023B68">
              <w:rPr>
                <w:sz w:val="20"/>
                <w:szCs w:val="20"/>
              </w:rPr>
              <w:t xml:space="preserve">Z niepokojem przyjmujemy zbyt daleko idącą propozycję Komisji, by w ramach certyfikacji suwerenności uwzględnić ograniczenia dotyczące państw spoza UE. Choć z zadowoleniem przyjmujemy harmonizację europejskiego podejścia do suwerenności, kryteria określone w ramach unijnych poziomów gwarancji (Union Assurance </w:t>
            </w:r>
            <w:proofErr w:type="spellStart"/>
            <w:r w:rsidRPr="00023B68">
              <w:rPr>
                <w:sz w:val="20"/>
                <w:szCs w:val="20"/>
              </w:rPr>
              <w:t>Levels</w:t>
            </w:r>
            <w:proofErr w:type="spellEnd"/>
            <w:r w:rsidRPr="00023B68">
              <w:rPr>
                <w:sz w:val="20"/>
                <w:szCs w:val="20"/>
              </w:rPr>
              <w:t xml:space="preserve">, UAL) tworzą wysokie bariery dla dostawców globalnych i pomijają to, jak w praktyce funkcjonują globalne łańcuchy dostaw oraz krytyczne funkcje w zakresie </w:t>
            </w:r>
            <w:proofErr w:type="spellStart"/>
            <w:r w:rsidRPr="00023B68">
              <w:rPr>
                <w:sz w:val="20"/>
                <w:szCs w:val="20"/>
              </w:rPr>
              <w:t>cyberbezpieczeństwa</w:t>
            </w:r>
            <w:proofErr w:type="spellEnd"/>
            <w:r w:rsidRPr="00023B68">
              <w:rPr>
                <w:sz w:val="20"/>
                <w:szCs w:val="20"/>
              </w:rPr>
              <w:t>. Stwarza to ryzyko zakłóceń dla europejskich dostawców posiadających globalne łańcuchy dostaw, a nie tylko dla operatorów spoza UE. • Na wszystkich poziomach kryteria te zakłócą niezbędną współpracę między operatorami globalnymi a klientami europejskimi. Nawet na najniższym poziomie UAL 1 propozycje uniemożliwią realizację kluczowych funkcji z zakresu </w:t>
            </w:r>
            <w:proofErr w:type="spellStart"/>
            <w:r w:rsidRPr="00023B68">
              <w:rPr>
                <w:sz w:val="20"/>
                <w:szCs w:val="20"/>
              </w:rPr>
              <w:t>cyberbezpieczeństwa</w:t>
            </w:r>
            <w:proofErr w:type="spellEnd"/>
            <w:r w:rsidRPr="00023B68">
              <w:rPr>
                <w:sz w:val="20"/>
                <w:szCs w:val="20"/>
              </w:rPr>
              <w:t xml:space="preserve"> w skali globalnej, ze względu na wymóg przechowywania wszystkich danych telemetrycznych, w tym wzorców </w:t>
            </w:r>
            <w:proofErr w:type="spellStart"/>
            <w:r w:rsidRPr="00023B68">
              <w:rPr>
                <w:sz w:val="20"/>
                <w:szCs w:val="20"/>
              </w:rPr>
              <w:t>cyberzagrożeń</w:t>
            </w:r>
            <w:proofErr w:type="spellEnd"/>
            <w:r w:rsidRPr="00023B68">
              <w:rPr>
                <w:sz w:val="20"/>
                <w:szCs w:val="20"/>
              </w:rPr>
              <w:t>, w Europie. </w:t>
            </w:r>
          </w:p>
          <w:p w14:paraId="1CF04D9F" w14:textId="77777777" w:rsidR="00A85FE9" w:rsidRPr="00023B68" w:rsidRDefault="00A85FE9" w:rsidP="00A85FE9">
            <w:pPr>
              <w:pStyle w:val="Default"/>
              <w:rPr>
                <w:b/>
                <w:bCs/>
                <w:sz w:val="20"/>
                <w:szCs w:val="20"/>
              </w:rPr>
            </w:pPr>
          </w:p>
          <w:p w14:paraId="487C01F8" w14:textId="58645A7D" w:rsidR="00A85FE9" w:rsidRPr="00023B68" w:rsidRDefault="00A85FE9" w:rsidP="00A85FE9">
            <w:pPr>
              <w:pStyle w:val="Default"/>
              <w:rPr>
                <w:b/>
                <w:bCs/>
                <w:sz w:val="20"/>
                <w:szCs w:val="20"/>
              </w:rPr>
            </w:pPr>
            <w:r w:rsidRPr="00023B68">
              <w:rPr>
                <w:b/>
                <w:bCs/>
                <w:sz w:val="20"/>
                <w:szCs w:val="20"/>
              </w:rPr>
              <w:t xml:space="preserve">Proponowane rozwiązanie: </w:t>
            </w:r>
          </w:p>
          <w:p w14:paraId="4B2257A3" w14:textId="6EA1991E" w:rsidR="00A85FE9" w:rsidRPr="00023B68" w:rsidRDefault="00A85FE9" w:rsidP="00A85FE9">
            <w:pPr>
              <w:pStyle w:val="Default"/>
              <w:rPr>
                <w:sz w:val="20"/>
                <w:szCs w:val="20"/>
              </w:rPr>
            </w:pPr>
            <w:r w:rsidRPr="00023B68">
              <w:rPr>
                <w:sz w:val="20"/>
                <w:szCs w:val="20"/>
              </w:rPr>
              <w:lastRenderedPageBreak/>
              <w:t xml:space="preserve">usunięcie wymogów lokalizacji danych w odniesieniu do metadanych i danych telemetrycznych na poziomach UAL 1 i 2 (Załącznik II, sekcja 1.1c). Na najwyższych poziomach konsekwencje dla współpracy z zaufanymi partnerami są skrajne – wykraczają poza najbardziej rygorystyczny standard suwerenności w Europie. Operatorom globalnym zakazano by w jakichkolwiek okolicznościach wspierania kluczowych europejskich usług obronnych (UAL 4), a domyślnie zakazano by im również wspierania usług o wysokim stopniu wrażliwości (UAL 3), przy czym Komisja zastrzegłaby sobie uprawnienie do zniesienia tego zakazu. Jest to bardziej restrykcyjne niż najsurowsze dotychczasowe wymogi w którymkolwiek państwie członkowskim, które umożliwiały zaufanym partnerom globalnym przedstawianie innowacyjnych rozwiązań technicznych i operacyjnych zapewniających ścisłą kontrolę. • Przykładowo, partnerstwa zawiązywane przez globalnych dostawców chmurowych z podmiotami europejskimi uzyskują najwyższe poziomy zatwierdzenia regulacyjnego (jak np. w ramach francuskiego </w:t>
            </w:r>
            <w:proofErr w:type="spellStart"/>
            <w:r w:rsidRPr="00023B68">
              <w:rPr>
                <w:sz w:val="20"/>
                <w:szCs w:val="20"/>
              </w:rPr>
              <w:t>SecNumCloud</w:t>
            </w:r>
            <w:proofErr w:type="spellEnd"/>
            <w:r w:rsidRPr="00023B68">
              <w:rPr>
                <w:sz w:val="20"/>
                <w:szCs w:val="20"/>
              </w:rPr>
              <w:t>), nie jest jednak jasne, czy spełniłyby one choćby poziom UAL 3 określony w propozycji Komisji. </w:t>
            </w:r>
          </w:p>
          <w:p w14:paraId="3FEDB4ED" w14:textId="77777777" w:rsidR="00A85FE9" w:rsidRPr="00023B68" w:rsidRDefault="00A85FE9" w:rsidP="00A85FE9">
            <w:pPr>
              <w:pStyle w:val="Default"/>
              <w:rPr>
                <w:sz w:val="20"/>
                <w:szCs w:val="20"/>
              </w:rPr>
            </w:pPr>
          </w:p>
          <w:p w14:paraId="51F928DD" w14:textId="77777777" w:rsidR="00A85FE9" w:rsidRPr="00023B68" w:rsidRDefault="00A85FE9" w:rsidP="00A85FE9">
            <w:pPr>
              <w:pStyle w:val="Default"/>
              <w:rPr>
                <w:sz w:val="20"/>
                <w:szCs w:val="20"/>
              </w:rPr>
            </w:pPr>
            <w:r w:rsidRPr="00023B68">
              <w:rPr>
                <w:sz w:val="20"/>
                <w:szCs w:val="20"/>
              </w:rPr>
              <w:t xml:space="preserve">Zauważamy również, że amerykańscy dostawcy technologii opracowują, we współpracy z partnerami europejskimi, specjalistyczne rozwiązania odpowiadające potrzebom sił obronnych krajów UE (np. systemy całkowicie odizolowane – </w:t>
            </w:r>
            <w:proofErr w:type="spellStart"/>
            <w:r w:rsidRPr="00023B68">
              <w:rPr>
                <w:sz w:val="20"/>
                <w:szCs w:val="20"/>
              </w:rPr>
              <w:t>airgapped</w:t>
            </w:r>
            <w:proofErr w:type="spellEnd"/>
            <w:r w:rsidRPr="00023B68">
              <w:rPr>
                <w:sz w:val="20"/>
                <w:szCs w:val="20"/>
              </w:rPr>
              <w:t>), wydaje się jednak, że nie spełniłyby one wymaganego poziomu kontroli na poziomie UAL 4 określonym przez Komisję. </w:t>
            </w:r>
          </w:p>
          <w:p w14:paraId="7937E6D4" w14:textId="77777777" w:rsidR="00A85FE9" w:rsidRPr="00023B68" w:rsidRDefault="00A85FE9" w:rsidP="00A85FE9">
            <w:pPr>
              <w:pStyle w:val="Default"/>
              <w:rPr>
                <w:sz w:val="20"/>
                <w:szCs w:val="20"/>
              </w:rPr>
            </w:pPr>
          </w:p>
          <w:p w14:paraId="74ABDE12" w14:textId="77777777" w:rsidR="00A85FE9" w:rsidRPr="00023B68" w:rsidRDefault="00A85FE9" w:rsidP="00A85FE9">
            <w:pPr>
              <w:pStyle w:val="Default"/>
              <w:rPr>
                <w:b/>
                <w:bCs/>
                <w:sz w:val="20"/>
                <w:szCs w:val="20"/>
              </w:rPr>
            </w:pPr>
            <w:r w:rsidRPr="00023B68">
              <w:rPr>
                <w:b/>
                <w:bCs/>
                <w:sz w:val="20"/>
                <w:szCs w:val="20"/>
              </w:rPr>
              <w:t>Proponowane rozwiązanie: </w:t>
            </w:r>
          </w:p>
          <w:p w14:paraId="0B0935A6" w14:textId="77777777" w:rsidR="00B96C7A" w:rsidRPr="00023B68" w:rsidRDefault="00A85FE9" w:rsidP="00A85FE9">
            <w:pPr>
              <w:pStyle w:val="Default"/>
              <w:rPr>
                <w:sz w:val="20"/>
                <w:szCs w:val="20"/>
              </w:rPr>
            </w:pPr>
            <w:r w:rsidRPr="00023B68">
              <w:rPr>
                <w:sz w:val="20"/>
                <w:szCs w:val="20"/>
              </w:rPr>
              <w:t>o Połączenie poziomów UAL 3 i 4 w jeden poziom, który umożliwi zaufanym operatorom spoza UE odgrywanie roli wspierającej w odniesieniu do ściśle niezależnych, obsługiwanych przez podmioty europejskie rozwiązań suwerennych, w tym poprzez dostarczanie bazowego oprogramowania. </w:t>
            </w:r>
          </w:p>
          <w:p w14:paraId="0497F68D" w14:textId="5A0BA015" w:rsidR="00A85FE9" w:rsidRPr="00023B68" w:rsidRDefault="00A85FE9" w:rsidP="00A85FE9">
            <w:pPr>
              <w:pStyle w:val="Default"/>
              <w:rPr>
                <w:sz w:val="20"/>
                <w:szCs w:val="20"/>
              </w:rPr>
            </w:pPr>
            <w:r w:rsidRPr="00023B68">
              <w:rPr>
                <w:sz w:val="20"/>
                <w:szCs w:val="20"/>
              </w:rPr>
              <w:t>o Odwrócenie przysługującego Komisji uprawnienia do ustanawiania odstępstw (Załącznik II, sekcja 3(g)), tak aby zaufani partnerzy spoza UE byli na tym poziomie domyślnie dopuszczeni, przy czym Komisja mogłaby cofnąć to dopuszczenie w drodze aktów wykonawczych.  Dla zapewnienia spójności i przewidywalności w całym jednolitym rynku oraz uniknięcia rozdrobnienia krajowych progów postulujemy ponadto przyjęcie jednolitego, wiążącego szablonu oceny ryzyka suwerenności z ograniczoną swobodą krajową oraz utworzenie centralnego, aktywnie utrzymywanego i otwarcie dostępnego rejestru uznanych usług, prowadzonego przez Komisję.  Zakres wymogów dotyczących suwerenności jest niejasny, jednak wydaje się, że zamiarem jest objęcie nimi przedsiębiorstw prywatnych, które mogą potencjalnie oddziaływać na „porządek publiczny”. Mogłoby to obejmować znaczną część europejskiej gospodarki, w tym bankowość, energetykę, gospodarkę wodną oraz przedsiębiorstwa użyteczności publicznej. Ta niejednoznaczność wywoła istotną niepewność wśród europejskich przedsiębiorstw posiadających globalne łańcuchy dostaw. Jeżeli zamiarem Komisji jest ograniczenie restrykcji do sektora publicznego, doprowadzi to do powstania luki w zakresie produktywności, innowacyjności i bezpieczeństwa pomiędzy przedsiębiorstwami publicznymi a prywatnymi w całej Europie</w:t>
            </w:r>
            <w:r w:rsidRPr="00023B68">
              <w:rPr>
                <w:rStyle w:val="Odwoanieprzypisudolnego"/>
                <w:sz w:val="20"/>
                <w:szCs w:val="20"/>
              </w:rPr>
              <w:footnoteReference w:id="1"/>
            </w:r>
            <w:r w:rsidRPr="00023B68">
              <w:rPr>
                <w:sz w:val="20"/>
                <w:szCs w:val="20"/>
              </w:rPr>
              <w:t xml:space="preserve">. W związku z powyższym postulujemy precyzyjne zdefiniowanie pojęcia „porządku publicznego” – poprzez zamkniętą listę działań sektora publicznego uruchamiających wyższe poziomy gwarancji albo wspólną metodykę Komisji ustanawiającą rzeczywiście wysoki próg tego pojęcia, ograniczony do najbardziej krytycznych zastosowań (obronność, ściganie przestępstw, zarządzanie granicami). Niezdefiniowany standard grozi rozbieżną interpretacją między państwami członkowskimi i rozszerzeniem ram daleko poza zamierzony zakres. Niezależnie od powyższego, ewentualne rozszerzenie obowiązków suwerennościowych na podmioty sektora prywatnego (np. z sektorów </w:t>
            </w:r>
            <w:r w:rsidRPr="00023B68">
              <w:rPr>
                <w:sz w:val="20"/>
                <w:szCs w:val="20"/>
              </w:rPr>
              <w:lastRenderedPageBreak/>
              <w:t>objętych NIS2) powinno następować wyłącznie w drodze zwykłej procedury ustawodawczej – poprzez klauzulę przeglądową i w oparciu o rzetelną ocenę skutków – a nie w drodze aktów delegowanych. Propozycja Komisji odwraca podejście do kontroli państw spoza UE zaproponowane dla innych sektorów w akcie w sprawie akceleratora przemysłowego (</w:t>
            </w:r>
            <w:proofErr w:type="spellStart"/>
            <w:r w:rsidRPr="00023B68">
              <w:rPr>
                <w:sz w:val="20"/>
                <w:szCs w:val="20"/>
              </w:rPr>
              <w:t>Industrial</w:t>
            </w:r>
            <w:proofErr w:type="spellEnd"/>
            <w:r w:rsidRPr="00023B68">
              <w:rPr>
                <w:sz w:val="20"/>
                <w:szCs w:val="20"/>
              </w:rPr>
              <w:t xml:space="preserve"> Accelerator </w:t>
            </w:r>
            <w:proofErr w:type="spellStart"/>
            <w:r w:rsidRPr="00023B68">
              <w:rPr>
                <w:sz w:val="20"/>
                <w:szCs w:val="20"/>
              </w:rPr>
              <w:t>Act</w:t>
            </w:r>
            <w:proofErr w:type="spellEnd"/>
            <w:r w:rsidRPr="00023B68">
              <w:rPr>
                <w:sz w:val="20"/>
                <w:szCs w:val="20"/>
              </w:rPr>
              <w:t>, IAA). UAL 3 ustanowiłby domyślny zakaz wobec operatorów z państw spoza UE, który mogłaby znieść wyłącznie Komisja. Odwraca to wyważone podejście przyjęte w ramach IAA, w którym współpraca z zaufanymi partnerami spoza UE jest utrzymywana poprzez traktowanie ich jako podmiotów pochodzenia unijnego, z zastrzeżeniem zgodności z solidnymi globalnymi regułami handlowymi (WTO/FTA) oraz uprawnieniami zabezpieczającymi umożliwiającymi cofnięcie statusu pochodzenia. </w:t>
            </w:r>
          </w:p>
          <w:p w14:paraId="7DA4DA23" w14:textId="77777777" w:rsidR="00507034" w:rsidRPr="00023B68" w:rsidRDefault="00507034" w:rsidP="00A85FE9">
            <w:pPr>
              <w:pStyle w:val="Default"/>
              <w:rPr>
                <w:sz w:val="20"/>
                <w:szCs w:val="20"/>
              </w:rPr>
            </w:pPr>
          </w:p>
          <w:p w14:paraId="5011A322" w14:textId="77777777" w:rsidR="00A85FE9" w:rsidRPr="00023B68" w:rsidRDefault="00A85FE9" w:rsidP="00A85FE9">
            <w:pPr>
              <w:pStyle w:val="Default"/>
              <w:rPr>
                <w:b/>
                <w:bCs/>
                <w:sz w:val="20"/>
                <w:szCs w:val="20"/>
              </w:rPr>
            </w:pPr>
            <w:r w:rsidRPr="00023B68">
              <w:rPr>
                <w:b/>
                <w:bCs/>
                <w:sz w:val="20"/>
                <w:szCs w:val="20"/>
              </w:rPr>
              <w:t>Proponowane rozwiązanie: </w:t>
            </w:r>
          </w:p>
          <w:p w14:paraId="099B1464" w14:textId="77777777" w:rsidR="00A85FE9" w:rsidRPr="00023B68" w:rsidRDefault="00A85FE9" w:rsidP="00A85FE9">
            <w:pPr>
              <w:pStyle w:val="Default"/>
              <w:rPr>
                <w:sz w:val="20"/>
                <w:szCs w:val="20"/>
              </w:rPr>
            </w:pPr>
            <w:r w:rsidRPr="00023B68">
              <w:rPr>
                <w:sz w:val="20"/>
                <w:szCs w:val="20"/>
              </w:rPr>
              <w:t xml:space="preserve">o Odwrócenie przysługującego Komisji uprawnienia do ustanawiania odstępstw (Załącznik II, sekcja 3(g)), tak aby zaufani partnerzy spoza UE byli na tym poziomie domyślnie dopuszczeni, przy czym Komisja mogłaby cofnąć to dopuszczenie w drodze aktów wykonawczych. o Usunięcie wymogów dotyczących operatorów z państw trzecich na poziomie UAL 2 (Załącznik II, sekcja 2.1(g)) i wprowadzenie ich jedynie wyjątkowo, w przypadku gdy Komisja nałoży ograniczenie na państwo trzecie pochodzenia w odniesieniu do konkretnego dostawcy. Wymogi obowiązujące na poszczególnych poziomach UAL muszą pozostawiać przestrzeń dla innowacji, umożliwiając dostawcom oferowanie odmiennych, skuteczniejszych środków łagodzących w odpowiedzi na obawy dotyczące suwerenności. Komisja powinna przyjąć podejście oparte na punktacji, zamiast np. binarnego podejścia „tak/nie” do kryteriów technicznych, które jest dorozumiane na poziomie UAL 2. Członkowie </w:t>
            </w:r>
            <w:proofErr w:type="spellStart"/>
            <w:r w:rsidRPr="00023B68">
              <w:rPr>
                <w:sz w:val="20"/>
                <w:szCs w:val="20"/>
              </w:rPr>
              <w:t>AmCham</w:t>
            </w:r>
            <w:proofErr w:type="spellEnd"/>
            <w:r w:rsidRPr="00023B68">
              <w:rPr>
                <w:sz w:val="20"/>
                <w:szCs w:val="20"/>
              </w:rPr>
              <w:t xml:space="preserve"> opracowują dedykowane portfolio usług chmury suwerennej, zapewniające europejską autonomię poprzez ścisłą kontrolę techniczną. Przykładowo, wdrażane są podejścia do szyfrowania dające klientom możliwość przechowywania kluczy szyfrujących poza chmurą, tak aby w wysoce nieprawdopodobnym scenariuszu zastosowania „wyłącznika awaryjnego” (</w:t>
            </w:r>
            <w:proofErr w:type="spellStart"/>
            <w:r w:rsidRPr="00023B68">
              <w:rPr>
                <w:sz w:val="20"/>
                <w:szCs w:val="20"/>
              </w:rPr>
              <w:t>kill</w:t>
            </w:r>
            <w:proofErr w:type="spellEnd"/>
            <w:r w:rsidRPr="00023B68">
              <w:rPr>
                <w:sz w:val="20"/>
                <w:szCs w:val="20"/>
              </w:rPr>
              <w:t xml:space="preserve"> </w:t>
            </w:r>
            <w:proofErr w:type="spellStart"/>
            <w:r w:rsidRPr="00023B68">
              <w:rPr>
                <w:sz w:val="20"/>
                <w:szCs w:val="20"/>
              </w:rPr>
              <w:t>switch</w:t>
            </w:r>
            <w:proofErr w:type="spellEnd"/>
            <w:r w:rsidRPr="00023B68">
              <w:rPr>
                <w:sz w:val="20"/>
                <w:szCs w:val="20"/>
              </w:rPr>
              <w:t>) dostarczenie klucza na żądanie przez dostawcę z państwa trzeciego było technicznie niemożliwe. </w:t>
            </w:r>
          </w:p>
          <w:p w14:paraId="2ADEC467" w14:textId="77777777" w:rsidR="00507034" w:rsidRPr="00023B68" w:rsidRDefault="00507034" w:rsidP="00A85FE9">
            <w:pPr>
              <w:pStyle w:val="Default"/>
              <w:rPr>
                <w:sz w:val="20"/>
                <w:szCs w:val="20"/>
              </w:rPr>
            </w:pPr>
          </w:p>
          <w:p w14:paraId="034B0811" w14:textId="77777777" w:rsidR="00A85FE9" w:rsidRPr="00023B68" w:rsidRDefault="00A85FE9" w:rsidP="00A85FE9">
            <w:pPr>
              <w:pStyle w:val="Default"/>
              <w:rPr>
                <w:sz w:val="20"/>
                <w:szCs w:val="20"/>
              </w:rPr>
            </w:pPr>
            <w:r w:rsidRPr="00023B68">
              <w:rPr>
                <w:b/>
                <w:bCs/>
                <w:sz w:val="20"/>
                <w:szCs w:val="20"/>
              </w:rPr>
              <w:t xml:space="preserve">Proponowane rozwiązanie: </w:t>
            </w:r>
            <w:r w:rsidRPr="00023B68">
              <w:rPr>
                <w:sz w:val="20"/>
                <w:szCs w:val="20"/>
              </w:rPr>
              <w:t>Oceny suwerennej kontroli w odniesieniu do dostępu podmiotów trzecich oraz ryzyka jurysdykcyjnego powinny podlegać kryteriom opartym na punktacji. </w:t>
            </w:r>
          </w:p>
          <w:p w14:paraId="580F059D" w14:textId="5398023F" w:rsidR="00A85FE9" w:rsidRPr="00023B68" w:rsidRDefault="00A85FE9" w:rsidP="00A85FE9">
            <w:pPr>
              <w:pStyle w:val="Default"/>
              <w:rPr>
                <w:sz w:val="20"/>
                <w:szCs w:val="20"/>
              </w:rPr>
            </w:pPr>
          </w:p>
        </w:tc>
      </w:tr>
      <w:tr w:rsidR="00A85FE9" w:rsidRPr="00023B68" w14:paraId="1F7E707F" w14:textId="77777777" w:rsidTr="00040008">
        <w:tc>
          <w:tcPr>
            <w:tcW w:w="0" w:type="auto"/>
          </w:tcPr>
          <w:p w14:paraId="3F19C5E7" w14:textId="7846051A"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5ACA0BFA" w14:textId="3ECBFC2A" w:rsidR="00A85FE9" w:rsidRPr="00023B68" w:rsidRDefault="00A85FE9" w:rsidP="00A85FE9">
            <w:pPr>
              <w:pStyle w:val="Default"/>
              <w:rPr>
                <w:sz w:val="20"/>
                <w:szCs w:val="20"/>
              </w:rPr>
            </w:pPr>
            <w:r w:rsidRPr="00023B68">
              <w:rPr>
                <w:sz w:val="20"/>
                <w:szCs w:val="20"/>
              </w:rPr>
              <w:t>e-IZBA</w:t>
            </w:r>
          </w:p>
        </w:tc>
        <w:tc>
          <w:tcPr>
            <w:tcW w:w="0" w:type="auto"/>
          </w:tcPr>
          <w:p w14:paraId="477697E2" w14:textId="3295A243" w:rsidR="00A85FE9" w:rsidRPr="00023B68" w:rsidRDefault="00A85FE9" w:rsidP="00A85FE9">
            <w:pPr>
              <w:pStyle w:val="Default"/>
              <w:rPr>
                <w:sz w:val="20"/>
                <w:szCs w:val="20"/>
              </w:rPr>
            </w:pPr>
            <w:r w:rsidRPr="00023B68">
              <w:rPr>
                <w:sz w:val="20"/>
                <w:szCs w:val="20"/>
              </w:rPr>
              <w:t xml:space="preserve">Proponowane wymogi dotyczące suwerenności, w szczególności kryteria ustanowione w ramach unijnych poziomów gwarancji (Union Assurance </w:t>
            </w:r>
            <w:proofErr w:type="spellStart"/>
            <w:r w:rsidRPr="00023B68">
              <w:rPr>
                <w:sz w:val="20"/>
                <w:szCs w:val="20"/>
              </w:rPr>
              <w:t>Levels</w:t>
            </w:r>
            <w:proofErr w:type="spellEnd"/>
            <w:r w:rsidRPr="00023B68">
              <w:rPr>
                <w:sz w:val="20"/>
                <w:szCs w:val="20"/>
              </w:rPr>
              <w:t xml:space="preserve">, dalej: UAL), mogą ograniczyć liczbę dostępnych dostawców oraz zwiększyć koszty usług chmurowych i AI. Skutki te mogą być szczególnie odczuwalne dla mniejszych przedsiębiorstw, które korzystają przede wszystkim ze standardowych, skalowalnych rozwiązań i mają ograniczone możliwości samodzielnego dostosowywania infrastruktury. </w:t>
            </w:r>
          </w:p>
          <w:p w14:paraId="2BAD835B" w14:textId="77777777" w:rsidR="00A85FE9" w:rsidRPr="00023B68" w:rsidRDefault="00A85FE9" w:rsidP="00A85FE9">
            <w:pPr>
              <w:pStyle w:val="Default"/>
              <w:rPr>
                <w:sz w:val="20"/>
                <w:szCs w:val="20"/>
              </w:rPr>
            </w:pPr>
            <w:r w:rsidRPr="00023B68">
              <w:rPr>
                <w:sz w:val="20"/>
                <w:szCs w:val="20"/>
              </w:rPr>
              <w:t xml:space="preserve">Zdaniem e-Izby suwerenność technologiczna powinna oznaczać rzeczywistą kontrolę nad danymi, infrastrukturą i procesami technologicznymi, a nie być oceniana wyłącznie przez pryzmat miejsca pochodzenia dostawcy. Kryteria powinny być proporcjonalne, oparte na ryzyku i umożliwiać uwzględnienie różnych środków technicznych oraz organizacyjnych zapewniających równoważny poziom bezpieczeństwa. </w:t>
            </w:r>
          </w:p>
          <w:p w14:paraId="0675162D" w14:textId="77777777" w:rsidR="00A85FE9" w:rsidRPr="00023B68" w:rsidRDefault="00A85FE9" w:rsidP="00A85FE9">
            <w:pPr>
              <w:pStyle w:val="Default"/>
              <w:rPr>
                <w:sz w:val="20"/>
                <w:szCs w:val="20"/>
              </w:rPr>
            </w:pPr>
            <w:r w:rsidRPr="00023B68">
              <w:rPr>
                <w:sz w:val="20"/>
                <w:szCs w:val="20"/>
              </w:rPr>
              <w:t>CADA powinna jednocześnie tworzyć realne warunki rozwoju mniejszych europejskich dostawców technologii. Służyć temu powinny otwarte standardy, interoperacyjność, możliwość zmiany dostawcy, ograniczenie barier licencyjnych i technicznych oraz proporcjonalne koszty certyfikacji.</w:t>
            </w:r>
          </w:p>
          <w:p w14:paraId="38DC324A" w14:textId="77777777" w:rsidR="00A85FE9" w:rsidRPr="00023B68" w:rsidRDefault="00A85FE9" w:rsidP="00A85FE9">
            <w:pPr>
              <w:pStyle w:val="Default"/>
              <w:rPr>
                <w:sz w:val="20"/>
                <w:szCs w:val="20"/>
              </w:rPr>
            </w:pPr>
            <w:r w:rsidRPr="00023B68">
              <w:rPr>
                <w:sz w:val="20"/>
                <w:szCs w:val="20"/>
              </w:rPr>
              <w:lastRenderedPageBreak/>
              <w:t>Projekt powinien jednak wzmacniać konkurencyjność całego europejskiego rynku cyfrowego, w tym małych i średnich przedsiębiorstw, a nie prowadzić do utrwalenia pozycji wąskiej grupy największych podmiotów zdolnych do poniesienia wysokich kosztów infrastrukturalnych, organizacyjnych i certyfikacyjnych.</w:t>
            </w:r>
          </w:p>
          <w:p w14:paraId="20DDA277" w14:textId="77777777" w:rsidR="00A85FE9" w:rsidRPr="00023B68" w:rsidRDefault="00A85FE9" w:rsidP="00A85FE9">
            <w:pPr>
              <w:pStyle w:val="Default"/>
              <w:rPr>
                <w:sz w:val="20"/>
                <w:szCs w:val="20"/>
              </w:rPr>
            </w:pPr>
          </w:p>
          <w:p w14:paraId="5DD64F5A" w14:textId="77777777" w:rsidR="00A85FE9" w:rsidRPr="00023B68" w:rsidRDefault="00A85FE9" w:rsidP="00A85FE9">
            <w:pPr>
              <w:pStyle w:val="Default"/>
              <w:rPr>
                <w:sz w:val="20"/>
                <w:szCs w:val="20"/>
              </w:rPr>
            </w:pPr>
            <w:r w:rsidRPr="00023B68">
              <w:rPr>
                <w:sz w:val="20"/>
                <w:szCs w:val="20"/>
              </w:rPr>
              <w:t xml:space="preserve">Proponowane kryteria suwerenności mogą jednak nadmiernie ograniczyć konkurencję i dostęp do technologii, bez uwzględnienia rzeczywistego poziomu kontroli oraz zastosowanych zabezpieczeń. </w:t>
            </w:r>
          </w:p>
          <w:p w14:paraId="01AF1F45" w14:textId="77777777" w:rsidR="00A85FE9" w:rsidRPr="00023B68" w:rsidRDefault="00A85FE9" w:rsidP="00A85FE9">
            <w:pPr>
              <w:pStyle w:val="Default"/>
              <w:rPr>
                <w:sz w:val="20"/>
                <w:szCs w:val="20"/>
              </w:rPr>
            </w:pPr>
            <w:r w:rsidRPr="00023B68">
              <w:rPr>
                <w:sz w:val="20"/>
                <w:szCs w:val="20"/>
              </w:rPr>
              <w:t xml:space="preserve">Wymóg lokalizacji metadanych i danych telemetrycznych może utrudnić realizację globalnych funkcji </w:t>
            </w:r>
            <w:proofErr w:type="spellStart"/>
            <w:r w:rsidRPr="00023B68">
              <w:rPr>
                <w:sz w:val="20"/>
                <w:szCs w:val="20"/>
              </w:rPr>
              <w:t>cyberbezpieczeństwa</w:t>
            </w:r>
            <w:proofErr w:type="spellEnd"/>
            <w:r w:rsidRPr="00023B68">
              <w:rPr>
                <w:sz w:val="20"/>
                <w:szCs w:val="20"/>
              </w:rPr>
              <w:t xml:space="preserve">. Z kolei ograniczenia przewidziane na poziomach UAL 3 i UAL 4 mogą wykluczać udział podmiotów spoza UE także wtedy, gdy rozwiązanie pozostaje niezależnie kontrolowane i obsługiwane przez podmiot europejski. </w:t>
            </w:r>
          </w:p>
          <w:p w14:paraId="4F34F011" w14:textId="364F38F0" w:rsidR="00A85FE9" w:rsidRPr="00023B68" w:rsidRDefault="00A85FE9" w:rsidP="00A85FE9">
            <w:pPr>
              <w:pStyle w:val="Default"/>
              <w:rPr>
                <w:sz w:val="20"/>
                <w:szCs w:val="20"/>
              </w:rPr>
            </w:pPr>
            <w:r w:rsidRPr="00023B68">
              <w:rPr>
                <w:sz w:val="20"/>
                <w:szCs w:val="20"/>
              </w:rPr>
              <w:t>Zastrzeżenia budzą również binarne kryteria oceny, które nie pozwalają uwzględnić alternatywnych środków ograniczających ryzyko, oraz uprawnienie Komisji do uchylania decyzji państw członkowskich. Niejasny pozostaje ponadto zakres podmiotów objętych wymogami, co może prowadzić do niepewności regulacyjnej i powstania rynku dwóch prędkości w zakresie dostępu do chmury i AI.</w:t>
            </w:r>
          </w:p>
          <w:p w14:paraId="79F309FE" w14:textId="77777777" w:rsidR="00A85FE9" w:rsidRPr="00023B68" w:rsidRDefault="00A85FE9" w:rsidP="00A85FE9">
            <w:pPr>
              <w:pStyle w:val="Default"/>
              <w:rPr>
                <w:sz w:val="20"/>
                <w:szCs w:val="20"/>
              </w:rPr>
            </w:pPr>
          </w:p>
          <w:p w14:paraId="14DDD585" w14:textId="77777777" w:rsidR="00A85FE9" w:rsidRPr="00023B68" w:rsidRDefault="00A85FE9" w:rsidP="00A85FE9">
            <w:pPr>
              <w:pStyle w:val="Default"/>
              <w:rPr>
                <w:sz w:val="20"/>
                <w:szCs w:val="20"/>
              </w:rPr>
            </w:pPr>
            <w:r w:rsidRPr="00023B68">
              <w:rPr>
                <w:sz w:val="20"/>
                <w:szCs w:val="20"/>
              </w:rPr>
              <w:t xml:space="preserve">Zdaniem e-Izby warto rozważyć złagodzenie wymogów lokalizacji metadanych i danych telemetrycznych na poziomach UAL 1 i UAL 2, tak aby nie ograniczały one realizacji kluczowych funkcji </w:t>
            </w:r>
            <w:proofErr w:type="spellStart"/>
            <w:r w:rsidRPr="00023B68">
              <w:rPr>
                <w:sz w:val="20"/>
                <w:szCs w:val="20"/>
              </w:rPr>
              <w:t>cyberbezpieczeństwa</w:t>
            </w:r>
            <w:proofErr w:type="spellEnd"/>
            <w:r w:rsidRPr="00023B68">
              <w:rPr>
                <w:sz w:val="20"/>
                <w:szCs w:val="20"/>
              </w:rPr>
              <w:t xml:space="preserve">. </w:t>
            </w:r>
          </w:p>
          <w:p w14:paraId="1D551D3F" w14:textId="77777777" w:rsidR="00A85FE9" w:rsidRPr="00023B68" w:rsidRDefault="00A85FE9" w:rsidP="00A85FE9">
            <w:pPr>
              <w:pStyle w:val="Default"/>
              <w:rPr>
                <w:sz w:val="20"/>
                <w:szCs w:val="20"/>
              </w:rPr>
            </w:pPr>
            <w:r w:rsidRPr="00023B68">
              <w:rPr>
                <w:sz w:val="20"/>
                <w:szCs w:val="20"/>
              </w:rPr>
              <w:t xml:space="preserve">Na wyższych poziomach UAL zasadne byłoby dopuszczenie udziału zaufanych operatorów spoza UE w charakterze wspierającym, jeżeli rozwiązanie pozostaje niezależnie kontrolowane i obsługiwane przez podmiot europejski. Rozważenia wymaga także połączenie poziomów UAL 3 i UAL 4 oraz przyjęcie zasady domyślnego dopuszczenia takich partnerów, z możliwością wprowadzenia ograniczeń przez Komisję w uzasadnionych przypadkach. </w:t>
            </w:r>
          </w:p>
          <w:p w14:paraId="71EB2473" w14:textId="654FA9C4" w:rsidR="00A85FE9" w:rsidRPr="00023B68" w:rsidRDefault="00A85FE9" w:rsidP="00A85FE9">
            <w:pPr>
              <w:pStyle w:val="Default"/>
              <w:rPr>
                <w:sz w:val="20"/>
                <w:szCs w:val="20"/>
              </w:rPr>
            </w:pPr>
            <w:r w:rsidRPr="00023B68">
              <w:rPr>
                <w:sz w:val="20"/>
                <w:szCs w:val="20"/>
              </w:rPr>
              <w:t>Warto ponadto ponownie przeanalizować uprawnienie Komisji do uchylania decyzji państw członkowskich. Jeżeli zostanie ono utrzymane, powinno mieć charakter wyjątkowy oraz podlegać odpowiednim gwarancjom proceduralnym i konsultacjom.</w:t>
            </w:r>
          </w:p>
          <w:p w14:paraId="2B0FBEB7" w14:textId="77777777" w:rsidR="00A85FE9" w:rsidRPr="00023B68" w:rsidRDefault="00A85FE9" w:rsidP="00A85FE9">
            <w:pPr>
              <w:pStyle w:val="Default"/>
              <w:rPr>
                <w:sz w:val="20"/>
                <w:szCs w:val="20"/>
              </w:rPr>
            </w:pPr>
          </w:p>
          <w:p w14:paraId="2461A7EB" w14:textId="77777777" w:rsidR="00A85FE9" w:rsidRPr="00023B68" w:rsidRDefault="00A85FE9" w:rsidP="00A85FE9">
            <w:pPr>
              <w:pStyle w:val="Default"/>
              <w:rPr>
                <w:sz w:val="20"/>
                <w:szCs w:val="20"/>
              </w:rPr>
            </w:pPr>
            <w:r w:rsidRPr="00023B68">
              <w:rPr>
                <w:sz w:val="20"/>
                <w:szCs w:val="20"/>
              </w:rPr>
              <w:t xml:space="preserve">Kryteria dotyczące operatorów z państw trzecich powinny być stosowane proporcjonalnie i z uwzględnieniem indywidualnej oceny ryzyka. Pomocne byłoby również zastosowanie punktowego modelu oceny suwerennej kontroli, pozwalającego uwzględnić alternatywne środki ograniczające ryzyko. </w:t>
            </w:r>
          </w:p>
          <w:p w14:paraId="143A6697" w14:textId="3B76957A" w:rsidR="00A85FE9" w:rsidRPr="00023B68" w:rsidRDefault="00A85FE9" w:rsidP="00A85FE9">
            <w:pPr>
              <w:pStyle w:val="Default"/>
              <w:rPr>
                <w:sz w:val="20"/>
                <w:szCs w:val="20"/>
              </w:rPr>
            </w:pPr>
          </w:p>
        </w:tc>
      </w:tr>
      <w:tr w:rsidR="00A85FE9" w:rsidRPr="00023B68" w14:paraId="6F582890" w14:textId="77777777" w:rsidTr="00040008">
        <w:tc>
          <w:tcPr>
            <w:tcW w:w="0" w:type="auto"/>
          </w:tcPr>
          <w:p w14:paraId="608EFC95" w14:textId="1491E102"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687CC235" w14:textId="132810DD" w:rsidR="00A85FE9" w:rsidRPr="00023B68" w:rsidRDefault="00A85FE9" w:rsidP="00A85FE9">
            <w:pPr>
              <w:pStyle w:val="Default"/>
              <w:rPr>
                <w:sz w:val="20"/>
                <w:szCs w:val="20"/>
              </w:rPr>
            </w:pPr>
            <w:r w:rsidRPr="00023B68">
              <w:rPr>
                <w:sz w:val="20"/>
                <w:szCs w:val="20"/>
              </w:rPr>
              <w:t>Lewiatan</w:t>
            </w:r>
          </w:p>
        </w:tc>
        <w:tc>
          <w:tcPr>
            <w:tcW w:w="0" w:type="auto"/>
          </w:tcPr>
          <w:p w14:paraId="508CEE3F" w14:textId="77777777" w:rsidR="00A85FE9" w:rsidRPr="00023B68" w:rsidRDefault="00A85FE9" w:rsidP="00A85FE9">
            <w:pPr>
              <w:pStyle w:val="Default"/>
              <w:rPr>
                <w:sz w:val="20"/>
                <w:szCs w:val="20"/>
              </w:rPr>
            </w:pPr>
            <w:r w:rsidRPr="00023B68">
              <w:rPr>
                <w:sz w:val="20"/>
                <w:szCs w:val="20"/>
              </w:rPr>
              <w:t xml:space="preserve">Centralnym elementem CADA są nowe europejskie ramy suwerenności chmury obliczeniowej, oparte na czterech unijnych poziomach gwarancji. Zgodnie z projektem UAL 1 ma stanowić minimalny poziom wymagany w zamówieniach wszystkich podmiotów publicznych, natomiast zastosowanie wyższych poziomów będzie wynikało z oceny ryzyka dla suwerenności, w szczególności z ustalenia, czy dana działalność przyczynia się do ochrony porządku publicznego. UAL 4 przewiduje najbardziej rygorystyczne wymogi i ma być stosowany przede wszystkim w obszarze obronności oraz wobec najbardziej krytycznych funkcji publicznych. </w:t>
            </w:r>
          </w:p>
          <w:p w14:paraId="499CD33C" w14:textId="77777777" w:rsidR="00A85FE9" w:rsidRPr="00023B68" w:rsidRDefault="00A85FE9" w:rsidP="00A85FE9">
            <w:pPr>
              <w:pStyle w:val="Default"/>
              <w:rPr>
                <w:sz w:val="20"/>
                <w:szCs w:val="20"/>
              </w:rPr>
            </w:pPr>
            <w:r w:rsidRPr="00023B68">
              <w:rPr>
                <w:sz w:val="20"/>
                <w:szCs w:val="20"/>
              </w:rPr>
              <w:t xml:space="preserve">Poszczególne poziomy powinny być przypisywane proporcjonalnie do wrażliwości obciążenia, charakteru przetwarzanych danych oraz rzeczywistego profilu ryzyka. Zwykłe systemy kadrowe, publiczne platformy komunikacyjne czy narzędzia do analizy danych niewrażliwych nie powinny być automatycznie obejmowane wyższymi poziomami gwarancji. Nadmiernie szeroka ocena ryzyka ograniczyłaby liczbę dostępnych dostawców, zwiększyła koszty zamówień i spowolniła cyfryzację usług publicznych. Katalog zastosowań wymagających najwyższych poziomów powinien być zatem ściśle ograniczony do </w:t>
            </w:r>
            <w:r w:rsidRPr="00023B68">
              <w:rPr>
                <w:sz w:val="20"/>
                <w:szCs w:val="20"/>
              </w:rPr>
              <w:lastRenderedPageBreak/>
              <w:t xml:space="preserve">rzeczywiście krytycznych przypadków, również w celu zapewnienia zgodności z zobowiązaniami UE wynikającymi z Porozumienia WTO w sprawie zamówień rządowych. </w:t>
            </w:r>
          </w:p>
          <w:p w14:paraId="7B75AE96" w14:textId="77777777" w:rsidR="00507034" w:rsidRPr="00023B68" w:rsidRDefault="00A85FE9" w:rsidP="00A85FE9">
            <w:pPr>
              <w:pStyle w:val="Default"/>
              <w:rPr>
                <w:sz w:val="20"/>
                <w:szCs w:val="20"/>
              </w:rPr>
            </w:pPr>
            <w:r w:rsidRPr="00023B68">
              <w:rPr>
                <w:sz w:val="20"/>
                <w:szCs w:val="20"/>
              </w:rPr>
              <w:t xml:space="preserve">Z niepokojem przyjmujemy zbyt daleko idącą propozycję Komisji, by w ramach certyfikacji suwerenności uwzględnić ograniczenia dotyczące państw spoza UE. Choć z zadowoleniem przyjmujemy harmonizację europejskiego podejścia do suwerenności, kryteria określone w ramach unijnych poziomów gwarancji (Union Assurance </w:t>
            </w:r>
            <w:proofErr w:type="spellStart"/>
            <w:r w:rsidRPr="00023B68">
              <w:rPr>
                <w:sz w:val="20"/>
                <w:szCs w:val="20"/>
              </w:rPr>
              <w:t>Levels</w:t>
            </w:r>
            <w:proofErr w:type="spellEnd"/>
            <w:r w:rsidRPr="00023B68">
              <w:rPr>
                <w:sz w:val="20"/>
                <w:szCs w:val="20"/>
              </w:rPr>
              <w:t xml:space="preserve">, UAL) tworzą wysokie bariery dla dostawców globalnych i pomijają to, jak w praktyce funkcjonują globalne łańcuchy dostaw oraz krytyczne funkcje w zakresie </w:t>
            </w:r>
            <w:proofErr w:type="spellStart"/>
            <w:r w:rsidRPr="00023B68">
              <w:rPr>
                <w:sz w:val="20"/>
                <w:szCs w:val="20"/>
              </w:rPr>
              <w:t>cyberbezpieczeństwa</w:t>
            </w:r>
            <w:proofErr w:type="spellEnd"/>
            <w:r w:rsidRPr="00023B68">
              <w:rPr>
                <w:sz w:val="20"/>
                <w:szCs w:val="20"/>
              </w:rPr>
              <w:t xml:space="preserve">. Stwarza to ryzyko zakłóceń dla europejskich dostawców posiadających globalne łańcuchy dostaw, a nie tylko dla operatorów spoza UE. Na wszystkich poziomach kryteria te zakłócą niezbędną współpracę między operatorami globalnymi a klientami europejskimi. Nawet na najniższym poziomie UAL 1 propozycje uniemożliwią realizację kluczowych funkcji z zakresu </w:t>
            </w:r>
            <w:proofErr w:type="spellStart"/>
            <w:r w:rsidRPr="00023B68">
              <w:rPr>
                <w:sz w:val="20"/>
                <w:szCs w:val="20"/>
              </w:rPr>
              <w:t>cyberbezpieczeństwa</w:t>
            </w:r>
            <w:proofErr w:type="spellEnd"/>
            <w:r w:rsidRPr="00023B68">
              <w:rPr>
                <w:sz w:val="20"/>
                <w:szCs w:val="20"/>
              </w:rPr>
              <w:t xml:space="preserve"> w skali globalnej, ze względu na wymóg przechowywania wszystkich danych telemetrycznych, w tym wzorców </w:t>
            </w:r>
            <w:proofErr w:type="spellStart"/>
            <w:r w:rsidRPr="00023B68">
              <w:rPr>
                <w:sz w:val="20"/>
                <w:szCs w:val="20"/>
              </w:rPr>
              <w:t>cyberzagrożeń</w:t>
            </w:r>
            <w:proofErr w:type="spellEnd"/>
            <w:r w:rsidRPr="00023B68">
              <w:rPr>
                <w:sz w:val="20"/>
                <w:szCs w:val="20"/>
              </w:rPr>
              <w:t xml:space="preserve">, w Europie. </w:t>
            </w:r>
          </w:p>
          <w:p w14:paraId="5ACF3358" w14:textId="77777777" w:rsidR="00507034" w:rsidRPr="00023B68" w:rsidRDefault="00507034" w:rsidP="00A85FE9">
            <w:pPr>
              <w:pStyle w:val="Default"/>
              <w:rPr>
                <w:b/>
                <w:bCs/>
                <w:sz w:val="20"/>
                <w:szCs w:val="20"/>
              </w:rPr>
            </w:pPr>
          </w:p>
          <w:p w14:paraId="7CBDB150" w14:textId="6CB79B56" w:rsidR="00A85FE9" w:rsidRPr="00023B68" w:rsidRDefault="00A85FE9" w:rsidP="00A85FE9">
            <w:pPr>
              <w:pStyle w:val="Default"/>
              <w:rPr>
                <w:sz w:val="20"/>
                <w:szCs w:val="20"/>
              </w:rPr>
            </w:pPr>
            <w:r w:rsidRPr="00023B68">
              <w:rPr>
                <w:b/>
                <w:bCs/>
                <w:sz w:val="20"/>
                <w:szCs w:val="20"/>
              </w:rPr>
              <w:t>Proponowane rozwiązanie:</w:t>
            </w:r>
            <w:r w:rsidRPr="00023B68">
              <w:rPr>
                <w:sz w:val="20"/>
                <w:szCs w:val="20"/>
              </w:rPr>
              <w:t xml:space="preserve"> </w:t>
            </w:r>
          </w:p>
          <w:p w14:paraId="4C4F29F8" w14:textId="2D4F6480" w:rsidR="00A85FE9" w:rsidRPr="00023B68" w:rsidRDefault="00A85FE9" w:rsidP="00A85FE9">
            <w:pPr>
              <w:pStyle w:val="Default"/>
              <w:numPr>
                <w:ilvl w:val="0"/>
                <w:numId w:val="2"/>
              </w:numPr>
              <w:rPr>
                <w:sz w:val="20"/>
                <w:szCs w:val="20"/>
              </w:rPr>
            </w:pPr>
            <w:r w:rsidRPr="00023B68">
              <w:rPr>
                <w:sz w:val="20"/>
                <w:szCs w:val="20"/>
              </w:rPr>
              <w:t xml:space="preserve">ograniczenie pojęcia „danych klienta” w Załączniku II wyłącznie do danych kontrolowanych przez klienta oraz dostosowanie tego pojęcia do definicji „danych </w:t>
            </w:r>
            <w:proofErr w:type="spellStart"/>
            <w:r w:rsidRPr="00023B68">
              <w:rPr>
                <w:sz w:val="20"/>
                <w:szCs w:val="20"/>
              </w:rPr>
              <w:t>eksportowalnych</w:t>
            </w:r>
            <w:proofErr w:type="spellEnd"/>
            <w:r w:rsidRPr="00023B68">
              <w:rPr>
                <w:sz w:val="20"/>
                <w:szCs w:val="20"/>
              </w:rPr>
              <w:t>” zawartej w art. 2 pkt 38 aktu w sprawie danych;</w:t>
            </w:r>
          </w:p>
          <w:p w14:paraId="5D05D5CD" w14:textId="41C11C98" w:rsidR="00A85FE9" w:rsidRPr="00023B68" w:rsidRDefault="00A85FE9" w:rsidP="00A85FE9">
            <w:pPr>
              <w:pStyle w:val="Default"/>
              <w:numPr>
                <w:ilvl w:val="0"/>
                <w:numId w:val="2"/>
              </w:numPr>
              <w:rPr>
                <w:sz w:val="20"/>
                <w:szCs w:val="20"/>
              </w:rPr>
            </w:pPr>
            <w:r w:rsidRPr="00023B68">
              <w:rPr>
                <w:sz w:val="20"/>
                <w:szCs w:val="20"/>
              </w:rPr>
              <w:t>wyraźne wyłączenie z zakresu „danych klienta” danych operacyjnych generowanych przez dostawcę, w szczególności danych niezbędnych do monitorowania bezpieczeństwa, analizy zagrożeń i reagowania na incydenty;</w:t>
            </w:r>
          </w:p>
          <w:p w14:paraId="3908A0B6" w14:textId="2106E8B4" w:rsidR="00A85FE9" w:rsidRPr="00023B68" w:rsidRDefault="00A85FE9" w:rsidP="00A85FE9">
            <w:pPr>
              <w:pStyle w:val="Default"/>
              <w:numPr>
                <w:ilvl w:val="0"/>
                <w:numId w:val="2"/>
              </w:numPr>
              <w:rPr>
                <w:sz w:val="20"/>
                <w:szCs w:val="20"/>
              </w:rPr>
            </w:pPr>
            <w:r w:rsidRPr="00023B68">
              <w:rPr>
                <w:sz w:val="20"/>
                <w:szCs w:val="20"/>
              </w:rPr>
              <w:t>usunięcie wymogów lokalizacji metadanych i danych telemetrycznych na poziomach UAL 1 i 2 (Załącznik II, sekcja 1.1c), przy jednoczesnym dopuszczeniu obowiązku utrzymywania w UE kopii danych operacyjnych niezbędnej do zapewnienia ciągłości działania;</w:t>
            </w:r>
          </w:p>
          <w:p w14:paraId="7C4C74E3" w14:textId="77777777" w:rsidR="00A85FE9" w:rsidRPr="00023B68" w:rsidRDefault="00A85FE9" w:rsidP="00A85FE9">
            <w:pPr>
              <w:pStyle w:val="Default"/>
              <w:numPr>
                <w:ilvl w:val="0"/>
                <w:numId w:val="2"/>
              </w:numPr>
              <w:rPr>
                <w:sz w:val="20"/>
                <w:szCs w:val="20"/>
              </w:rPr>
            </w:pPr>
            <w:r w:rsidRPr="00023B68">
              <w:rPr>
                <w:sz w:val="20"/>
                <w:szCs w:val="20"/>
              </w:rPr>
              <w:t>umożliwienie przetwarzania danych operacyjnych poza UE w zakresie koniecznym do monitorowania bezpieczeństwa, prowadzenia globalnej analityki zagrożeń oraz reagowania na incydenty.</w:t>
            </w:r>
          </w:p>
          <w:p w14:paraId="1533628B" w14:textId="1B0A3DDC" w:rsidR="00A85FE9" w:rsidRPr="00023B68" w:rsidRDefault="00A85FE9" w:rsidP="00A85FE9">
            <w:pPr>
              <w:pStyle w:val="Default"/>
              <w:ind w:left="720"/>
              <w:rPr>
                <w:sz w:val="20"/>
                <w:szCs w:val="20"/>
              </w:rPr>
            </w:pPr>
          </w:p>
        </w:tc>
      </w:tr>
      <w:tr w:rsidR="00A85FE9" w:rsidRPr="00023B68" w14:paraId="7D1073AB" w14:textId="77777777" w:rsidTr="00040008">
        <w:tc>
          <w:tcPr>
            <w:tcW w:w="0" w:type="auto"/>
          </w:tcPr>
          <w:p w14:paraId="5329BB5F" w14:textId="7D71F086"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03060F8C" w14:textId="63BF1B14" w:rsidR="00A85FE9" w:rsidRPr="00023B68" w:rsidRDefault="00A85FE9" w:rsidP="00A85FE9">
            <w:pPr>
              <w:pStyle w:val="Default"/>
              <w:rPr>
                <w:sz w:val="20"/>
                <w:szCs w:val="20"/>
              </w:rPr>
            </w:pPr>
            <w:r w:rsidRPr="00023B68">
              <w:rPr>
                <w:sz w:val="20"/>
                <w:szCs w:val="20"/>
              </w:rPr>
              <w:t>Lewiatan</w:t>
            </w:r>
          </w:p>
        </w:tc>
        <w:tc>
          <w:tcPr>
            <w:tcW w:w="0" w:type="auto"/>
          </w:tcPr>
          <w:p w14:paraId="6941BB76" w14:textId="77777777" w:rsidR="00A85FE9" w:rsidRPr="00023B68" w:rsidRDefault="00A85FE9" w:rsidP="00A85FE9">
            <w:pPr>
              <w:pStyle w:val="Default"/>
              <w:rPr>
                <w:sz w:val="20"/>
                <w:szCs w:val="20"/>
              </w:rPr>
            </w:pPr>
            <w:r w:rsidRPr="00023B68">
              <w:rPr>
                <w:sz w:val="20"/>
                <w:szCs w:val="20"/>
              </w:rPr>
              <w:t xml:space="preserve">Na najwyższych poziomach konsekwencje dla współpracy z zaufanymi partnerami są skrajne - wykraczają poza najbardziej rygorystyczny standard suwerenności w Europie. Operatorom globalnym zakazano by w jakichkolwiek okolicznościach wspierania kluczowych europejskich usług obronnych (UAL 4), a domyślnie zakazano by im również wspierania usług o wysokim stopniu wrażliwości (UAL 3), przy czym Komisja zastrzegłaby sobie uprawnienie do zniesienia tego zakazu. Jest to bardziej restrykcyjne niż najsurowsze dotychczasowe wymogi w którymkolwiek państwie członkowskim, które umożliwiały zaufanym partnerom globalnym przedstawianie innowacyjnych rozwiązań technicznych i operacyjnych zapewniających ścisłą kontrolę. </w:t>
            </w:r>
          </w:p>
          <w:p w14:paraId="19C1917C" w14:textId="77777777" w:rsidR="00A85FE9" w:rsidRPr="00023B68" w:rsidRDefault="00A85FE9" w:rsidP="00A85FE9">
            <w:pPr>
              <w:pStyle w:val="Default"/>
              <w:rPr>
                <w:sz w:val="20"/>
                <w:szCs w:val="20"/>
              </w:rPr>
            </w:pPr>
            <w:r w:rsidRPr="00023B68">
              <w:rPr>
                <w:sz w:val="20"/>
                <w:szCs w:val="20"/>
              </w:rPr>
              <w:t xml:space="preserve">Na poziomie UAL 4 wymóg w pełni kontrolowanego w UE łańcucha dostaw oprogramowania jest obecnie niemożliwy do spełnienia przez dostawców chmurowych, w tym dostawców europejskich. Prowadzi to do paradoksu: obronność, bezpieczeństwo narodowe i infrastruktura krytyczna należą do obszarów, które najpilniej potrzebują zaawansowanych narzędzi AI i </w:t>
            </w:r>
            <w:proofErr w:type="spellStart"/>
            <w:r w:rsidRPr="00023B68">
              <w:rPr>
                <w:sz w:val="20"/>
                <w:szCs w:val="20"/>
              </w:rPr>
              <w:t>cyberbezpieczeństwa</w:t>
            </w:r>
            <w:proofErr w:type="spellEnd"/>
            <w:r w:rsidRPr="00023B68">
              <w:rPr>
                <w:sz w:val="20"/>
                <w:szCs w:val="20"/>
              </w:rPr>
              <w:t xml:space="preserve">, w tym globalnej analityki zagrożeń, a jednocześnie zostałyby odcięte od dostawców dysponujących takimi rozwiązaniami. Najbardziej zaawansowane modele AI wymagają tysięcy wyspecjalizowanych procesorów graficznych, wielojęzycznych zbiorów danych oraz globalnej współpracy badawczej. Ograniczenia oparte na pochodzeniu dostawcy mogą zatem ograniczyć dostęp sektora publicznego do najlepszych technologii, przykładowo w przypadku publicznego szpitala poszukującego zaawansowanych narzędzi diagnostycznych wykorzystujących AI. </w:t>
            </w:r>
          </w:p>
          <w:p w14:paraId="689CA1C4" w14:textId="77777777" w:rsidR="00A85FE9" w:rsidRPr="00023B68" w:rsidRDefault="00A85FE9" w:rsidP="00A85FE9">
            <w:pPr>
              <w:pStyle w:val="Default"/>
              <w:rPr>
                <w:sz w:val="20"/>
                <w:szCs w:val="20"/>
              </w:rPr>
            </w:pPr>
            <w:r w:rsidRPr="00023B68">
              <w:rPr>
                <w:sz w:val="20"/>
                <w:szCs w:val="20"/>
              </w:rPr>
              <w:lastRenderedPageBreak/>
              <w:t xml:space="preserve">Globalni dostawcy chmurowi inwestują znaczne środki w infrastrukturę bezpieczeństwa oraz systemy wykrywania i neutralizowania zagrożeń w czasie rzeczywistym, działające w skali trudnej do odtworzenia przez pojedynczego dostawcę krajowego lub regionalnego. Doświadczenia Ukrainy i państw regionu Bliskiego Wschodu wskazują ponadto, że globalnie rozproszona infrastruktura chmurowa może zapewnić ciągłość działania usług publicznych także w sytuacji zniszczenia lokalnych centrów danych. Ograniczenie możliwości korzystania z takiej infrastruktury może zatem zwiększać, a nie zmniejszać, ryzyko dla bezpieczeństwa i odporności. </w:t>
            </w:r>
          </w:p>
          <w:p w14:paraId="231F28F1" w14:textId="77777777" w:rsidR="00507034" w:rsidRPr="00023B68" w:rsidRDefault="00507034" w:rsidP="00A85FE9">
            <w:pPr>
              <w:pStyle w:val="Default"/>
              <w:rPr>
                <w:sz w:val="20"/>
                <w:szCs w:val="20"/>
              </w:rPr>
            </w:pPr>
          </w:p>
          <w:p w14:paraId="5BF6D669" w14:textId="77777777" w:rsidR="00A85FE9" w:rsidRPr="00023B68" w:rsidRDefault="00A85FE9" w:rsidP="00A85FE9">
            <w:pPr>
              <w:pStyle w:val="Default"/>
              <w:rPr>
                <w:sz w:val="20"/>
                <w:szCs w:val="20"/>
              </w:rPr>
            </w:pPr>
            <w:r w:rsidRPr="00023B68">
              <w:rPr>
                <w:b/>
                <w:bCs/>
                <w:sz w:val="20"/>
                <w:szCs w:val="20"/>
              </w:rPr>
              <w:t xml:space="preserve">Proponowane rozwiązania: </w:t>
            </w:r>
          </w:p>
          <w:p w14:paraId="278C5DCD" w14:textId="77777777" w:rsidR="00A85FE9" w:rsidRPr="00023B68" w:rsidRDefault="00A85FE9" w:rsidP="00A85FE9">
            <w:pPr>
              <w:pStyle w:val="Default"/>
              <w:numPr>
                <w:ilvl w:val="0"/>
                <w:numId w:val="3"/>
              </w:numPr>
              <w:rPr>
                <w:sz w:val="20"/>
                <w:szCs w:val="20"/>
              </w:rPr>
            </w:pPr>
            <w:r w:rsidRPr="00023B68">
              <w:rPr>
                <w:sz w:val="20"/>
                <w:szCs w:val="20"/>
              </w:rPr>
              <w:t xml:space="preserve">Połączenie poziomów UAL 3 i 4 w jeden poziom, który umożliwi zaufanym operatorom spoza UE odgrywanie roli wspierającej w odniesieniu do ściśle niezależnych, obsługiwanych przez podmioty europejskie rozwiązań suwerennych, w tym poprzez dostarczanie bazowego oprogramowania. </w:t>
            </w:r>
          </w:p>
          <w:p w14:paraId="4EF74B47" w14:textId="77777777" w:rsidR="00A85FE9" w:rsidRPr="00023B68" w:rsidRDefault="00A85FE9" w:rsidP="00A85FE9">
            <w:pPr>
              <w:pStyle w:val="Default"/>
              <w:numPr>
                <w:ilvl w:val="0"/>
                <w:numId w:val="3"/>
              </w:numPr>
              <w:rPr>
                <w:sz w:val="20"/>
                <w:szCs w:val="20"/>
              </w:rPr>
            </w:pPr>
            <w:r w:rsidRPr="00023B68">
              <w:rPr>
                <w:sz w:val="20"/>
                <w:szCs w:val="20"/>
              </w:rPr>
              <w:t xml:space="preserve">Odwrócenie przysługującego Komisji uprawnienia do ustanawiania odstępstw (Załącznik II, sekcja 3(g)), tak aby zaufani partnerzy spoza UE byli na tym poziomie domyślnie dopuszczeni, przy czym Komisja mogłaby cofnąć to dopuszczenie w drodze aktów wykonawczych. </w:t>
            </w:r>
          </w:p>
          <w:p w14:paraId="000FB96A" w14:textId="77777777" w:rsidR="00A85FE9" w:rsidRPr="00023B68" w:rsidRDefault="00A85FE9" w:rsidP="00A85FE9">
            <w:pPr>
              <w:pStyle w:val="Default"/>
              <w:numPr>
                <w:ilvl w:val="0"/>
                <w:numId w:val="3"/>
              </w:numPr>
              <w:rPr>
                <w:sz w:val="20"/>
                <w:szCs w:val="20"/>
              </w:rPr>
            </w:pPr>
            <w:r w:rsidRPr="00023B68">
              <w:rPr>
                <w:sz w:val="20"/>
                <w:szCs w:val="20"/>
              </w:rPr>
              <w:t xml:space="preserve">Uznanie suwerennych modeli operacyjnych, dedykowanych europejskich regionów chmurowych, rozwiązań odłączonych od sieci oraz lokalnych spółek joint venture za dopuszczalne sposoby osiągnięcia wysokich poziomów gwarancji. </w:t>
            </w:r>
          </w:p>
          <w:p w14:paraId="7648CA15" w14:textId="77777777" w:rsidR="00A85FE9" w:rsidRPr="00023B68" w:rsidRDefault="00A85FE9" w:rsidP="00A85FE9">
            <w:pPr>
              <w:pStyle w:val="Default"/>
              <w:numPr>
                <w:ilvl w:val="0"/>
                <w:numId w:val="3"/>
              </w:numPr>
              <w:rPr>
                <w:sz w:val="20"/>
                <w:szCs w:val="20"/>
              </w:rPr>
            </w:pPr>
            <w:r w:rsidRPr="00023B68">
              <w:rPr>
                <w:sz w:val="20"/>
                <w:szCs w:val="20"/>
              </w:rPr>
              <w:t xml:space="preserve">Zapewnienie zgodności ram UAL z istniejącymi krajowymi standardami bezpieczeństwa i suwerenności, takimi jak hiszpański </w:t>
            </w:r>
            <w:proofErr w:type="spellStart"/>
            <w:r w:rsidRPr="00023B68">
              <w:rPr>
                <w:sz w:val="20"/>
                <w:szCs w:val="20"/>
              </w:rPr>
              <w:t>Esquema</w:t>
            </w:r>
            <w:proofErr w:type="spellEnd"/>
            <w:r w:rsidRPr="00023B68">
              <w:rPr>
                <w:sz w:val="20"/>
                <w:szCs w:val="20"/>
              </w:rPr>
              <w:t xml:space="preserve"> </w:t>
            </w:r>
            <w:proofErr w:type="spellStart"/>
            <w:r w:rsidRPr="00023B68">
              <w:rPr>
                <w:sz w:val="20"/>
                <w:szCs w:val="20"/>
              </w:rPr>
              <w:t>Nacional</w:t>
            </w:r>
            <w:proofErr w:type="spellEnd"/>
            <w:r w:rsidRPr="00023B68">
              <w:rPr>
                <w:sz w:val="20"/>
                <w:szCs w:val="20"/>
              </w:rPr>
              <w:t xml:space="preserve"> de </w:t>
            </w:r>
            <w:proofErr w:type="spellStart"/>
            <w:r w:rsidRPr="00023B68">
              <w:rPr>
                <w:sz w:val="20"/>
                <w:szCs w:val="20"/>
              </w:rPr>
              <w:t>Seguridad</w:t>
            </w:r>
            <w:proofErr w:type="spellEnd"/>
            <w:r w:rsidRPr="00023B68">
              <w:rPr>
                <w:sz w:val="20"/>
                <w:szCs w:val="20"/>
              </w:rPr>
              <w:t xml:space="preserve">, zamiast ustanawiania wymogów, które automatycznie wykraczają poza takie standardy. </w:t>
            </w:r>
          </w:p>
          <w:p w14:paraId="617D78C5" w14:textId="77777777" w:rsidR="00A85FE9" w:rsidRPr="00023B68" w:rsidRDefault="00A85FE9" w:rsidP="00A85FE9">
            <w:pPr>
              <w:pStyle w:val="Default"/>
              <w:numPr>
                <w:ilvl w:val="0"/>
                <w:numId w:val="3"/>
              </w:numPr>
              <w:rPr>
                <w:sz w:val="20"/>
                <w:szCs w:val="20"/>
              </w:rPr>
            </w:pPr>
            <w:r w:rsidRPr="00023B68">
              <w:rPr>
                <w:sz w:val="20"/>
                <w:szCs w:val="20"/>
              </w:rPr>
              <w:t xml:space="preserve">Zapewnienie, aby wymogi UAL 2–4 nie były stosowane w identyczny sposób do wszystkich podwykonawców niższego szczebla, bez uwzględnienia ich rzeczywistej roli, dostępu do danych oraz złożoności europejskich łańcuchów dostaw technologicznych. </w:t>
            </w:r>
          </w:p>
          <w:p w14:paraId="1A8F0DC8" w14:textId="31F6FFF0" w:rsidR="00A85FE9" w:rsidRPr="00023B68" w:rsidRDefault="00A85FE9" w:rsidP="00A85FE9">
            <w:pPr>
              <w:pStyle w:val="Default"/>
              <w:rPr>
                <w:sz w:val="20"/>
                <w:szCs w:val="20"/>
              </w:rPr>
            </w:pPr>
          </w:p>
        </w:tc>
      </w:tr>
      <w:tr w:rsidR="00A85FE9" w:rsidRPr="00023B68" w14:paraId="07FE120C" w14:textId="77777777" w:rsidTr="00040008">
        <w:tc>
          <w:tcPr>
            <w:tcW w:w="0" w:type="auto"/>
          </w:tcPr>
          <w:p w14:paraId="35FD4AA3" w14:textId="4F06B494"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51253079" w14:textId="0329FAD6" w:rsidR="00A85FE9" w:rsidRPr="00023B68" w:rsidRDefault="00A85FE9" w:rsidP="00A85FE9">
            <w:pPr>
              <w:pStyle w:val="Default"/>
              <w:rPr>
                <w:sz w:val="20"/>
                <w:szCs w:val="20"/>
              </w:rPr>
            </w:pPr>
            <w:r w:rsidRPr="00023B68">
              <w:rPr>
                <w:sz w:val="20"/>
                <w:szCs w:val="20"/>
              </w:rPr>
              <w:t>SIAPL KIGEIT</w:t>
            </w:r>
          </w:p>
        </w:tc>
        <w:tc>
          <w:tcPr>
            <w:tcW w:w="0" w:type="auto"/>
          </w:tcPr>
          <w:p w14:paraId="7604D72F" w14:textId="77777777" w:rsidR="00A85FE9" w:rsidRPr="00023B68" w:rsidRDefault="00A85FE9" w:rsidP="00A85FE9">
            <w:pPr>
              <w:pStyle w:val="Default"/>
              <w:rPr>
                <w:sz w:val="20"/>
                <w:szCs w:val="20"/>
              </w:rPr>
            </w:pPr>
            <w:proofErr w:type="spellStart"/>
            <w:r w:rsidRPr="00023B68">
              <w:rPr>
                <w:sz w:val="20"/>
                <w:szCs w:val="20"/>
              </w:rPr>
              <w:t>Sovereignty</w:t>
            </w:r>
            <w:proofErr w:type="spellEnd"/>
            <w:r w:rsidRPr="00023B68">
              <w:rPr>
                <w:sz w:val="20"/>
                <w:szCs w:val="20"/>
              </w:rPr>
              <w:t xml:space="preserve"> </w:t>
            </w:r>
            <w:proofErr w:type="spellStart"/>
            <w:r w:rsidRPr="00023B68">
              <w:rPr>
                <w:sz w:val="20"/>
                <w:szCs w:val="20"/>
              </w:rPr>
              <w:t>washing</w:t>
            </w:r>
            <w:proofErr w:type="spellEnd"/>
            <w:r w:rsidRPr="00023B68">
              <w:rPr>
                <w:sz w:val="20"/>
                <w:szCs w:val="20"/>
              </w:rPr>
              <w:t xml:space="preserve"> to praktyka pozornego spełniania kryteriów suwerenności przy faktycznym utrzymaniu zależności strukturalnych od podmiotów i prawa spoza UE. To najważniejsze wyzwanie regulacyjne w Europie w zakresie chmury, na które obecne przepisy CADA skutecznie nie odpowiadają. </w:t>
            </w:r>
          </w:p>
          <w:p w14:paraId="43FC4C30" w14:textId="77777777" w:rsidR="00A85FE9" w:rsidRPr="00023B68" w:rsidRDefault="00A85FE9" w:rsidP="00A85FE9">
            <w:pPr>
              <w:pStyle w:val="Default"/>
              <w:rPr>
                <w:sz w:val="20"/>
                <w:szCs w:val="20"/>
              </w:rPr>
            </w:pPr>
            <w:r w:rsidRPr="00023B68">
              <w:rPr>
                <w:sz w:val="20"/>
                <w:szCs w:val="20"/>
              </w:rPr>
              <w:t>SAIPL KIGEIT identyfikuje następujące typowe scenariusze:</w:t>
            </w:r>
          </w:p>
          <w:p w14:paraId="4526959A" w14:textId="77777777" w:rsidR="00A85FE9" w:rsidRPr="00023B68" w:rsidRDefault="00A85FE9" w:rsidP="00A85FE9">
            <w:pPr>
              <w:pStyle w:val="Default"/>
              <w:rPr>
                <w:sz w:val="20"/>
                <w:szCs w:val="20"/>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789"/>
              <w:gridCol w:w="5432"/>
            </w:tblGrid>
            <w:tr w:rsidR="00A85FE9" w:rsidRPr="00023B68" w14:paraId="7C3D04A3" w14:textId="77777777">
              <w:trPr>
                <w:trHeight w:val="141"/>
              </w:trPr>
              <w:tc>
                <w:tcPr>
                  <w:tcW w:w="0" w:type="auto"/>
                  <w:tcBorders>
                    <w:top w:val="none" w:sz="6" w:space="0" w:color="auto"/>
                    <w:bottom w:val="none" w:sz="6" w:space="0" w:color="auto"/>
                    <w:right w:val="none" w:sz="6" w:space="0" w:color="auto"/>
                  </w:tcBorders>
                </w:tcPr>
                <w:p w14:paraId="6F94D241" w14:textId="77777777" w:rsidR="00A85FE9" w:rsidRPr="00023B68" w:rsidRDefault="00A85FE9" w:rsidP="00A85FE9">
                  <w:pPr>
                    <w:pStyle w:val="Default"/>
                    <w:rPr>
                      <w:sz w:val="20"/>
                      <w:szCs w:val="20"/>
                    </w:rPr>
                  </w:pPr>
                  <w:r w:rsidRPr="00023B68">
                    <w:rPr>
                      <w:b/>
                      <w:bCs/>
                      <w:sz w:val="20"/>
                      <w:szCs w:val="20"/>
                    </w:rPr>
                    <w:t xml:space="preserve">Scenariusz </w:t>
                  </w:r>
                  <w:proofErr w:type="spellStart"/>
                  <w:r w:rsidRPr="00023B68">
                    <w:rPr>
                      <w:b/>
                      <w:bCs/>
                      <w:sz w:val="20"/>
                      <w:szCs w:val="20"/>
                    </w:rPr>
                    <w:t>sovereignty</w:t>
                  </w:r>
                  <w:proofErr w:type="spellEnd"/>
                  <w:r w:rsidRPr="00023B68">
                    <w:rPr>
                      <w:b/>
                      <w:bCs/>
                      <w:sz w:val="20"/>
                      <w:szCs w:val="20"/>
                    </w:rPr>
                    <w:t xml:space="preserve"> </w:t>
                  </w:r>
                  <w:proofErr w:type="spellStart"/>
                  <w:r w:rsidRPr="00023B68">
                    <w:rPr>
                      <w:b/>
                      <w:bCs/>
                      <w:sz w:val="20"/>
                      <w:szCs w:val="20"/>
                    </w:rPr>
                    <w:t>washing</w:t>
                  </w:r>
                  <w:proofErr w:type="spellEnd"/>
                  <w:r w:rsidRPr="00023B68">
                    <w:rPr>
                      <w:b/>
                      <w:bCs/>
                      <w:sz w:val="20"/>
                      <w:szCs w:val="20"/>
                    </w:rPr>
                    <w:t xml:space="preserve"> </w:t>
                  </w:r>
                </w:p>
              </w:tc>
              <w:tc>
                <w:tcPr>
                  <w:tcW w:w="0" w:type="auto"/>
                  <w:tcBorders>
                    <w:top w:val="none" w:sz="6" w:space="0" w:color="auto"/>
                    <w:left w:val="none" w:sz="6" w:space="0" w:color="auto"/>
                    <w:bottom w:val="none" w:sz="6" w:space="0" w:color="auto"/>
                  </w:tcBorders>
                </w:tcPr>
                <w:p w14:paraId="3B530D96" w14:textId="77777777" w:rsidR="00A85FE9" w:rsidRPr="00023B68" w:rsidRDefault="00A85FE9" w:rsidP="00A85FE9">
                  <w:pPr>
                    <w:pStyle w:val="Default"/>
                    <w:rPr>
                      <w:sz w:val="20"/>
                      <w:szCs w:val="20"/>
                    </w:rPr>
                  </w:pPr>
                  <w:r w:rsidRPr="00023B68">
                    <w:rPr>
                      <w:b/>
                      <w:bCs/>
                      <w:sz w:val="20"/>
                      <w:szCs w:val="20"/>
                    </w:rPr>
                    <w:t xml:space="preserve">Mechanizm przeciwdziałania - propozycja SAIPL KIGEIT </w:t>
                  </w:r>
                </w:p>
              </w:tc>
            </w:tr>
            <w:tr w:rsidR="00A85FE9" w:rsidRPr="00023B68" w14:paraId="70494E7A" w14:textId="77777777">
              <w:trPr>
                <w:trHeight w:val="367"/>
              </w:trPr>
              <w:tc>
                <w:tcPr>
                  <w:tcW w:w="0" w:type="auto"/>
                  <w:tcBorders>
                    <w:top w:val="none" w:sz="6" w:space="0" w:color="auto"/>
                    <w:bottom w:val="none" w:sz="6" w:space="0" w:color="auto"/>
                    <w:right w:val="none" w:sz="6" w:space="0" w:color="auto"/>
                  </w:tcBorders>
                </w:tcPr>
                <w:p w14:paraId="4BE7D68D" w14:textId="77777777" w:rsidR="00A85FE9" w:rsidRPr="00023B68" w:rsidRDefault="00A85FE9" w:rsidP="00A85FE9">
                  <w:pPr>
                    <w:pStyle w:val="Default"/>
                    <w:rPr>
                      <w:sz w:val="20"/>
                      <w:szCs w:val="20"/>
                    </w:rPr>
                  </w:pPr>
                  <w:r w:rsidRPr="00023B68">
                    <w:rPr>
                      <w:sz w:val="20"/>
                      <w:szCs w:val="20"/>
                    </w:rPr>
                    <w:t xml:space="preserve">Serwery w Europie, klucze kryptograficzne wydane europejskiej spółce zależnej, ale R&amp;D i zarząd poza UE </w:t>
                  </w:r>
                </w:p>
              </w:tc>
              <w:tc>
                <w:tcPr>
                  <w:tcW w:w="0" w:type="auto"/>
                  <w:tcBorders>
                    <w:top w:val="none" w:sz="6" w:space="0" w:color="auto"/>
                    <w:left w:val="none" w:sz="6" w:space="0" w:color="auto"/>
                    <w:bottom w:val="none" w:sz="6" w:space="0" w:color="auto"/>
                  </w:tcBorders>
                </w:tcPr>
                <w:p w14:paraId="181ECA73" w14:textId="77777777" w:rsidR="00A85FE9" w:rsidRPr="00023B68" w:rsidRDefault="00A85FE9" w:rsidP="00A85FE9">
                  <w:pPr>
                    <w:pStyle w:val="Default"/>
                    <w:rPr>
                      <w:sz w:val="20"/>
                      <w:szCs w:val="20"/>
                    </w:rPr>
                  </w:pPr>
                  <w:r w:rsidRPr="00023B68">
                    <w:rPr>
                      <w:sz w:val="20"/>
                      <w:szCs w:val="20"/>
                    </w:rPr>
                    <w:t xml:space="preserve">Kryterium rzeczywistego centrum decyzyjnego: zarząd, R&amp;D i cykl życia produktu muszą znajdować się w EU/EEA/EFTA i być weryfikowane przez rejestry podatkowe i listy płac </w:t>
                  </w:r>
                </w:p>
              </w:tc>
            </w:tr>
            <w:tr w:rsidR="00A85FE9" w:rsidRPr="00023B68" w14:paraId="59A4E23D" w14:textId="77777777">
              <w:trPr>
                <w:trHeight w:val="367"/>
              </w:trPr>
              <w:tc>
                <w:tcPr>
                  <w:tcW w:w="0" w:type="auto"/>
                  <w:tcBorders>
                    <w:top w:val="none" w:sz="6" w:space="0" w:color="auto"/>
                    <w:bottom w:val="none" w:sz="6" w:space="0" w:color="auto"/>
                    <w:right w:val="none" w:sz="6" w:space="0" w:color="auto"/>
                  </w:tcBorders>
                </w:tcPr>
                <w:p w14:paraId="4754A112" w14:textId="77777777" w:rsidR="00A85FE9" w:rsidRPr="00023B68" w:rsidRDefault="00A85FE9" w:rsidP="00A85FE9">
                  <w:pPr>
                    <w:pStyle w:val="Default"/>
                    <w:rPr>
                      <w:sz w:val="20"/>
                      <w:szCs w:val="20"/>
                    </w:rPr>
                  </w:pPr>
                  <w:r w:rsidRPr="00023B68">
                    <w:rPr>
                      <w:sz w:val="20"/>
                      <w:szCs w:val="20"/>
                    </w:rPr>
                    <w:t xml:space="preserve">Joint venture z europejską firmą - podmiot formalnie europejski, ale technologia, własność intelektualna pozostaje poza UE </w:t>
                  </w:r>
                </w:p>
              </w:tc>
              <w:tc>
                <w:tcPr>
                  <w:tcW w:w="0" w:type="auto"/>
                  <w:tcBorders>
                    <w:top w:val="none" w:sz="6" w:space="0" w:color="auto"/>
                    <w:left w:val="none" w:sz="6" w:space="0" w:color="auto"/>
                    <w:bottom w:val="none" w:sz="6" w:space="0" w:color="auto"/>
                  </w:tcBorders>
                </w:tcPr>
                <w:p w14:paraId="14B40808" w14:textId="77777777" w:rsidR="00A85FE9" w:rsidRPr="00023B68" w:rsidRDefault="00A85FE9" w:rsidP="00A85FE9">
                  <w:pPr>
                    <w:pStyle w:val="Default"/>
                    <w:rPr>
                      <w:sz w:val="20"/>
                      <w:szCs w:val="20"/>
                    </w:rPr>
                  </w:pPr>
                  <w:r w:rsidRPr="00023B68">
                    <w:rPr>
                      <w:sz w:val="20"/>
                      <w:szCs w:val="20"/>
                    </w:rPr>
                    <w:t xml:space="preserve">Przejrzystość łańcucha własności do poziomu UBO (≤15% próg wprowadzony w ramach VI dyrektywy AML); zakaz ukrytej kontroli przez umowy licencyjne lub joint venture </w:t>
                  </w:r>
                </w:p>
              </w:tc>
            </w:tr>
            <w:tr w:rsidR="00A85FE9" w:rsidRPr="00023B68" w14:paraId="7466D93F" w14:textId="77777777">
              <w:trPr>
                <w:trHeight w:val="252"/>
              </w:trPr>
              <w:tc>
                <w:tcPr>
                  <w:tcW w:w="0" w:type="auto"/>
                  <w:tcBorders>
                    <w:top w:val="none" w:sz="6" w:space="0" w:color="auto"/>
                    <w:bottom w:val="none" w:sz="6" w:space="0" w:color="auto"/>
                    <w:right w:val="none" w:sz="6" w:space="0" w:color="auto"/>
                  </w:tcBorders>
                </w:tcPr>
                <w:p w14:paraId="25881501" w14:textId="77777777" w:rsidR="00A85FE9" w:rsidRPr="00023B68" w:rsidRDefault="00A85FE9" w:rsidP="00A85FE9">
                  <w:pPr>
                    <w:pStyle w:val="Default"/>
                    <w:rPr>
                      <w:sz w:val="20"/>
                      <w:szCs w:val="20"/>
                    </w:rPr>
                  </w:pPr>
                  <w:r w:rsidRPr="00023B68">
                    <w:rPr>
                      <w:sz w:val="20"/>
                      <w:szCs w:val="20"/>
                    </w:rPr>
                    <w:t xml:space="preserve">Pracownicy UE posiadający dostęp administracyjny, ale fizycznie pozostający pod nadzorem struktur spoza UE </w:t>
                  </w:r>
                </w:p>
              </w:tc>
              <w:tc>
                <w:tcPr>
                  <w:tcW w:w="0" w:type="auto"/>
                  <w:tcBorders>
                    <w:top w:val="none" w:sz="6" w:space="0" w:color="auto"/>
                    <w:left w:val="none" w:sz="6" w:space="0" w:color="auto"/>
                    <w:bottom w:val="none" w:sz="6" w:space="0" w:color="auto"/>
                  </w:tcBorders>
                </w:tcPr>
                <w:p w14:paraId="709A8ED8" w14:textId="77777777" w:rsidR="00A85FE9" w:rsidRPr="00023B68" w:rsidRDefault="00A85FE9" w:rsidP="00A85FE9">
                  <w:pPr>
                    <w:pStyle w:val="Default"/>
                    <w:rPr>
                      <w:sz w:val="20"/>
                      <w:szCs w:val="20"/>
                    </w:rPr>
                  </w:pPr>
                  <w:r w:rsidRPr="00023B68">
                    <w:rPr>
                      <w:sz w:val="20"/>
                      <w:szCs w:val="20"/>
                    </w:rPr>
                    <w:t xml:space="preserve">Audyt ścieżek dostępu uprzywilejowanego (PAM); wymóg, by personel operacyjny był obywatelami UE rezydującymi w UE na poziomach 3-4 </w:t>
                  </w:r>
                </w:p>
              </w:tc>
            </w:tr>
            <w:tr w:rsidR="00A85FE9" w:rsidRPr="00023B68" w14:paraId="7C490281" w14:textId="77777777">
              <w:trPr>
                <w:trHeight w:val="367"/>
              </w:trPr>
              <w:tc>
                <w:tcPr>
                  <w:tcW w:w="0" w:type="auto"/>
                  <w:tcBorders>
                    <w:top w:val="none" w:sz="6" w:space="0" w:color="auto"/>
                    <w:bottom w:val="none" w:sz="6" w:space="0" w:color="auto"/>
                    <w:right w:val="none" w:sz="6" w:space="0" w:color="auto"/>
                  </w:tcBorders>
                </w:tcPr>
                <w:p w14:paraId="28A92B91" w14:textId="77777777" w:rsidR="00A85FE9" w:rsidRPr="00023B68" w:rsidRDefault="00A85FE9" w:rsidP="00A85FE9">
                  <w:pPr>
                    <w:pStyle w:val="Default"/>
                    <w:rPr>
                      <w:sz w:val="20"/>
                      <w:szCs w:val="20"/>
                    </w:rPr>
                  </w:pPr>
                  <w:proofErr w:type="spellStart"/>
                  <w:r w:rsidRPr="00023B68">
                    <w:rPr>
                      <w:sz w:val="20"/>
                      <w:szCs w:val="20"/>
                    </w:rPr>
                    <w:lastRenderedPageBreak/>
                    <w:t>Samocertyfikacja</w:t>
                  </w:r>
                  <w:proofErr w:type="spellEnd"/>
                  <w:r w:rsidRPr="00023B68">
                    <w:rPr>
                      <w:sz w:val="20"/>
                      <w:szCs w:val="20"/>
                    </w:rPr>
                    <w:t xml:space="preserve"> poziomu 1 bez niezależnej weryfikacji </w:t>
                  </w:r>
                </w:p>
              </w:tc>
              <w:tc>
                <w:tcPr>
                  <w:tcW w:w="0" w:type="auto"/>
                  <w:tcBorders>
                    <w:top w:val="none" w:sz="6" w:space="0" w:color="auto"/>
                    <w:left w:val="none" w:sz="6" w:space="0" w:color="auto"/>
                    <w:bottom w:val="none" w:sz="6" w:space="0" w:color="auto"/>
                  </w:tcBorders>
                </w:tcPr>
                <w:p w14:paraId="7CF91FE1" w14:textId="77777777" w:rsidR="00A85FE9" w:rsidRPr="00023B68" w:rsidRDefault="00A85FE9" w:rsidP="00A85FE9">
                  <w:pPr>
                    <w:pStyle w:val="Default"/>
                    <w:rPr>
                      <w:sz w:val="20"/>
                      <w:szCs w:val="20"/>
                    </w:rPr>
                  </w:pPr>
                  <w:r w:rsidRPr="00023B68">
                    <w:rPr>
                      <w:sz w:val="20"/>
                      <w:szCs w:val="20"/>
                    </w:rPr>
                    <w:t xml:space="preserve">Obowiązkowy audyt zewnętrzny od poziomu 1 dla firm o przychodach na terenie EU powyżej 100 mln EUR; lista akredytowanych audytorów prowadzona przez ENISA; zakaz konfliktu interesów </w:t>
                  </w:r>
                </w:p>
              </w:tc>
            </w:tr>
            <w:tr w:rsidR="00A85FE9" w:rsidRPr="00023B68" w14:paraId="3567EEA9" w14:textId="77777777">
              <w:trPr>
                <w:trHeight w:val="253"/>
              </w:trPr>
              <w:tc>
                <w:tcPr>
                  <w:tcW w:w="0" w:type="auto"/>
                  <w:tcBorders>
                    <w:top w:val="none" w:sz="6" w:space="0" w:color="auto"/>
                    <w:bottom w:val="none" w:sz="6" w:space="0" w:color="auto"/>
                    <w:right w:val="none" w:sz="6" w:space="0" w:color="auto"/>
                  </w:tcBorders>
                </w:tcPr>
                <w:p w14:paraId="17F2142A" w14:textId="77777777" w:rsidR="00A85FE9" w:rsidRPr="00023B68" w:rsidRDefault="00A85FE9" w:rsidP="00A85FE9">
                  <w:pPr>
                    <w:pStyle w:val="Default"/>
                    <w:rPr>
                      <w:sz w:val="20"/>
                      <w:szCs w:val="20"/>
                    </w:rPr>
                  </w:pPr>
                  <w:r w:rsidRPr="00023B68">
                    <w:rPr>
                      <w:sz w:val="20"/>
                      <w:szCs w:val="20"/>
                    </w:rPr>
                    <w:t xml:space="preserve">Dane klientów pozostają w UE, ale telemetria i metadane eksportowane są do zagranicznego centrum danych </w:t>
                  </w:r>
                </w:p>
              </w:tc>
              <w:tc>
                <w:tcPr>
                  <w:tcW w:w="0" w:type="auto"/>
                  <w:tcBorders>
                    <w:top w:val="none" w:sz="6" w:space="0" w:color="auto"/>
                    <w:left w:val="none" w:sz="6" w:space="0" w:color="auto"/>
                    <w:bottom w:val="none" w:sz="6" w:space="0" w:color="auto"/>
                  </w:tcBorders>
                </w:tcPr>
                <w:p w14:paraId="3CFC4821" w14:textId="77777777" w:rsidR="00A85FE9" w:rsidRPr="00023B68" w:rsidRDefault="00A85FE9" w:rsidP="00A85FE9">
                  <w:pPr>
                    <w:pStyle w:val="Default"/>
                    <w:rPr>
                      <w:sz w:val="20"/>
                      <w:szCs w:val="20"/>
                    </w:rPr>
                  </w:pPr>
                  <w:r w:rsidRPr="00023B68">
                    <w:rPr>
                      <w:sz w:val="20"/>
                      <w:szCs w:val="20"/>
                    </w:rPr>
                    <w:t xml:space="preserve">Eksplicytne objęcie telemetrii, metadanych i logów operacyjnych klauzulą o lokalizacji danych; weryfikacja przez diagramy przepływu danych </w:t>
                  </w:r>
                </w:p>
              </w:tc>
            </w:tr>
          </w:tbl>
          <w:p w14:paraId="3E7E4905" w14:textId="77777777" w:rsidR="00A85FE9" w:rsidRPr="00023B68" w:rsidRDefault="00A85FE9" w:rsidP="00A85FE9">
            <w:pPr>
              <w:pStyle w:val="Default"/>
              <w:rPr>
                <w:sz w:val="20"/>
                <w:szCs w:val="20"/>
              </w:rPr>
            </w:pPr>
          </w:p>
          <w:p w14:paraId="6DCF765D" w14:textId="77777777" w:rsidR="00A85FE9" w:rsidRPr="00023B68" w:rsidRDefault="00A85FE9" w:rsidP="00A85FE9">
            <w:pPr>
              <w:pStyle w:val="Default"/>
              <w:rPr>
                <w:sz w:val="20"/>
                <w:szCs w:val="20"/>
              </w:rPr>
            </w:pPr>
            <w:r w:rsidRPr="00023B68">
              <w:rPr>
                <w:sz w:val="20"/>
                <w:szCs w:val="20"/>
              </w:rPr>
              <w:t xml:space="preserve">Skuteczne przeciwdziałanie </w:t>
            </w:r>
            <w:proofErr w:type="spellStart"/>
            <w:r w:rsidRPr="00023B68">
              <w:rPr>
                <w:sz w:val="20"/>
                <w:szCs w:val="20"/>
              </w:rPr>
              <w:t>sovereignty</w:t>
            </w:r>
            <w:proofErr w:type="spellEnd"/>
            <w:r w:rsidRPr="00023B68">
              <w:rPr>
                <w:sz w:val="20"/>
                <w:szCs w:val="20"/>
              </w:rPr>
              <w:t xml:space="preserve"> </w:t>
            </w:r>
            <w:proofErr w:type="spellStart"/>
            <w:r w:rsidRPr="00023B68">
              <w:rPr>
                <w:sz w:val="20"/>
                <w:szCs w:val="20"/>
              </w:rPr>
              <w:t>washing</w:t>
            </w:r>
            <w:proofErr w:type="spellEnd"/>
            <w:r w:rsidRPr="00023B68">
              <w:rPr>
                <w:sz w:val="20"/>
                <w:szCs w:val="20"/>
              </w:rPr>
              <w:t xml:space="preserve"> wymaga przejścia od podejścia opartego na formalnych przesłankach (rejestracja, lokalizacja infrastruktury) do podejścia opartego na kontroli faktycznej (</w:t>
            </w:r>
            <w:proofErr w:type="spellStart"/>
            <w:r w:rsidRPr="00023B68">
              <w:rPr>
                <w:sz w:val="20"/>
                <w:szCs w:val="20"/>
              </w:rPr>
              <w:t>Effective</w:t>
            </w:r>
            <w:proofErr w:type="spellEnd"/>
            <w:r w:rsidRPr="00023B68">
              <w:rPr>
                <w:sz w:val="20"/>
                <w:szCs w:val="20"/>
              </w:rPr>
              <w:t xml:space="preserve"> Control Test), obejmującego zarówno prawne, jak i techniczne oraz ekonomiczne aspekty zależności czy własności intelektualnej. Zachowanie </w:t>
            </w:r>
            <w:proofErr w:type="spellStart"/>
            <w:r w:rsidRPr="00023B68">
              <w:rPr>
                <w:sz w:val="20"/>
                <w:szCs w:val="20"/>
              </w:rPr>
              <w:t>hyperscalers</w:t>
            </w:r>
            <w:proofErr w:type="spellEnd"/>
            <w:r w:rsidRPr="00023B68">
              <w:rPr>
                <w:sz w:val="20"/>
                <w:szCs w:val="20"/>
              </w:rPr>
              <w:t xml:space="preserve"> zakładających spółki JV, wskazuje, że bez zmian podejścia w przepisach, nie zostaną zrealizowane rekomendacje przewidziane w raporcie </w:t>
            </w:r>
            <w:proofErr w:type="spellStart"/>
            <w:r w:rsidRPr="00023B68">
              <w:rPr>
                <w:sz w:val="20"/>
                <w:szCs w:val="20"/>
              </w:rPr>
              <w:t>Draghiego</w:t>
            </w:r>
            <w:proofErr w:type="spellEnd"/>
            <w:r w:rsidRPr="00023B68">
              <w:rPr>
                <w:sz w:val="20"/>
                <w:szCs w:val="20"/>
              </w:rPr>
              <w:t xml:space="preserve"> w zakresie zwiększenia udziałów europejskich podmiotów chmurowych.</w:t>
            </w:r>
          </w:p>
          <w:p w14:paraId="5E4F21E7" w14:textId="77777777" w:rsidR="00A85FE9" w:rsidRPr="00023B68" w:rsidRDefault="00A85FE9" w:rsidP="00A85FE9">
            <w:pPr>
              <w:pStyle w:val="Default"/>
              <w:rPr>
                <w:sz w:val="20"/>
                <w:szCs w:val="20"/>
              </w:rPr>
            </w:pPr>
          </w:p>
          <w:p w14:paraId="5605BFA2" w14:textId="77777777" w:rsidR="00A85FE9" w:rsidRPr="00023B68" w:rsidRDefault="00A85FE9" w:rsidP="00A85FE9">
            <w:pPr>
              <w:pStyle w:val="Default"/>
              <w:rPr>
                <w:sz w:val="20"/>
                <w:szCs w:val="20"/>
              </w:rPr>
            </w:pPr>
            <w:r w:rsidRPr="00023B68">
              <w:rPr>
                <w:sz w:val="20"/>
                <w:szCs w:val="20"/>
              </w:rPr>
              <w:t>Aneks II (kryteria audytu) powinien zostać uzupełniony o:</w:t>
            </w:r>
          </w:p>
          <w:p w14:paraId="359589C3" w14:textId="77777777" w:rsidR="00A85FE9" w:rsidRPr="00023B68" w:rsidRDefault="00A85FE9" w:rsidP="00A85FE9">
            <w:pPr>
              <w:pStyle w:val="Default"/>
              <w:rPr>
                <w:sz w:val="20"/>
                <w:szCs w:val="20"/>
              </w:rPr>
            </w:pPr>
            <w:r w:rsidRPr="00023B68">
              <w:rPr>
                <w:sz w:val="20"/>
                <w:szCs w:val="20"/>
              </w:rPr>
              <w:t>• Wymóg przejrzystości rzeczywistej własności (UBO) już od poziomu 1, weryfikacja przez BRIS i rejestr UBO zgodnie z dyrektywą 6AMLD.</w:t>
            </w:r>
          </w:p>
          <w:p w14:paraId="44D2C47F" w14:textId="77777777" w:rsidR="00A85FE9" w:rsidRPr="00023B68" w:rsidRDefault="00A85FE9" w:rsidP="00A85FE9">
            <w:pPr>
              <w:pStyle w:val="Default"/>
              <w:rPr>
                <w:sz w:val="20"/>
                <w:szCs w:val="20"/>
              </w:rPr>
            </w:pPr>
            <w:r w:rsidRPr="00023B68">
              <w:rPr>
                <w:sz w:val="20"/>
                <w:szCs w:val="20"/>
              </w:rPr>
              <w:t>• Zakaz liczenia jako europejskiego podmiotu, w którym podmiot spoza EU/EEA/EFTA sprawuje kontrolę faktyczną przez umowy licencyjne, długoterminowe umowy zaopatrzeniowe lub depozyty kodu źródłowego.</w:t>
            </w:r>
          </w:p>
          <w:p w14:paraId="64C920FD" w14:textId="77777777" w:rsidR="00A85FE9" w:rsidRPr="00023B68" w:rsidRDefault="00A85FE9" w:rsidP="00A85FE9">
            <w:pPr>
              <w:pStyle w:val="Default"/>
              <w:rPr>
                <w:sz w:val="20"/>
                <w:szCs w:val="20"/>
              </w:rPr>
            </w:pPr>
            <w:r w:rsidRPr="00023B68">
              <w:rPr>
                <w:sz w:val="20"/>
                <w:szCs w:val="20"/>
              </w:rPr>
              <w:t>• Obowiązkowy test efektywnej kontroli obejmujący: strukturę własności, prawa głosu, skład zarządu, zależności technologiczne i finansowe.</w:t>
            </w:r>
          </w:p>
          <w:p w14:paraId="1303767C" w14:textId="77777777" w:rsidR="00A85FE9" w:rsidRPr="00023B68" w:rsidRDefault="00A85FE9" w:rsidP="00A85FE9">
            <w:pPr>
              <w:pStyle w:val="Default"/>
              <w:rPr>
                <w:sz w:val="20"/>
                <w:szCs w:val="20"/>
              </w:rPr>
            </w:pPr>
            <w:r w:rsidRPr="00023B68">
              <w:rPr>
                <w:sz w:val="20"/>
                <w:szCs w:val="20"/>
              </w:rPr>
              <w:t>• Audyt obowiązkowy od poziomu 1 w przypadku podmiotów z rocznymi przychodami ponad 100 mln EUR na terenie UE</w:t>
            </w:r>
          </w:p>
          <w:p w14:paraId="06E52E18" w14:textId="77777777" w:rsidR="00A85FE9" w:rsidRPr="00023B68" w:rsidRDefault="00A85FE9" w:rsidP="00A85FE9">
            <w:pPr>
              <w:pStyle w:val="Default"/>
              <w:rPr>
                <w:sz w:val="20"/>
                <w:szCs w:val="20"/>
              </w:rPr>
            </w:pPr>
            <w:r w:rsidRPr="00023B68">
              <w:rPr>
                <w:sz w:val="20"/>
                <w:szCs w:val="20"/>
              </w:rPr>
              <w:t>• Od poziomu 2 posiadanie własności intelektualnej, B+R na terenie EU – ale nie na zasadzie licencji czy oddziałów</w:t>
            </w:r>
          </w:p>
          <w:p w14:paraId="5E0D7419" w14:textId="77777777" w:rsidR="00A85FE9" w:rsidRPr="00023B68" w:rsidRDefault="00A85FE9" w:rsidP="00A85FE9">
            <w:pPr>
              <w:pStyle w:val="Default"/>
              <w:rPr>
                <w:sz w:val="20"/>
                <w:szCs w:val="20"/>
              </w:rPr>
            </w:pPr>
            <w:r w:rsidRPr="00023B68">
              <w:rPr>
                <w:sz w:val="20"/>
                <w:szCs w:val="20"/>
              </w:rPr>
              <w:t>• Obowiązek zgłoszenia do organu krajowego każdego wniosku zewnętrznego o dostęp do danych klientów lub zakłócenie usługi (w ciągu 24h).</w:t>
            </w:r>
          </w:p>
          <w:p w14:paraId="1AC162F5" w14:textId="2126074B" w:rsidR="00A85FE9" w:rsidRPr="00023B68" w:rsidRDefault="00A85FE9" w:rsidP="00A85FE9">
            <w:pPr>
              <w:pStyle w:val="Default"/>
              <w:rPr>
                <w:sz w:val="20"/>
                <w:szCs w:val="20"/>
              </w:rPr>
            </w:pPr>
          </w:p>
        </w:tc>
      </w:tr>
      <w:tr w:rsidR="00A85FE9" w:rsidRPr="00913353" w14:paraId="0A64F675" w14:textId="77777777" w:rsidTr="00040008">
        <w:tc>
          <w:tcPr>
            <w:tcW w:w="0" w:type="auto"/>
          </w:tcPr>
          <w:p w14:paraId="0C2AE4F2" w14:textId="6C91D2C0" w:rsidR="00A85FE9" w:rsidRPr="00023B68" w:rsidRDefault="00A85FE9" w:rsidP="00A85FE9">
            <w:pPr>
              <w:pStyle w:val="Default"/>
              <w:rPr>
                <w:sz w:val="20"/>
                <w:szCs w:val="20"/>
              </w:rPr>
            </w:pPr>
            <w:proofErr w:type="spellStart"/>
            <w:r w:rsidRPr="00023B68">
              <w:rPr>
                <w:sz w:val="20"/>
                <w:szCs w:val="20"/>
              </w:rPr>
              <w:lastRenderedPageBreak/>
              <w:t>j.w</w:t>
            </w:r>
            <w:proofErr w:type="spellEnd"/>
            <w:r w:rsidRPr="00023B68">
              <w:rPr>
                <w:sz w:val="20"/>
                <w:szCs w:val="20"/>
              </w:rPr>
              <w:t>.</w:t>
            </w:r>
          </w:p>
        </w:tc>
        <w:tc>
          <w:tcPr>
            <w:tcW w:w="0" w:type="auto"/>
          </w:tcPr>
          <w:p w14:paraId="649DCE16" w14:textId="0F958F84" w:rsidR="00A85FE9" w:rsidRPr="00023B68" w:rsidRDefault="00A85FE9" w:rsidP="00A85FE9">
            <w:pPr>
              <w:pStyle w:val="Default"/>
              <w:rPr>
                <w:sz w:val="20"/>
                <w:szCs w:val="20"/>
              </w:rPr>
            </w:pPr>
            <w:r w:rsidRPr="00023B68">
              <w:rPr>
                <w:sz w:val="20"/>
                <w:szCs w:val="20"/>
              </w:rPr>
              <w:t>Fundacja IT Leader Club Polska</w:t>
            </w:r>
          </w:p>
        </w:tc>
        <w:tc>
          <w:tcPr>
            <w:tcW w:w="0" w:type="auto"/>
          </w:tcPr>
          <w:p w14:paraId="5E4F9BDA" w14:textId="77777777" w:rsidR="00A85FE9" w:rsidRPr="00023B68" w:rsidRDefault="00A85FE9" w:rsidP="00A85FE9">
            <w:pPr>
              <w:pStyle w:val="Default"/>
              <w:rPr>
                <w:sz w:val="20"/>
                <w:szCs w:val="20"/>
              </w:rPr>
            </w:pPr>
            <w:r w:rsidRPr="00023B68">
              <w:rPr>
                <w:sz w:val="20"/>
                <w:szCs w:val="20"/>
              </w:rPr>
              <w:t>Załącznik II ustanawia cztery poziomy zapewnienia. Kryteria obejmują między innymi lokalizację infrastruktury i danych, strukturę właścicielską, personel, kontrolę państw trzecich, SBOM, możliwość zdalnego zakłócenia usług i wykorzystanie danych do trenowania AI. Są to właściwe kierunki, ale wymagają dalszego doprecyzowania. </w:t>
            </w:r>
          </w:p>
          <w:p w14:paraId="2F1AE0A0" w14:textId="77777777" w:rsidR="00A85FE9" w:rsidRPr="00023B68" w:rsidRDefault="00A85FE9" w:rsidP="00A85FE9">
            <w:pPr>
              <w:pStyle w:val="Default"/>
              <w:rPr>
                <w:sz w:val="20"/>
                <w:szCs w:val="20"/>
              </w:rPr>
            </w:pPr>
            <w:r w:rsidRPr="00023B68">
              <w:rPr>
                <w:sz w:val="20"/>
                <w:szCs w:val="20"/>
              </w:rPr>
              <w:t>Fundacja rekomenduje wyraźne rozróżnienie czterech wymiarów suwerenności:</w:t>
            </w:r>
          </w:p>
          <w:p w14:paraId="35281937" w14:textId="77777777" w:rsidR="00A85FE9" w:rsidRPr="00023B68" w:rsidRDefault="00A85FE9" w:rsidP="00A85FE9">
            <w:pPr>
              <w:pStyle w:val="Default"/>
              <w:numPr>
                <w:ilvl w:val="0"/>
                <w:numId w:val="14"/>
              </w:numPr>
              <w:rPr>
                <w:sz w:val="20"/>
                <w:szCs w:val="20"/>
              </w:rPr>
            </w:pPr>
            <w:r w:rsidRPr="00023B68">
              <w:rPr>
                <w:b/>
                <w:bCs/>
                <w:sz w:val="20"/>
                <w:szCs w:val="20"/>
              </w:rPr>
              <w:t>suwerenności danych</w:t>
            </w:r>
            <w:r w:rsidRPr="00023B68">
              <w:rPr>
                <w:sz w:val="20"/>
                <w:szCs w:val="20"/>
              </w:rPr>
              <w:t xml:space="preserve"> – kontroli nad miejscem, zasadami i jurysdykcją przetwarzania;</w:t>
            </w:r>
          </w:p>
          <w:p w14:paraId="5E5C2A92" w14:textId="77777777" w:rsidR="00A85FE9" w:rsidRPr="00023B68" w:rsidRDefault="00A85FE9" w:rsidP="00A85FE9">
            <w:pPr>
              <w:pStyle w:val="Default"/>
              <w:numPr>
                <w:ilvl w:val="0"/>
                <w:numId w:val="14"/>
              </w:numPr>
              <w:rPr>
                <w:sz w:val="20"/>
                <w:szCs w:val="20"/>
              </w:rPr>
            </w:pPr>
            <w:r w:rsidRPr="00023B68">
              <w:rPr>
                <w:b/>
                <w:bCs/>
                <w:sz w:val="20"/>
                <w:szCs w:val="20"/>
              </w:rPr>
              <w:t>suwerenności operacyjnej</w:t>
            </w:r>
            <w:r w:rsidRPr="00023B68">
              <w:rPr>
                <w:sz w:val="20"/>
                <w:szCs w:val="20"/>
              </w:rPr>
              <w:t xml:space="preserve"> – zdolności do działania bez niekontrolowanej ingerencji zewnętrznej;</w:t>
            </w:r>
          </w:p>
          <w:p w14:paraId="10DA09D8" w14:textId="77777777" w:rsidR="00A85FE9" w:rsidRPr="00023B68" w:rsidRDefault="00A85FE9" w:rsidP="00A85FE9">
            <w:pPr>
              <w:pStyle w:val="Default"/>
              <w:numPr>
                <w:ilvl w:val="0"/>
                <w:numId w:val="14"/>
              </w:numPr>
              <w:rPr>
                <w:sz w:val="20"/>
                <w:szCs w:val="20"/>
              </w:rPr>
            </w:pPr>
            <w:r w:rsidRPr="00023B68">
              <w:rPr>
                <w:b/>
                <w:bCs/>
                <w:sz w:val="20"/>
                <w:szCs w:val="20"/>
              </w:rPr>
              <w:t>suwerenności technologicznej</w:t>
            </w:r>
            <w:r w:rsidRPr="00023B68">
              <w:rPr>
                <w:sz w:val="20"/>
                <w:szCs w:val="20"/>
              </w:rPr>
              <w:t xml:space="preserve"> – kontroli nad kluczowymi komponentami, kodem, aktualizacjami i zależnościami;</w:t>
            </w:r>
          </w:p>
          <w:p w14:paraId="17B85F0A" w14:textId="77777777" w:rsidR="00A85FE9" w:rsidRPr="00023B68" w:rsidRDefault="00A85FE9" w:rsidP="00A85FE9">
            <w:pPr>
              <w:pStyle w:val="Default"/>
              <w:numPr>
                <w:ilvl w:val="0"/>
                <w:numId w:val="14"/>
              </w:numPr>
              <w:rPr>
                <w:sz w:val="20"/>
                <w:szCs w:val="20"/>
              </w:rPr>
            </w:pPr>
            <w:r w:rsidRPr="00023B68">
              <w:rPr>
                <w:b/>
                <w:bCs/>
                <w:sz w:val="20"/>
                <w:szCs w:val="20"/>
              </w:rPr>
              <w:t>suwerenności prawnej i organizacyjnej</w:t>
            </w:r>
            <w:r w:rsidRPr="00023B68">
              <w:rPr>
                <w:sz w:val="20"/>
                <w:szCs w:val="20"/>
              </w:rPr>
              <w:t xml:space="preserve"> – niezależności od sprzecznych obowiązków prawnych państw trzecich.</w:t>
            </w:r>
          </w:p>
          <w:p w14:paraId="1722C59F" w14:textId="77777777" w:rsidR="00A85FE9" w:rsidRPr="00023B68" w:rsidRDefault="00A85FE9" w:rsidP="00A85FE9">
            <w:pPr>
              <w:pStyle w:val="Default"/>
              <w:rPr>
                <w:sz w:val="20"/>
                <w:szCs w:val="20"/>
              </w:rPr>
            </w:pPr>
            <w:r w:rsidRPr="00023B68">
              <w:rPr>
                <w:sz w:val="20"/>
                <w:szCs w:val="20"/>
              </w:rPr>
              <w:t>Dla poziomów 2–4 należy dodatkowo wymagać:</w:t>
            </w:r>
          </w:p>
          <w:p w14:paraId="2C042713" w14:textId="77777777" w:rsidR="00A85FE9" w:rsidRPr="00023B68" w:rsidRDefault="00A85FE9" w:rsidP="00A85FE9">
            <w:pPr>
              <w:pStyle w:val="Default"/>
              <w:numPr>
                <w:ilvl w:val="0"/>
                <w:numId w:val="15"/>
              </w:numPr>
              <w:rPr>
                <w:sz w:val="20"/>
                <w:szCs w:val="20"/>
              </w:rPr>
            </w:pPr>
            <w:r w:rsidRPr="00023B68">
              <w:rPr>
                <w:sz w:val="20"/>
                <w:szCs w:val="20"/>
              </w:rPr>
              <w:t>kontroli klienta nad kluczami szyfrującymi;</w:t>
            </w:r>
          </w:p>
          <w:p w14:paraId="365BD43A" w14:textId="77777777" w:rsidR="00A85FE9" w:rsidRPr="00023B68" w:rsidRDefault="00A85FE9" w:rsidP="00A85FE9">
            <w:pPr>
              <w:pStyle w:val="Default"/>
              <w:numPr>
                <w:ilvl w:val="0"/>
                <w:numId w:val="15"/>
              </w:numPr>
              <w:rPr>
                <w:sz w:val="20"/>
                <w:szCs w:val="20"/>
              </w:rPr>
            </w:pPr>
            <w:r w:rsidRPr="00023B68">
              <w:rPr>
                <w:sz w:val="20"/>
                <w:szCs w:val="20"/>
              </w:rPr>
              <w:t>zarządzania dostępem uprzywilejowanym;</w:t>
            </w:r>
          </w:p>
          <w:p w14:paraId="7BE9841E" w14:textId="77777777" w:rsidR="00A85FE9" w:rsidRPr="00023B68" w:rsidRDefault="00A85FE9" w:rsidP="00A85FE9">
            <w:pPr>
              <w:pStyle w:val="Default"/>
              <w:numPr>
                <w:ilvl w:val="0"/>
                <w:numId w:val="15"/>
              </w:numPr>
              <w:rPr>
                <w:sz w:val="20"/>
                <w:szCs w:val="20"/>
              </w:rPr>
            </w:pPr>
            <w:r w:rsidRPr="00023B68">
              <w:rPr>
                <w:sz w:val="20"/>
                <w:szCs w:val="20"/>
              </w:rPr>
              <w:t>rejestrowania wszystkich dostępów administracyjnych;</w:t>
            </w:r>
          </w:p>
          <w:p w14:paraId="487E64F0" w14:textId="77777777" w:rsidR="00A85FE9" w:rsidRPr="00023B68" w:rsidRDefault="00A85FE9" w:rsidP="00A85FE9">
            <w:pPr>
              <w:pStyle w:val="Default"/>
              <w:numPr>
                <w:ilvl w:val="0"/>
                <w:numId w:val="15"/>
              </w:numPr>
              <w:rPr>
                <w:sz w:val="20"/>
                <w:szCs w:val="20"/>
              </w:rPr>
            </w:pPr>
            <w:r w:rsidRPr="00023B68">
              <w:rPr>
                <w:sz w:val="20"/>
                <w:szCs w:val="20"/>
              </w:rPr>
              <w:t>rozdzielenia obowiązków;</w:t>
            </w:r>
          </w:p>
          <w:p w14:paraId="33F336B6" w14:textId="77777777" w:rsidR="00A85FE9" w:rsidRPr="00023B68" w:rsidRDefault="00A85FE9" w:rsidP="00A85FE9">
            <w:pPr>
              <w:pStyle w:val="Default"/>
              <w:numPr>
                <w:ilvl w:val="0"/>
                <w:numId w:val="15"/>
              </w:numPr>
              <w:rPr>
                <w:sz w:val="20"/>
                <w:szCs w:val="20"/>
              </w:rPr>
            </w:pPr>
            <w:r w:rsidRPr="00023B68">
              <w:rPr>
                <w:sz w:val="20"/>
                <w:szCs w:val="20"/>
              </w:rPr>
              <w:t xml:space="preserve">kontroli nad </w:t>
            </w:r>
            <w:proofErr w:type="spellStart"/>
            <w:r w:rsidRPr="00023B68">
              <w:rPr>
                <w:sz w:val="20"/>
                <w:szCs w:val="20"/>
              </w:rPr>
              <w:t>pipeline’ami</w:t>
            </w:r>
            <w:proofErr w:type="spellEnd"/>
            <w:r w:rsidRPr="00023B68">
              <w:rPr>
                <w:sz w:val="20"/>
                <w:szCs w:val="20"/>
              </w:rPr>
              <w:t xml:space="preserve"> budowania i aktualizacji;</w:t>
            </w:r>
          </w:p>
          <w:p w14:paraId="1486B0B2" w14:textId="77777777" w:rsidR="00A85FE9" w:rsidRPr="00023B68" w:rsidRDefault="00A85FE9" w:rsidP="00A85FE9">
            <w:pPr>
              <w:pStyle w:val="Default"/>
              <w:numPr>
                <w:ilvl w:val="0"/>
                <w:numId w:val="15"/>
              </w:numPr>
              <w:rPr>
                <w:sz w:val="20"/>
                <w:szCs w:val="20"/>
              </w:rPr>
            </w:pPr>
            <w:r w:rsidRPr="00023B68">
              <w:rPr>
                <w:sz w:val="20"/>
                <w:szCs w:val="20"/>
              </w:rPr>
              <w:lastRenderedPageBreak/>
              <w:t>blokowania zdalnych funkcji wyłączających lub degradujących usługę;</w:t>
            </w:r>
          </w:p>
          <w:p w14:paraId="0E356892" w14:textId="77777777" w:rsidR="00A85FE9" w:rsidRPr="00023B68" w:rsidRDefault="00A85FE9" w:rsidP="00A85FE9">
            <w:pPr>
              <w:pStyle w:val="Default"/>
              <w:numPr>
                <w:ilvl w:val="0"/>
                <w:numId w:val="15"/>
              </w:numPr>
              <w:rPr>
                <w:sz w:val="20"/>
                <w:szCs w:val="20"/>
              </w:rPr>
            </w:pPr>
            <w:r w:rsidRPr="00023B68">
              <w:rPr>
                <w:sz w:val="20"/>
                <w:szCs w:val="20"/>
              </w:rPr>
              <w:t>testowanego planu wyjścia;</w:t>
            </w:r>
          </w:p>
          <w:p w14:paraId="31F95C97" w14:textId="77777777" w:rsidR="00A85FE9" w:rsidRPr="00023B68" w:rsidRDefault="00A85FE9" w:rsidP="00A85FE9">
            <w:pPr>
              <w:pStyle w:val="Default"/>
              <w:numPr>
                <w:ilvl w:val="0"/>
                <w:numId w:val="15"/>
              </w:numPr>
              <w:rPr>
                <w:sz w:val="20"/>
                <w:szCs w:val="20"/>
              </w:rPr>
            </w:pPr>
            <w:r w:rsidRPr="00023B68">
              <w:rPr>
                <w:sz w:val="20"/>
                <w:szCs w:val="20"/>
              </w:rPr>
              <w:t>możliwości odtworzenia usługi bez udziału podmiotu z państwa trzeciego;</w:t>
            </w:r>
          </w:p>
          <w:p w14:paraId="4661E57F" w14:textId="77777777" w:rsidR="00A85FE9" w:rsidRPr="00023B68" w:rsidRDefault="00A85FE9" w:rsidP="00A85FE9">
            <w:pPr>
              <w:pStyle w:val="Default"/>
              <w:numPr>
                <w:ilvl w:val="0"/>
                <w:numId w:val="15"/>
              </w:numPr>
              <w:rPr>
                <w:sz w:val="20"/>
                <w:szCs w:val="20"/>
              </w:rPr>
            </w:pPr>
            <w:r w:rsidRPr="00023B68">
              <w:rPr>
                <w:sz w:val="20"/>
                <w:szCs w:val="20"/>
              </w:rPr>
              <w:t>udokumentowanej substytucyjności krytycznych komponentów;</w:t>
            </w:r>
          </w:p>
          <w:p w14:paraId="34AE0E68" w14:textId="77777777" w:rsidR="00A85FE9" w:rsidRPr="00023B68" w:rsidRDefault="00A85FE9" w:rsidP="00A85FE9">
            <w:pPr>
              <w:pStyle w:val="Default"/>
              <w:numPr>
                <w:ilvl w:val="0"/>
                <w:numId w:val="15"/>
              </w:numPr>
              <w:rPr>
                <w:sz w:val="20"/>
                <w:szCs w:val="20"/>
              </w:rPr>
            </w:pPr>
            <w:r w:rsidRPr="00023B68">
              <w:rPr>
                <w:sz w:val="20"/>
                <w:szCs w:val="20"/>
              </w:rPr>
              <w:t>regularnych testów migracji i odtwarzania.</w:t>
            </w:r>
          </w:p>
          <w:p w14:paraId="146B7A62" w14:textId="77777777" w:rsidR="00A85FE9" w:rsidRPr="00023B68" w:rsidRDefault="00A85FE9" w:rsidP="00A85FE9">
            <w:pPr>
              <w:pStyle w:val="Default"/>
              <w:rPr>
                <w:sz w:val="20"/>
                <w:szCs w:val="20"/>
              </w:rPr>
            </w:pPr>
            <w:r w:rsidRPr="00023B68">
              <w:rPr>
                <w:b/>
                <w:bCs/>
                <w:sz w:val="20"/>
                <w:szCs w:val="20"/>
              </w:rPr>
              <w:t xml:space="preserve">Sprzęt i </w:t>
            </w:r>
            <w:proofErr w:type="spellStart"/>
            <w:r w:rsidRPr="00023B68">
              <w:rPr>
                <w:b/>
                <w:bCs/>
                <w:sz w:val="20"/>
                <w:szCs w:val="20"/>
              </w:rPr>
              <w:t>firmware</w:t>
            </w:r>
            <w:proofErr w:type="spellEnd"/>
          </w:p>
          <w:p w14:paraId="7A42C9D4" w14:textId="77777777" w:rsidR="00A85FE9" w:rsidRPr="00023B68" w:rsidRDefault="00A85FE9" w:rsidP="00A85FE9">
            <w:pPr>
              <w:pStyle w:val="Default"/>
              <w:rPr>
                <w:sz w:val="20"/>
                <w:szCs w:val="20"/>
              </w:rPr>
            </w:pPr>
            <w:r w:rsidRPr="00023B68">
              <w:rPr>
                <w:sz w:val="20"/>
                <w:szCs w:val="20"/>
              </w:rPr>
              <w:t xml:space="preserve">Załącznik II wyłącza sprzęt z zakresu ram zapewnienia, chociaż obejmuje oprogramowanie. Jest to problem szczególnie w przypadku poziomu 4, który ma reprezentować najwyższy poziom kontroli. Suwerenność oprogramowania może zostać podważona przez podatny lub kontrolowany zewnętrznie </w:t>
            </w:r>
            <w:proofErr w:type="spellStart"/>
            <w:r w:rsidRPr="00023B68">
              <w:rPr>
                <w:sz w:val="20"/>
                <w:szCs w:val="20"/>
              </w:rPr>
              <w:t>firmware</w:t>
            </w:r>
            <w:proofErr w:type="spellEnd"/>
            <w:r w:rsidRPr="00023B68">
              <w:rPr>
                <w:sz w:val="20"/>
                <w:szCs w:val="20"/>
              </w:rPr>
              <w:t>, system zarządzania serwerem, akcelerator, procesor albo element sieciowy. </w:t>
            </w:r>
          </w:p>
          <w:p w14:paraId="6F45CE1D" w14:textId="77777777" w:rsidR="00A85FE9" w:rsidRPr="00023B68" w:rsidRDefault="00A85FE9" w:rsidP="00A85FE9">
            <w:pPr>
              <w:pStyle w:val="Default"/>
              <w:rPr>
                <w:sz w:val="20"/>
                <w:szCs w:val="20"/>
              </w:rPr>
            </w:pPr>
            <w:r w:rsidRPr="00023B68">
              <w:rPr>
                <w:sz w:val="20"/>
                <w:szCs w:val="20"/>
              </w:rPr>
              <w:t>Fundacja rekomenduje objęcie poziomów 3 i 4 co najmniej:</w:t>
            </w:r>
          </w:p>
          <w:p w14:paraId="6401115D" w14:textId="77777777" w:rsidR="00A85FE9" w:rsidRPr="00023B68" w:rsidRDefault="00A85FE9" w:rsidP="00A85FE9">
            <w:pPr>
              <w:pStyle w:val="Default"/>
              <w:numPr>
                <w:ilvl w:val="0"/>
                <w:numId w:val="16"/>
              </w:numPr>
              <w:rPr>
                <w:sz w:val="20"/>
                <w:szCs w:val="20"/>
              </w:rPr>
            </w:pPr>
            <w:proofErr w:type="spellStart"/>
            <w:r w:rsidRPr="00023B68">
              <w:rPr>
                <w:sz w:val="20"/>
                <w:szCs w:val="20"/>
              </w:rPr>
              <w:t>firmware</w:t>
            </w:r>
            <w:proofErr w:type="spellEnd"/>
            <w:r w:rsidRPr="00023B68">
              <w:rPr>
                <w:sz w:val="20"/>
                <w:szCs w:val="20"/>
              </w:rPr>
              <w:t>;</w:t>
            </w:r>
          </w:p>
          <w:p w14:paraId="18040D1B" w14:textId="77777777" w:rsidR="00A85FE9" w:rsidRPr="00023B68" w:rsidRDefault="00A85FE9" w:rsidP="00A85FE9">
            <w:pPr>
              <w:pStyle w:val="Default"/>
              <w:numPr>
                <w:ilvl w:val="0"/>
                <w:numId w:val="16"/>
              </w:numPr>
              <w:rPr>
                <w:sz w:val="20"/>
                <w:szCs w:val="20"/>
              </w:rPr>
            </w:pPr>
            <w:r w:rsidRPr="00023B68">
              <w:rPr>
                <w:sz w:val="20"/>
                <w:szCs w:val="20"/>
              </w:rPr>
              <w:t>systemów zarządzania sprzętem;</w:t>
            </w:r>
          </w:p>
          <w:p w14:paraId="6E7782FF" w14:textId="77777777" w:rsidR="00A85FE9" w:rsidRPr="00023B68" w:rsidRDefault="00A85FE9" w:rsidP="00A85FE9">
            <w:pPr>
              <w:pStyle w:val="Default"/>
              <w:numPr>
                <w:ilvl w:val="0"/>
                <w:numId w:val="16"/>
              </w:numPr>
              <w:rPr>
                <w:sz w:val="20"/>
                <w:szCs w:val="20"/>
              </w:rPr>
            </w:pPr>
            <w:r w:rsidRPr="00023B68">
              <w:rPr>
                <w:sz w:val="20"/>
                <w:szCs w:val="20"/>
              </w:rPr>
              <w:t xml:space="preserve">mechanizmów aktualizacji </w:t>
            </w:r>
            <w:proofErr w:type="spellStart"/>
            <w:r w:rsidRPr="00023B68">
              <w:rPr>
                <w:sz w:val="20"/>
                <w:szCs w:val="20"/>
              </w:rPr>
              <w:t>mikrokodu</w:t>
            </w:r>
            <w:proofErr w:type="spellEnd"/>
            <w:r w:rsidRPr="00023B68">
              <w:rPr>
                <w:sz w:val="20"/>
                <w:szCs w:val="20"/>
              </w:rPr>
              <w:t>;</w:t>
            </w:r>
          </w:p>
          <w:p w14:paraId="79E967B2" w14:textId="77777777" w:rsidR="00A85FE9" w:rsidRPr="00023B68" w:rsidRDefault="00A85FE9" w:rsidP="00A85FE9">
            <w:pPr>
              <w:pStyle w:val="Default"/>
              <w:numPr>
                <w:ilvl w:val="0"/>
                <w:numId w:val="16"/>
              </w:numPr>
              <w:rPr>
                <w:sz w:val="20"/>
                <w:szCs w:val="20"/>
              </w:rPr>
            </w:pPr>
            <w:r w:rsidRPr="00023B68">
              <w:rPr>
                <w:sz w:val="20"/>
                <w:szCs w:val="20"/>
              </w:rPr>
              <w:t>komponentów odpowiedzialnych za zdalne zarządzanie;</w:t>
            </w:r>
          </w:p>
          <w:p w14:paraId="0A3C09A2" w14:textId="77777777" w:rsidR="00A85FE9" w:rsidRPr="00023B68" w:rsidRDefault="00A85FE9" w:rsidP="00A85FE9">
            <w:pPr>
              <w:pStyle w:val="Default"/>
              <w:numPr>
                <w:ilvl w:val="0"/>
                <w:numId w:val="16"/>
              </w:numPr>
              <w:rPr>
                <w:sz w:val="20"/>
                <w:szCs w:val="20"/>
              </w:rPr>
            </w:pPr>
            <w:r w:rsidRPr="00023B68">
              <w:rPr>
                <w:sz w:val="20"/>
                <w:szCs w:val="20"/>
              </w:rPr>
              <w:t>ryzyka łańcucha dostaw sprzętu;</w:t>
            </w:r>
          </w:p>
          <w:p w14:paraId="3C4A49F8" w14:textId="77777777" w:rsidR="00A85FE9" w:rsidRPr="00023B68" w:rsidRDefault="00A85FE9" w:rsidP="00A85FE9">
            <w:pPr>
              <w:pStyle w:val="Default"/>
              <w:numPr>
                <w:ilvl w:val="0"/>
                <w:numId w:val="16"/>
              </w:numPr>
              <w:rPr>
                <w:sz w:val="20"/>
                <w:szCs w:val="20"/>
              </w:rPr>
            </w:pPr>
            <w:r w:rsidRPr="00023B68">
              <w:rPr>
                <w:sz w:val="20"/>
                <w:szCs w:val="20"/>
              </w:rPr>
              <w:t>planów zastąpienia krytycznych komponentów.</w:t>
            </w:r>
          </w:p>
          <w:p w14:paraId="090478D4" w14:textId="77777777" w:rsidR="00A85FE9" w:rsidRPr="00023B68" w:rsidRDefault="00A85FE9" w:rsidP="00A85FE9">
            <w:pPr>
              <w:pStyle w:val="Default"/>
              <w:rPr>
                <w:sz w:val="20"/>
                <w:szCs w:val="20"/>
              </w:rPr>
            </w:pPr>
            <w:r w:rsidRPr="00023B68">
              <w:rPr>
                <w:sz w:val="20"/>
                <w:szCs w:val="20"/>
              </w:rPr>
              <w:t>Nie musi to oznaczać wymogu wyłącznie europejskiego pochodzenia każdego elementu. Powinno jednak oznaczać znajomość zależności, ocenę ryzyka, kontrolę nad aktualizacjami i możliwość zastąpienia komponentu.</w:t>
            </w:r>
          </w:p>
          <w:p w14:paraId="0B9C064E" w14:textId="77777777" w:rsidR="00A85FE9" w:rsidRPr="00023B68" w:rsidRDefault="00A85FE9" w:rsidP="00A85FE9">
            <w:pPr>
              <w:pStyle w:val="Default"/>
              <w:rPr>
                <w:sz w:val="20"/>
                <w:szCs w:val="20"/>
              </w:rPr>
            </w:pPr>
            <w:r w:rsidRPr="00023B68">
              <w:rPr>
                <w:b/>
                <w:bCs/>
                <w:sz w:val="20"/>
                <w:szCs w:val="20"/>
              </w:rPr>
              <w:t>Łańcuch podwykonawców</w:t>
            </w:r>
          </w:p>
          <w:p w14:paraId="7BAA9508" w14:textId="77777777" w:rsidR="00A85FE9" w:rsidRPr="00023B68" w:rsidRDefault="00A85FE9" w:rsidP="00A85FE9">
            <w:pPr>
              <w:pStyle w:val="Default"/>
              <w:rPr>
                <w:sz w:val="20"/>
                <w:szCs w:val="20"/>
              </w:rPr>
            </w:pPr>
            <w:r w:rsidRPr="00023B68">
              <w:rPr>
                <w:sz w:val="20"/>
                <w:szCs w:val="20"/>
              </w:rPr>
              <w:t>Załącznik II koncentruje się przede wszystkim na podwykonawcach mających bezpośrednią relację kontraktową z dostawcą. W nowoczesnych usługach chmurowych krytyczna zależność może występować także na dalszym poziomie łańcucha dostaw.</w:t>
            </w:r>
          </w:p>
          <w:p w14:paraId="5A2444AC" w14:textId="77777777" w:rsidR="00A85FE9" w:rsidRPr="00023B68" w:rsidRDefault="00A85FE9" w:rsidP="00A85FE9">
            <w:pPr>
              <w:pStyle w:val="Default"/>
              <w:rPr>
                <w:sz w:val="20"/>
                <w:szCs w:val="20"/>
              </w:rPr>
            </w:pPr>
            <w:r w:rsidRPr="00023B68">
              <w:rPr>
                <w:sz w:val="20"/>
                <w:szCs w:val="20"/>
              </w:rPr>
              <w:t>Zakres audytu powinien obejmować wszystkich istotnych podwykonawców i dostawców komponentów, niezależnie od tego, czy mają bezpośrednią umowę z dostawcą usługi.</w:t>
            </w:r>
          </w:p>
          <w:p w14:paraId="3C6B628F" w14:textId="77777777" w:rsidR="00A85FE9" w:rsidRPr="00023B68" w:rsidRDefault="00A85FE9" w:rsidP="00A85FE9">
            <w:pPr>
              <w:pStyle w:val="Default"/>
              <w:rPr>
                <w:sz w:val="20"/>
                <w:szCs w:val="20"/>
              </w:rPr>
            </w:pPr>
            <w:r w:rsidRPr="00023B68">
              <w:rPr>
                <w:b/>
                <w:bCs/>
                <w:sz w:val="20"/>
                <w:szCs w:val="20"/>
              </w:rPr>
              <w:t>Kryterium obywatelstwa personelu</w:t>
            </w:r>
          </w:p>
          <w:p w14:paraId="7EB0ED40" w14:textId="77777777" w:rsidR="00A85FE9" w:rsidRPr="00023B68" w:rsidRDefault="00A85FE9" w:rsidP="00A85FE9">
            <w:pPr>
              <w:pStyle w:val="Default"/>
              <w:rPr>
                <w:sz w:val="20"/>
                <w:szCs w:val="20"/>
              </w:rPr>
            </w:pPr>
            <w:r w:rsidRPr="00023B68">
              <w:rPr>
                <w:sz w:val="20"/>
                <w:szCs w:val="20"/>
              </w:rPr>
              <w:t>Poziomy 3 i 4 wymagają w szerokim zakresie obywatelstwa UE. Fundacja zwraca uwagę, że samo obywatelstwo nie stanowi wystarczającej gwarancji bezpieczeństwa, a jego automatyczne stosowanie wobec całego personelu może pogłębić deficyt kompetencji. Bardziej adekwatnymi kryteriami są:</w:t>
            </w:r>
          </w:p>
          <w:p w14:paraId="648AA044" w14:textId="77777777" w:rsidR="00A85FE9" w:rsidRPr="00023B68" w:rsidRDefault="00A85FE9" w:rsidP="00A85FE9">
            <w:pPr>
              <w:pStyle w:val="Default"/>
              <w:numPr>
                <w:ilvl w:val="0"/>
                <w:numId w:val="17"/>
              </w:numPr>
              <w:rPr>
                <w:sz w:val="20"/>
                <w:szCs w:val="20"/>
              </w:rPr>
            </w:pPr>
            <w:r w:rsidRPr="00023B68">
              <w:rPr>
                <w:sz w:val="20"/>
                <w:szCs w:val="20"/>
              </w:rPr>
              <w:t>miejsce wykonywania pracy;</w:t>
            </w:r>
          </w:p>
          <w:p w14:paraId="35333FD3" w14:textId="77777777" w:rsidR="00A85FE9" w:rsidRPr="00023B68" w:rsidRDefault="00A85FE9" w:rsidP="00A85FE9">
            <w:pPr>
              <w:pStyle w:val="Default"/>
              <w:numPr>
                <w:ilvl w:val="0"/>
                <w:numId w:val="17"/>
              </w:numPr>
              <w:rPr>
                <w:sz w:val="20"/>
                <w:szCs w:val="20"/>
              </w:rPr>
            </w:pPr>
            <w:r w:rsidRPr="00023B68">
              <w:rPr>
                <w:sz w:val="20"/>
                <w:szCs w:val="20"/>
              </w:rPr>
              <w:t>właściwa jurysdykcja;</w:t>
            </w:r>
          </w:p>
          <w:p w14:paraId="0A244371" w14:textId="77777777" w:rsidR="00A85FE9" w:rsidRPr="00023B68" w:rsidRDefault="00A85FE9" w:rsidP="00A85FE9">
            <w:pPr>
              <w:pStyle w:val="Default"/>
              <w:numPr>
                <w:ilvl w:val="0"/>
                <w:numId w:val="17"/>
              </w:numPr>
              <w:rPr>
                <w:sz w:val="20"/>
                <w:szCs w:val="20"/>
              </w:rPr>
            </w:pPr>
            <w:r w:rsidRPr="00023B68">
              <w:rPr>
                <w:sz w:val="20"/>
                <w:szCs w:val="20"/>
              </w:rPr>
              <w:t>poświadczenie bezpieczeństwa;</w:t>
            </w:r>
          </w:p>
          <w:p w14:paraId="2C3C0BF6" w14:textId="77777777" w:rsidR="00A85FE9" w:rsidRPr="00023B68" w:rsidRDefault="00A85FE9" w:rsidP="00A85FE9">
            <w:pPr>
              <w:pStyle w:val="Default"/>
              <w:numPr>
                <w:ilvl w:val="0"/>
                <w:numId w:val="17"/>
              </w:numPr>
              <w:rPr>
                <w:sz w:val="20"/>
                <w:szCs w:val="20"/>
              </w:rPr>
            </w:pPr>
            <w:r w:rsidRPr="00023B68">
              <w:rPr>
                <w:sz w:val="20"/>
                <w:szCs w:val="20"/>
              </w:rPr>
              <w:t>weryfikacja personelu;</w:t>
            </w:r>
          </w:p>
          <w:p w14:paraId="16A3A1E7" w14:textId="77777777" w:rsidR="00A85FE9" w:rsidRPr="00023B68" w:rsidRDefault="00A85FE9" w:rsidP="00A85FE9">
            <w:pPr>
              <w:pStyle w:val="Default"/>
              <w:numPr>
                <w:ilvl w:val="0"/>
                <w:numId w:val="17"/>
              </w:numPr>
              <w:rPr>
                <w:sz w:val="20"/>
                <w:szCs w:val="20"/>
              </w:rPr>
            </w:pPr>
            <w:r w:rsidRPr="00023B68">
              <w:rPr>
                <w:sz w:val="20"/>
                <w:szCs w:val="20"/>
              </w:rPr>
              <w:t>zasada najmniejszych uprawnień;</w:t>
            </w:r>
          </w:p>
          <w:p w14:paraId="1E86E3FA" w14:textId="77777777" w:rsidR="00A85FE9" w:rsidRPr="00023B68" w:rsidRDefault="00A85FE9" w:rsidP="00A85FE9">
            <w:pPr>
              <w:pStyle w:val="Default"/>
              <w:numPr>
                <w:ilvl w:val="0"/>
                <w:numId w:val="17"/>
              </w:numPr>
              <w:rPr>
                <w:sz w:val="20"/>
                <w:szCs w:val="20"/>
              </w:rPr>
            </w:pPr>
            <w:r w:rsidRPr="00023B68">
              <w:rPr>
                <w:sz w:val="20"/>
                <w:szCs w:val="20"/>
              </w:rPr>
              <w:t>kontrola dostępu i pełna rozliczalność działań.</w:t>
            </w:r>
          </w:p>
          <w:p w14:paraId="37E4A51E" w14:textId="77777777" w:rsidR="00A85FE9" w:rsidRPr="007E3545" w:rsidRDefault="00A85FE9" w:rsidP="00A85FE9">
            <w:pPr>
              <w:pStyle w:val="Default"/>
              <w:rPr>
                <w:sz w:val="20"/>
                <w:szCs w:val="20"/>
              </w:rPr>
            </w:pPr>
            <w:r w:rsidRPr="00023B68">
              <w:rPr>
                <w:sz w:val="20"/>
                <w:szCs w:val="20"/>
              </w:rPr>
              <w:t>Obywatelstwo powinno pozostać wymogiem dla stanowisk związanych z informacjami niejawnymi albo szczególnymi zadaniami bezpieczeństwa, nie zaś automatycznie dla wszystkich osób uczestniczących w świadczeniu usługi.</w:t>
            </w:r>
          </w:p>
          <w:p w14:paraId="14F80859" w14:textId="77777777" w:rsidR="00A85FE9" w:rsidRPr="00913353" w:rsidRDefault="00A85FE9" w:rsidP="00A85FE9">
            <w:pPr>
              <w:pStyle w:val="Default"/>
              <w:rPr>
                <w:sz w:val="20"/>
                <w:szCs w:val="20"/>
              </w:rPr>
            </w:pPr>
          </w:p>
        </w:tc>
      </w:tr>
    </w:tbl>
    <w:p w14:paraId="378A02FA" w14:textId="7C3F5108" w:rsidR="00CE38CD" w:rsidRPr="00913353" w:rsidRDefault="00CE38CD" w:rsidP="00CE38CD">
      <w:pPr>
        <w:pStyle w:val="Default"/>
        <w:rPr>
          <w:sz w:val="20"/>
          <w:szCs w:val="20"/>
        </w:rPr>
      </w:pPr>
    </w:p>
    <w:p w14:paraId="29A76926" w14:textId="47A3D2B5" w:rsidR="00CE38CD" w:rsidRPr="00913353" w:rsidRDefault="00CE38CD" w:rsidP="00CE38CD">
      <w:pPr>
        <w:pStyle w:val="Default"/>
        <w:rPr>
          <w:sz w:val="20"/>
          <w:szCs w:val="20"/>
        </w:rPr>
      </w:pPr>
    </w:p>
    <w:p w14:paraId="33F5F33F" w14:textId="77777777" w:rsidR="00CE38CD" w:rsidRPr="00913353" w:rsidRDefault="00CE38CD">
      <w:pPr>
        <w:rPr>
          <w:sz w:val="20"/>
          <w:szCs w:val="20"/>
        </w:rPr>
      </w:pPr>
    </w:p>
    <w:p w14:paraId="48242C95" w14:textId="77777777" w:rsidR="00CE38CD" w:rsidRPr="00913353" w:rsidRDefault="00CE38CD">
      <w:pPr>
        <w:rPr>
          <w:sz w:val="20"/>
          <w:szCs w:val="20"/>
        </w:rPr>
      </w:pPr>
    </w:p>
    <w:sectPr w:rsidR="00CE38CD" w:rsidRPr="00913353" w:rsidSect="0004000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59AE4" w14:textId="77777777" w:rsidR="001734DD" w:rsidRDefault="001734DD" w:rsidP="0024055F">
      <w:pPr>
        <w:spacing w:after="0" w:line="240" w:lineRule="auto"/>
      </w:pPr>
      <w:r>
        <w:separator/>
      </w:r>
    </w:p>
  </w:endnote>
  <w:endnote w:type="continuationSeparator" w:id="0">
    <w:p w14:paraId="60228B73" w14:textId="77777777" w:rsidR="001734DD" w:rsidRDefault="001734DD" w:rsidP="00240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Inter">
    <w:altName w:val="Calibri"/>
    <w:panose1 w:val="00000000000000000000"/>
    <w:charset w:val="00"/>
    <w:family w:val="swiss"/>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A1B47" w14:textId="77777777" w:rsidR="001734DD" w:rsidRDefault="001734DD" w:rsidP="0024055F">
      <w:pPr>
        <w:spacing w:after="0" w:line="240" w:lineRule="auto"/>
      </w:pPr>
      <w:r>
        <w:separator/>
      </w:r>
    </w:p>
  </w:footnote>
  <w:footnote w:type="continuationSeparator" w:id="0">
    <w:p w14:paraId="09203D44" w14:textId="77777777" w:rsidR="001734DD" w:rsidRDefault="001734DD" w:rsidP="0024055F">
      <w:pPr>
        <w:spacing w:after="0" w:line="240" w:lineRule="auto"/>
      </w:pPr>
      <w:r>
        <w:continuationSeparator/>
      </w:r>
    </w:p>
  </w:footnote>
  <w:footnote w:id="1">
    <w:p w14:paraId="4B58A28C" w14:textId="6BAF87E9" w:rsidR="00A85FE9" w:rsidRDefault="00A85FE9">
      <w:pPr>
        <w:pStyle w:val="Tekstprzypisudolnego"/>
      </w:pPr>
      <w:r>
        <w:rPr>
          <w:rStyle w:val="Odwoanieprzypisudolnego"/>
        </w:rPr>
        <w:footnoteRef/>
      </w:r>
      <w:r>
        <w:t xml:space="preserve"> Identyczną uwagę zgłosił Zw. Cyfrowa Polska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7268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50A0E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4909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1CCC8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9F3FC6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50BDA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A8B74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F1975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63B78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8D051E0"/>
    <w:multiLevelType w:val="hybridMultilevel"/>
    <w:tmpl w:val="094E73D8"/>
    <w:lvl w:ilvl="0" w:tplc="504028FE">
      <w:numFmt w:val="bullet"/>
      <w:lvlText w:val="•"/>
      <w:lvlJc w:val="left"/>
      <w:rPr>
        <w:rFonts w:ascii="Arial Narrow" w:eastAsiaTheme="minorHAnsi" w:hAnsi="Arial Narrow" w:cs="Arial Narro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F8920D2"/>
    <w:multiLevelType w:val="multilevel"/>
    <w:tmpl w:val="B41037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681BB1"/>
    <w:multiLevelType w:val="multilevel"/>
    <w:tmpl w:val="38DC9D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AD498A"/>
    <w:multiLevelType w:val="multilevel"/>
    <w:tmpl w:val="1428B2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2782C55"/>
    <w:multiLevelType w:val="multilevel"/>
    <w:tmpl w:val="025E24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4DB3D4C"/>
    <w:multiLevelType w:val="multilevel"/>
    <w:tmpl w:val="89E6AD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EC33A2"/>
    <w:multiLevelType w:val="multilevel"/>
    <w:tmpl w:val="013CA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7BF2B65"/>
    <w:multiLevelType w:val="multilevel"/>
    <w:tmpl w:val="DE2CD1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117A84"/>
    <w:multiLevelType w:val="hybridMultilevel"/>
    <w:tmpl w:val="F2A4127E"/>
    <w:lvl w:ilvl="0" w:tplc="504028FE">
      <w:numFmt w:val="bullet"/>
      <w:lvlText w:val="•"/>
      <w:lvlJc w:val="left"/>
      <w:pPr>
        <w:ind w:left="360" w:hanging="360"/>
      </w:pPr>
      <w:rPr>
        <w:rFonts w:ascii="Arial Narrow" w:eastAsiaTheme="minorHAnsi" w:hAnsi="Arial Narrow" w:cs="Arial Narro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1955044F"/>
    <w:multiLevelType w:val="multilevel"/>
    <w:tmpl w:val="E27AF9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B3570B3"/>
    <w:multiLevelType w:val="multilevel"/>
    <w:tmpl w:val="8B3CE7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DC4CC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FB21F57"/>
    <w:multiLevelType w:val="multilevel"/>
    <w:tmpl w:val="017AE3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675F3B"/>
    <w:multiLevelType w:val="multilevel"/>
    <w:tmpl w:val="2F04F5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2AC3D93"/>
    <w:multiLevelType w:val="multilevel"/>
    <w:tmpl w:val="E1867F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8F6AA5"/>
    <w:multiLevelType w:val="multilevel"/>
    <w:tmpl w:val="1972B1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6A0165"/>
    <w:multiLevelType w:val="hybridMultilevel"/>
    <w:tmpl w:val="428A13E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387597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B48CA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C5D34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FB6771C"/>
    <w:multiLevelType w:val="multilevel"/>
    <w:tmpl w:val="63CAAE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36B26F8"/>
    <w:multiLevelType w:val="multilevel"/>
    <w:tmpl w:val="817CE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3B5665"/>
    <w:multiLevelType w:val="multilevel"/>
    <w:tmpl w:val="2B468B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D971AD"/>
    <w:multiLevelType w:val="multilevel"/>
    <w:tmpl w:val="90801E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6741843"/>
    <w:multiLevelType w:val="multilevel"/>
    <w:tmpl w:val="F81296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79856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A75365C"/>
    <w:multiLevelType w:val="multilevel"/>
    <w:tmpl w:val="463273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B93131B"/>
    <w:multiLevelType w:val="multilevel"/>
    <w:tmpl w:val="5F5833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4CE668FC"/>
    <w:multiLevelType w:val="multilevel"/>
    <w:tmpl w:val="A3F803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CFC2164"/>
    <w:multiLevelType w:val="multilevel"/>
    <w:tmpl w:val="8384C8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4D481A33"/>
    <w:multiLevelType w:val="multilevel"/>
    <w:tmpl w:val="92A8C0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F6812CC"/>
    <w:multiLevelType w:val="multilevel"/>
    <w:tmpl w:val="AC829C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1C240E2"/>
    <w:multiLevelType w:val="multilevel"/>
    <w:tmpl w:val="B1B044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5240E5A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5321500E"/>
    <w:multiLevelType w:val="multilevel"/>
    <w:tmpl w:val="BDDE88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E7B53F1"/>
    <w:multiLevelType w:val="multilevel"/>
    <w:tmpl w:val="F454CA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F2C57E4"/>
    <w:multiLevelType w:val="multilevel"/>
    <w:tmpl w:val="2124AC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236421"/>
    <w:multiLevelType w:val="multilevel"/>
    <w:tmpl w:val="0EE6DD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81144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6A0F1992"/>
    <w:multiLevelType w:val="multilevel"/>
    <w:tmpl w:val="3FECD5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9A43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6C233BA2"/>
    <w:multiLevelType w:val="multilevel"/>
    <w:tmpl w:val="FBDE0C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DE947C3"/>
    <w:multiLevelType w:val="hybridMultilevel"/>
    <w:tmpl w:val="B540D446"/>
    <w:lvl w:ilvl="0" w:tplc="504028FE">
      <w:numFmt w:val="bullet"/>
      <w:lvlText w:val="•"/>
      <w:lvlJc w:val="left"/>
      <w:pPr>
        <w:ind w:left="720" w:hanging="360"/>
      </w:pPr>
      <w:rPr>
        <w:rFonts w:ascii="Arial Narrow" w:eastAsiaTheme="minorHAnsi" w:hAnsi="Arial Narrow" w:cs="Arial Narro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29A4586"/>
    <w:multiLevelType w:val="multilevel"/>
    <w:tmpl w:val="AF12C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3BD7BD3"/>
    <w:multiLevelType w:val="multilevel"/>
    <w:tmpl w:val="2E4A4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63230760">
    <w:abstractNumId w:val="25"/>
  </w:num>
  <w:num w:numId="2" w16cid:durableId="1249264363">
    <w:abstractNumId w:val="51"/>
  </w:num>
  <w:num w:numId="3" w16cid:durableId="1127356530">
    <w:abstractNumId w:val="9"/>
  </w:num>
  <w:num w:numId="4" w16cid:durableId="1383482996">
    <w:abstractNumId w:val="34"/>
  </w:num>
  <w:num w:numId="5" w16cid:durableId="165831692">
    <w:abstractNumId w:val="0"/>
  </w:num>
  <w:num w:numId="6" w16cid:durableId="225578321">
    <w:abstractNumId w:val="17"/>
  </w:num>
  <w:num w:numId="7" w16cid:durableId="4571911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2447556">
    <w:abstractNumId w:val="12"/>
  </w:num>
  <w:num w:numId="9" w16cid:durableId="679308628">
    <w:abstractNumId w:val="19"/>
  </w:num>
  <w:num w:numId="10" w16cid:durableId="171146999">
    <w:abstractNumId w:val="33"/>
  </w:num>
  <w:num w:numId="11" w16cid:durableId="19944788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1334021">
    <w:abstractNumId w:val="16"/>
  </w:num>
  <w:num w:numId="13" w16cid:durableId="175195163">
    <w:abstractNumId w:val="23"/>
  </w:num>
  <w:num w:numId="14" w16cid:durableId="18215812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3838708">
    <w:abstractNumId w:val="37"/>
  </w:num>
  <w:num w:numId="16" w16cid:durableId="1670478851">
    <w:abstractNumId w:val="53"/>
  </w:num>
  <w:num w:numId="17" w16cid:durableId="779421021">
    <w:abstractNumId w:val="13"/>
  </w:num>
  <w:num w:numId="18" w16cid:durableId="2007706056">
    <w:abstractNumId w:val="45"/>
  </w:num>
  <w:num w:numId="19" w16cid:durableId="694116506">
    <w:abstractNumId w:val="10"/>
  </w:num>
  <w:num w:numId="20" w16cid:durableId="1122728994">
    <w:abstractNumId w:val="21"/>
  </w:num>
  <w:num w:numId="21" w16cid:durableId="282157318">
    <w:abstractNumId w:val="43"/>
  </w:num>
  <w:num w:numId="22" w16cid:durableId="2132935796">
    <w:abstractNumId w:val="52"/>
  </w:num>
  <w:num w:numId="23" w16cid:durableId="1024289552">
    <w:abstractNumId w:val="31"/>
  </w:num>
  <w:num w:numId="24" w16cid:durableId="1330407218">
    <w:abstractNumId w:val="46"/>
  </w:num>
  <w:num w:numId="25" w16cid:durableId="2057047794">
    <w:abstractNumId w:val="24"/>
  </w:num>
  <w:num w:numId="26" w16cid:durableId="311717633">
    <w:abstractNumId w:val="18"/>
  </w:num>
  <w:num w:numId="27" w16cid:durableId="252976813">
    <w:abstractNumId w:val="15"/>
  </w:num>
  <w:num w:numId="28" w16cid:durableId="636684723">
    <w:abstractNumId w:val="48"/>
  </w:num>
  <w:num w:numId="29" w16cid:durableId="11903340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6181316">
    <w:abstractNumId w:val="44"/>
  </w:num>
  <w:num w:numId="31" w16cid:durableId="643435967">
    <w:abstractNumId w:val="11"/>
  </w:num>
  <w:num w:numId="32" w16cid:durableId="1497648460">
    <w:abstractNumId w:val="30"/>
  </w:num>
  <w:num w:numId="33" w16cid:durableId="1839927492">
    <w:abstractNumId w:val="29"/>
  </w:num>
  <w:num w:numId="34" w16cid:durableId="67307094">
    <w:abstractNumId w:val="39"/>
  </w:num>
  <w:num w:numId="35" w16cid:durableId="532310902">
    <w:abstractNumId w:val="32"/>
  </w:num>
  <w:num w:numId="36" w16cid:durableId="1453671073">
    <w:abstractNumId w:val="35"/>
  </w:num>
  <w:num w:numId="37" w16cid:durableId="1704793325">
    <w:abstractNumId w:val="50"/>
  </w:num>
  <w:num w:numId="38" w16cid:durableId="509566109">
    <w:abstractNumId w:val="40"/>
  </w:num>
  <w:num w:numId="39" w16cid:durableId="645744395">
    <w:abstractNumId w:val="14"/>
  </w:num>
  <w:num w:numId="40" w16cid:durableId="1631086747">
    <w:abstractNumId w:val="27"/>
  </w:num>
  <w:num w:numId="41" w16cid:durableId="1897740634">
    <w:abstractNumId w:val="1"/>
  </w:num>
  <w:num w:numId="42" w16cid:durableId="905257793">
    <w:abstractNumId w:val="20"/>
  </w:num>
  <w:num w:numId="43" w16cid:durableId="1724062778">
    <w:abstractNumId w:val="5"/>
  </w:num>
  <w:num w:numId="44" w16cid:durableId="943222519">
    <w:abstractNumId w:val="4"/>
  </w:num>
  <w:num w:numId="45" w16cid:durableId="951090395">
    <w:abstractNumId w:val="8"/>
  </w:num>
  <w:num w:numId="46" w16cid:durableId="1005550615">
    <w:abstractNumId w:val="28"/>
  </w:num>
  <w:num w:numId="47" w16cid:durableId="255988467">
    <w:abstractNumId w:val="2"/>
  </w:num>
  <w:num w:numId="48" w16cid:durableId="2064598176">
    <w:abstractNumId w:val="7"/>
  </w:num>
  <w:num w:numId="49" w16cid:durableId="1754280518">
    <w:abstractNumId w:val="49"/>
  </w:num>
  <w:num w:numId="50" w16cid:durableId="491600299">
    <w:abstractNumId w:val="26"/>
  </w:num>
  <w:num w:numId="51" w16cid:durableId="1407534124">
    <w:abstractNumId w:val="6"/>
  </w:num>
  <w:num w:numId="52" w16cid:durableId="660962522">
    <w:abstractNumId w:val="42"/>
  </w:num>
  <w:num w:numId="53" w16cid:durableId="229658961">
    <w:abstractNumId w:val="3"/>
  </w:num>
  <w:num w:numId="54" w16cid:durableId="1178345279">
    <w:abstractNumId w:val="4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8CD"/>
    <w:rsid w:val="000004A0"/>
    <w:rsid w:val="00005AEA"/>
    <w:rsid w:val="0000632E"/>
    <w:rsid w:val="0000708E"/>
    <w:rsid w:val="00023B68"/>
    <w:rsid w:val="00025A73"/>
    <w:rsid w:val="00027581"/>
    <w:rsid w:val="00033236"/>
    <w:rsid w:val="00040008"/>
    <w:rsid w:val="00045B36"/>
    <w:rsid w:val="00045CC1"/>
    <w:rsid w:val="000505DE"/>
    <w:rsid w:val="00053DCE"/>
    <w:rsid w:val="0006233C"/>
    <w:rsid w:val="000865DF"/>
    <w:rsid w:val="000A673C"/>
    <w:rsid w:val="000B287F"/>
    <w:rsid w:val="000B4EA8"/>
    <w:rsid w:val="000E0C7D"/>
    <w:rsid w:val="000F0A6A"/>
    <w:rsid w:val="000F5FE1"/>
    <w:rsid w:val="0011242A"/>
    <w:rsid w:val="00122D2F"/>
    <w:rsid w:val="0012310E"/>
    <w:rsid w:val="00131DFA"/>
    <w:rsid w:val="00165756"/>
    <w:rsid w:val="001734DD"/>
    <w:rsid w:val="00184293"/>
    <w:rsid w:val="001976A0"/>
    <w:rsid w:val="00197D84"/>
    <w:rsid w:val="001A2EBE"/>
    <w:rsid w:val="001A3DB6"/>
    <w:rsid w:val="001A5245"/>
    <w:rsid w:val="001E76F4"/>
    <w:rsid w:val="001F2F79"/>
    <w:rsid w:val="001F61D1"/>
    <w:rsid w:val="00217A3F"/>
    <w:rsid w:val="00220EC2"/>
    <w:rsid w:val="0024055F"/>
    <w:rsid w:val="00252B36"/>
    <w:rsid w:val="00257489"/>
    <w:rsid w:val="00267243"/>
    <w:rsid w:val="00274AE2"/>
    <w:rsid w:val="002A1F49"/>
    <w:rsid w:val="002A688A"/>
    <w:rsid w:val="002A6A4D"/>
    <w:rsid w:val="002C1705"/>
    <w:rsid w:val="002D0AFD"/>
    <w:rsid w:val="002D6720"/>
    <w:rsid w:val="002F6367"/>
    <w:rsid w:val="00302005"/>
    <w:rsid w:val="00324017"/>
    <w:rsid w:val="00324461"/>
    <w:rsid w:val="00325702"/>
    <w:rsid w:val="003408A8"/>
    <w:rsid w:val="00343649"/>
    <w:rsid w:val="00351BA9"/>
    <w:rsid w:val="00391AF4"/>
    <w:rsid w:val="00393D40"/>
    <w:rsid w:val="00397470"/>
    <w:rsid w:val="003B19EA"/>
    <w:rsid w:val="003B331B"/>
    <w:rsid w:val="003B542B"/>
    <w:rsid w:val="003D4EE7"/>
    <w:rsid w:val="003D5187"/>
    <w:rsid w:val="003E0D27"/>
    <w:rsid w:val="003E7B78"/>
    <w:rsid w:val="003F1826"/>
    <w:rsid w:val="003F4875"/>
    <w:rsid w:val="00412BF3"/>
    <w:rsid w:val="004322D5"/>
    <w:rsid w:val="00433B1D"/>
    <w:rsid w:val="004372D7"/>
    <w:rsid w:val="00462D3E"/>
    <w:rsid w:val="00465D0E"/>
    <w:rsid w:val="00480317"/>
    <w:rsid w:val="0049447B"/>
    <w:rsid w:val="0049590D"/>
    <w:rsid w:val="004B2507"/>
    <w:rsid w:val="004B4471"/>
    <w:rsid w:val="004B71C9"/>
    <w:rsid w:val="004C54C0"/>
    <w:rsid w:val="004D65CA"/>
    <w:rsid w:val="004E2342"/>
    <w:rsid w:val="004F1040"/>
    <w:rsid w:val="004F2FB6"/>
    <w:rsid w:val="004F3B2A"/>
    <w:rsid w:val="00505A65"/>
    <w:rsid w:val="00507034"/>
    <w:rsid w:val="0052079F"/>
    <w:rsid w:val="00531804"/>
    <w:rsid w:val="005632B6"/>
    <w:rsid w:val="005657FB"/>
    <w:rsid w:val="005705D4"/>
    <w:rsid w:val="005803AE"/>
    <w:rsid w:val="0058311A"/>
    <w:rsid w:val="005A5987"/>
    <w:rsid w:val="005A695E"/>
    <w:rsid w:val="005B0AB0"/>
    <w:rsid w:val="005B71DB"/>
    <w:rsid w:val="005C1E60"/>
    <w:rsid w:val="005C2581"/>
    <w:rsid w:val="005D05BE"/>
    <w:rsid w:val="005E1F40"/>
    <w:rsid w:val="005E4D9B"/>
    <w:rsid w:val="005F168F"/>
    <w:rsid w:val="005F23BD"/>
    <w:rsid w:val="005F42A4"/>
    <w:rsid w:val="00607C0D"/>
    <w:rsid w:val="00623A65"/>
    <w:rsid w:val="006248E6"/>
    <w:rsid w:val="006261E8"/>
    <w:rsid w:val="00626323"/>
    <w:rsid w:val="00631083"/>
    <w:rsid w:val="00633086"/>
    <w:rsid w:val="0063494E"/>
    <w:rsid w:val="00641D87"/>
    <w:rsid w:val="006514AA"/>
    <w:rsid w:val="00651616"/>
    <w:rsid w:val="00661642"/>
    <w:rsid w:val="00667F3A"/>
    <w:rsid w:val="006705C0"/>
    <w:rsid w:val="00673907"/>
    <w:rsid w:val="00675195"/>
    <w:rsid w:val="00683A56"/>
    <w:rsid w:val="0068506B"/>
    <w:rsid w:val="00693939"/>
    <w:rsid w:val="006954E1"/>
    <w:rsid w:val="00695708"/>
    <w:rsid w:val="006A6335"/>
    <w:rsid w:val="006C63BC"/>
    <w:rsid w:val="006D001C"/>
    <w:rsid w:val="006E2D18"/>
    <w:rsid w:val="00710931"/>
    <w:rsid w:val="0071302A"/>
    <w:rsid w:val="00727BE3"/>
    <w:rsid w:val="007327B0"/>
    <w:rsid w:val="00741CE9"/>
    <w:rsid w:val="00746930"/>
    <w:rsid w:val="0075507E"/>
    <w:rsid w:val="00760B86"/>
    <w:rsid w:val="00764C33"/>
    <w:rsid w:val="0077616A"/>
    <w:rsid w:val="007777B0"/>
    <w:rsid w:val="00791FDA"/>
    <w:rsid w:val="007A289D"/>
    <w:rsid w:val="007B43AB"/>
    <w:rsid w:val="007B4F01"/>
    <w:rsid w:val="007B5661"/>
    <w:rsid w:val="007C0D8B"/>
    <w:rsid w:val="007C61C4"/>
    <w:rsid w:val="007C7184"/>
    <w:rsid w:val="007D139B"/>
    <w:rsid w:val="007E3545"/>
    <w:rsid w:val="00800034"/>
    <w:rsid w:val="00803887"/>
    <w:rsid w:val="008146E2"/>
    <w:rsid w:val="008160EA"/>
    <w:rsid w:val="008263B0"/>
    <w:rsid w:val="00835CFB"/>
    <w:rsid w:val="00853D0B"/>
    <w:rsid w:val="008552CC"/>
    <w:rsid w:val="00873611"/>
    <w:rsid w:val="008744C5"/>
    <w:rsid w:val="008957DD"/>
    <w:rsid w:val="00896959"/>
    <w:rsid w:val="008A2FD8"/>
    <w:rsid w:val="008C6176"/>
    <w:rsid w:val="008D256F"/>
    <w:rsid w:val="008D3125"/>
    <w:rsid w:val="008D6BBE"/>
    <w:rsid w:val="008E6740"/>
    <w:rsid w:val="008F406D"/>
    <w:rsid w:val="008F4BF2"/>
    <w:rsid w:val="00910822"/>
    <w:rsid w:val="00913353"/>
    <w:rsid w:val="00922521"/>
    <w:rsid w:val="009438C1"/>
    <w:rsid w:val="009477A2"/>
    <w:rsid w:val="009552CE"/>
    <w:rsid w:val="00961A53"/>
    <w:rsid w:val="00985E4C"/>
    <w:rsid w:val="00990145"/>
    <w:rsid w:val="00990967"/>
    <w:rsid w:val="00994A65"/>
    <w:rsid w:val="009A037A"/>
    <w:rsid w:val="009A0682"/>
    <w:rsid w:val="009B7B5F"/>
    <w:rsid w:val="009C48B3"/>
    <w:rsid w:val="009C5A50"/>
    <w:rsid w:val="009E5D8B"/>
    <w:rsid w:val="00A00949"/>
    <w:rsid w:val="00A15362"/>
    <w:rsid w:val="00A17B20"/>
    <w:rsid w:val="00A21A92"/>
    <w:rsid w:val="00A351BA"/>
    <w:rsid w:val="00A42C26"/>
    <w:rsid w:val="00A4504B"/>
    <w:rsid w:val="00A450D3"/>
    <w:rsid w:val="00A52C3D"/>
    <w:rsid w:val="00A64397"/>
    <w:rsid w:val="00A66175"/>
    <w:rsid w:val="00A674DD"/>
    <w:rsid w:val="00A7213A"/>
    <w:rsid w:val="00A85FE9"/>
    <w:rsid w:val="00A976EC"/>
    <w:rsid w:val="00AA68A1"/>
    <w:rsid w:val="00AD7B5E"/>
    <w:rsid w:val="00AE378F"/>
    <w:rsid w:val="00AF0FC5"/>
    <w:rsid w:val="00AF1C0E"/>
    <w:rsid w:val="00AF3187"/>
    <w:rsid w:val="00AF434A"/>
    <w:rsid w:val="00B0650B"/>
    <w:rsid w:val="00B35B87"/>
    <w:rsid w:val="00B367B6"/>
    <w:rsid w:val="00B4295D"/>
    <w:rsid w:val="00B60360"/>
    <w:rsid w:val="00B71E11"/>
    <w:rsid w:val="00B96C7A"/>
    <w:rsid w:val="00B9764E"/>
    <w:rsid w:val="00BA7216"/>
    <w:rsid w:val="00BA7275"/>
    <w:rsid w:val="00BB41DC"/>
    <w:rsid w:val="00BC4C0C"/>
    <w:rsid w:val="00BD3039"/>
    <w:rsid w:val="00BE1100"/>
    <w:rsid w:val="00BF27F6"/>
    <w:rsid w:val="00C039B8"/>
    <w:rsid w:val="00C03B39"/>
    <w:rsid w:val="00C04A18"/>
    <w:rsid w:val="00C27329"/>
    <w:rsid w:val="00C32587"/>
    <w:rsid w:val="00C33077"/>
    <w:rsid w:val="00C41265"/>
    <w:rsid w:val="00C517F9"/>
    <w:rsid w:val="00C53716"/>
    <w:rsid w:val="00C55870"/>
    <w:rsid w:val="00C56142"/>
    <w:rsid w:val="00C73DD8"/>
    <w:rsid w:val="00C839E8"/>
    <w:rsid w:val="00C85190"/>
    <w:rsid w:val="00C9241C"/>
    <w:rsid w:val="00C943D1"/>
    <w:rsid w:val="00CB3F43"/>
    <w:rsid w:val="00CC251E"/>
    <w:rsid w:val="00CC39EA"/>
    <w:rsid w:val="00CE38CD"/>
    <w:rsid w:val="00CF07AC"/>
    <w:rsid w:val="00D114C8"/>
    <w:rsid w:val="00D16F9B"/>
    <w:rsid w:val="00D17B93"/>
    <w:rsid w:val="00D36439"/>
    <w:rsid w:val="00D4716D"/>
    <w:rsid w:val="00D70444"/>
    <w:rsid w:val="00D72023"/>
    <w:rsid w:val="00D84432"/>
    <w:rsid w:val="00D87E1B"/>
    <w:rsid w:val="00DA3341"/>
    <w:rsid w:val="00DA54CC"/>
    <w:rsid w:val="00DC6053"/>
    <w:rsid w:val="00DD771C"/>
    <w:rsid w:val="00DE6A6D"/>
    <w:rsid w:val="00DF0A38"/>
    <w:rsid w:val="00E0611A"/>
    <w:rsid w:val="00E115DD"/>
    <w:rsid w:val="00E2657C"/>
    <w:rsid w:val="00E30E75"/>
    <w:rsid w:val="00E33156"/>
    <w:rsid w:val="00E44C6D"/>
    <w:rsid w:val="00E55B74"/>
    <w:rsid w:val="00E571E8"/>
    <w:rsid w:val="00E97C05"/>
    <w:rsid w:val="00EA0A51"/>
    <w:rsid w:val="00EA0AC9"/>
    <w:rsid w:val="00EA186E"/>
    <w:rsid w:val="00EC358C"/>
    <w:rsid w:val="00EC39FD"/>
    <w:rsid w:val="00EF7199"/>
    <w:rsid w:val="00F033AA"/>
    <w:rsid w:val="00F10847"/>
    <w:rsid w:val="00F146E0"/>
    <w:rsid w:val="00F23482"/>
    <w:rsid w:val="00F4251D"/>
    <w:rsid w:val="00F629EF"/>
    <w:rsid w:val="00F657E5"/>
    <w:rsid w:val="00F91E18"/>
    <w:rsid w:val="00FA07D1"/>
    <w:rsid w:val="00FA1476"/>
    <w:rsid w:val="00FA6F21"/>
    <w:rsid w:val="00FB4F40"/>
    <w:rsid w:val="00FC1D54"/>
    <w:rsid w:val="00FC31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DEE51"/>
  <w15:chartTrackingRefBased/>
  <w15:docId w15:val="{4729272A-3738-4288-88A0-F80FE8DD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3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E3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E38C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E38C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E38C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E38C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E38C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E38C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E38C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38C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E38C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E38C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E38C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E38C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E38C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E38C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E38C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E38CD"/>
    <w:rPr>
      <w:rFonts w:eastAsiaTheme="majorEastAsia" w:cstheme="majorBidi"/>
      <w:color w:val="272727" w:themeColor="text1" w:themeTint="D8"/>
    </w:rPr>
  </w:style>
  <w:style w:type="paragraph" w:styleId="Tytu">
    <w:name w:val="Title"/>
    <w:basedOn w:val="Normalny"/>
    <w:next w:val="Normalny"/>
    <w:link w:val="TytuZnak"/>
    <w:uiPriority w:val="10"/>
    <w:qFormat/>
    <w:rsid w:val="00CE38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38C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E38C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E38C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E38CD"/>
    <w:pPr>
      <w:spacing w:before="160"/>
      <w:jc w:val="center"/>
    </w:pPr>
    <w:rPr>
      <w:i/>
      <w:iCs/>
      <w:color w:val="404040" w:themeColor="text1" w:themeTint="BF"/>
    </w:rPr>
  </w:style>
  <w:style w:type="character" w:customStyle="1" w:styleId="CytatZnak">
    <w:name w:val="Cytat Znak"/>
    <w:basedOn w:val="Domylnaczcionkaakapitu"/>
    <w:link w:val="Cytat"/>
    <w:uiPriority w:val="29"/>
    <w:rsid w:val="00CE38CD"/>
    <w:rPr>
      <w:i/>
      <w:iCs/>
      <w:color w:val="404040" w:themeColor="text1" w:themeTint="BF"/>
    </w:rPr>
  </w:style>
  <w:style w:type="paragraph" w:styleId="Akapitzlist">
    <w:name w:val="List Paragraph"/>
    <w:basedOn w:val="Normalny"/>
    <w:uiPriority w:val="34"/>
    <w:qFormat/>
    <w:rsid w:val="00CE38CD"/>
    <w:pPr>
      <w:ind w:left="720"/>
      <w:contextualSpacing/>
    </w:pPr>
  </w:style>
  <w:style w:type="character" w:styleId="Wyrnienieintensywne">
    <w:name w:val="Intense Emphasis"/>
    <w:basedOn w:val="Domylnaczcionkaakapitu"/>
    <w:uiPriority w:val="21"/>
    <w:qFormat/>
    <w:rsid w:val="00CE38CD"/>
    <w:rPr>
      <w:i/>
      <w:iCs/>
      <w:color w:val="0F4761" w:themeColor="accent1" w:themeShade="BF"/>
    </w:rPr>
  </w:style>
  <w:style w:type="paragraph" w:styleId="Cytatintensywny">
    <w:name w:val="Intense Quote"/>
    <w:basedOn w:val="Normalny"/>
    <w:next w:val="Normalny"/>
    <w:link w:val="CytatintensywnyZnak"/>
    <w:uiPriority w:val="30"/>
    <w:qFormat/>
    <w:rsid w:val="00CE3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E38CD"/>
    <w:rPr>
      <w:i/>
      <w:iCs/>
      <w:color w:val="0F4761" w:themeColor="accent1" w:themeShade="BF"/>
    </w:rPr>
  </w:style>
  <w:style w:type="character" w:styleId="Odwoanieintensywne">
    <w:name w:val="Intense Reference"/>
    <w:basedOn w:val="Domylnaczcionkaakapitu"/>
    <w:uiPriority w:val="32"/>
    <w:qFormat/>
    <w:rsid w:val="00CE38CD"/>
    <w:rPr>
      <w:b/>
      <w:bCs/>
      <w:smallCaps/>
      <w:color w:val="0F4761" w:themeColor="accent1" w:themeShade="BF"/>
      <w:spacing w:val="5"/>
    </w:rPr>
  </w:style>
  <w:style w:type="paragraph" w:customStyle="1" w:styleId="Default">
    <w:name w:val="Default"/>
    <w:rsid w:val="00CE38CD"/>
    <w:pPr>
      <w:autoSpaceDE w:val="0"/>
      <w:autoSpaceDN w:val="0"/>
      <w:adjustRightInd w:val="0"/>
      <w:spacing w:after="0" w:line="240" w:lineRule="auto"/>
    </w:pPr>
    <w:rPr>
      <w:rFonts w:ascii="Arial Narrow" w:hAnsi="Arial Narrow" w:cs="Arial Narrow"/>
      <w:color w:val="000000"/>
      <w:kern w:val="0"/>
    </w:rPr>
  </w:style>
  <w:style w:type="table" w:styleId="Tabela-Siatka">
    <w:name w:val="Table Grid"/>
    <w:basedOn w:val="Standardowy"/>
    <w:uiPriority w:val="39"/>
    <w:rsid w:val="00D84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24055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4055F"/>
    <w:rPr>
      <w:sz w:val="20"/>
      <w:szCs w:val="20"/>
    </w:rPr>
  </w:style>
  <w:style w:type="character" w:styleId="Odwoanieprzypisudolnego">
    <w:name w:val="footnote reference"/>
    <w:basedOn w:val="Domylnaczcionkaakapitu"/>
    <w:uiPriority w:val="99"/>
    <w:semiHidden/>
    <w:unhideWhenUsed/>
    <w:rsid w:val="0024055F"/>
    <w:rPr>
      <w:vertAlign w:val="superscript"/>
    </w:rPr>
  </w:style>
  <w:style w:type="paragraph" w:styleId="Nagwek">
    <w:name w:val="header"/>
    <w:basedOn w:val="Normalny"/>
    <w:link w:val="NagwekZnak"/>
    <w:uiPriority w:val="99"/>
    <w:semiHidden/>
    <w:unhideWhenUsed/>
    <w:rsid w:val="00E0611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E0611A"/>
  </w:style>
  <w:style w:type="paragraph" w:styleId="Stopka">
    <w:name w:val="footer"/>
    <w:basedOn w:val="Normalny"/>
    <w:link w:val="StopkaZnak"/>
    <w:uiPriority w:val="99"/>
    <w:semiHidden/>
    <w:unhideWhenUsed/>
    <w:rsid w:val="00E0611A"/>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E06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2B608DE3801E04A867AF33217F08F91" ma:contentTypeVersion="10" ma:contentTypeDescription="Utwórz nowy dokument." ma:contentTypeScope="" ma:versionID="9b9f353fd04121dc62527fedf20bb9c5">
  <xsd:schema xmlns:xsd="http://www.w3.org/2001/XMLSchema" xmlns:xs="http://www.w3.org/2001/XMLSchema" xmlns:p="http://schemas.microsoft.com/office/2006/metadata/properties" xmlns:ns2="93426813-0233-4231-915c-9cf451de3994" xmlns:ns3="14dbeaa4-26b8-4da0-ae90-1bd370dd5414" targetNamespace="http://schemas.microsoft.com/office/2006/metadata/properties" ma:root="true" ma:fieldsID="b6d8279218a580f92242a2cccb16c5f4" ns2:_="" ns3:_="">
    <xsd:import namespace="93426813-0233-4231-915c-9cf451de3994"/>
    <xsd:import namespace="14dbeaa4-26b8-4da0-ae90-1bd370dd54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26813-0233-4231-915c-9cf451de3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88746b49-d001-4972-b357-55943193dfd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dbeaa4-26b8-4da0-ae90-1bd370dd54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e8006-d764-4478-ba15-6ba223da212f}" ma:internalName="TaxCatchAll" ma:showField="CatchAllData" ma:web="14dbeaa4-26b8-4da0-ae90-1bd370dd54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426813-0233-4231-915c-9cf451de3994">
      <Terms xmlns="http://schemas.microsoft.com/office/infopath/2007/PartnerControls"/>
    </lcf76f155ced4ddcb4097134ff3c332f>
    <TaxCatchAll xmlns="14dbeaa4-26b8-4da0-ae90-1bd370dd541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7D867-1776-4804-841B-FD91E476C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26813-0233-4231-915c-9cf451de3994"/>
    <ds:schemaRef ds:uri="14dbeaa4-26b8-4da0-ae90-1bd370dd5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110D90-2761-4E79-B9BD-EC008759CBE5}">
  <ds:schemaRefs>
    <ds:schemaRef ds:uri="http://schemas.openxmlformats.org/officeDocument/2006/bibliography"/>
  </ds:schemaRefs>
</ds:datastoreItem>
</file>

<file path=customXml/itemProps3.xml><?xml version="1.0" encoding="utf-8"?>
<ds:datastoreItem xmlns:ds="http://schemas.openxmlformats.org/officeDocument/2006/customXml" ds:itemID="{09632988-6E7B-4B65-97C2-7802575BC258}">
  <ds:schemaRefs>
    <ds:schemaRef ds:uri="http://schemas.microsoft.com/office/2006/metadata/properties"/>
    <ds:schemaRef ds:uri="http://schemas.microsoft.com/office/infopath/2007/PartnerControls"/>
    <ds:schemaRef ds:uri="93426813-0233-4231-915c-9cf451de3994"/>
    <ds:schemaRef ds:uri="14dbeaa4-26b8-4da0-ae90-1bd370dd5414"/>
  </ds:schemaRefs>
</ds:datastoreItem>
</file>

<file path=customXml/itemProps4.xml><?xml version="1.0" encoding="utf-8"?>
<ds:datastoreItem xmlns:ds="http://schemas.openxmlformats.org/officeDocument/2006/customXml" ds:itemID="{B340B35A-F559-4D22-8978-461721537E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14443</TotalTime>
  <Pages>43</Pages>
  <Words>18505</Words>
  <Characters>111033</Characters>
  <Application>Microsoft Office Word</Application>
  <DocSecurity>0</DocSecurity>
  <Lines>925</Lines>
  <Paragraphs>258</Paragraphs>
  <ScaleCrop>false</ScaleCrop>
  <HeadingPairs>
    <vt:vector size="2" baseType="variant">
      <vt:variant>
        <vt:lpstr>Tytuł</vt:lpstr>
      </vt:variant>
      <vt:variant>
        <vt:i4>1</vt:i4>
      </vt:variant>
    </vt:vector>
  </HeadingPairs>
  <TitlesOfParts>
    <vt:vector size="1" baseType="lpstr">
      <vt:lpstr/>
    </vt:vector>
  </TitlesOfParts>
  <Company>COI</Company>
  <LinksUpToDate>false</LinksUpToDate>
  <CharactersWithSpaces>129280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Rogowski Adam</dc:creator>
  <cp:keywords/>
  <dc:description/>
  <cp:lastModifiedBy>Rogowski Adam</cp:lastModifiedBy>
  <cp:revision>275</cp:revision>
  <dcterms:created xsi:type="dcterms:W3CDTF">2026-08-19T08:20:00Z</dcterms:created>
  <dcterms:modified xsi:type="dcterms:W3CDTF">2026-09-22T16:25:00Z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0x010100B2B608DE3801E04A867AF33217F08F91</vt:lpwstr>
  </property>
  <property fmtid="{D5CDD505-2E9C-101B-9397-08002B2CF9AE}" pid="3" name="MediaServiceImageTags">
    <vt:lpwstr/>
  </property>
</Properties>
</file>