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16DA8" w14:textId="2DA3CD43" w:rsidR="009859FD" w:rsidRPr="00803805" w:rsidRDefault="00DB4ACC" w:rsidP="009E0B2F">
      <w:pPr>
        <w:spacing w:after="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03805">
        <w:rPr>
          <w:rFonts w:ascii="Calibri" w:hAnsi="Calibri" w:cs="Calibri"/>
          <w:b/>
          <w:bCs/>
          <w:sz w:val="28"/>
          <w:szCs w:val="28"/>
        </w:rPr>
        <w:t>„</w:t>
      </w:r>
      <w:r w:rsidR="005B7DEE" w:rsidRPr="00803805">
        <w:rPr>
          <w:rFonts w:ascii="Calibri" w:hAnsi="Calibri" w:cs="Calibri"/>
          <w:b/>
          <w:sz w:val="28"/>
          <w:szCs w:val="28"/>
          <w:u w:val="single"/>
        </w:rPr>
        <w:t>Dostawa, montaż i uruchomienie bramki do wykrywania metali w</w:t>
      </w:r>
      <w:r w:rsidR="00803805">
        <w:rPr>
          <w:rFonts w:ascii="Calibri" w:hAnsi="Calibri" w:cs="Calibri"/>
          <w:b/>
          <w:sz w:val="28"/>
          <w:szCs w:val="28"/>
          <w:u w:val="single"/>
        </w:rPr>
        <w:t> </w:t>
      </w:r>
      <w:r w:rsidR="005B7DEE" w:rsidRPr="00803805">
        <w:rPr>
          <w:rFonts w:ascii="Calibri" w:hAnsi="Calibri" w:cs="Calibri"/>
          <w:b/>
          <w:sz w:val="28"/>
          <w:szCs w:val="28"/>
          <w:u w:val="single"/>
        </w:rPr>
        <w:t>Prokuraturze Rejonowej w Koninie oraz Prokuraturze Rejonowej w</w:t>
      </w:r>
      <w:r w:rsidR="00803805">
        <w:rPr>
          <w:rFonts w:ascii="Calibri" w:hAnsi="Calibri" w:cs="Calibri"/>
          <w:b/>
          <w:sz w:val="28"/>
          <w:szCs w:val="28"/>
          <w:u w:val="single"/>
        </w:rPr>
        <w:t> Kole</w:t>
      </w:r>
      <w:r w:rsidRPr="00803805">
        <w:rPr>
          <w:rFonts w:ascii="Calibri" w:hAnsi="Calibri" w:cs="Calibri"/>
          <w:b/>
          <w:bCs/>
          <w:sz w:val="28"/>
          <w:szCs w:val="28"/>
        </w:rPr>
        <w:t>”</w:t>
      </w:r>
    </w:p>
    <w:p w14:paraId="1DCF0110" w14:textId="197D4F73" w:rsidR="00DB4ACC" w:rsidRPr="009A0DCA" w:rsidRDefault="00DB4ACC" w:rsidP="009344DA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BF2B3FD" w14:textId="220CB633" w:rsidR="00DB4ACC" w:rsidRDefault="009A0DCA" w:rsidP="009344DA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A0DCA">
        <w:rPr>
          <w:rFonts w:ascii="Calibri" w:hAnsi="Calibri" w:cs="Calibri"/>
          <w:b/>
          <w:bCs/>
          <w:sz w:val="24"/>
          <w:szCs w:val="24"/>
        </w:rPr>
        <w:t>OPIS PRZEDMIOTU ZAMÓWIENIA</w:t>
      </w:r>
    </w:p>
    <w:p w14:paraId="49EA403E" w14:textId="0926AABE" w:rsidR="009A0DCA" w:rsidRPr="009A0DCA" w:rsidRDefault="009A0DCA" w:rsidP="009344D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 w:rsidRPr="009A0DC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</w:t>
      </w:r>
      <w:r w:rsidRPr="009A0DCA">
        <w:rPr>
          <w:rFonts w:ascii="Calibri" w:hAnsi="Calibri" w:cs="Calibri"/>
          <w:sz w:val="24"/>
          <w:szCs w:val="24"/>
        </w:rPr>
        <w:t>ferent w momencie składania oferty musi załączyć certyfikat wydany bezpośrednio przez producenta w roku bieżącym świadczący o tym że jest autoryzowanym dystrybutorem i</w:t>
      </w:r>
      <w:r>
        <w:rPr>
          <w:rFonts w:ascii="Calibri" w:hAnsi="Calibri" w:cs="Calibri"/>
          <w:sz w:val="24"/>
          <w:szCs w:val="24"/>
        </w:rPr>
        <w:t> </w:t>
      </w:r>
      <w:r w:rsidRPr="009A0DCA">
        <w:rPr>
          <w:rFonts w:ascii="Calibri" w:hAnsi="Calibri" w:cs="Calibri"/>
          <w:sz w:val="24"/>
          <w:szCs w:val="24"/>
        </w:rPr>
        <w:t>serwisem na terenie Polski.</w:t>
      </w:r>
    </w:p>
    <w:p w14:paraId="3AAF78F8" w14:textId="203CE684" w:rsidR="009A0DCA" w:rsidRPr="009A0DCA" w:rsidRDefault="009A0DCA" w:rsidP="009344D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 w:rsidRPr="009A0DCA">
        <w:rPr>
          <w:rFonts w:ascii="Calibri" w:hAnsi="Calibri" w:cs="Calibri"/>
          <w:sz w:val="24"/>
          <w:szCs w:val="24"/>
        </w:rPr>
        <w:t xml:space="preserve"> Minimalna szerokość wewnętrzna przejścia 30" (0,76 m), wysokość 80" (2 m), głębokość 23" (0,58 m)</w:t>
      </w:r>
      <w:r>
        <w:rPr>
          <w:rFonts w:ascii="Calibri" w:hAnsi="Calibri" w:cs="Calibri"/>
          <w:sz w:val="24"/>
          <w:szCs w:val="24"/>
        </w:rPr>
        <w:t>.</w:t>
      </w:r>
    </w:p>
    <w:p w14:paraId="78C091E4" w14:textId="2ED84553" w:rsidR="009A0DCA" w:rsidRPr="009A0DCA" w:rsidRDefault="009A0DCA" w:rsidP="009344D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 </w:t>
      </w:r>
      <w:r w:rsidRPr="009A0DCA">
        <w:rPr>
          <w:rFonts w:ascii="Calibri" w:hAnsi="Calibri" w:cs="Calibri"/>
          <w:sz w:val="24"/>
          <w:szCs w:val="24"/>
        </w:rPr>
        <w:t>Maksymalna całkowita szerokość zewnętrzna 35" (0,9 m), wysokość 87" (2,2 m), głębokość 23" (0,58 m)</w:t>
      </w:r>
      <w:r>
        <w:rPr>
          <w:rFonts w:ascii="Calibri" w:hAnsi="Calibri" w:cs="Calibri"/>
          <w:sz w:val="24"/>
          <w:szCs w:val="24"/>
        </w:rPr>
        <w:t>.</w:t>
      </w:r>
    </w:p>
    <w:p w14:paraId="0EA9C2D4" w14:textId="12AB7789" w:rsidR="009A0DCA" w:rsidRPr="009A0DCA" w:rsidRDefault="009A0DCA" w:rsidP="009344D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</w:t>
      </w:r>
      <w:r w:rsidRPr="009A0DCA">
        <w:rPr>
          <w:rFonts w:ascii="Calibri" w:hAnsi="Calibri" w:cs="Calibri"/>
          <w:sz w:val="24"/>
          <w:szCs w:val="24"/>
        </w:rPr>
        <w:t xml:space="preserve"> Maksymalna waga 143 </w:t>
      </w:r>
      <w:proofErr w:type="spellStart"/>
      <w:r w:rsidRPr="009A0DCA">
        <w:rPr>
          <w:rFonts w:ascii="Calibri" w:hAnsi="Calibri" w:cs="Calibri"/>
          <w:sz w:val="24"/>
          <w:szCs w:val="24"/>
        </w:rPr>
        <w:t>lbs</w:t>
      </w:r>
      <w:proofErr w:type="spellEnd"/>
      <w:r w:rsidRPr="009A0DCA">
        <w:rPr>
          <w:rFonts w:ascii="Calibri" w:hAnsi="Calibri" w:cs="Calibri"/>
          <w:sz w:val="24"/>
          <w:szCs w:val="24"/>
        </w:rPr>
        <w:t xml:space="preserve">. (64 kg) </w:t>
      </w:r>
    </w:p>
    <w:p w14:paraId="21A4012E" w14:textId="00AE2A6C" w:rsidR="009A0DCA" w:rsidRPr="009A0DCA" w:rsidRDefault="009A0DCA" w:rsidP="009344D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5. </w:t>
      </w:r>
      <w:r w:rsidRPr="009A0DCA">
        <w:rPr>
          <w:rFonts w:ascii="Calibri" w:hAnsi="Calibri" w:cs="Calibri"/>
          <w:sz w:val="24"/>
          <w:szCs w:val="24"/>
        </w:rPr>
        <w:t>Konstrukcja panelowa, nie dopuszczalna jest konstrukcja eliptyczna</w:t>
      </w:r>
    </w:p>
    <w:p w14:paraId="2BCE0419" w14:textId="00F80CF1" w:rsidR="009A0DCA" w:rsidRPr="009A0DCA" w:rsidRDefault="009A0DCA" w:rsidP="009344D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</w:t>
      </w:r>
      <w:r w:rsidRPr="009A0DCA">
        <w:rPr>
          <w:rFonts w:ascii="Calibri" w:hAnsi="Calibri" w:cs="Calibri"/>
          <w:sz w:val="24"/>
          <w:szCs w:val="24"/>
        </w:rPr>
        <w:t xml:space="preserve"> Temperatura pracy: minimum -20°C do 65°C, przy wilgotności względnej do 95%</w:t>
      </w:r>
    </w:p>
    <w:p w14:paraId="19800A60" w14:textId="1F013D6F" w:rsidR="009A0DCA" w:rsidRPr="009A0DCA" w:rsidRDefault="009A0DCA" w:rsidP="009344D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</w:t>
      </w:r>
      <w:r w:rsidRPr="009A0DCA">
        <w:rPr>
          <w:rFonts w:ascii="Calibri" w:hAnsi="Calibri" w:cs="Calibri"/>
          <w:sz w:val="24"/>
          <w:szCs w:val="24"/>
        </w:rPr>
        <w:t xml:space="preserve"> IP 55, standard IEC</w:t>
      </w:r>
      <w:r>
        <w:rPr>
          <w:rFonts w:ascii="Calibri" w:hAnsi="Calibri" w:cs="Calibri"/>
          <w:sz w:val="24"/>
          <w:szCs w:val="24"/>
        </w:rPr>
        <w:t>.</w:t>
      </w:r>
    </w:p>
    <w:p w14:paraId="601ACFCD" w14:textId="7D50C778" w:rsidR="009A0DCA" w:rsidRPr="009A0DCA" w:rsidRDefault="009A0DCA" w:rsidP="009344D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8.</w:t>
      </w:r>
      <w:r w:rsidRPr="009A0DCA">
        <w:rPr>
          <w:rFonts w:ascii="Calibri" w:hAnsi="Calibri" w:cs="Calibri"/>
          <w:sz w:val="24"/>
          <w:szCs w:val="24"/>
        </w:rPr>
        <w:t xml:space="preserve"> Trwała konstrukcja (panele z </w:t>
      </w:r>
      <w:proofErr w:type="spellStart"/>
      <w:r w:rsidRPr="009A0DCA">
        <w:rPr>
          <w:rFonts w:ascii="Calibri" w:hAnsi="Calibri" w:cs="Calibri"/>
          <w:sz w:val="24"/>
          <w:szCs w:val="24"/>
        </w:rPr>
        <w:t>laminantu</w:t>
      </w:r>
      <w:proofErr w:type="spellEnd"/>
      <w:r w:rsidRPr="009A0DCA">
        <w:rPr>
          <w:rFonts w:ascii="Calibri" w:hAnsi="Calibri" w:cs="Calibri"/>
          <w:sz w:val="24"/>
          <w:szCs w:val="24"/>
        </w:rPr>
        <w:t xml:space="preserve"> odporne na zarysowania</w:t>
      </w:r>
      <w:r>
        <w:rPr>
          <w:rFonts w:ascii="Calibri" w:hAnsi="Calibri" w:cs="Calibri"/>
          <w:sz w:val="24"/>
          <w:szCs w:val="24"/>
        </w:rPr>
        <w:t>,</w:t>
      </w:r>
      <w:r w:rsidRPr="009A0DC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w</w:t>
      </w:r>
      <w:r w:rsidRPr="009A0DCA">
        <w:rPr>
          <w:rFonts w:ascii="Calibri" w:hAnsi="Calibri" w:cs="Calibri"/>
          <w:sz w:val="24"/>
          <w:szCs w:val="24"/>
        </w:rPr>
        <w:t>ytrzymała głowica detekcyjna z aluminium</w:t>
      </w:r>
      <w:r>
        <w:rPr>
          <w:rFonts w:ascii="Calibri" w:hAnsi="Calibri" w:cs="Calibri"/>
          <w:sz w:val="24"/>
          <w:szCs w:val="24"/>
        </w:rPr>
        <w:t>).</w:t>
      </w:r>
    </w:p>
    <w:p w14:paraId="7FA2DDE2" w14:textId="1D6AA687" w:rsidR="009A0DCA" w:rsidRPr="009A0DCA" w:rsidRDefault="009A0DCA" w:rsidP="009344D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</w:t>
      </w:r>
      <w:r w:rsidRPr="009A0DCA">
        <w:rPr>
          <w:rFonts w:ascii="Calibri" w:hAnsi="Calibri" w:cs="Calibri"/>
          <w:sz w:val="24"/>
          <w:szCs w:val="24"/>
        </w:rPr>
        <w:t xml:space="preserve"> Menu urządzenia i dokumentacja w języku Polskim</w:t>
      </w:r>
      <w:r>
        <w:rPr>
          <w:rFonts w:ascii="Calibri" w:hAnsi="Calibri" w:cs="Calibri"/>
          <w:sz w:val="24"/>
          <w:szCs w:val="24"/>
        </w:rPr>
        <w:t>.</w:t>
      </w:r>
    </w:p>
    <w:p w14:paraId="26273551" w14:textId="51F1FA74" w:rsidR="009A0DCA" w:rsidRPr="009A0DCA" w:rsidRDefault="009A0DCA" w:rsidP="009344D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10.</w:t>
      </w:r>
      <w:r w:rsidRPr="009A0DCA">
        <w:rPr>
          <w:rFonts w:ascii="Calibri" w:hAnsi="Calibri" w:cs="Calibri"/>
          <w:sz w:val="24"/>
          <w:szCs w:val="24"/>
        </w:rPr>
        <w:t xml:space="preserve"> Kody dostępu na poziomie chronionego programowania (administrator i użytkownik), urządzenie chronione kodem oraz kluczem</w:t>
      </w:r>
      <w:r>
        <w:rPr>
          <w:rFonts w:ascii="Calibri" w:hAnsi="Calibri" w:cs="Calibri"/>
          <w:sz w:val="24"/>
          <w:szCs w:val="24"/>
        </w:rPr>
        <w:t>.</w:t>
      </w:r>
    </w:p>
    <w:p w14:paraId="493534F9" w14:textId="195B1CAE" w:rsidR="009A0DCA" w:rsidRPr="009A0DCA" w:rsidRDefault="009A0DCA" w:rsidP="009344D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11. </w:t>
      </w:r>
      <w:r w:rsidR="001F4C1A">
        <w:rPr>
          <w:rFonts w:ascii="Calibri" w:hAnsi="Calibri" w:cs="Calibri"/>
          <w:sz w:val="24"/>
          <w:szCs w:val="24"/>
        </w:rPr>
        <w:t>F</w:t>
      </w:r>
      <w:r w:rsidRPr="009A0DCA">
        <w:rPr>
          <w:rFonts w:ascii="Calibri" w:hAnsi="Calibri" w:cs="Calibri"/>
          <w:sz w:val="24"/>
          <w:szCs w:val="24"/>
        </w:rPr>
        <w:t>abrycz</w:t>
      </w:r>
      <w:r>
        <w:rPr>
          <w:rFonts w:ascii="Calibri" w:hAnsi="Calibri" w:cs="Calibri"/>
          <w:sz w:val="24"/>
          <w:szCs w:val="24"/>
        </w:rPr>
        <w:t>n</w:t>
      </w:r>
      <w:r w:rsidRPr="009A0DCA">
        <w:rPr>
          <w:rFonts w:ascii="Calibri" w:hAnsi="Calibri" w:cs="Calibri"/>
          <w:sz w:val="24"/>
          <w:szCs w:val="24"/>
        </w:rPr>
        <w:t>e</w:t>
      </w:r>
      <w:r w:rsidR="001F4C1A">
        <w:rPr>
          <w:rFonts w:ascii="Calibri" w:hAnsi="Calibri" w:cs="Calibri"/>
          <w:sz w:val="24"/>
          <w:szCs w:val="24"/>
        </w:rPr>
        <w:t xml:space="preserve"> 23</w:t>
      </w:r>
      <w:r w:rsidRPr="009A0DCA">
        <w:rPr>
          <w:rFonts w:ascii="Calibri" w:hAnsi="Calibri" w:cs="Calibri"/>
          <w:sz w:val="24"/>
          <w:szCs w:val="24"/>
        </w:rPr>
        <w:t xml:space="preserve"> programy spełniające wszelkie wymagania dotyczące poziomu bezpieczeństwa (karta klucza nie jest wymagana)</w:t>
      </w:r>
      <w:r>
        <w:rPr>
          <w:rFonts w:ascii="Calibri" w:hAnsi="Calibri" w:cs="Calibri"/>
          <w:sz w:val="24"/>
          <w:szCs w:val="24"/>
        </w:rPr>
        <w:t>.</w:t>
      </w:r>
    </w:p>
    <w:p w14:paraId="193E186A" w14:textId="759255F7" w:rsidR="009A0DCA" w:rsidRPr="009A0DCA" w:rsidRDefault="009A0DCA" w:rsidP="009344D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12.</w:t>
      </w:r>
      <w:r w:rsidRPr="009A0DCA">
        <w:rPr>
          <w:rFonts w:ascii="Calibri" w:hAnsi="Calibri" w:cs="Calibri"/>
          <w:sz w:val="24"/>
          <w:szCs w:val="24"/>
        </w:rPr>
        <w:t xml:space="preserve"> </w:t>
      </w:r>
      <w:r w:rsidR="001F4C1A">
        <w:rPr>
          <w:rFonts w:ascii="Calibri" w:hAnsi="Calibri" w:cs="Calibri"/>
          <w:sz w:val="24"/>
          <w:szCs w:val="24"/>
        </w:rPr>
        <w:t xml:space="preserve">Trzy </w:t>
      </w:r>
      <w:r w:rsidRPr="009A0DCA">
        <w:rPr>
          <w:rFonts w:ascii="Calibri" w:hAnsi="Calibri" w:cs="Calibri"/>
          <w:sz w:val="24"/>
          <w:szCs w:val="24"/>
        </w:rPr>
        <w:t>programowalne ustawienia wstępne</w:t>
      </w:r>
      <w:r>
        <w:rPr>
          <w:rFonts w:ascii="Calibri" w:hAnsi="Calibri" w:cs="Calibri"/>
          <w:sz w:val="24"/>
          <w:szCs w:val="24"/>
        </w:rPr>
        <w:t>.</w:t>
      </w:r>
    </w:p>
    <w:p w14:paraId="7E3B59D2" w14:textId="16F57FBA" w:rsidR="009A0DCA" w:rsidRPr="009A0DCA" w:rsidRDefault="009A0DCA" w:rsidP="009344D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13.</w:t>
      </w:r>
      <w:r w:rsidRPr="009A0DCA">
        <w:rPr>
          <w:rFonts w:ascii="Calibri" w:hAnsi="Calibri" w:cs="Calibri"/>
          <w:sz w:val="24"/>
          <w:szCs w:val="24"/>
        </w:rPr>
        <w:t xml:space="preserve"> Szerokopasmowa technologia wykrywania impulsów</w:t>
      </w:r>
      <w:r>
        <w:rPr>
          <w:rFonts w:ascii="Calibri" w:hAnsi="Calibri" w:cs="Calibri"/>
          <w:sz w:val="24"/>
          <w:szCs w:val="24"/>
        </w:rPr>
        <w:t>.</w:t>
      </w:r>
      <w:r w:rsidRPr="009A0DCA">
        <w:rPr>
          <w:rFonts w:ascii="Calibri" w:hAnsi="Calibri" w:cs="Calibri"/>
          <w:sz w:val="24"/>
          <w:szCs w:val="24"/>
        </w:rPr>
        <w:t xml:space="preserve">     </w:t>
      </w:r>
    </w:p>
    <w:p w14:paraId="45F1B9C9" w14:textId="6331C39B" w:rsidR="009A0DCA" w:rsidRPr="009A0DCA" w:rsidRDefault="009A0DCA" w:rsidP="009344D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14.</w:t>
      </w:r>
      <w:r w:rsidRPr="009A0DCA">
        <w:rPr>
          <w:rFonts w:ascii="Calibri" w:hAnsi="Calibri" w:cs="Calibri"/>
          <w:sz w:val="24"/>
          <w:szCs w:val="24"/>
        </w:rPr>
        <w:t xml:space="preserve"> Nadajniki i odbiorniki  na obu panelach (jednolitość)</w:t>
      </w:r>
      <w:r>
        <w:rPr>
          <w:rFonts w:ascii="Calibri" w:hAnsi="Calibri" w:cs="Calibri"/>
          <w:sz w:val="24"/>
          <w:szCs w:val="24"/>
        </w:rPr>
        <w:t>.</w:t>
      </w:r>
    </w:p>
    <w:p w14:paraId="65712E75" w14:textId="2C8A7C0D" w:rsidR="009A0DCA" w:rsidRPr="009A0DCA" w:rsidRDefault="009A0DCA" w:rsidP="009344D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15.</w:t>
      </w:r>
      <w:r w:rsidRPr="009A0DCA">
        <w:rPr>
          <w:rFonts w:ascii="Calibri" w:hAnsi="Calibri" w:cs="Calibri"/>
          <w:sz w:val="24"/>
          <w:szCs w:val="24"/>
        </w:rPr>
        <w:t xml:space="preserve"> Regulowane ustawienia czułości (200 stopni czułości)</w:t>
      </w:r>
      <w:r>
        <w:rPr>
          <w:rFonts w:ascii="Calibri" w:hAnsi="Calibri" w:cs="Calibri"/>
          <w:sz w:val="24"/>
          <w:szCs w:val="24"/>
        </w:rPr>
        <w:t>.</w:t>
      </w:r>
    </w:p>
    <w:p w14:paraId="4210218F" w14:textId="19570807" w:rsidR="009A0DCA" w:rsidRPr="009A0DCA" w:rsidRDefault="009A0DCA" w:rsidP="009344D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16.</w:t>
      </w:r>
      <w:r w:rsidRPr="009A0DCA">
        <w:rPr>
          <w:rFonts w:ascii="Calibri" w:hAnsi="Calibri" w:cs="Calibri"/>
          <w:sz w:val="24"/>
          <w:szCs w:val="24"/>
        </w:rPr>
        <w:t xml:space="preserve"> Niezależne regulacje czułości stref (6 stref)</w:t>
      </w:r>
      <w:r>
        <w:rPr>
          <w:rFonts w:ascii="Calibri" w:hAnsi="Calibri" w:cs="Calibri"/>
          <w:sz w:val="24"/>
          <w:szCs w:val="24"/>
        </w:rPr>
        <w:t>.</w:t>
      </w:r>
    </w:p>
    <w:p w14:paraId="7FE449BB" w14:textId="22B76E13" w:rsidR="009A0DCA" w:rsidRPr="009A0DCA" w:rsidRDefault="009A0DCA" w:rsidP="009344D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17.</w:t>
      </w:r>
      <w:r w:rsidRPr="009A0DCA">
        <w:rPr>
          <w:rFonts w:ascii="Calibri" w:hAnsi="Calibri" w:cs="Calibri"/>
          <w:sz w:val="24"/>
          <w:szCs w:val="24"/>
        </w:rPr>
        <w:t xml:space="preserve"> Jednorodność pola w całym łuku detektora zapewniająca równe możliwości wykrywania w przypadku ekranowania podłogi</w:t>
      </w:r>
      <w:r>
        <w:rPr>
          <w:rFonts w:ascii="Calibri" w:hAnsi="Calibri" w:cs="Calibri"/>
          <w:sz w:val="24"/>
          <w:szCs w:val="24"/>
        </w:rPr>
        <w:t>.</w:t>
      </w:r>
    </w:p>
    <w:p w14:paraId="73ED8284" w14:textId="5035D3E2" w:rsidR="009A0DCA" w:rsidRPr="009A0DCA" w:rsidRDefault="009A0DCA" w:rsidP="009344D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18.</w:t>
      </w:r>
      <w:r w:rsidRPr="009A0DCA">
        <w:rPr>
          <w:rFonts w:ascii="Calibri" w:hAnsi="Calibri" w:cs="Calibri"/>
          <w:sz w:val="24"/>
          <w:szCs w:val="24"/>
        </w:rPr>
        <w:t xml:space="preserve"> </w:t>
      </w:r>
      <w:r w:rsidR="007A3F37">
        <w:rPr>
          <w:rFonts w:ascii="Calibri" w:hAnsi="Calibri" w:cs="Calibri"/>
          <w:sz w:val="24"/>
          <w:szCs w:val="24"/>
        </w:rPr>
        <w:t>O</w:t>
      </w:r>
      <w:r w:rsidRPr="009A0DCA">
        <w:rPr>
          <w:rFonts w:ascii="Calibri" w:hAnsi="Calibri" w:cs="Calibri"/>
          <w:sz w:val="24"/>
          <w:szCs w:val="24"/>
        </w:rPr>
        <w:t>dporność na zakłócenia środowiska</w:t>
      </w:r>
      <w:r w:rsidR="001F4C1A">
        <w:rPr>
          <w:rFonts w:ascii="Calibri" w:hAnsi="Calibri" w:cs="Calibri"/>
          <w:sz w:val="24"/>
          <w:szCs w:val="24"/>
        </w:rPr>
        <w:t>.</w:t>
      </w:r>
    </w:p>
    <w:p w14:paraId="79B4FE42" w14:textId="14DFC820" w:rsidR="009A0DCA" w:rsidRPr="009A0DCA" w:rsidRDefault="009A0DCA" w:rsidP="009344D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19.</w:t>
      </w:r>
      <w:r w:rsidRPr="009A0DCA">
        <w:rPr>
          <w:rFonts w:ascii="Calibri" w:hAnsi="Calibri" w:cs="Calibri"/>
          <w:sz w:val="24"/>
          <w:szCs w:val="24"/>
        </w:rPr>
        <w:t xml:space="preserve"> Częstotliwości pracy w celu wyeliminowania zakłóceń (2300 częstotliwości do wyboru) </w:t>
      </w:r>
      <w:r w:rsidR="001F4C1A">
        <w:rPr>
          <w:rFonts w:ascii="Calibri" w:hAnsi="Calibri" w:cs="Calibri"/>
          <w:sz w:val="24"/>
          <w:szCs w:val="24"/>
        </w:rPr>
        <w:t>.</w:t>
      </w:r>
      <w:r w:rsidRPr="009A0DCA">
        <w:rPr>
          <w:rFonts w:ascii="Calibri" w:hAnsi="Calibri" w:cs="Calibri"/>
          <w:sz w:val="24"/>
          <w:szCs w:val="24"/>
        </w:rPr>
        <w:t xml:space="preserve">  </w:t>
      </w:r>
    </w:p>
    <w:p w14:paraId="2F8B1101" w14:textId="288B3736" w:rsidR="009A0DCA" w:rsidRPr="009A0DCA" w:rsidRDefault="009A0DCA" w:rsidP="009344D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20.</w:t>
      </w:r>
      <w:r w:rsidRPr="009A0DCA">
        <w:rPr>
          <w:rFonts w:ascii="Calibri" w:hAnsi="Calibri" w:cs="Calibri"/>
          <w:sz w:val="24"/>
          <w:szCs w:val="24"/>
        </w:rPr>
        <w:t xml:space="preserve"> Wykrywanie magnetycznych (żelaznych), niemagnetycznych (nieżelaznych) i mieszanych metali stopowych (żelaznych i nieżelaznych)</w:t>
      </w:r>
      <w:r>
        <w:rPr>
          <w:rFonts w:ascii="Calibri" w:hAnsi="Calibri" w:cs="Calibri"/>
          <w:sz w:val="24"/>
          <w:szCs w:val="24"/>
        </w:rPr>
        <w:t>.</w:t>
      </w:r>
    </w:p>
    <w:p w14:paraId="051823EA" w14:textId="1F99ADAE" w:rsidR="009A0DCA" w:rsidRPr="009A0DCA" w:rsidRDefault="009A0DCA" w:rsidP="009344D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21.</w:t>
      </w:r>
      <w:r w:rsidRPr="009A0DCA">
        <w:rPr>
          <w:rFonts w:ascii="Calibri" w:hAnsi="Calibri" w:cs="Calibri"/>
          <w:sz w:val="24"/>
          <w:szCs w:val="24"/>
        </w:rPr>
        <w:t xml:space="preserve"> </w:t>
      </w:r>
      <w:r w:rsidR="001F4C1A">
        <w:rPr>
          <w:rFonts w:ascii="Calibri" w:hAnsi="Calibri" w:cs="Calibri"/>
          <w:sz w:val="24"/>
          <w:szCs w:val="24"/>
        </w:rPr>
        <w:t>Trzydzieści trzy</w:t>
      </w:r>
      <w:r w:rsidRPr="009A0DCA">
        <w:rPr>
          <w:rFonts w:ascii="Calibri" w:hAnsi="Calibri" w:cs="Calibri"/>
          <w:sz w:val="24"/>
          <w:szCs w:val="24"/>
        </w:rPr>
        <w:t xml:space="preserve"> strefy wykrywania zapewniające najwyższą dokładność i przyspieszone wyszukiwanie</w:t>
      </w:r>
      <w:r w:rsidR="001F4C1A">
        <w:rPr>
          <w:rFonts w:ascii="Calibri" w:hAnsi="Calibri" w:cs="Calibri"/>
          <w:sz w:val="24"/>
          <w:szCs w:val="24"/>
        </w:rPr>
        <w:t>.</w:t>
      </w:r>
    </w:p>
    <w:p w14:paraId="0A26859A" w14:textId="6C4B3CB5" w:rsidR="009A0DCA" w:rsidRPr="009A0DCA" w:rsidRDefault="009A0DCA" w:rsidP="009344D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22. </w:t>
      </w:r>
      <w:r w:rsidRPr="009A0DCA">
        <w:rPr>
          <w:rFonts w:ascii="Calibri" w:hAnsi="Calibri" w:cs="Calibri"/>
          <w:sz w:val="24"/>
          <w:szCs w:val="24"/>
        </w:rPr>
        <w:t>Wskazywanie obiektów po lewej / prawej / środkowej stronie od stóp do głów za pomocą niezależnych wskaźników LED na obu panelach</w:t>
      </w:r>
      <w:r>
        <w:rPr>
          <w:rFonts w:ascii="Calibri" w:hAnsi="Calibri" w:cs="Calibri"/>
          <w:sz w:val="24"/>
          <w:szCs w:val="24"/>
        </w:rPr>
        <w:t>.</w:t>
      </w:r>
    </w:p>
    <w:p w14:paraId="02E02444" w14:textId="1D64DDF2" w:rsidR="009A0DCA" w:rsidRPr="009A0DCA" w:rsidRDefault="009A0DCA" w:rsidP="009344D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23.</w:t>
      </w:r>
      <w:r w:rsidRPr="009A0DCA">
        <w:rPr>
          <w:rFonts w:ascii="Calibri" w:hAnsi="Calibri" w:cs="Calibri"/>
          <w:sz w:val="24"/>
          <w:szCs w:val="24"/>
        </w:rPr>
        <w:t xml:space="preserve"> Wykrywanie wielu obiektów jednocześnie</w:t>
      </w:r>
      <w:r>
        <w:rPr>
          <w:rFonts w:ascii="Calibri" w:hAnsi="Calibri" w:cs="Calibri"/>
          <w:sz w:val="24"/>
          <w:szCs w:val="24"/>
        </w:rPr>
        <w:t>.</w:t>
      </w:r>
    </w:p>
    <w:p w14:paraId="6BDBE478" w14:textId="41A35FDC" w:rsidR="009A0DCA" w:rsidRPr="009A0DCA" w:rsidRDefault="009A0DCA" w:rsidP="009344D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24.</w:t>
      </w:r>
      <w:r w:rsidRPr="009A0DCA">
        <w:rPr>
          <w:rFonts w:ascii="Calibri" w:hAnsi="Calibri" w:cs="Calibri"/>
          <w:sz w:val="24"/>
          <w:szCs w:val="24"/>
        </w:rPr>
        <w:t xml:space="preserve"> Dyskryminacja nieszkodliwych przedmiotów (biżuterii, monet itp.)</w:t>
      </w:r>
      <w:r>
        <w:rPr>
          <w:rFonts w:ascii="Calibri" w:hAnsi="Calibri" w:cs="Calibri"/>
          <w:sz w:val="24"/>
          <w:szCs w:val="24"/>
        </w:rPr>
        <w:t>.</w:t>
      </w:r>
    </w:p>
    <w:p w14:paraId="6DD8D065" w14:textId="33A157AF" w:rsidR="009A0DCA" w:rsidRPr="009A0DCA" w:rsidRDefault="009A0DCA" w:rsidP="009344D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25.</w:t>
      </w:r>
      <w:r w:rsidRPr="009A0DCA">
        <w:rPr>
          <w:rFonts w:ascii="Calibri" w:hAnsi="Calibri" w:cs="Calibri"/>
          <w:sz w:val="24"/>
          <w:szCs w:val="24"/>
        </w:rPr>
        <w:t xml:space="preserve"> Piktogramy wskazujące komendę idź „zielony” i stój „czerwony”</w:t>
      </w:r>
      <w:r>
        <w:rPr>
          <w:rFonts w:ascii="Calibri" w:hAnsi="Calibri" w:cs="Calibri"/>
          <w:sz w:val="24"/>
          <w:szCs w:val="24"/>
        </w:rPr>
        <w:t>.</w:t>
      </w:r>
    </w:p>
    <w:p w14:paraId="31BFACC0" w14:textId="4FADA978" w:rsidR="009A0DCA" w:rsidRPr="009A0DCA" w:rsidRDefault="009A0DCA" w:rsidP="009344D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26.</w:t>
      </w:r>
      <w:r w:rsidRPr="009A0DCA">
        <w:rPr>
          <w:rFonts w:ascii="Calibri" w:hAnsi="Calibri" w:cs="Calibri"/>
          <w:sz w:val="24"/>
          <w:szCs w:val="24"/>
        </w:rPr>
        <w:t xml:space="preserve"> Dźwiękowe i wizualne sygnały alarmowe</w:t>
      </w:r>
      <w:r>
        <w:rPr>
          <w:rFonts w:ascii="Calibri" w:hAnsi="Calibri" w:cs="Calibri"/>
          <w:sz w:val="24"/>
          <w:szCs w:val="24"/>
        </w:rPr>
        <w:t>.</w:t>
      </w:r>
    </w:p>
    <w:p w14:paraId="2153178C" w14:textId="544B32B7" w:rsidR="009A0DCA" w:rsidRPr="009A0DCA" w:rsidRDefault="009A0DCA" w:rsidP="009344D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27.</w:t>
      </w:r>
      <w:r w:rsidRPr="009A0DCA">
        <w:rPr>
          <w:rFonts w:ascii="Calibri" w:hAnsi="Calibri" w:cs="Calibri"/>
          <w:sz w:val="24"/>
          <w:szCs w:val="24"/>
        </w:rPr>
        <w:t xml:space="preserve"> Wskaźnik gotowości do pracy świecący na zielono</w:t>
      </w:r>
      <w:r>
        <w:rPr>
          <w:rFonts w:ascii="Calibri" w:hAnsi="Calibri" w:cs="Calibri"/>
          <w:sz w:val="24"/>
          <w:szCs w:val="24"/>
        </w:rPr>
        <w:t>.</w:t>
      </w:r>
    </w:p>
    <w:p w14:paraId="0BBB0884" w14:textId="63E57351" w:rsidR="009A0DCA" w:rsidRPr="009A0DCA" w:rsidRDefault="009A0DCA" w:rsidP="009344D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28.</w:t>
      </w:r>
      <w:r w:rsidRPr="009A0DCA">
        <w:rPr>
          <w:rFonts w:ascii="Calibri" w:hAnsi="Calibri" w:cs="Calibri"/>
          <w:sz w:val="24"/>
          <w:szCs w:val="24"/>
        </w:rPr>
        <w:t xml:space="preserve"> Zliczanie kierunkowe: TYLKO FWD, TYLKO REV, SUB REV, BIDIRECT</w:t>
      </w:r>
      <w:r>
        <w:rPr>
          <w:rFonts w:ascii="Calibri" w:hAnsi="Calibri" w:cs="Calibri"/>
          <w:sz w:val="24"/>
          <w:szCs w:val="24"/>
        </w:rPr>
        <w:t>.</w:t>
      </w:r>
    </w:p>
    <w:p w14:paraId="21425B57" w14:textId="7485C649" w:rsidR="009A0DCA" w:rsidRPr="009A0DCA" w:rsidRDefault="009A0DCA" w:rsidP="009344D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29.</w:t>
      </w:r>
      <w:r w:rsidRPr="009A0DCA">
        <w:rPr>
          <w:rFonts w:ascii="Calibri" w:hAnsi="Calibri" w:cs="Calibri"/>
          <w:sz w:val="24"/>
          <w:szCs w:val="24"/>
        </w:rPr>
        <w:t xml:space="preserve"> Losowe ustawienie alarmu 0-100 procent</w:t>
      </w:r>
      <w:r>
        <w:rPr>
          <w:rFonts w:ascii="Calibri" w:hAnsi="Calibri" w:cs="Calibri"/>
          <w:sz w:val="24"/>
          <w:szCs w:val="24"/>
        </w:rPr>
        <w:t>.</w:t>
      </w:r>
    </w:p>
    <w:p w14:paraId="09B6D29B" w14:textId="49A1F6B6" w:rsidR="009A0DCA" w:rsidRPr="009A0DCA" w:rsidRDefault="009A0DCA" w:rsidP="009344D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30.</w:t>
      </w:r>
      <w:r w:rsidRPr="009A0DCA">
        <w:rPr>
          <w:rFonts w:ascii="Calibri" w:hAnsi="Calibri" w:cs="Calibri"/>
          <w:sz w:val="24"/>
          <w:szCs w:val="24"/>
        </w:rPr>
        <w:t xml:space="preserve"> Statystyki nadzorcy i administratora (policz liczbę osób, liczbę alarmów i oblicz procent alarmów)</w:t>
      </w:r>
      <w:r>
        <w:rPr>
          <w:rFonts w:ascii="Calibri" w:hAnsi="Calibri" w:cs="Calibri"/>
          <w:sz w:val="24"/>
          <w:szCs w:val="24"/>
        </w:rPr>
        <w:t>.</w:t>
      </w:r>
    </w:p>
    <w:p w14:paraId="45BA280D" w14:textId="48F4C56E" w:rsidR="009A0DCA" w:rsidRPr="009A0DCA" w:rsidRDefault="009A0DCA" w:rsidP="009344D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31.</w:t>
      </w:r>
      <w:r w:rsidRPr="009A0DCA">
        <w:rPr>
          <w:rFonts w:ascii="Calibri" w:hAnsi="Calibri" w:cs="Calibri"/>
          <w:sz w:val="24"/>
          <w:szCs w:val="24"/>
        </w:rPr>
        <w:t xml:space="preserve"> Zasilacz zamontowany w obudowie elektroniki na górze łuku ze względów bezpieczeństwa. </w:t>
      </w:r>
      <w:r>
        <w:rPr>
          <w:rFonts w:ascii="Calibri" w:hAnsi="Calibri" w:cs="Calibri"/>
          <w:sz w:val="24"/>
          <w:szCs w:val="24"/>
        </w:rPr>
        <w:t xml:space="preserve">32. </w:t>
      </w:r>
      <w:r w:rsidRPr="009A0DCA">
        <w:rPr>
          <w:rFonts w:ascii="Calibri" w:hAnsi="Calibri" w:cs="Calibri"/>
          <w:sz w:val="24"/>
          <w:szCs w:val="24"/>
        </w:rPr>
        <w:t>Brak zewnętrznych źródeł zasilania</w:t>
      </w:r>
      <w:r>
        <w:rPr>
          <w:rFonts w:ascii="Calibri" w:hAnsi="Calibri" w:cs="Calibri"/>
          <w:sz w:val="24"/>
          <w:szCs w:val="24"/>
        </w:rPr>
        <w:t>.</w:t>
      </w:r>
    </w:p>
    <w:p w14:paraId="119F46DA" w14:textId="6C09A466" w:rsidR="009A0DCA" w:rsidRPr="009A0DCA" w:rsidRDefault="009A0DCA" w:rsidP="009344D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33.</w:t>
      </w:r>
      <w:r w:rsidRPr="009A0DCA">
        <w:rPr>
          <w:rFonts w:ascii="Calibri" w:hAnsi="Calibri" w:cs="Calibri"/>
          <w:sz w:val="24"/>
          <w:szCs w:val="24"/>
        </w:rPr>
        <w:t xml:space="preserve"> Wewnętrzny system akumulatorowy (co najmniej 10 godzin) – opcjonalnie</w:t>
      </w:r>
      <w:r>
        <w:rPr>
          <w:rFonts w:ascii="Calibri" w:hAnsi="Calibri" w:cs="Calibri"/>
          <w:sz w:val="24"/>
          <w:szCs w:val="24"/>
        </w:rPr>
        <w:t>.</w:t>
      </w:r>
    </w:p>
    <w:p w14:paraId="266DE1A7" w14:textId="401E78B6" w:rsidR="009A0DCA" w:rsidRPr="009A0DCA" w:rsidRDefault="009A0DCA" w:rsidP="009344D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34.</w:t>
      </w:r>
      <w:r w:rsidRPr="009A0DCA">
        <w:rPr>
          <w:rFonts w:ascii="Calibri" w:hAnsi="Calibri" w:cs="Calibri"/>
          <w:sz w:val="24"/>
          <w:szCs w:val="24"/>
        </w:rPr>
        <w:t xml:space="preserve"> Rozszerzona bateria (30 godz.) – opcjonalnie</w:t>
      </w:r>
      <w:r>
        <w:rPr>
          <w:rFonts w:ascii="Calibri" w:hAnsi="Calibri" w:cs="Calibri"/>
          <w:sz w:val="24"/>
          <w:szCs w:val="24"/>
        </w:rPr>
        <w:t>.</w:t>
      </w:r>
    </w:p>
    <w:p w14:paraId="60768FF1" w14:textId="4A9F1DE8" w:rsidR="009A0DCA" w:rsidRPr="009A0DCA" w:rsidRDefault="009A0DCA" w:rsidP="009344D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35. </w:t>
      </w:r>
      <w:r w:rsidRPr="009A0DCA">
        <w:rPr>
          <w:rFonts w:ascii="Calibri" w:hAnsi="Calibri" w:cs="Calibri"/>
          <w:sz w:val="24"/>
          <w:szCs w:val="24"/>
        </w:rPr>
        <w:t xml:space="preserve">Możliwość podłączenia modułu zdalnego sterowania zarówno sieciowo jak i przez </w:t>
      </w:r>
      <w:proofErr w:type="spellStart"/>
      <w:r w:rsidRPr="009A0DCA">
        <w:rPr>
          <w:rFonts w:ascii="Calibri" w:hAnsi="Calibri" w:cs="Calibri"/>
          <w:sz w:val="24"/>
          <w:szCs w:val="24"/>
        </w:rPr>
        <w:t>bluetooth</w:t>
      </w:r>
      <w:proofErr w:type="spellEnd"/>
      <w:r w:rsidRPr="009A0DCA">
        <w:rPr>
          <w:rFonts w:ascii="Calibri" w:hAnsi="Calibri" w:cs="Calibri"/>
          <w:sz w:val="24"/>
          <w:szCs w:val="24"/>
        </w:rPr>
        <w:t xml:space="preserve"> (opcjonalnie</w:t>
      </w:r>
      <w:r>
        <w:rPr>
          <w:rFonts w:ascii="Calibri" w:hAnsi="Calibri" w:cs="Calibri"/>
          <w:sz w:val="24"/>
          <w:szCs w:val="24"/>
        </w:rPr>
        <w:t>).</w:t>
      </w:r>
    </w:p>
    <w:p w14:paraId="3F7D0D4F" w14:textId="71A0D8E7" w:rsidR="009A0DCA" w:rsidRPr="009A0DCA" w:rsidRDefault="009A0DCA" w:rsidP="009344D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36.</w:t>
      </w:r>
      <w:r w:rsidRPr="009A0DCA">
        <w:rPr>
          <w:rFonts w:ascii="Calibri" w:hAnsi="Calibri" w:cs="Calibri"/>
          <w:sz w:val="24"/>
          <w:szCs w:val="24"/>
        </w:rPr>
        <w:t xml:space="preserve"> Czas uruchamiania w czasie krótszym niż 5 sekund</w:t>
      </w:r>
      <w:r>
        <w:rPr>
          <w:rFonts w:ascii="Calibri" w:hAnsi="Calibri" w:cs="Calibri"/>
          <w:sz w:val="24"/>
          <w:szCs w:val="24"/>
        </w:rPr>
        <w:t>.</w:t>
      </w:r>
    </w:p>
    <w:p w14:paraId="3B7453BC" w14:textId="6847E0AC" w:rsidR="009A0DCA" w:rsidRPr="009A0DCA" w:rsidRDefault="009A0DCA" w:rsidP="009344D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37.</w:t>
      </w:r>
      <w:r w:rsidRPr="009A0DCA">
        <w:rPr>
          <w:rFonts w:ascii="Calibri" w:hAnsi="Calibri" w:cs="Calibri"/>
          <w:sz w:val="24"/>
          <w:szCs w:val="24"/>
        </w:rPr>
        <w:t xml:space="preserve"> Czas wyboru programu w czasie krótszym niż 1 sek</w:t>
      </w:r>
      <w:r w:rsidR="00803805">
        <w:rPr>
          <w:rFonts w:ascii="Calibri" w:hAnsi="Calibri" w:cs="Calibri"/>
          <w:sz w:val="24"/>
          <w:szCs w:val="24"/>
        </w:rPr>
        <w:t>unda.</w:t>
      </w:r>
    </w:p>
    <w:p w14:paraId="78BD2A6F" w14:textId="5BD59FCA" w:rsidR="009A0DCA" w:rsidRPr="009A0DCA" w:rsidRDefault="00803805" w:rsidP="009344D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38.</w:t>
      </w:r>
      <w:r w:rsidR="009A0DCA" w:rsidRPr="009A0DCA">
        <w:rPr>
          <w:rFonts w:ascii="Calibri" w:hAnsi="Calibri" w:cs="Calibri"/>
          <w:sz w:val="24"/>
          <w:szCs w:val="24"/>
        </w:rPr>
        <w:t xml:space="preserve"> Urządzenie musi spełniać następujące normy: </w:t>
      </w:r>
      <w:r>
        <w:rPr>
          <w:rFonts w:ascii="Calibri" w:hAnsi="Calibri" w:cs="Calibri"/>
          <w:sz w:val="24"/>
          <w:szCs w:val="24"/>
        </w:rPr>
        <w:t>z</w:t>
      </w:r>
      <w:r w:rsidR="009A0DCA" w:rsidRPr="009A0DCA">
        <w:rPr>
          <w:rFonts w:ascii="Calibri" w:hAnsi="Calibri" w:cs="Calibri"/>
          <w:sz w:val="24"/>
          <w:szCs w:val="24"/>
        </w:rPr>
        <w:t>godność z FCC, CE, CSA, ASTM, ICNRP,</w:t>
      </w:r>
      <w:r w:rsidR="001F4C1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A0DCA" w:rsidRPr="009A0DCA">
        <w:rPr>
          <w:rFonts w:ascii="Calibri" w:hAnsi="Calibri" w:cs="Calibri"/>
          <w:sz w:val="24"/>
          <w:szCs w:val="24"/>
        </w:rPr>
        <w:t>RoHS</w:t>
      </w:r>
      <w:proofErr w:type="spellEnd"/>
      <w:r w:rsidR="009A0DCA" w:rsidRPr="009A0DCA">
        <w:rPr>
          <w:rFonts w:ascii="Calibri" w:hAnsi="Calibri" w:cs="Calibri"/>
          <w:sz w:val="24"/>
          <w:szCs w:val="24"/>
        </w:rPr>
        <w:t xml:space="preserve">, RPB-SC-18 (bezpieczna dla implantów medycznych, kobiet w ciąży i wszystkich nośników magnetycznych), </w:t>
      </w:r>
      <w:r>
        <w:rPr>
          <w:rFonts w:ascii="Calibri" w:hAnsi="Calibri" w:cs="Calibri"/>
          <w:sz w:val="24"/>
          <w:szCs w:val="24"/>
        </w:rPr>
        <w:t>z</w:t>
      </w:r>
      <w:r w:rsidR="009A0DCA" w:rsidRPr="009A0DCA">
        <w:rPr>
          <w:rFonts w:ascii="Calibri" w:hAnsi="Calibri" w:cs="Calibri"/>
          <w:sz w:val="24"/>
          <w:szCs w:val="24"/>
        </w:rPr>
        <w:t>godność z przepisami Komisji Europejskiej (WE) i normami międzynarodowymi.</w:t>
      </w:r>
    </w:p>
    <w:p w14:paraId="48D37BAF" w14:textId="2D5FE452" w:rsidR="00F91DE4" w:rsidRDefault="00803805" w:rsidP="009344D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39.</w:t>
      </w:r>
      <w:r w:rsidR="009A0DCA" w:rsidRPr="009A0DCA">
        <w:rPr>
          <w:rFonts w:ascii="Calibri" w:hAnsi="Calibri" w:cs="Calibri"/>
          <w:sz w:val="24"/>
          <w:szCs w:val="24"/>
        </w:rPr>
        <w:t xml:space="preserve"> Urządzenie musi posiadać następujące certyfikaty: TSA, STAC, ECAC, DFT, AENA, CIJAC, </w:t>
      </w:r>
      <w:r>
        <w:rPr>
          <w:rFonts w:ascii="Calibri" w:hAnsi="Calibri" w:cs="Calibri"/>
          <w:sz w:val="24"/>
          <w:szCs w:val="24"/>
        </w:rPr>
        <w:t>sy</w:t>
      </w:r>
      <w:r w:rsidR="009A0DCA" w:rsidRPr="009A0DCA">
        <w:rPr>
          <w:rFonts w:ascii="Calibri" w:hAnsi="Calibri" w:cs="Calibri"/>
          <w:sz w:val="24"/>
          <w:szCs w:val="24"/>
        </w:rPr>
        <w:t>stem zarządzania jakością ISO 9001</w:t>
      </w:r>
      <w:r w:rsidR="001F4C1A">
        <w:rPr>
          <w:rFonts w:ascii="Calibri" w:hAnsi="Calibri" w:cs="Calibri"/>
          <w:sz w:val="24"/>
          <w:szCs w:val="24"/>
        </w:rPr>
        <w:t>.</w:t>
      </w:r>
    </w:p>
    <w:p w14:paraId="4A07FF58" w14:textId="77777777" w:rsidR="00803805" w:rsidRPr="00803805" w:rsidRDefault="00803805" w:rsidP="009344D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0ED6C32F" w14:textId="77777777" w:rsidR="00F91DE4" w:rsidRPr="009A0DCA" w:rsidRDefault="00F91DE4" w:rsidP="009344DA">
      <w:pPr>
        <w:tabs>
          <w:tab w:val="left" w:pos="142"/>
        </w:tabs>
        <w:spacing w:after="0" w:line="276" w:lineRule="auto"/>
        <w:rPr>
          <w:rFonts w:ascii="Calibri" w:hAnsi="Calibri" w:cs="Calibri"/>
          <w:b/>
          <w:bCs/>
          <w:sz w:val="28"/>
          <w:szCs w:val="28"/>
        </w:rPr>
      </w:pPr>
      <w:r w:rsidRPr="009A0DCA">
        <w:rPr>
          <w:rFonts w:ascii="Calibri" w:hAnsi="Calibri" w:cs="Calibri"/>
          <w:b/>
          <w:bCs/>
          <w:sz w:val="28"/>
          <w:szCs w:val="28"/>
        </w:rPr>
        <w:t>Zakres prac obejmuje:</w:t>
      </w:r>
    </w:p>
    <w:p w14:paraId="414DA29A" w14:textId="41A238B3" w:rsidR="00F91DE4" w:rsidRPr="00803805" w:rsidRDefault="00F91DE4" w:rsidP="009344DA">
      <w:pPr>
        <w:pStyle w:val="Akapitzlist"/>
        <w:numPr>
          <w:ilvl w:val="0"/>
          <w:numId w:val="6"/>
        </w:numPr>
        <w:tabs>
          <w:tab w:val="left" w:pos="142"/>
          <w:tab w:val="left" w:pos="284"/>
        </w:tabs>
        <w:spacing w:after="0" w:line="276" w:lineRule="auto"/>
        <w:ind w:left="142" w:hanging="142"/>
        <w:jc w:val="both"/>
        <w:rPr>
          <w:rFonts w:ascii="Calibri" w:hAnsi="Calibri" w:cs="Calibri"/>
          <w:b/>
          <w:bCs/>
          <w:sz w:val="24"/>
          <w:szCs w:val="24"/>
        </w:rPr>
      </w:pPr>
      <w:r w:rsidRPr="00803805">
        <w:rPr>
          <w:rFonts w:ascii="Calibri" w:hAnsi="Calibri" w:cs="Calibri"/>
          <w:sz w:val="24"/>
          <w:szCs w:val="24"/>
        </w:rPr>
        <w:t>Dostawę oraz montaż we wskazanych przez Zamawiającego miejscach</w:t>
      </w:r>
      <w:r w:rsidR="006564E3">
        <w:rPr>
          <w:rFonts w:ascii="Calibri" w:hAnsi="Calibri" w:cs="Calibri"/>
          <w:sz w:val="24"/>
          <w:szCs w:val="24"/>
        </w:rPr>
        <w:t xml:space="preserve"> w Prokuraturze Rejonowej w Koninie, ul. Zakładowa 7 (parter) i w Prokuraturze Rejonowej w Kole, ul. Sienkiewicza 21/23 (III piętro)</w:t>
      </w:r>
      <w:r w:rsidRPr="00803805">
        <w:rPr>
          <w:rFonts w:ascii="Calibri" w:hAnsi="Calibri" w:cs="Calibri"/>
          <w:sz w:val="24"/>
          <w:szCs w:val="24"/>
        </w:rPr>
        <w:t>.</w:t>
      </w:r>
    </w:p>
    <w:p w14:paraId="6BEFB9A4" w14:textId="0765F85B" w:rsidR="008B36E1" w:rsidRPr="006564E3" w:rsidRDefault="00F91DE4" w:rsidP="009344DA">
      <w:pPr>
        <w:pStyle w:val="Akapitzlist"/>
        <w:numPr>
          <w:ilvl w:val="0"/>
          <w:numId w:val="6"/>
        </w:numPr>
        <w:tabs>
          <w:tab w:val="left" w:pos="142"/>
          <w:tab w:val="left" w:pos="284"/>
        </w:tabs>
        <w:spacing w:after="0" w:line="276" w:lineRule="auto"/>
        <w:ind w:left="142" w:hanging="142"/>
        <w:jc w:val="both"/>
        <w:rPr>
          <w:rFonts w:ascii="Calibri" w:hAnsi="Calibri" w:cs="Calibri"/>
          <w:b/>
          <w:bCs/>
          <w:sz w:val="24"/>
          <w:szCs w:val="24"/>
        </w:rPr>
      </w:pPr>
      <w:r w:rsidRPr="00803805">
        <w:rPr>
          <w:rFonts w:ascii="Calibri" w:hAnsi="Calibri" w:cs="Calibri"/>
          <w:sz w:val="24"/>
          <w:szCs w:val="24"/>
        </w:rPr>
        <w:t>Dostarczenie</w:t>
      </w:r>
      <w:r w:rsidR="00184AC0" w:rsidRPr="00803805">
        <w:rPr>
          <w:rFonts w:ascii="Calibri" w:hAnsi="Calibri" w:cs="Calibri"/>
          <w:sz w:val="24"/>
          <w:szCs w:val="24"/>
        </w:rPr>
        <w:t xml:space="preserve"> instrukcj</w:t>
      </w:r>
      <w:r w:rsidRPr="00803805">
        <w:rPr>
          <w:rFonts w:ascii="Calibri" w:hAnsi="Calibri" w:cs="Calibri"/>
          <w:sz w:val="24"/>
          <w:szCs w:val="24"/>
        </w:rPr>
        <w:t>i</w:t>
      </w:r>
      <w:r w:rsidR="00184AC0" w:rsidRPr="00803805">
        <w:rPr>
          <w:rFonts w:ascii="Calibri" w:hAnsi="Calibri" w:cs="Calibri"/>
          <w:sz w:val="24"/>
          <w:szCs w:val="24"/>
        </w:rPr>
        <w:t xml:space="preserve"> eksploatacji ww</w:t>
      </w:r>
      <w:r w:rsidRPr="00803805">
        <w:rPr>
          <w:rFonts w:ascii="Calibri" w:hAnsi="Calibri" w:cs="Calibri"/>
          <w:sz w:val="24"/>
          <w:szCs w:val="24"/>
        </w:rPr>
        <w:t>.</w:t>
      </w:r>
      <w:r w:rsidR="00184AC0" w:rsidRPr="00803805">
        <w:rPr>
          <w:rFonts w:ascii="Calibri" w:hAnsi="Calibri" w:cs="Calibri"/>
          <w:sz w:val="24"/>
          <w:szCs w:val="24"/>
        </w:rPr>
        <w:t xml:space="preserve"> bramek oraz przeprowadz</w:t>
      </w:r>
      <w:r w:rsidRPr="00803805">
        <w:rPr>
          <w:rFonts w:ascii="Calibri" w:hAnsi="Calibri" w:cs="Calibri"/>
          <w:sz w:val="24"/>
          <w:szCs w:val="24"/>
        </w:rPr>
        <w:t>enie</w:t>
      </w:r>
      <w:r w:rsidR="00184AC0" w:rsidRPr="00803805">
        <w:rPr>
          <w:rFonts w:ascii="Calibri" w:hAnsi="Calibri" w:cs="Calibri"/>
          <w:sz w:val="24"/>
          <w:szCs w:val="24"/>
        </w:rPr>
        <w:t xml:space="preserve"> szkoleni</w:t>
      </w:r>
      <w:r w:rsidRPr="00803805">
        <w:rPr>
          <w:rFonts w:ascii="Calibri" w:hAnsi="Calibri" w:cs="Calibri"/>
          <w:sz w:val="24"/>
          <w:szCs w:val="24"/>
        </w:rPr>
        <w:t>a</w:t>
      </w:r>
      <w:r w:rsidR="00184AC0" w:rsidRPr="00803805">
        <w:rPr>
          <w:rFonts w:ascii="Calibri" w:hAnsi="Calibri" w:cs="Calibri"/>
          <w:sz w:val="24"/>
          <w:szCs w:val="24"/>
        </w:rPr>
        <w:t xml:space="preserve"> z obsługi urządze</w:t>
      </w:r>
      <w:r w:rsidRPr="00803805">
        <w:rPr>
          <w:rFonts w:ascii="Calibri" w:hAnsi="Calibri" w:cs="Calibri"/>
          <w:sz w:val="24"/>
          <w:szCs w:val="24"/>
        </w:rPr>
        <w:t>ń</w:t>
      </w:r>
      <w:r w:rsidR="00184AC0" w:rsidRPr="00803805">
        <w:rPr>
          <w:rFonts w:ascii="Calibri" w:hAnsi="Calibri" w:cs="Calibri"/>
          <w:sz w:val="24"/>
          <w:szCs w:val="24"/>
        </w:rPr>
        <w:t xml:space="preserve"> dla pracowników Zamawiającego.</w:t>
      </w:r>
    </w:p>
    <w:p w14:paraId="6DF57FEA" w14:textId="3A934EAB" w:rsidR="006564E3" w:rsidRPr="00803805" w:rsidRDefault="006564E3" w:rsidP="009344DA">
      <w:pPr>
        <w:pStyle w:val="Akapitzlist"/>
        <w:numPr>
          <w:ilvl w:val="0"/>
          <w:numId w:val="6"/>
        </w:numPr>
        <w:tabs>
          <w:tab w:val="left" w:pos="142"/>
          <w:tab w:val="left" w:pos="284"/>
        </w:tabs>
        <w:spacing w:after="0" w:line="276" w:lineRule="auto"/>
        <w:ind w:left="142" w:hanging="142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Udzielenie gwarancji na 24 miesiące wraz z przeprowadzaniem wymaganych konserwacji w tym okresie.</w:t>
      </w:r>
    </w:p>
    <w:sectPr w:rsidR="006564E3" w:rsidRPr="008038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05AD8" w14:textId="77777777" w:rsidR="008521B2" w:rsidRDefault="008521B2" w:rsidP="00D50873">
      <w:pPr>
        <w:spacing w:after="0" w:line="240" w:lineRule="auto"/>
      </w:pPr>
      <w:r>
        <w:separator/>
      </w:r>
    </w:p>
  </w:endnote>
  <w:endnote w:type="continuationSeparator" w:id="0">
    <w:p w14:paraId="30B98C72" w14:textId="77777777" w:rsidR="008521B2" w:rsidRDefault="008521B2" w:rsidP="00D50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7BA0C" w14:textId="77777777" w:rsidR="008521B2" w:rsidRDefault="008521B2" w:rsidP="00D50873">
      <w:pPr>
        <w:spacing w:after="0" w:line="240" w:lineRule="auto"/>
      </w:pPr>
      <w:r>
        <w:separator/>
      </w:r>
    </w:p>
  </w:footnote>
  <w:footnote w:type="continuationSeparator" w:id="0">
    <w:p w14:paraId="4970467F" w14:textId="77777777" w:rsidR="008521B2" w:rsidRDefault="008521B2" w:rsidP="00D50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0B25" w14:textId="0CCF752E" w:rsidR="00D50873" w:rsidRDefault="004B2120" w:rsidP="004B2120">
    <w:pPr>
      <w:pStyle w:val="Nagwek"/>
    </w:pPr>
    <w:r>
      <w:t>3031-7.262</w:t>
    </w:r>
    <w:r w:rsidR="00B821CC">
      <w:t>.44</w:t>
    </w:r>
    <w:r>
      <w:t xml:space="preserve">.2024                                             </w:t>
    </w:r>
    <w:r w:rsidR="005A5CD0">
      <w:t xml:space="preserve">           </w:t>
    </w:r>
    <w:r>
      <w:t xml:space="preserve"> </w:t>
    </w:r>
    <w:r>
      <w:tab/>
    </w:r>
    <w:r w:rsidR="00D50873" w:rsidRPr="00D50873">
      <w:t xml:space="preserve">Załącznik nr 2 – </w:t>
    </w:r>
    <w:r w:rsidR="005A5CD0">
      <w:t>Opis przedmiotu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C0B64"/>
    <w:multiLevelType w:val="hybridMultilevel"/>
    <w:tmpl w:val="1F926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25E02"/>
    <w:multiLevelType w:val="hybridMultilevel"/>
    <w:tmpl w:val="E7A8D49E"/>
    <w:lvl w:ilvl="0" w:tplc="627A43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C7438"/>
    <w:multiLevelType w:val="hybridMultilevel"/>
    <w:tmpl w:val="CF2676D2"/>
    <w:lvl w:ilvl="0" w:tplc="F9B096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95A1A"/>
    <w:multiLevelType w:val="hybridMultilevel"/>
    <w:tmpl w:val="B1BE4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05849"/>
    <w:multiLevelType w:val="hybridMultilevel"/>
    <w:tmpl w:val="4F8E6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C0B43"/>
    <w:multiLevelType w:val="hybridMultilevel"/>
    <w:tmpl w:val="7304E1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1D"/>
    <w:rsid w:val="00004144"/>
    <w:rsid w:val="0001035F"/>
    <w:rsid w:val="00035CF9"/>
    <w:rsid w:val="000444DA"/>
    <w:rsid w:val="00066111"/>
    <w:rsid w:val="00093E90"/>
    <w:rsid w:val="000C6165"/>
    <w:rsid w:val="00120C39"/>
    <w:rsid w:val="0014760D"/>
    <w:rsid w:val="00184AC0"/>
    <w:rsid w:val="001947E7"/>
    <w:rsid w:val="001A4E89"/>
    <w:rsid w:val="001F4C1A"/>
    <w:rsid w:val="00226635"/>
    <w:rsid w:val="00241B45"/>
    <w:rsid w:val="00271495"/>
    <w:rsid w:val="002C4FA9"/>
    <w:rsid w:val="002F6D06"/>
    <w:rsid w:val="0031719F"/>
    <w:rsid w:val="00350C28"/>
    <w:rsid w:val="00396C5A"/>
    <w:rsid w:val="003B2DD3"/>
    <w:rsid w:val="00456B25"/>
    <w:rsid w:val="00483B76"/>
    <w:rsid w:val="004B2120"/>
    <w:rsid w:val="00501472"/>
    <w:rsid w:val="005504D4"/>
    <w:rsid w:val="00557C8B"/>
    <w:rsid w:val="00586DCC"/>
    <w:rsid w:val="005A5CD0"/>
    <w:rsid w:val="005B7DEE"/>
    <w:rsid w:val="005D0483"/>
    <w:rsid w:val="005D7CBC"/>
    <w:rsid w:val="00601EE2"/>
    <w:rsid w:val="006470F0"/>
    <w:rsid w:val="00651E05"/>
    <w:rsid w:val="00653AD6"/>
    <w:rsid w:val="006564E3"/>
    <w:rsid w:val="006663BE"/>
    <w:rsid w:val="007A3F37"/>
    <w:rsid w:val="007D7773"/>
    <w:rsid w:val="00803805"/>
    <w:rsid w:val="008521B2"/>
    <w:rsid w:val="0086439D"/>
    <w:rsid w:val="008B36E1"/>
    <w:rsid w:val="008D3C9F"/>
    <w:rsid w:val="00915D91"/>
    <w:rsid w:val="009344DA"/>
    <w:rsid w:val="009859FD"/>
    <w:rsid w:val="009A0DCA"/>
    <w:rsid w:val="009A4986"/>
    <w:rsid w:val="009C1EA7"/>
    <w:rsid w:val="009E0B2F"/>
    <w:rsid w:val="009F53E2"/>
    <w:rsid w:val="00A02630"/>
    <w:rsid w:val="00A30FBF"/>
    <w:rsid w:val="00A8251D"/>
    <w:rsid w:val="00AB2AEB"/>
    <w:rsid w:val="00AC4C90"/>
    <w:rsid w:val="00AD3F79"/>
    <w:rsid w:val="00B821CC"/>
    <w:rsid w:val="00BF00FE"/>
    <w:rsid w:val="00C44781"/>
    <w:rsid w:val="00CD5493"/>
    <w:rsid w:val="00CE7698"/>
    <w:rsid w:val="00D23862"/>
    <w:rsid w:val="00D428C1"/>
    <w:rsid w:val="00D50873"/>
    <w:rsid w:val="00D85B2B"/>
    <w:rsid w:val="00D9540C"/>
    <w:rsid w:val="00DB4ACC"/>
    <w:rsid w:val="00DC5A14"/>
    <w:rsid w:val="00E01C46"/>
    <w:rsid w:val="00E12799"/>
    <w:rsid w:val="00E74AA8"/>
    <w:rsid w:val="00EB2C37"/>
    <w:rsid w:val="00ED3ED2"/>
    <w:rsid w:val="00ED5A70"/>
    <w:rsid w:val="00F81D3B"/>
    <w:rsid w:val="00F91DE4"/>
    <w:rsid w:val="00FD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6D9B8"/>
  <w15:chartTrackingRefBased/>
  <w15:docId w15:val="{5C468A8D-3D51-491A-A86C-446A93D2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0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0873"/>
  </w:style>
  <w:style w:type="paragraph" w:styleId="Stopka">
    <w:name w:val="footer"/>
    <w:basedOn w:val="Normalny"/>
    <w:link w:val="StopkaZnak"/>
    <w:uiPriority w:val="99"/>
    <w:unhideWhenUsed/>
    <w:rsid w:val="00D50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0873"/>
  </w:style>
  <w:style w:type="paragraph" w:styleId="Akapitzlist">
    <w:name w:val="List Paragraph"/>
    <w:basedOn w:val="Normalny"/>
    <w:uiPriority w:val="34"/>
    <w:qFormat/>
    <w:rsid w:val="009859FD"/>
    <w:pPr>
      <w:ind w:left="720"/>
      <w:contextualSpacing/>
    </w:pPr>
  </w:style>
  <w:style w:type="table" w:styleId="Tabela-Siatka">
    <w:name w:val="Table Grid"/>
    <w:basedOn w:val="Standardowy"/>
    <w:uiPriority w:val="39"/>
    <w:rsid w:val="00985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4A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Rychter-Kwiatkowska Natalia (PO Konin)</dc:creator>
  <cp:keywords/>
  <dc:description/>
  <cp:lastModifiedBy>Rychter-Kwiatkowska Natalia (PO Konin)</cp:lastModifiedBy>
  <cp:revision>138</cp:revision>
  <cp:lastPrinted>2024-08-20T08:09:00Z</cp:lastPrinted>
  <dcterms:created xsi:type="dcterms:W3CDTF">2024-07-08T05:57:00Z</dcterms:created>
  <dcterms:modified xsi:type="dcterms:W3CDTF">2024-08-23T06:11:00Z</dcterms:modified>
</cp:coreProperties>
</file>