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5B5AC49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223F9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F871E09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7223F9" w:rsidRPr="007223F9">
        <w:rPr>
          <w:rFonts w:ascii="Arial" w:hAnsi="Arial" w:cs="Arial"/>
        </w:rPr>
        <w:t>Ekspertyzy dotyczące szacowania szkód na terenie województwa podkarpackiego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WPN.261.1.4.2025.AT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460D2"/>
    <w:rsid w:val="00170144"/>
    <w:rsid w:val="001D1ADB"/>
    <w:rsid w:val="001D7A13"/>
    <w:rsid w:val="001E12F6"/>
    <w:rsid w:val="001E1D9D"/>
    <w:rsid w:val="002275C7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2</cp:revision>
  <cp:lastPrinted>2024-11-15T10:37:00Z</cp:lastPrinted>
  <dcterms:created xsi:type="dcterms:W3CDTF">2025-02-24T07:55:00Z</dcterms:created>
  <dcterms:modified xsi:type="dcterms:W3CDTF">2025-02-24T07:55:00Z</dcterms:modified>
</cp:coreProperties>
</file>