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351C" w14:textId="77777777" w:rsidR="004B303F" w:rsidRPr="00CB1E64" w:rsidRDefault="00585473" w:rsidP="00CB1E64">
      <w:pPr>
        <w:spacing w:before="4320"/>
        <w:jc w:val="center"/>
        <w:rPr>
          <w:rFonts w:eastAsiaTheme="majorEastAsia" w:cstheme="minorHAnsi"/>
          <w:b/>
          <w:bCs/>
          <w:iCs/>
          <w:sz w:val="24"/>
          <w:szCs w:val="24"/>
        </w:rPr>
      </w:pPr>
      <w:r w:rsidRPr="00CB1E64">
        <w:rPr>
          <w:rFonts w:eastAsiaTheme="majorEastAsia" w:cstheme="minorHAnsi"/>
          <w:b/>
          <w:bCs/>
          <w:iCs/>
          <w:sz w:val="24"/>
          <w:szCs w:val="24"/>
        </w:rPr>
        <w:t>Załącznik</w:t>
      </w:r>
      <w:r w:rsidR="00A9616F" w:rsidRPr="00CB1E64">
        <w:rPr>
          <w:rFonts w:eastAsiaTheme="majorEastAsia" w:cstheme="minorHAnsi"/>
          <w:b/>
          <w:bCs/>
          <w:iCs/>
          <w:sz w:val="24"/>
          <w:szCs w:val="24"/>
        </w:rPr>
        <w:t xml:space="preserve"> 1</w:t>
      </w:r>
      <w:bookmarkStart w:id="0" w:name="_Toc428535187"/>
      <w:bookmarkStart w:id="1" w:name="_Toc431295988"/>
      <w:bookmarkStart w:id="2" w:name="_Toc78468497"/>
      <w:bookmarkStart w:id="3" w:name="_Toc406509583"/>
    </w:p>
    <w:p w14:paraId="54D66D43" w14:textId="7802B2BF" w:rsidR="005B065F" w:rsidRPr="00FC6D62" w:rsidRDefault="003F4FBA" w:rsidP="00772E31">
      <w:pPr>
        <w:jc w:val="center"/>
        <w:rPr>
          <w:rFonts w:cstheme="minorHAnsi"/>
          <w:b/>
          <w:i/>
          <w:sz w:val="24"/>
          <w:szCs w:val="24"/>
        </w:rPr>
      </w:pPr>
      <w:r w:rsidRPr="00CB1E64">
        <w:rPr>
          <w:rFonts w:cstheme="minorHAnsi"/>
          <w:b/>
          <w:iCs/>
          <w:sz w:val="24"/>
          <w:szCs w:val="24"/>
        </w:rPr>
        <w:t>Zamówienia udzielane w Przedsięwzięciach</w:t>
      </w:r>
      <w:bookmarkEnd w:id="0"/>
      <w:bookmarkEnd w:id="1"/>
      <w:bookmarkEnd w:id="2"/>
      <w:r w:rsidRPr="00CB1E64">
        <w:rPr>
          <w:rFonts w:cstheme="minorHAnsi"/>
          <w:b/>
          <w:iCs/>
          <w:sz w:val="24"/>
          <w:szCs w:val="24"/>
        </w:rPr>
        <w:t xml:space="preserve"> real</w:t>
      </w:r>
      <w:r w:rsidR="00FA6EB4" w:rsidRPr="00CB1E64">
        <w:rPr>
          <w:rFonts w:cstheme="minorHAnsi"/>
          <w:b/>
          <w:iCs/>
          <w:sz w:val="24"/>
          <w:szCs w:val="24"/>
        </w:rPr>
        <w:t>izowanych w ramach inwestycji C2.1.1</w:t>
      </w:r>
      <w:r w:rsidR="005B065F" w:rsidRPr="00FC6D62">
        <w:rPr>
          <w:rFonts w:cstheme="minorHAnsi"/>
          <w:b/>
          <w:i/>
          <w:sz w:val="24"/>
          <w:szCs w:val="24"/>
        </w:rPr>
        <w:br w:type="page"/>
      </w:r>
    </w:p>
    <w:sdt>
      <w:sdtPr>
        <w:rPr>
          <w:rFonts w:eastAsiaTheme="minorHAnsi" w:cstheme="minorHAnsi"/>
          <w:b w:val="0"/>
          <w:sz w:val="22"/>
          <w:szCs w:val="24"/>
          <w:lang w:eastAsia="en-US"/>
        </w:rPr>
        <w:id w:val="-193612018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0A91F9" w14:textId="1794B3A4" w:rsidR="00722124" w:rsidRPr="00FC6D62" w:rsidRDefault="00722124" w:rsidP="00FC6D62">
          <w:pPr>
            <w:pStyle w:val="Nagwekspisutreci"/>
            <w:rPr>
              <w:rFonts w:cstheme="minorHAnsi"/>
              <w:b w:val="0"/>
              <w:szCs w:val="24"/>
            </w:rPr>
          </w:pPr>
          <w:r w:rsidRPr="00FC6D62">
            <w:rPr>
              <w:rFonts w:cstheme="minorHAnsi"/>
              <w:szCs w:val="24"/>
            </w:rPr>
            <w:t>Spis treści</w:t>
          </w:r>
        </w:p>
        <w:p w14:paraId="55694A33" w14:textId="5AF82E30" w:rsidR="00CB783C" w:rsidRPr="00DB068F" w:rsidRDefault="00722124" w:rsidP="00DB068F">
          <w:pPr>
            <w:pStyle w:val="Spistreci1"/>
            <w:tabs>
              <w:tab w:val="right" w:leader="dot" w:pos="9062"/>
            </w:tabs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DB068F">
            <w:rPr>
              <w:rFonts w:cstheme="minorHAnsi"/>
              <w:sz w:val="24"/>
              <w:szCs w:val="24"/>
            </w:rPr>
            <w:fldChar w:fldCharType="begin"/>
          </w:r>
          <w:r w:rsidRPr="00DB068F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DB068F">
            <w:rPr>
              <w:rFonts w:cstheme="minorHAnsi"/>
              <w:sz w:val="24"/>
              <w:szCs w:val="24"/>
            </w:rPr>
            <w:fldChar w:fldCharType="separate"/>
          </w:r>
          <w:hyperlink w:anchor="_Toc169702709" w:history="1">
            <w:r w:rsidR="00CB783C" w:rsidRPr="00DB068F">
              <w:rPr>
                <w:rStyle w:val="Hipercze"/>
                <w:rFonts w:eastAsia="MS Mincho" w:cstheme="minorHAnsi"/>
                <w:noProof/>
                <w:sz w:val="24"/>
                <w:szCs w:val="24"/>
                <w:lang w:eastAsia="ja-JP"/>
              </w:rPr>
              <w:t>1. Zamówienia udzielane w ramach Przedsięwzięć</w:t>
            </w:r>
            <w:r w:rsidR="00CB783C" w:rsidRPr="00DB068F">
              <w:rPr>
                <w:noProof/>
                <w:webHidden/>
                <w:sz w:val="24"/>
                <w:szCs w:val="24"/>
              </w:rPr>
              <w:tab/>
            </w:r>
            <w:r w:rsidR="00CB783C" w:rsidRPr="00DB068F">
              <w:rPr>
                <w:noProof/>
                <w:webHidden/>
                <w:sz w:val="24"/>
                <w:szCs w:val="24"/>
              </w:rPr>
              <w:fldChar w:fldCharType="begin"/>
            </w:r>
            <w:r w:rsidR="00CB783C" w:rsidRPr="00DB068F">
              <w:rPr>
                <w:noProof/>
                <w:webHidden/>
                <w:sz w:val="24"/>
                <w:szCs w:val="24"/>
              </w:rPr>
              <w:instrText xml:space="preserve"> PAGEREF _Toc169702709 \h </w:instrText>
            </w:r>
            <w:r w:rsidR="00CB783C" w:rsidRPr="00DB068F">
              <w:rPr>
                <w:noProof/>
                <w:webHidden/>
                <w:sz w:val="24"/>
                <w:szCs w:val="24"/>
              </w:rPr>
            </w:r>
            <w:r w:rsidR="00CB783C" w:rsidRPr="00DB068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B783C" w:rsidRPr="00DB068F">
              <w:rPr>
                <w:noProof/>
                <w:webHidden/>
                <w:sz w:val="24"/>
                <w:szCs w:val="24"/>
              </w:rPr>
              <w:t>2</w:t>
            </w:r>
            <w:r w:rsidR="00CB783C" w:rsidRPr="00DB06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506FCD" w14:textId="0CF17F9A" w:rsidR="00CB783C" w:rsidRPr="00DB068F" w:rsidRDefault="00CB783C" w:rsidP="00DB068F">
          <w:pPr>
            <w:pStyle w:val="Spistreci2"/>
            <w:spacing w:after="0" w:line="360" w:lineRule="auto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9702710" w:history="1">
            <w:r w:rsidRPr="00DB068F">
              <w:rPr>
                <w:rStyle w:val="Hipercze"/>
                <w:rFonts w:eastAsia="MS Mincho" w:cstheme="minorHAnsi"/>
                <w:iCs/>
                <w:noProof/>
                <w:sz w:val="24"/>
                <w:szCs w:val="24"/>
                <w:lang w:eastAsia="ja-JP"/>
              </w:rPr>
              <w:t>1.1. Zasada konkurencyjności</w:t>
            </w:r>
            <w:r w:rsidRPr="00DB068F">
              <w:rPr>
                <w:noProof/>
                <w:webHidden/>
                <w:sz w:val="24"/>
                <w:szCs w:val="24"/>
              </w:rPr>
              <w:tab/>
            </w:r>
            <w:r w:rsidRPr="00DB06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068F">
              <w:rPr>
                <w:noProof/>
                <w:webHidden/>
                <w:sz w:val="24"/>
                <w:szCs w:val="24"/>
              </w:rPr>
              <w:instrText xml:space="preserve"> PAGEREF _Toc169702710 \h </w:instrText>
            </w:r>
            <w:r w:rsidRPr="00DB068F">
              <w:rPr>
                <w:noProof/>
                <w:webHidden/>
                <w:sz w:val="24"/>
                <w:szCs w:val="24"/>
              </w:rPr>
            </w:r>
            <w:r w:rsidRPr="00DB068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DB068F">
              <w:rPr>
                <w:noProof/>
                <w:webHidden/>
                <w:sz w:val="24"/>
                <w:szCs w:val="24"/>
              </w:rPr>
              <w:t>6</w:t>
            </w:r>
            <w:r w:rsidRPr="00DB06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DDED2D" w14:textId="11973CE9" w:rsidR="00CB783C" w:rsidRPr="00DB068F" w:rsidRDefault="00CB783C" w:rsidP="00DB068F">
          <w:pPr>
            <w:pStyle w:val="Spistreci2"/>
            <w:spacing w:after="0" w:line="360" w:lineRule="auto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9702711" w:history="1">
            <w:r w:rsidRPr="00DB068F">
              <w:rPr>
                <w:rStyle w:val="Hipercze"/>
                <w:rFonts w:eastAsia="MS Mincho"/>
                <w:noProof/>
                <w:sz w:val="24"/>
                <w:szCs w:val="24"/>
                <w:lang w:eastAsia="ja-JP"/>
              </w:rPr>
              <w:t xml:space="preserve">1.2. </w:t>
            </w:r>
            <w:r w:rsidRPr="00DB068F">
              <w:rPr>
                <w:rStyle w:val="Hipercze"/>
                <w:noProof/>
                <w:sz w:val="24"/>
                <w:szCs w:val="24"/>
              </w:rPr>
              <w:t>Zamówienia w trybie in-house</w:t>
            </w:r>
            <w:r w:rsidRPr="00DB068F">
              <w:rPr>
                <w:noProof/>
                <w:webHidden/>
                <w:sz w:val="24"/>
                <w:szCs w:val="24"/>
              </w:rPr>
              <w:tab/>
            </w:r>
            <w:r w:rsidRPr="00DB06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068F">
              <w:rPr>
                <w:noProof/>
                <w:webHidden/>
                <w:sz w:val="24"/>
                <w:szCs w:val="24"/>
              </w:rPr>
              <w:instrText xml:space="preserve"> PAGEREF _Toc169702711 \h </w:instrText>
            </w:r>
            <w:r w:rsidRPr="00DB068F">
              <w:rPr>
                <w:noProof/>
                <w:webHidden/>
                <w:sz w:val="24"/>
                <w:szCs w:val="24"/>
              </w:rPr>
            </w:r>
            <w:r w:rsidRPr="00DB068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DB068F">
              <w:rPr>
                <w:noProof/>
                <w:webHidden/>
                <w:sz w:val="24"/>
                <w:szCs w:val="24"/>
              </w:rPr>
              <w:t>15</w:t>
            </w:r>
            <w:r w:rsidRPr="00DB06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E0D227" w14:textId="2BE81F7C" w:rsidR="00CB783C" w:rsidRPr="00DB068F" w:rsidRDefault="00CB783C" w:rsidP="00DB068F">
          <w:pPr>
            <w:pStyle w:val="Spistreci1"/>
            <w:tabs>
              <w:tab w:val="right" w:leader="dot" w:pos="9062"/>
            </w:tabs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9702712" w:history="1">
            <w:r w:rsidRPr="00DB068F">
              <w:rPr>
                <w:rStyle w:val="Hipercze"/>
                <w:rFonts w:eastAsia="MS Mincho" w:cstheme="minorHAnsi"/>
                <w:noProof/>
                <w:sz w:val="24"/>
                <w:szCs w:val="24"/>
                <w:lang w:eastAsia="ja-JP"/>
              </w:rPr>
              <w:t>2. Przykłady możliwych nieprawidłowości w obszarze zamówień.</w:t>
            </w:r>
            <w:r w:rsidRPr="00DB068F">
              <w:rPr>
                <w:noProof/>
                <w:webHidden/>
                <w:sz w:val="24"/>
                <w:szCs w:val="24"/>
              </w:rPr>
              <w:tab/>
            </w:r>
            <w:r w:rsidRPr="00DB06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068F">
              <w:rPr>
                <w:noProof/>
                <w:webHidden/>
                <w:sz w:val="24"/>
                <w:szCs w:val="24"/>
              </w:rPr>
              <w:instrText xml:space="preserve"> PAGEREF _Toc169702712 \h </w:instrText>
            </w:r>
            <w:r w:rsidRPr="00DB068F">
              <w:rPr>
                <w:noProof/>
                <w:webHidden/>
                <w:sz w:val="24"/>
                <w:szCs w:val="24"/>
              </w:rPr>
            </w:r>
            <w:r w:rsidRPr="00DB068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DB068F">
              <w:rPr>
                <w:noProof/>
                <w:webHidden/>
                <w:sz w:val="24"/>
                <w:szCs w:val="24"/>
              </w:rPr>
              <w:t>16</w:t>
            </w:r>
            <w:r w:rsidRPr="00DB06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EB1747" w14:textId="33D03B57" w:rsidR="00CB783C" w:rsidRPr="00DB068F" w:rsidRDefault="00CB783C" w:rsidP="00DB068F">
          <w:pPr>
            <w:pStyle w:val="Spistreci1"/>
            <w:tabs>
              <w:tab w:val="right" w:leader="dot" w:pos="9062"/>
            </w:tabs>
            <w:spacing w:after="0" w:line="360" w:lineRule="auto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9702713" w:history="1">
            <w:r w:rsidRPr="00DB068F">
              <w:rPr>
                <w:rStyle w:val="Hipercze"/>
                <w:rFonts w:eastAsia="MS Mincho" w:cstheme="minorHAnsi"/>
                <w:noProof/>
                <w:sz w:val="24"/>
                <w:szCs w:val="24"/>
                <w:lang w:eastAsia="ja-JP"/>
              </w:rPr>
              <w:t>3. Zestawienie regulacji w zakresie zasady konkurencyjności w odniesieniu do konieczności stosowania przez zamawiającego określonej ścieżki postępowania</w:t>
            </w:r>
            <w:r w:rsidRPr="00DB068F">
              <w:rPr>
                <w:noProof/>
                <w:webHidden/>
                <w:sz w:val="24"/>
                <w:szCs w:val="24"/>
              </w:rPr>
              <w:tab/>
            </w:r>
            <w:r w:rsidRPr="00DB068F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068F">
              <w:rPr>
                <w:noProof/>
                <w:webHidden/>
                <w:sz w:val="24"/>
                <w:szCs w:val="24"/>
              </w:rPr>
              <w:instrText xml:space="preserve"> PAGEREF _Toc169702713 \h </w:instrText>
            </w:r>
            <w:r w:rsidRPr="00DB068F">
              <w:rPr>
                <w:noProof/>
                <w:webHidden/>
                <w:sz w:val="24"/>
                <w:szCs w:val="24"/>
              </w:rPr>
            </w:r>
            <w:r w:rsidRPr="00DB068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DB068F">
              <w:rPr>
                <w:noProof/>
                <w:webHidden/>
                <w:sz w:val="24"/>
                <w:szCs w:val="24"/>
              </w:rPr>
              <w:t>19</w:t>
            </w:r>
            <w:r w:rsidRPr="00DB068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202458" w14:textId="0E11A4B4" w:rsidR="00CB1E64" w:rsidRPr="00CB1E64" w:rsidRDefault="00722124" w:rsidP="00DB068F">
          <w:pPr>
            <w:spacing w:after="0" w:line="360" w:lineRule="auto"/>
            <w:rPr>
              <w:rFonts w:cstheme="minorHAnsi"/>
              <w:b/>
              <w:bCs/>
              <w:sz w:val="24"/>
              <w:szCs w:val="24"/>
            </w:rPr>
          </w:pPr>
          <w:r w:rsidRPr="00DB068F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bookmarkEnd w:id="3" w:displacedByCustomXml="prev"/>
    <w:bookmarkStart w:id="4" w:name="_Toc169702709" w:displacedByCustomXml="prev"/>
    <w:p w14:paraId="061FA9EB" w14:textId="77777777" w:rsidR="00CB1E64" w:rsidRDefault="00CB1E64">
      <w:pPr>
        <w:rPr>
          <w:rFonts w:asciiTheme="majorHAnsi" w:eastAsia="MS Mincho" w:hAnsiTheme="majorHAnsi" w:cstheme="majorBidi"/>
          <w:b/>
          <w:sz w:val="24"/>
          <w:szCs w:val="32"/>
          <w:lang w:eastAsia="ja-JP"/>
        </w:rPr>
      </w:pPr>
      <w:r>
        <w:rPr>
          <w:rFonts w:eastAsia="MS Mincho"/>
          <w:lang w:eastAsia="ja-JP"/>
        </w:rPr>
        <w:br w:type="page"/>
      </w:r>
    </w:p>
    <w:p w14:paraId="677F43A3" w14:textId="41577E3B" w:rsidR="00D24E7A" w:rsidRPr="00CB783C" w:rsidRDefault="00CB1E64" w:rsidP="00CB783C">
      <w:pPr>
        <w:pStyle w:val="Nagwek1"/>
        <w:rPr>
          <w:rFonts w:eastAsia="MS Mincho"/>
          <w:lang w:eastAsia="ja-JP"/>
        </w:rPr>
      </w:pPr>
      <w:r>
        <w:rPr>
          <w:rFonts w:eastAsia="MS Mincho"/>
          <w:lang w:eastAsia="ja-JP"/>
        </w:rPr>
        <w:lastRenderedPageBreak/>
        <w:t xml:space="preserve">1. </w:t>
      </w:r>
      <w:r w:rsidR="00D24E7A" w:rsidRPr="00CB783C">
        <w:rPr>
          <w:rFonts w:eastAsia="MS Mincho"/>
          <w:lang w:eastAsia="ja-JP"/>
        </w:rPr>
        <w:t xml:space="preserve">Zamówienia udzielane w ramach </w:t>
      </w:r>
      <w:r w:rsidR="00D41CD7" w:rsidRPr="00CB783C">
        <w:rPr>
          <w:rFonts w:eastAsia="MS Mincho"/>
          <w:lang w:eastAsia="ja-JP"/>
        </w:rPr>
        <w:t>Przedsięwzięć</w:t>
      </w:r>
      <w:bookmarkEnd w:id="4"/>
    </w:p>
    <w:p w14:paraId="19D8C8AB" w14:textId="77777777" w:rsidR="005C1397" w:rsidRPr="00FC6D62" w:rsidRDefault="00691701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Beneficjent jest zobowiązany do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>:</w:t>
      </w:r>
    </w:p>
    <w:p w14:paraId="0C899948" w14:textId="054B25D9" w:rsidR="005C1397" w:rsidRPr="00FC6D62" w:rsidRDefault="00CE5A47" w:rsidP="00AD78EE">
      <w:pPr>
        <w:pStyle w:val="Akapitzlist"/>
        <w:numPr>
          <w:ilvl w:val="1"/>
          <w:numId w:val="3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s</w:t>
      </w:r>
      <w:r w:rsidR="00691701" w:rsidRPr="00FC6D62">
        <w:rPr>
          <w:rFonts w:eastAsia="MS Mincho" w:cstheme="minorHAnsi"/>
          <w:sz w:val="24"/>
          <w:szCs w:val="24"/>
          <w:lang w:eastAsia="ja-JP"/>
        </w:rPr>
        <w:t xml:space="preserve">tosowania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ustawy </w:t>
      </w:r>
      <w:r w:rsidR="00691701" w:rsidRPr="00FC6D62">
        <w:rPr>
          <w:rFonts w:eastAsia="MS Mincho" w:cstheme="minorHAnsi"/>
          <w:sz w:val="24"/>
          <w:szCs w:val="24"/>
          <w:lang w:eastAsia="ja-JP"/>
        </w:rPr>
        <w:t>PZP</w:t>
      </w:r>
    </w:p>
    <w:p w14:paraId="616A9C4E" w14:textId="2EF79EAB" w:rsidR="00691701" w:rsidRPr="00FC6D62" w:rsidRDefault="00691701" w:rsidP="00AD78EE">
      <w:pPr>
        <w:pStyle w:val="Akapitzlist"/>
        <w:numPr>
          <w:ilvl w:val="1"/>
          <w:numId w:val="3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lub dla podmiotów nie zobowiązanych do stosowania</w:t>
      </w:r>
      <w:r w:rsidR="00CE5A47" w:rsidRPr="00FC6D62">
        <w:rPr>
          <w:rFonts w:eastAsia="MS Mincho" w:cstheme="minorHAnsi"/>
          <w:sz w:val="24"/>
          <w:szCs w:val="24"/>
          <w:lang w:eastAsia="ja-JP"/>
        </w:rPr>
        <w:t xml:space="preserve"> ustawy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PZP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>, do stosowania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zasad, określonych w</w:t>
      </w:r>
      <w:r w:rsidR="00CE5A47" w:rsidRPr="00FC6D62">
        <w:rPr>
          <w:rFonts w:eastAsia="MS Mincho" w:cstheme="minorHAnsi"/>
          <w:sz w:val="24"/>
          <w:szCs w:val="24"/>
          <w:lang w:eastAsia="ja-JP"/>
        </w:rPr>
        <w:t xml:space="preserve"> niniejszym załączniku</w:t>
      </w:r>
      <w:r w:rsidR="005C1397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5F1BCA2B" w14:textId="71C32D53" w:rsidR="000069FF" w:rsidRPr="00FC6D62" w:rsidRDefault="008068E6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Beneficjent </w:t>
      </w:r>
      <w:r w:rsidR="00E773E3" w:rsidRPr="00FC6D62">
        <w:rPr>
          <w:rFonts w:eastAsia="MS Mincho" w:cstheme="minorHAnsi"/>
          <w:sz w:val="24"/>
          <w:szCs w:val="24"/>
          <w:lang w:eastAsia="ja-JP"/>
        </w:rPr>
        <w:t>jest</w:t>
      </w:r>
      <w:r w:rsidR="00D12C3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7E33C4" w:rsidRPr="00FC6D62">
        <w:rPr>
          <w:rFonts w:eastAsia="MS Mincho" w:cstheme="minorHAnsi"/>
          <w:sz w:val="24"/>
          <w:szCs w:val="24"/>
          <w:lang w:eastAsia="ja-JP"/>
        </w:rPr>
        <w:t>zobowiązan</w:t>
      </w:r>
      <w:r w:rsidR="00E773E3" w:rsidRPr="00FC6D62">
        <w:rPr>
          <w:rFonts w:eastAsia="MS Mincho" w:cstheme="minorHAnsi"/>
          <w:sz w:val="24"/>
          <w:szCs w:val="24"/>
          <w:lang w:eastAsia="ja-JP"/>
        </w:rPr>
        <w:t>y</w:t>
      </w:r>
      <w:r w:rsidR="007E33C4" w:rsidRPr="00FC6D62">
        <w:rPr>
          <w:rFonts w:eastAsia="MS Mincho" w:cstheme="minorHAnsi"/>
          <w:sz w:val="24"/>
          <w:szCs w:val="24"/>
          <w:lang w:eastAsia="ja-JP"/>
        </w:rPr>
        <w:t xml:space="preserve"> do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przeprowadzenia postępowania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o udzielenie zamówienia o wartości szacunkowej przekraczającej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0 tys. PLN netto,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tj. bez podatku od towarów i usług (VAT) w sposób zapewniający przejrzystość oraz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zachowanie uczciwej konkurencji i równego traktowania wykonawców. Spełnienie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powyższych wymogów następuje w drodze zastosowania Pzp albo zasady</w:t>
      </w:r>
      <w:r w:rsidR="00FA6EB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konkurencyjności określonej w sekcji </w:t>
      </w:r>
      <w:r w:rsidR="0084083C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84083C"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</w:p>
    <w:p w14:paraId="6D97D19D" w14:textId="67AEB51F" w:rsidR="000069FF" w:rsidRPr="00FC6D62" w:rsidRDefault="004255EE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Beneficjenci zobowiązani do stosowania ustawy PZP jak i podmioty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niemające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takiego obowiązku mogą </w:t>
      </w:r>
      <w:r w:rsidR="00731CD4" w:rsidRPr="00FC6D62">
        <w:rPr>
          <w:rFonts w:eastAsia="MS Mincho" w:cstheme="minorHAnsi"/>
          <w:sz w:val="24"/>
          <w:szCs w:val="24"/>
          <w:lang w:eastAsia="ja-JP"/>
        </w:rPr>
        <w:t xml:space="preserve">dla wydatków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do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Pr="00FC6D62">
        <w:rPr>
          <w:rFonts w:eastAsia="MS Mincho" w:cstheme="minorHAnsi"/>
          <w:sz w:val="24"/>
          <w:szCs w:val="24"/>
          <w:lang w:eastAsia="ja-JP"/>
        </w:rPr>
        <w:t>0 tys. PLN netto stosować własne wewnętrzne uregulowania określające zasady dokonywania zakupu towarów, usług oraz robót budowlanych.</w:t>
      </w:r>
      <w:r w:rsidR="00731CD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1C4668" w:rsidRPr="00FC6D62">
        <w:rPr>
          <w:rFonts w:eastAsia="MS Mincho" w:cstheme="minorHAnsi"/>
          <w:sz w:val="24"/>
          <w:szCs w:val="24"/>
          <w:lang w:eastAsia="ja-JP"/>
        </w:rPr>
        <w:t xml:space="preserve">Koszty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w ramach </w:t>
      </w:r>
      <w:r w:rsidR="001C4668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 muszą być</w:t>
      </w:r>
      <w:r w:rsidR="00A053A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ponoszone w sposób przejrzysty, racjonalny i efektywny. </w:t>
      </w:r>
    </w:p>
    <w:p w14:paraId="1ABA1F5A" w14:textId="396D2778" w:rsidR="000069FF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przypadku, gdy</w:t>
      </w:r>
      <w:r w:rsidR="00653A5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033023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jest organem administracji publicznej, może on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powierzać na podstawie </w:t>
      </w:r>
      <w:r w:rsidRPr="008A7CF9">
        <w:rPr>
          <w:rFonts w:eastAsia="MS Mincho" w:cstheme="minorHAnsi"/>
          <w:sz w:val="24"/>
          <w:szCs w:val="24"/>
          <w:lang w:eastAsia="ja-JP"/>
        </w:rPr>
        <w:t>art. 5 ust. 2 pkt 1 ustawy z dnia 24 kwietnia 2003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r.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działalności pożytku publicznego i o wolontariacie realizację zadań publicznych</w:t>
      </w:r>
      <w:r w:rsidR="007A21C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trybie określonym w tej ustawie. Do powierzenia realizacji zadań publicznych</w:t>
      </w:r>
      <w:r w:rsidR="00D124F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ww. trybie, 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określo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nej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 sekcj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i</w:t>
      </w:r>
      <w:r w:rsidR="00EF5F4C" w:rsidRPr="00FC6D62">
        <w:rPr>
          <w:rFonts w:eastAsia="MS Mincho" w:cstheme="minorHAnsi"/>
          <w:sz w:val="24"/>
          <w:szCs w:val="24"/>
          <w:lang w:eastAsia="ja-JP"/>
        </w:rPr>
        <w:t xml:space="preserve"> 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D124F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 stosuje się.</w:t>
      </w:r>
    </w:p>
    <w:p w14:paraId="63007E30" w14:textId="27A58D33" w:rsidR="000069FF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przypadku, gdy na podstawie obowiązujących przepisów prawa innych niż Pzp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 wyłącza się stosowanie Pzp, </w:t>
      </w:r>
      <w:r w:rsidR="009D2F4A" w:rsidRPr="00FC6D62">
        <w:rPr>
          <w:rFonts w:eastAsia="MS Mincho" w:cstheme="minorHAnsi"/>
          <w:sz w:val="24"/>
          <w:szCs w:val="24"/>
          <w:lang w:eastAsia="ja-JP"/>
        </w:rPr>
        <w:t xml:space="preserve">Beneficjent 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>będący zamawiającym w rozumieniu Pzp przeprowadza zamówienie z zastosowaniem tych przepisów. Do przeprowadzenia zamówienia w ww. trybie, 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 określo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nej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 w sek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>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i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 xml:space="preserve"> 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F310AD" w:rsidRPr="00FC6D62">
        <w:rPr>
          <w:rFonts w:eastAsia="MS Mincho" w:cstheme="minorHAnsi"/>
          <w:sz w:val="24"/>
          <w:szCs w:val="24"/>
          <w:lang w:eastAsia="ja-JP"/>
        </w:rPr>
        <w:t xml:space="preserve">nie stosuje </w:t>
      </w:r>
      <w:r w:rsidR="000069FF" w:rsidRPr="00FC6D62">
        <w:rPr>
          <w:rFonts w:eastAsia="MS Mincho" w:cstheme="minorHAnsi"/>
          <w:sz w:val="24"/>
          <w:szCs w:val="24"/>
          <w:lang w:eastAsia="ja-JP"/>
        </w:rPr>
        <w:t>się</w:t>
      </w:r>
      <w:r w:rsidR="00E87176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74EBECBC" w14:textId="0D4D01F8" w:rsidR="000069FF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określo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nej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 sekcj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 xml:space="preserve">i 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016D2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nie stosuje się </w:t>
      </w:r>
      <w:r w:rsidR="00C256DD" w:rsidRPr="00FC6D62">
        <w:rPr>
          <w:rFonts w:eastAsia="MS Mincho" w:cstheme="minorHAnsi"/>
          <w:sz w:val="24"/>
          <w:szCs w:val="24"/>
          <w:lang w:eastAsia="ja-JP"/>
        </w:rPr>
        <w:t xml:space="preserve">także </w:t>
      </w:r>
      <w:r w:rsidR="00B90C7E" w:rsidRPr="00FC6D62">
        <w:rPr>
          <w:rFonts w:eastAsia="MS Mincho" w:cstheme="minorHAnsi"/>
          <w:sz w:val="24"/>
          <w:szCs w:val="24"/>
          <w:lang w:eastAsia="ja-JP"/>
        </w:rPr>
        <w:t xml:space="preserve">do </w:t>
      </w:r>
      <w:r w:rsidRPr="00FC6D62">
        <w:rPr>
          <w:rFonts w:eastAsia="MS Mincho" w:cstheme="minorHAnsi"/>
          <w:sz w:val="24"/>
          <w:szCs w:val="24"/>
          <w:lang w:eastAsia="ja-JP"/>
        </w:rPr>
        <w:t>zamówi</w:t>
      </w:r>
      <w:r w:rsidR="00B90C7E" w:rsidRPr="00FC6D62">
        <w:rPr>
          <w:rFonts w:eastAsia="MS Mincho" w:cstheme="minorHAnsi"/>
          <w:sz w:val="24"/>
          <w:szCs w:val="24"/>
          <w:lang w:eastAsia="ja-JP"/>
        </w:rPr>
        <w:t xml:space="preserve">eń określonych w art. 9-14 Pzp. </w:t>
      </w:r>
    </w:p>
    <w:p w14:paraId="1B46A052" w14:textId="69B8780A" w:rsidR="00A149EC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Możliwe jest niestosowanie procedur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określon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ej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 sekcj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i</w:t>
      </w:r>
      <w:r w:rsidR="002737F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1.1 przy</w:t>
      </w:r>
      <w:r w:rsidR="000D1C56" w:rsidRPr="00FC6D62">
        <w:rPr>
          <w:rFonts w:eastAsia="MS Mincho" w:cstheme="minorHAnsi"/>
          <w:sz w:val="24"/>
          <w:szCs w:val="24"/>
          <w:lang w:eastAsia="ja-JP"/>
        </w:rPr>
        <w:t xml:space="preserve"> udzielaniu zamówień w następujących przypadkach:</w:t>
      </w:r>
      <w:r w:rsidR="008B068D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"/>
      </w:r>
    </w:p>
    <w:p w14:paraId="644183DF" w14:textId="2053A36E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 xml:space="preserve">w wyniku prawidłowego zastosowania zasady konkurencyjności </w:t>
      </w:r>
      <w:r w:rsidR="00591B6B" w:rsidRPr="00FC6D62">
        <w:rPr>
          <w:rFonts w:eastAsia="MS Mincho" w:cstheme="minorHAnsi"/>
          <w:sz w:val="24"/>
          <w:szCs w:val="24"/>
          <w:lang w:eastAsia="ja-JP"/>
        </w:rPr>
        <w:t>określonej 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sekcji </w:t>
      </w:r>
      <w:r w:rsidR="003D5AA1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3D5AA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 wpłynęła żadna oferta</w:t>
      </w:r>
      <w:r w:rsidR="00591B6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wpłynęły tylko oferty podlegające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odrzuceniu</w:t>
      </w:r>
      <w:r w:rsidR="00591B6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albo wszyscy wykonawcy zostali wykluczeni z postępowania lub nie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spełnili warunków udziału w postępowaniu</w:t>
      </w:r>
      <w:r w:rsidR="000D1C56" w:rsidRPr="00FC6D62">
        <w:rPr>
          <w:rFonts w:eastAsia="MS Mincho" w:cstheme="minorHAnsi"/>
          <w:sz w:val="24"/>
          <w:szCs w:val="24"/>
          <w:lang w:eastAsia="ja-JP"/>
        </w:rPr>
        <w:t>. Z</w:t>
      </w:r>
      <w:r w:rsidRPr="00FC6D62">
        <w:rPr>
          <w:rFonts w:eastAsia="MS Mincho" w:cstheme="minorHAnsi"/>
          <w:sz w:val="24"/>
          <w:szCs w:val="24"/>
          <w:lang w:eastAsia="ja-JP"/>
        </w:rPr>
        <w:t>awarcie umowy w sprawie realizacji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z pominięciem zasady konkurencyjności jest możliwe, gdy pierwotne</w:t>
      </w:r>
      <w:r w:rsidR="002E5A1C" w:rsidRPr="00FC6D62">
        <w:rPr>
          <w:rFonts w:eastAsia="MS Mincho" w:cstheme="minorHAnsi"/>
          <w:sz w:val="24"/>
          <w:szCs w:val="24"/>
          <w:lang w:eastAsia="ja-JP"/>
        </w:rPr>
        <w:t xml:space="preserve"> warunki zamówienia nie zostały zmienione,</w:t>
      </w:r>
    </w:p>
    <w:p w14:paraId="5AF0B3F2" w14:textId="26A00737" w:rsidR="00D24E7A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zamówienie może być zrealizowane tylko przez jednego wykonawcę z jednego</w:t>
      </w:r>
      <w:r w:rsidR="002E5A1C" w:rsidRPr="00FC6D62">
        <w:rPr>
          <w:rFonts w:eastAsia="MS Mincho" w:cstheme="minorHAnsi"/>
          <w:sz w:val="24"/>
          <w:szCs w:val="24"/>
          <w:lang w:eastAsia="ja-JP"/>
        </w:rPr>
        <w:t xml:space="preserve"> z następujących powodów:</w:t>
      </w:r>
    </w:p>
    <w:p w14:paraId="1E2F0198" w14:textId="35DA3650" w:rsidR="00D24E7A" w:rsidRPr="00FC6D62" w:rsidRDefault="00D24E7A" w:rsidP="00FC6D62">
      <w:pPr>
        <w:pStyle w:val="Akapitzlist"/>
        <w:numPr>
          <w:ilvl w:val="1"/>
          <w:numId w:val="21"/>
        </w:numPr>
        <w:spacing w:after="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brak konkurencji ze względów technicznych o obiektywnym charakterze, 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>tzn. istnieje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tylko jeden wykonawca, który jako jedyny może zrealizować</w:t>
      </w:r>
      <w:r w:rsidR="002E5A1C" w:rsidRPr="00FC6D62">
        <w:rPr>
          <w:rFonts w:eastAsia="MS Mincho" w:cstheme="minorHAnsi"/>
          <w:sz w:val="24"/>
          <w:szCs w:val="24"/>
          <w:lang w:eastAsia="ja-JP"/>
        </w:rPr>
        <w:t xml:space="preserve"> zamówienie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39046CD6" w14:textId="3E18F5EE" w:rsidR="00D24E7A" w:rsidRPr="00FC6D62" w:rsidRDefault="00D24E7A" w:rsidP="00FC6D62">
      <w:pPr>
        <w:pStyle w:val="Akapitzlist"/>
        <w:numPr>
          <w:ilvl w:val="1"/>
          <w:numId w:val="21"/>
        </w:numPr>
        <w:spacing w:after="0" w:line="360" w:lineRule="auto"/>
        <w:ind w:left="1134" w:hanging="425"/>
        <w:rPr>
          <w:rFonts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przedmiot zamówienia jest objęty ochroną praw wyłącznych, w tym praw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własności intelektualnej, tzn. istnieje tylko jeden wykonawca, który ma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wyłączne prawo do dysponowania przedmiotem zamówienia, a prawo to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podlega ochronie 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>ustawowej; wyłączenie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może być zastosowane, o ile nie istnieje rozwiązanie alternatywne lub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zastępcze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a brak konkurencji nie jest wynikiem sztucznego zawężania</w:t>
      </w:r>
      <w:r w:rsidR="00543235" w:rsidRPr="00FC6D62">
        <w:rPr>
          <w:rFonts w:cstheme="minorHAnsi"/>
          <w:sz w:val="24"/>
          <w:szCs w:val="24"/>
          <w:lang w:eastAsia="ja-JP"/>
        </w:rPr>
        <w:t xml:space="preserve"> </w:t>
      </w:r>
      <w:r w:rsidRPr="00FC6D62">
        <w:rPr>
          <w:rFonts w:cstheme="minorHAnsi"/>
          <w:sz w:val="24"/>
          <w:szCs w:val="24"/>
          <w:lang w:eastAsia="ja-JP"/>
        </w:rPr>
        <w:t>parametrów zamówienia,</w:t>
      </w:r>
    </w:p>
    <w:p w14:paraId="33BC75A6" w14:textId="28BE2D2A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zamówień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których ma zastosowanie zasada konkurencyjności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B62941" w:rsidRPr="00FC6D62">
        <w:rPr>
          <w:rFonts w:eastAsia="MS Mincho" w:cstheme="minorHAnsi"/>
          <w:sz w:val="24"/>
          <w:szCs w:val="24"/>
          <w:lang w:eastAsia="ja-JP"/>
        </w:rPr>
        <w:t>ze względu na pilną potrzebę (konieczność) udzielenia zamówienia</w:t>
      </w:r>
      <w:r w:rsidR="00DC255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niewynikającą z przyczyn leżących po stronie zamawiającego, której wcześniej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 można było przewidzieć, nie można zachować terminów określonych w sekcji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9E230B" w:rsidRPr="00FC6D62">
        <w:rPr>
          <w:rFonts w:eastAsia="MS Mincho" w:cstheme="minorHAnsi"/>
          <w:sz w:val="24"/>
          <w:szCs w:val="24"/>
          <w:lang w:eastAsia="ja-JP"/>
        </w:rPr>
        <w:t xml:space="preserve"> pkt 1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03CBF754" w14:textId="3CB4BD4B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zamówień</w:t>
      </w:r>
      <w:r w:rsidR="001A6C67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których ma zastosowanie zasada konkurencyjności,</w:t>
      </w:r>
      <w:r w:rsidR="00620FB6" w:rsidRPr="00FC6D62">
        <w:rPr>
          <w:rFonts w:eastAsia="MS Mincho" w:cstheme="minorHAnsi"/>
          <w:sz w:val="24"/>
          <w:szCs w:val="24"/>
          <w:lang w:eastAsia="ja-JP"/>
        </w:rPr>
        <w:t xml:space="preserve"> ze względu na wyjątkową sytuację niewynikającą z przyczyn leżących po stronie zamawiającego, której wcześniej nie moż</w:t>
      </w:r>
      <w:r w:rsidR="00285958" w:rsidRPr="00FC6D62">
        <w:rPr>
          <w:rFonts w:eastAsia="MS Mincho" w:cstheme="minorHAnsi"/>
          <w:sz w:val="24"/>
          <w:szCs w:val="24"/>
          <w:lang w:eastAsia="ja-JP"/>
        </w:rPr>
        <w:t xml:space="preserve">na było przewidzieć (np. klęski </w:t>
      </w:r>
      <w:r w:rsidR="00620FB6" w:rsidRPr="00FC6D62">
        <w:rPr>
          <w:rFonts w:eastAsia="MS Mincho" w:cstheme="minorHAnsi"/>
          <w:sz w:val="24"/>
          <w:szCs w:val="24"/>
          <w:lang w:eastAsia="ja-JP"/>
        </w:rPr>
        <w:t>żywiołowe, katastrofy, awarie), wymagane jest natychmiastowe wykonanie</w:t>
      </w:r>
      <w:r w:rsidR="0028595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620FB6" w:rsidRPr="00FC6D62">
        <w:rPr>
          <w:rFonts w:eastAsia="MS Mincho" w:cstheme="minorHAnsi"/>
          <w:sz w:val="24"/>
          <w:szCs w:val="24"/>
          <w:lang w:eastAsia="ja-JP"/>
        </w:rPr>
        <w:t xml:space="preserve">zamówienia i nie można zachować terminów określonych w sekcji 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>1.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 xml:space="preserve"> pkt</w:t>
      </w:r>
      <w:r w:rsidR="00285958" w:rsidRPr="00FC6D62">
        <w:rPr>
          <w:rFonts w:eastAsia="MS Mincho" w:cstheme="minorHAnsi"/>
          <w:sz w:val="24"/>
          <w:szCs w:val="24"/>
          <w:lang w:eastAsia="ja-JP"/>
        </w:rPr>
        <w:t>.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 xml:space="preserve"> 1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1</w:t>
      </w:r>
      <w:r w:rsidR="003862D6" w:rsidRPr="00FC6D62">
        <w:rPr>
          <w:rFonts w:eastAsia="MS Mincho" w:cstheme="minorHAnsi"/>
          <w:sz w:val="24"/>
          <w:szCs w:val="24"/>
          <w:lang w:eastAsia="ja-JP"/>
        </w:rPr>
        <w:t xml:space="preserve">, </w:t>
      </w:r>
    </w:p>
    <w:p w14:paraId="753FC0A0" w14:textId="77777777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zamawiający udziela wykonawcy wybranemu zgodnie z zasadą konkurencyjności</w:t>
      </w:r>
      <w:r w:rsidR="0083678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zamówień na dodatkowe dostawy, polegających na częściowej wymianie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dostarczonych produktów lub instalacji albo zwiększeniu bieżących dostaw lub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rozbudowie istniejących instalacji, a zmiana wykonawcy prowadziłaby do nabycia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materiałów o innych właściwościach technicznych, co powodowałoby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niekompatybilność techniczną lub nieproporcjonalnie duże trudności techniczne</w:t>
      </w:r>
      <w:r w:rsidR="0083678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w użytkowaniu i utrzymaniu tych </w:t>
      </w: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produktów lub instalacji. Czas trwania umowy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sprawie zamówienia na dostawy dodatkowe nie może przekraczać 3 lat,</w:t>
      </w:r>
    </w:p>
    <w:p w14:paraId="647E3210" w14:textId="149A406B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zamawiający udziela wykonawcy wybranemu zgodnie z zasadą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konkurencyjności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w okresie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3 lat od dnia udzielenia zamówienia podstawowego,</w:t>
      </w:r>
      <w:r w:rsidR="003F3B4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przewidzianych w zapytaniu ofertowym zamówień na usługi, polegających na powtórzeniu podobnych usług</w:t>
      </w:r>
      <w:r w:rsidR="00541534" w:rsidRPr="00FC6D62">
        <w:rPr>
          <w:rFonts w:eastAsia="MS Mincho" w:cstheme="minorHAnsi"/>
          <w:sz w:val="24"/>
          <w:szCs w:val="24"/>
          <w:lang w:eastAsia="ja-JP"/>
        </w:rPr>
        <w:t xml:space="preserve"> do wysokości wartości pierwotnego zamówienia</w:t>
      </w:r>
      <w:r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5637A761" w14:textId="77777777" w:rsidR="000069FF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przedmiotem zamówienia są dostawy na szczególnie korzystnych </w:t>
      </w:r>
      <w:r w:rsidR="00A975F5" w:rsidRPr="00FC6D62">
        <w:rPr>
          <w:rFonts w:eastAsia="MS Mincho" w:cstheme="minorHAnsi"/>
          <w:sz w:val="24"/>
          <w:szCs w:val="24"/>
          <w:lang w:eastAsia="ja-JP"/>
        </w:rPr>
        <w:t>warunkach 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związku z likwidacją działalności innego podmiotu, </w:t>
      </w:r>
      <w:r w:rsidR="00A975F5" w:rsidRPr="00FC6D62">
        <w:rPr>
          <w:rFonts w:eastAsia="MS Mincho" w:cstheme="minorHAnsi"/>
          <w:sz w:val="24"/>
          <w:szCs w:val="24"/>
          <w:lang w:eastAsia="ja-JP"/>
        </w:rPr>
        <w:t>postępowaniem egzekucyjnym</w:t>
      </w:r>
      <w:r w:rsidR="000069FF" w:rsidRPr="00FC6D62">
        <w:rPr>
          <w:rFonts w:eastAsia="MS Mincho" w:cstheme="minorHAnsi"/>
          <w:sz w:val="24"/>
          <w:szCs w:val="24"/>
          <w:lang w:eastAsia="ja-JP"/>
        </w:rPr>
        <w:t xml:space="preserve"> albo upadłościowym,</w:t>
      </w:r>
    </w:p>
    <w:p w14:paraId="41C637C1" w14:textId="14222F8E" w:rsidR="00957265" w:rsidRPr="00FC6D62" w:rsidRDefault="00D24E7A" w:rsidP="00AD78EE">
      <w:pPr>
        <w:pStyle w:val="Akapitzlist"/>
        <w:numPr>
          <w:ilvl w:val="0"/>
          <w:numId w:val="4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zamówienie na dostawy jest dokonywane na giełdzie towarowej w rozumieniu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przepisów o giełdach towarowych, w tym na giełdzie towarowej innych państw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członkowskich Europejskiego Obszaru Gospodarczego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</w:p>
    <w:p w14:paraId="3E876AF0" w14:textId="34675CB9" w:rsidR="00D24E7A" w:rsidRPr="00FC6D62" w:rsidRDefault="00D24E7A" w:rsidP="00FC6D62">
      <w:pPr>
        <w:spacing w:after="0" w:line="360" w:lineRule="auto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E22C16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eneficjenta, któr</w:t>
      </w:r>
      <w:r w:rsidR="006740F1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nie</w:t>
      </w:r>
      <w:r w:rsidR="00674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jest zamawiającym w rozumieniu Pzp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zamówienia o wartości szacunkowej przekraczającej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Pr="00FC6D62">
        <w:rPr>
          <w:rFonts w:eastAsia="MS Mincho" w:cstheme="minorHAnsi"/>
          <w:sz w:val="24"/>
          <w:szCs w:val="24"/>
          <w:lang w:eastAsia="ja-JP"/>
        </w:rPr>
        <w:t>0 tys. PLN netto, o których</w:t>
      </w:r>
      <w:r w:rsidR="0032363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mowa w lit</w:t>
      </w:r>
      <w:r w:rsidR="00C3645A" w:rsidRPr="00FC6D62">
        <w:rPr>
          <w:rFonts w:eastAsia="MS Mincho" w:cstheme="minorHAnsi"/>
          <w:sz w:val="24"/>
          <w:szCs w:val="24"/>
          <w:lang w:eastAsia="ja-JP"/>
        </w:rPr>
        <w:t>. a - d</w:t>
      </w:r>
      <w:r w:rsidR="00323634" w:rsidRPr="00FC6D62">
        <w:rPr>
          <w:rFonts w:eastAsia="MS Mincho" w:cstheme="minorHAnsi"/>
          <w:sz w:val="24"/>
          <w:szCs w:val="24"/>
          <w:lang w:eastAsia="ja-JP"/>
        </w:rPr>
        <w:t xml:space="preserve"> lub g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>–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323634" w:rsidRPr="00FC6D62">
        <w:rPr>
          <w:rFonts w:eastAsia="MS Mincho" w:cstheme="minorHAnsi"/>
          <w:sz w:val="24"/>
          <w:szCs w:val="24"/>
          <w:lang w:eastAsia="ja-JP"/>
        </w:rPr>
        <w:t>h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 mogą być udzielane podmiotom powiązanym z nim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E113B" w:rsidRPr="00FC6D62">
        <w:rPr>
          <w:rFonts w:eastAsia="MS Mincho" w:cstheme="minorHAnsi"/>
          <w:sz w:val="24"/>
          <w:szCs w:val="24"/>
          <w:lang w:eastAsia="ja-JP"/>
        </w:rPr>
        <w:t>osobowo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kapitałowo w s</w:t>
      </w:r>
      <w:r w:rsidR="00957265" w:rsidRPr="00FC6D62">
        <w:rPr>
          <w:rFonts w:eastAsia="MS Mincho" w:cstheme="minorHAnsi"/>
          <w:sz w:val="24"/>
          <w:szCs w:val="24"/>
          <w:lang w:eastAsia="ja-JP"/>
        </w:rPr>
        <w:t xml:space="preserve">posób określony w pkt 3 sekcji 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1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  <w:r w:rsidR="004255EE" w:rsidRPr="00FC6D62">
        <w:rPr>
          <w:rFonts w:eastAsia="MS Mincho" w:cstheme="minorHAnsi"/>
          <w:sz w:val="24"/>
          <w:szCs w:val="24"/>
          <w:lang w:eastAsia="ja-JP"/>
        </w:rPr>
        <w:t>1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bez zgody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554259" w:rsidRPr="00FC6D62">
        <w:rPr>
          <w:rFonts w:eastAsia="MS Mincho" w:cstheme="minorHAnsi"/>
          <w:sz w:val="24"/>
          <w:szCs w:val="24"/>
          <w:lang w:eastAsia="ja-JP"/>
        </w:rPr>
        <w:t>JW.</w:t>
      </w:r>
    </w:p>
    <w:p w14:paraId="4020BB6A" w14:textId="14E84EAA" w:rsidR="000069FF" w:rsidRPr="00FC6D62" w:rsidRDefault="00541534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gdy Beneficjentem jest Zamawiający w rozumieniu przepisów ustawy Pzp, m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ożliwe jest niestosowanie procedur określonych w niniejsz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ej sekcji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w przypadkach określonych w </w:t>
      </w:r>
      <w:r w:rsidR="00D24E7A" w:rsidRPr="00027075">
        <w:rPr>
          <w:rFonts w:eastAsia="MS Mincho" w:cstheme="minorHAnsi"/>
          <w:sz w:val="24"/>
          <w:szCs w:val="24"/>
          <w:lang w:eastAsia="ja-JP"/>
        </w:rPr>
        <w:t>art. 214 ust. 1 Pzp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</w:p>
    <w:p w14:paraId="1FA60D53" w14:textId="36639C4C" w:rsidR="001241D3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Spełnienie przesłanek z pkt 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7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i 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>8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musi być pisemnie uzasadnione</w:t>
      </w:r>
      <w:r w:rsidR="00541534" w:rsidRPr="00FC6D62">
        <w:rPr>
          <w:rFonts w:eastAsia="MS Mincho" w:cstheme="minorHAnsi"/>
          <w:sz w:val="24"/>
          <w:szCs w:val="24"/>
          <w:lang w:eastAsia="ja-JP"/>
        </w:rPr>
        <w:t xml:space="preserve"> a do uzasadnienia muszą być załączone dowody na uprawdopodobnienie twierdzeń Zamawiającego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15469087" w14:textId="1CC85BA7" w:rsidR="00D24E7A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Podstawą ustalenia wartości zamówienia w ramach</w:t>
      </w:r>
      <w:r w:rsidR="00CC69AB" w:rsidRPr="00FC6D62">
        <w:rPr>
          <w:rFonts w:eastAsia="MS Mincho" w:cstheme="minorHAnsi"/>
          <w:sz w:val="24"/>
          <w:szCs w:val="24"/>
          <w:lang w:eastAsia="ja-JP"/>
        </w:rPr>
        <w:t xml:space="preserve"> Przedsięwzięcia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jest 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całkowite szacunkowe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wynagrodzenie wykonawcy netto, tj. bez podatku od towarów i usług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(VAT), ustalone z należytą starannością, z uwzględnieniem ewentualnych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zamówień, o których mowa w pkt 7 lit. </w:t>
      </w:r>
      <w:r w:rsidR="00A01AC4" w:rsidRPr="00FC6D62">
        <w:rPr>
          <w:rFonts w:eastAsia="MS Mincho" w:cstheme="minorHAnsi"/>
          <w:sz w:val="24"/>
          <w:szCs w:val="24"/>
          <w:lang w:eastAsia="ja-JP"/>
        </w:rPr>
        <w:t>f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  <w:r w:rsidR="00541534" w:rsidRPr="00FC6D62">
        <w:rPr>
          <w:rFonts w:eastAsia="MS Mincho" w:cstheme="minorHAnsi"/>
          <w:sz w:val="24"/>
          <w:szCs w:val="24"/>
          <w:lang w:eastAsia="ja-JP"/>
        </w:rPr>
        <w:t xml:space="preserve">Brak uwzględnienia zamówień dodatkowych uniemożliwia skorzystanie z zamówień dodatkowych. </w:t>
      </w:r>
      <w:r w:rsidRPr="00FC6D62">
        <w:rPr>
          <w:rFonts w:eastAsia="MS Mincho" w:cstheme="minorHAnsi"/>
          <w:sz w:val="24"/>
          <w:szCs w:val="24"/>
          <w:lang w:eastAsia="ja-JP"/>
        </w:rPr>
        <w:t>Szacowanie jest dokumentowane w sposób</w:t>
      </w:r>
      <w:r w:rsidR="0021792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zapewniający właściwą ścieżkę audytu (np. w zatwierdzonym </w:t>
      </w:r>
      <w:r w:rsidR="00263204" w:rsidRPr="00FC6D62">
        <w:rPr>
          <w:rFonts w:eastAsia="MS Mincho" w:cstheme="minorHAnsi"/>
          <w:sz w:val="24"/>
          <w:szCs w:val="24"/>
          <w:lang w:eastAsia="ja-JP"/>
        </w:rPr>
        <w:t>wniosku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263204" w:rsidRPr="00FC6D62">
        <w:rPr>
          <w:rFonts w:eastAsia="MS Mincho" w:cstheme="minorHAnsi"/>
          <w:sz w:val="24"/>
          <w:szCs w:val="24"/>
          <w:lang w:eastAsia="ja-JP"/>
        </w:rPr>
        <w:t xml:space="preserve">o objęcie Przedsięwzięcia wsparciem </w:t>
      </w:r>
      <w:r w:rsidRPr="00FC6D62">
        <w:rPr>
          <w:rFonts w:eastAsia="MS Mincho" w:cstheme="minorHAnsi"/>
          <w:sz w:val="24"/>
          <w:szCs w:val="24"/>
          <w:lang w:eastAsia="ja-JP"/>
        </w:rPr>
        <w:t>lub w notatce z szacowania).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523B9" w:rsidRPr="00FC6D62">
        <w:rPr>
          <w:rFonts w:eastAsia="MS Mincho" w:cstheme="minorHAnsi"/>
          <w:sz w:val="24"/>
          <w:szCs w:val="24"/>
          <w:lang w:eastAsia="ja-JP"/>
        </w:rPr>
        <w:t xml:space="preserve">Określenie szacunkowej wartości zamówienia musi </w:t>
      </w:r>
      <w:r w:rsidR="00511460" w:rsidRPr="00FC6D62">
        <w:rPr>
          <w:rFonts w:eastAsia="MS Mincho" w:cstheme="minorHAnsi"/>
          <w:sz w:val="24"/>
          <w:szCs w:val="24"/>
          <w:lang w:eastAsia="ja-JP"/>
        </w:rPr>
        <w:t xml:space="preserve">się </w:t>
      </w:r>
      <w:r w:rsidR="00D523B9" w:rsidRPr="00FC6D62">
        <w:rPr>
          <w:rFonts w:eastAsia="MS Mincho" w:cstheme="minorHAnsi"/>
          <w:sz w:val="24"/>
          <w:szCs w:val="24"/>
          <w:lang w:eastAsia="ja-JP"/>
        </w:rPr>
        <w:t xml:space="preserve">odbyć z zachowaniem należytej staranności. Musi objąć cały przedmiot zamówienia.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Zabronione jest </w:t>
      </w:r>
      <w:r w:rsidR="00D523B9" w:rsidRPr="00FC6D62">
        <w:rPr>
          <w:rFonts w:eastAsia="MS Mincho" w:cstheme="minorHAnsi"/>
          <w:sz w:val="24"/>
          <w:szCs w:val="24"/>
          <w:lang w:eastAsia="ja-JP"/>
        </w:rPr>
        <w:t xml:space="preserve">zawyżanie oraz </w:t>
      </w:r>
      <w:r w:rsidRPr="00FC6D62">
        <w:rPr>
          <w:rFonts w:eastAsia="MS Mincho" w:cstheme="minorHAnsi"/>
          <w:sz w:val="24"/>
          <w:szCs w:val="24"/>
          <w:lang w:eastAsia="ja-JP"/>
        </w:rPr>
        <w:t>zaniżanie wartości szacunkowej zamówienia lub jego podział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skutkujący zaniżeniem jego wartości szacunkowej, przy czym ustalając wartość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</w:t>
      </w:r>
      <w:r w:rsidR="003A7B91" w:rsidRPr="00FC6D62">
        <w:rPr>
          <w:rFonts w:eastAsia="MS Mincho" w:cstheme="minorHAnsi"/>
          <w:sz w:val="24"/>
          <w:szCs w:val="24"/>
          <w:lang w:eastAsia="ja-JP"/>
        </w:rPr>
        <w:t xml:space="preserve"> lub przy </w:t>
      </w:r>
      <w:r w:rsidR="003A7B91" w:rsidRPr="00FC6D62">
        <w:rPr>
          <w:rFonts w:eastAsia="MS Mincho" w:cstheme="minorHAnsi"/>
          <w:sz w:val="24"/>
          <w:szCs w:val="24"/>
          <w:lang w:eastAsia="ja-JP"/>
        </w:rPr>
        <w:lastRenderedPageBreak/>
        <w:t>ewentualnym sumowaniu odrębnych zamówień</w:t>
      </w:r>
      <w:r w:rsidR="00BA4810" w:rsidRPr="00FC6D62">
        <w:rPr>
          <w:rFonts w:eastAsia="MS Mincho" w:cstheme="minorHAnsi"/>
          <w:sz w:val="24"/>
          <w:szCs w:val="24"/>
          <w:lang w:eastAsia="ja-JP"/>
        </w:rPr>
        <w:t>,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należy wziąć pod uwagę konieczność łącznego spełnienia trzech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przesłanek (tożsamości):</w:t>
      </w:r>
      <w:r w:rsidR="00BA4810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2"/>
      </w:r>
    </w:p>
    <w:p w14:paraId="315A6906" w14:textId="77777777" w:rsidR="000069FF" w:rsidRPr="00FC6D62" w:rsidRDefault="00D24E7A" w:rsidP="00AD78EE">
      <w:pPr>
        <w:pStyle w:val="Akapitzlist"/>
        <w:numPr>
          <w:ilvl w:val="0"/>
          <w:numId w:val="5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usługi</w:t>
      </w:r>
      <w:r w:rsidR="006B7054" w:rsidRPr="00FC6D62">
        <w:rPr>
          <w:rFonts w:eastAsia="MS Mincho" w:cstheme="minorHAnsi"/>
          <w:sz w:val="24"/>
          <w:szCs w:val="24"/>
          <w:lang w:eastAsia="ja-JP"/>
        </w:rPr>
        <w:t xml:space="preserve"> oraz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dostawy są tożsame rodzajowo lub funkcjonalnie</w:t>
      </w:r>
      <w:r w:rsidR="006B7054" w:rsidRPr="00FC6D62">
        <w:rPr>
          <w:rFonts w:eastAsia="MS Mincho" w:cstheme="minorHAnsi"/>
          <w:sz w:val="24"/>
          <w:szCs w:val="24"/>
          <w:lang w:eastAsia="ja-JP"/>
        </w:rPr>
        <w:t xml:space="preserve"> (tożsamość przedmiotowa),</w:t>
      </w:r>
    </w:p>
    <w:p w14:paraId="5D98FD4D" w14:textId="448D657E" w:rsidR="000069FF" w:rsidRPr="00FC6D62" w:rsidRDefault="00D24E7A" w:rsidP="00AD78EE">
      <w:pPr>
        <w:pStyle w:val="Akapitzlist"/>
        <w:numPr>
          <w:ilvl w:val="0"/>
          <w:numId w:val="5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możliwe jest udzielenie zamówienia w tym samym czasie (tożsamość czasowa),</w:t>
      </w:r>
      <w:r w:rsidR="00BA4810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3"/>
      </w:r>
    </w:p>
    <w:p w14:paraId="58139971" w14:textId="2D19CC6A" w:rsidR="0065086E" w:rsidRPr="00FC6D62" w:rsidRDefault="00D24E7A" w:rsidP="00AD78EE">
      <w:pPr>
        <w:pStyle w:val="Akapitzlist"/>
        <w:numPr>
          <w:ilvl w:val="0"/>
          <w:numId w:val="5"/>
        </w:numPr>
        <w:spacing w:after="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możliwe jest wykonanie zamówienia przez jednego wykonawcę (tożsamość</w:t>
      </w:r>
      <w:r w:rsidR="00E6301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podmiotowa).</w:t>
      </w:r>
      <w:r w:rsidR="009415E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przypadku udzielania zamówienia w częściach (z określonych względów</w:t>
      </w:r>
      <w:r w:rsidR="00FC118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ekonomicznych, organizacyjnych, celowościowych), wartość zamówienia ustala się</w:t>
      </w:r>
      <w:r w:rsidR="00FC118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jako łączną wartość poszczególnych jego części</w:t>
      </w:r>
      <w:r w:rsidR="00F84F7A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4"/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0A2C14BC" w14:textId="7C5D05B6" w:rsidR="000521A3" w:rsidRPr="00FC6D62" w:rsidRDefault="0065086E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Podmioty będące Zamawiającymi w rozumieniu Pzp 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a także podmioty nie będące zamawiającymi w rozumieniu Pzp,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w pierwszej kolejności dokonują szacowania wartości zamówienia zgodnie z przepisami tej ustawy. Po stwierdzeniu, że szacunkowa wartość zamówienia ustalona na podstawie Pzp nie przekracza wartości, od której istnieje obowiązek stosowania Pzp, podmioty 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te </w:t>
      </w:r>
      <w:r w:rsidRPr="00FC6D62">
        <w:rPr>
          <w:rFonts w:eastAsia="MS Mincho" w:cstheme="minorHAnsi"/>
          <w:sz w:val="24"/>
          <w:szCs w:val="24"/>
          <w:lang w:eastAsia="ja-JP"/>
        </w:rPr>
        <w:t>zobowiązane są stosować zasady konkurencyjności</w:t>
      </w:r>
      <w:r w:rsidR="00543235" w:rsidRPr="00FC6D62">
        <w:rPr>
          <w:rFonts w:eastAsia="MS Mincho" w:cstheme="minorHAnsi"/>
          <w:sz w:val="24"/>
          <w:szCs w:val="24"/>
          <w:lang w:eastAsia="ja-JP"/>
        </w:rPr>
        <w:t xml:space="preserve"> do zamówień których wartość szacunkowa przekracza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0 tys. PLN netto, tj. bez podatku od towarów i usług (VAT). </w:t>
      </w:r>
    </w:p>
    <w:p w14:paraId="246EFE22" w14:textId="77777777" w:rsidR="000521A3" w:rsidRPr="00FC6D62" w:rsidRDefault="00D24E7A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naruszenia przez</w:t>
      </w:r>
      <w:r w:rsidR="006221C8" w:rsidRPr="00FC6D62">
        <w:rPr>
          <w:rFonts w:eastAsia="MS Mincho" w:cstheme="minorHAnsi"/>
          <w:sz w:val="24"/>
          <w:szCs w:val="24"/>
          <w:lang w:eastAsia="ja-JP"/>
        </w:rPr>
        <w:t xml:space="preserve"> B</w:t>
      </w:r>
      <w:r w:rsidRPr="00FC6D62">
        <w:rPr>
          <w:rFonts w:eastAsia="MS Mincho" w:cstheme="minorHAnsi"/>
          <w:sz w:val="24"/>
          <w:szCs w:val="24"/>
          <w:lang w:eastAsia="ja-JP"/>
        </w:rPr>
        <w:t>eneficjenta warunków i procedur postępowania</w:t>
      </w:r>
      <w:r w:rsidR="008A54A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udzielenie zamówienia</w:t>
      </w:r>
      <w:r w:rsidR="000069FF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492BA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2548A5" w:rsidRPr="00FC6D62">
        <w:rPr>
          <w:rFonts w:eastAsia="MS Mincho" w:cstheme="minorHAnsi"/>
          <w:sz w:val="24"/>
          <w:szCs w:val="24"/>
          <w:lang w:eastAsia="ja-JP"/>
        </w:rPr>
        <w:t>JW</w:t>
      </w:r>
      <w:r w:rsidR="008A54A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uznaje całość</w:t>
      </w:r>
      <w:r w:rsidR="008A54A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lub część </w:t>
      </w:r>
      <w:r w:rsidR="005011D3" w:rsidRPr="00FC6D62">
        <w:rPr>
          <w:rFonts w:eastAsia="MS Mincho" w:cstheme="minorHAnsi"/>
          <w:sz w:val="24"/>
          <w:szCs w:val="24"/>
          <w:lang w:eastAsia="ja-JP"/>
        </w:rPr>
        <w:t>kosztów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związanych z tym zamówieniem za niekwalifikowalne</w:t>
      </w:r>
      <w:r w:rsidR="003112C8" w:rsidRPr="00FC6D62">
        <w:rPr>
          <w:rFonts w:eastAsia="MS Mincho" w:cstheme="minorHAnsi"/>
          <w:sz w:val="24"/>
          <w:szCs w:val="24"/>
          <w:lang w:eastAsia="ja-JP"/>
        </w:rPr>
        <w:t xml:space="preserve"> w zależności od skali naruszenia. </w:t>
      </w:r>
    </w:p>
    <w:p w14:paraId="561DE8DB" w14:textId="475F210E" w:rsidR="00D24E7A" w:rsidRPr="00FC6D62" w:rsidRDefault="000521A3" w:rsidP="00AD78EE">
      <w:pPr>
        <w:pStyle w:val="Akapitzlist"/>
        <w:numPr>
          <w:ilvl w:val="0"/>
          <w:numId w:val="3"/>
        </w:numPr>
        <w:spacing w:after="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Do zamówień udzielanych w ramach Krajowego Planu Odbudowy zastosowanie ma taryfikator korekt stanowiący załącznik do Rozporządzenia w sprawie warunków obniżania wartości korekt finansowych oraz wydatków poniesionych nieprawidłowo związanych z udzielaniem zamówień obowiązujące na dzień wszczęcia postępowania.</w:t>
      </w:r>
    </w:p>
    <w:p w14:paraId="5571DD82" w14:textId="2E27CB1A" w:rsidR="00D24E7A" w:rsidRPr="00FC6D62" w:rsidRDefault="00943D92" w:rsidP="005A668C">
      <w:pPr>
        <w:pStyle w:val="Nagwek2"/>
        <w:spacing w:line="360" w:lineRule="auto"/>
        <w:ind w:left="357" w:hanging="357"/>
        <w:rPr>
          <w:rFonts w:asciiTheme="minorHAnsi" w:eastAsia="MS Mincho" w:hAnsiTheme="minorHAnsi" w:cstheme="minorHAnsi"/>
          <w:iCs/>
          <w:szCs w:val="24"/>
          <w:lang w:eastAsia="ja-JP"/>
        </w:rPr>
      </w:pPr>
      <w:bookmarkStart w:id="5" w:name="_Toc169702710"/>
      <w:r w:rsidRPr="00FC6D62">
        <w:rPr>
          <w:rFonts w:asciiTheme="minorHAnsi" w:eastAsia="MS Mincho" w:hAnsiTheme="minorHAnsi" w:cstheme="minorHAnsi"/>
          <w:iCs/>
          <w:szCs w:val="24"/>
          <w:lang w:eastAsia="ja-JP"/>
        </w:rPr>
        <w:lastRenderedPageBreak/>
        <w:t>1.</w:t>
      </w:r>
      <w:r w:rsidR="004255EE" w:rsidRPr="00FC6D62">
        <w:rPr>
          <w:rFonts w:asciiTheme="minorHAnsi" w:eastAsia="MS Mincho" w:hAnsiTheme="minorHAnsi" w:cstheme="minorHAnsi"/>
          <w:iCs/>
          <w:szCs w:val="24"/>
          <w:lang w:eastAsia="ja-JP"/>
        </w:rPr>
        <w:t>1</w:t>
      </w:r>
      <w:r w:rsidRPr="00FC6D62">
        <w:rPr>
          <w:rFonts w:asciiTheme="minorHAnsi" w:eastAsia="MS Mincho" w:hAnsiTheme="minorHAnsi" w:cstheme="minorHAnsi"/>
          <w:iCs/>
          <w:szCs w:val="24"/>
          <w:lang w:eastAsia="ja-JP"/>
        </w:rPr>
        <w:t xml:space="preserve">. </w:t>
      </w:r>
      <w:r w:rsidR="00D24E7A" w:rsidRPr="00FC6D62">
        <w:rPr>
          <w:rFonts w:asciiTheme="minorHAnsi" w:eastAsia="MS Mincho" w:hAnsiTheme="minorHAnsi" w:cstheme="minorHAnsi"/>
          <w:iCs/>
          <w:szCs w:val="24"/>
          <w:lang w:eastAsia="ja-JP"/>
        </w:rPr>
        <w:t>Zasada konkurencyjności</w:t>
      </w:r>
      <w:bookmarkEnd w:id="5"/>
    </w:p>
    <w:p w14:paraId="0C4BAA82" w14:textId="494674A7" w:rsidR="00D24E7A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Udzielenie zamówienia w ramach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Przedsięwzięcia przez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1A1C8A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 następuje zgodnie</w:t>
      </w:r>
      <w:r w:rsidR="001B4CA4" w:rsidRPr="00FC6D62">
        <w:rPr>
          <w:rFonts w:eastAsia="MS Mincho" w:cstheme="minorHAnsi"/>
          <w:sz w:val="24"/>
          <w:szCs w:val="24"/>
          <w:lang w:eastAsia="ja-JP"/>
        </w:rPr>
        <w:t xml:space="preserve"> z zasadą konkurencyjności w przypadku:</w:t>
      </w:r>
    </w:p>
    <w:p w14:paraId="5FF5955E" w14:textId="17B11586" w:rsidR="001241D3" w:rsidRPr="00FC6D62" w:rsidRDefault="00EA1302" w:rsidP="00AD78EE">
      <w:pPr>
        <w:pStyle w:val="Akapitzlist"/>
        <w:numPr>
          <w:ilvl w:val="0"/>
          <w:numId w:val="8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B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eneficjenta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niebędącego zamawiającym w rozumieniu Pzp w przypadku</w:t>
      </w:r>
      <w:r w:rsidR="00142BF9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zamówień przekraczających wartość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0 tys. PLN netto, tj. bez podatku od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towarów i usług (VAT),</w:t>
      </w:r>
    </w:p>
    <w:p w14:paraId="4620676D" w14:textId="7F9379A3" w:rsidR="00D24E7A" w:rsidRPr="00FC6D62" w:rsidRDefault="00EA1302" w:rsidP="00AD78EE">
      <w:pPr>
        <w:pStyle w:val="Akapitzlist"/>
        <w:numPr>
          <w:ilvl w:val="0"/>
          <w:numId w:val="8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B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eneficjenta będącego zamawiającym w rozumieniu Pzp w przypadku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zamówień o wartości niższej niż kwoty określone w art. 2 ust. 1 Pzp, a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 xml:space="preserve">jednocześnie przekraczającej </w:t>
      </w:r>
      <w:r w:rsidR="00464820">
        <w:rPr>
          <w:rFonts w:eastAsia="MS Mincho" w:cstheme="minorHAnsi"/>
          <w:sz w:val="24"/>
          <w:szCs w:val="24"/>
          <w:lang w:eastAsia="ja-JP"/>
        </w:rPr>
        <w:t>8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0 tys. PLN netto, tj. bez podatku od towarów i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24E7A" w:rsidRPr="00FC6D62">
        <w:rPr>
          <w:rFonts w:eastAsia="MS Mincho" w:cstheme="minorHAnsi"/>
          <w:sz w:val="24"/>
          <w:szCs w:val="24"/>
          <w:lang w:eastAsia="ja-JP"/>
        </w:rPr>
        <w:t>usług (VAT).</w:t>
      </w:r>
    </w:p>
    <w:p w14:paraId="642C9BC9" w14:textId="51D43F3E" w:rsidR="00D24E7A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celu uniknięcia konfliktu interesów:</w:t>
      </w:r>
    </w:p>
    <w:p w14:paraId="4EC03E59" w14:textId="4C86DF96" w:rsidR="00D24E7A" w:rsidRPr="00FC6D62" w:rsidRDefault="00D24E7A" w:rsidP="00AD78EE">
      <w:pPr>
        <w:pStyle w:val="Akapitzlist"/>
        <w:numPr>
          <w:ilvl w:val="1"/>
          <w:numId w:val="9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 przypadku </w:t>
      </w:r>
      <w:r w:rsidR="002F43B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eneficjenta, który nie jest zamawiającym w rozumieniu Pzp,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nie mogą być udzielane podmiotom powiązanym z nim osobowo</w:t>
      </w:r>
      <w:r w:rsidR="006E440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kapitałowo, z wyłączeniem zamówień sektorowych, zamówień określonych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</w:t>
      </w:r>
      <w:r w:rsidR="00982C42" w:rsidRPr="00FC6D62">
        <w:rPr>
          <w:rFonts w:eastAsia="MS Mincho" w:cstheme="minorHAnsi"/>
          <w:sz w:val="24"/>
          <w:szCs w:val="24"/>
          <w:lang w:eastAsia="ja-JP"/>
        </w:rPr>
        <w:t xml:space="preserve"> sekcji</w:t>
      </w:r>
      <w:r w:rsidR="003468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982C42" w:rsidRPr="00FC6D62">
        <w:rPr>
          <w:rFonts w:eastAsia="MS Mincho" w:cstheme="minorHAnsi"/>
          <w:sz w:val="24"/>
          <w:szCs w:val="24"/>
          <w:lang w:eastAsia="ja-JP"/>
        </w:rPr>
        <w:t xml:space="preserve">1 </w:t>
      </w:r>
      <w:r w:rsidRPr="00FC6D62">
        <w:rPr>
          <w:rFonts w:eastAsia="MS Mincho" w:cstheme="minorHAnsi"/>
          <w:sz w:val="24"/>
          <w:szCs w:val="24"/>
          <w:lang w:eastAsia="ja-JP"/>
        </w:rPr>
        <w:t>pkt</w:t>
      </w:r>
      <w:r w:rsidR="00142BF9" w:rsidRPr="00FC6D62">
        <w:rPr>
          <w:rFonts w:eastAsia="MS Mincho" w:cstheme="minorHAnsi"/>
          <w:sz w:val="24"/>
          <w:szCs w:val="24"/>
          <w:lang w:eastAsia="ja-JP"/>
        </w:rPr>
        <w:t>.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7 lit. </w:t>
      </w:r>
      <w:r w:rsidR="008D44C9" w:rsidRPr="00FC6D62">
        <w:rPr>
          <w:rFonts w:eastAsia="MS Mincho" w:cstheme="minorHAnsi"/>
          <w:sz w:val="24"/>
          <w:szCs w:val="24"/>
          <w:lang w:eastAsia="ja-JP"/>
        </w:rPr>
        <w:t>e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lub </w:t>
      </w:r>
      <w:r w:rsidR="008D44C9" w:rsidRPr="00FC6D62">
        <w:rPr>
          <w:rFonts w:eastAsia="MS Mincho" w:cstheme="minorHAnsi"/>
          <w:sz w:val="24"/>
          <w:szCs w:val="24"/>
          <w:lang w:eastAsia="ja-JP"/>
        </w:rPr>
        <w:t>f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oraz wyjątkowo w przypadku, w którym umożliwienie podmiotowi powiązanemu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wzięcia udziału w postępowaniu jest uzasadnione ze względu na specyfikę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CB1346" w:rsidRPr="00FC6D62">
        <w:rPr>
          <w:rFonts w:eastAsia="MS Mincho" w:cstheme="minorHAnsi"/>
          <w:sz w:val="24"/>
          <w:szCs w:val="24"/>
          <w:lang w:eastAsia="ja-JP"/>
        </w:rPr>
        <w:t xml:space="preserve">Przedsięwzięcia </w:t>
      </w:r>
      <w:r w:rsidRPr="00FC6D62">
        <w:rPr>
          <w:rFonts w:eastAsia="MS Mincho" w:cstheme="minorHAnsi"/>
          <w:sz w:val="24"/>
          <w:szCs w:val="24"/>
          <w:lang w:eastAsia="ja-JP"/>
        </w:rPr>
        <w:t>lub typ</w:t>
      </w:r>
      <w:r w:rsidR="00F01818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F0181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</w:t>
      </w:r>
      <w:r w:rsidR="00142BF9" w:rsidRPr="00FC6D62">
        <w:rPr>
          <w:rFonts w:eastAsia="MS Mincho" w:cstheme="minorHAnsi"/>
          <w:sz w:val="24"/>
          <w:szCs w:val="24"/>
          <w:lang w:eastAsia="ja-JP"/>
        </w:rPr>
        <w:t>,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a wybór wykonawcy będącego podmiotem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powiązanym będzie dokonany zgodnie z procedurą opisaną w niniejsz</w:t>
      </w:r>
      <w:r w:rsidR="001B59CD" w:rsidRPr="00FC6D62">
        <w:rPr>
          <w:rFonts w:eastAsia="MS Mincho" w:cstheme="minorHAnsi"/>
          <w:sz w:val="24"/>
          <w:szCs w:val="24"/>
          <w:lang w:eastAsia="ja-JP"/>
        </w:rPr>
        <w:t>ej sekcji</w:t>
      </w:r>
      <w:r w:rsidRPr="00FC6D62">
        <w:rPr>
          <w:rFonts w:eastAsia="MS Mincho" w:cstheme="minorHAnsi"/>
          <w:sz w:val="24"/>
          <w:szCs w:val="24"/>
          <w:lang w:eastAsia="ja-JP"/>
        </w:rPr>
        <w:t>, I</w:t>
      </w:r>
      <w:r w:rsidR="00F01818" w:rsidRPr="00FC6D62">
        <w:rPr>
          <w:rFonts w:eastAsia="MS Mincho" w:cstheme="minorHAnsi"/>
          <w:sz w:val="24"/>
          <w:szCs w:val="24"/>
          <w:lang w:eastAsia="ja-JP"/>
        </w:rPr>
        <w:t>OI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może wyrazić zgodę na wyłączenie zakazu w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odniesieniu do danego postępowania przed jego przeprowadzeniem,</w:t>
      </w:r>
    </w:p>
    <w:p w14:paraId="33297017" w14:textId="369CE04A" w:rsidR="00D24E7A" w:rsidRPr="00FC6D62" w:rsidRDefault="00D24E7A" w:rsidP="00AD78EE">
      <w:pPr>
        <w:pStyle w:val="Akapitzlist"/>
        <w:numPr>
          <w:ilvl w:val="1"/>
          <w:numId w:val="9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osoby wykonujące w imieniu zamawiającego czynności związane z procedurą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wyboru wykonawcy, w szczególności osoby biorące udział w procesie oceny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ofert, nie mogą być powiązane osobowo lub kapitałowo z wykonawcami, którzy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złożyli oferty. Powinny być to osoby bezstronne i obiektywne.</w:t>
      </w:r>
      <w:r w:rsidR="000521A3" w:rsidRPr="00FC6D62">
        <w:rPr>
          <w:rFonts w:eastAsia="MS Mincho" w:cstheme="minorHAnsi"/>
          <w:sz w:val="24"/>
          <w:szCs w:val="24"/>
          <w:lang w:eastAsia="ja-JP"/>
        </w:rPr>
        <w:t xml:space="preserve"> W tym celu składają oświadczenie o bezstronności o którym mowa w art. 56 Pzp. </w:t>
      </w:r>
    </w:p>
    <w:p w14:paraId="24C6C9EF" w14:textId="10B6879D" w:rsidR="00D24E7A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Przez powiązania kapitałowe lub osobowe rozumie się wzajemne powiązania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między </w:t>
      </w:r>
      <w:r w:rsidR="00F2176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eneficjentem lub osobami upoważnionymi do zaciągania zobowiązań w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imieniu </w:t>
      </w:r>
      <w:r w:rsidR="00F21768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eneficjenta lub osobami wykonującymi w imieniu </w:t>
      </w:r>
      <w:r w:rsidR="00F21768" w:rsidRPr="00FC6D62">
        <w:rPr>
          <w:rFonts w:eastAsia="MS Mincho" w:cstheme="minorHAnsi"/>
          <w:sz w:val="24"/>
          <w:szCs w:val="24"/>
          <w:lang w:eastAsia="ja-JP"/>
        </w:rPr>
        <w:t xml:space="preserve">Beneficjenta </w:t>
      </w:r>
      <w:r w:rsidRPr="00FC6D62">
        <w:rPr>
          <w:rFonts w:eastAsia="MS Mincho" w:cstheme="minorHAnsi"/>
          <w:sz w:val="24"/>
          <w:szCs w:val="24"/>
          <w:lang w:eastAsia="ja-JP"/>
        </w:rPr>
        <w:t>czynności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związane z przeprowadzeniem procedury wyboru wykonawcy a wykonawcą,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polegające w szczególności na:</w:t>
      </w:r>
    </w:p>
    <w:p w14:paraId="2FF38A25" w14:textId="77777777" w:rsidR="00AD2B32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uczestniczeniu w spółce jako wspólnik spółki cywilnej lub spółki osobowej,</w:t>
      </w:r>
    </w:p>
    <w:p w14:paraId="3EC807A8" w14:textId="77777777" w:rsidR="00AD2B32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posiadaniu co najmniej 10% udziałów lub akcji, o ile niższy próg nie wynika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z przepisów prawa</w:t>
      </w:r>
      <w:r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6DBEC0DD" w14:textId="77777777" w:rsidR="00AD2B32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pełnieniu funkcji członka organu nadzorczego lub zarządzającego, prokurenta,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pełnomocnika,</w:t>
      </w:r>
    </w:p>
    <w:p w14:paraId="79500BA5" w14:textId="4998C94B" w:rsidR="00D24E7A" w:rsidRPr="00FC6D62" w:rsidRDefault="00D24E7A" w:rsidP="00AD78EE">
      <w:pPr>
        <w:pStyle w:val="Akapitzlist"/>
        <w:numPr>
          <w:ilvl w:val="1"/>
          <w:numId w:val="11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pozostawaniu w związku małżeńskim, w stosunku pokrewieństwa lub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powinowactwa w linii prostej, pokrewieństwa drugiego stopnia lub powinowactwa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drugiego stopnia w linii bocznej lub w stosunku przysposobienia, opieki lub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kurateli.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przypadku, gdy</w:t>
      </w:r>
      <w:r w:rsidR="00500E70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500C62" w:rsidRPr="00FC6D62">
        <w:rPr>
          <w:rFonts w:eastAsia="MS Mincho" w:cstheme="minorHAnsi"/>
          <w:sz w:val="24"/>
          <w:szCs w:val="24"/>
          <w:lang w:eastAsia="ja-JP"/>
        </w:rPr>
        <w:t>JW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stwierdzi udzielenie</w:t>
      </w:r>
      <w:r w:rsidR="00AD2B3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podmiotowi powiązanemu w sposób inny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niż wskazane w lit. a-d, jest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zobowiązana przed wezwaniem do zwrotu środków wykazać istnienie naruszenia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zasady konkurencyjności poprzez istniejące powiązanie.</w:t>
      </w:r>
    </w:p>
    <w:p w14:paraId="056F2F58" w14:textId="0870ECE7" w:rsidR="003758C7" w:rsidRPr="00FC6D62" w:rsidRDefault="003758C7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Podmiot, który nie jest zamawiającym w rozumieniu Pzp, stosuje zasady określone w art. 56 tej ustawy, niezależnie od wartości szacunkowej zamówienia.</w:t>
      </w:r>
    </w:p>
    <w:p w14:paraId="665BD6B3" w14:textId="76C70FD3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 przypadku </w:t>
      </w:r>
      <w:r w:rsidR="00A9209B" w:rsidRPr="00FC6D62">
        <w:rPr>
          <w:rFonts w:eastAsia="MS Mincho" w:cstheme="minorHAnsi"/>
          <w:sz w:val="24"/>
          <w:szCs w:val="24"/>
          <w:lang w:eastAsia="ja-JP"/>
        </w:rPr>
        <w:t>B</w:t>
      </w:r>
      <w:r w:rsidRPr="00FC6D62">
        <w:rPr>
          <w:rFonts w:eastAsia="MS Mincho" w:cstheme="minorHAnsi"/>
          <w:sz w:val="24"/>
          <w:szCs w:val="24"/>
          <w:lang w:eastAsia="ja-JP"/>
        </w:rPr>
        <w:t>eneficjenta, który jest zamawiającym w rozumieniu Pzp, zasadę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konkurencyjności uznaje się za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spełnioną,</w:t>
      </w:r>
      <w:r w:rsidR="00485AE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jeżeli postępowanie o udzielenie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przeprowadzone jest na zasadach i w trybach określonych w Pzp.</w:t>
      </w:r>
    </w:p>
    <w:p w14:paraId="15A19BFC" w14:textId="4F2D3C89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Przedmiot zamówienia opisuje się w sposób jednoznaczny i wyczerpujący, </w:t>
      </w:r>
      <w:r w:rsidR="00787499" w:rsidRPr="00FC6D62">
        <w:rPr>
          <w:rFonts w:eastAsia="MS Mincho" w:cstheme="minorHAnsi"/>
          <w:sz w:val="24"/>
          <w:szCs w:val="24"/>
          <w:lang w:eastAsia="ja-JP"/>
        </w:rPr>
        <w:t xml:space="preserve">przy </w:t>
      </w:r>
      <w:r w:rsidRPr="00FC6D62">
        <w:rPr>
          <w:rFonts w:eastAsia="MS Mincho" w:cstheme="minorHAnsi"/>
          <w:sz w:val="24"/>
          <w:szCs w:val="24"/>
          <w:lang w:eastAsia="ja-JP"/>
        </w:rPr>
        <w:t>pomoc</w:t>
      </w:r>
      <w:r w:rsidR="00787499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dokładnych i zrozumiałych określeń, uwzględniając wszystkie wymagania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 okoliczności mogące mieć wpływ na sporządzenie oferty. Jeżeli nie uzasadnia tego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przedmiot zamówienia, opis przedmiotu zamówienia nie może zawierać odniesień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znaków towarowych, patentów lub pochodzenia, źródła lub szczególnego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procesu, który charakteryzuje produkty lub usługi dostarczane przez konkretnego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wykonawcę, jeżeli mogłoby to doprowadzić do uprzywilejowania lub wyeliminowania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niektórych wykonawców lub produktów. W wyjątkowych przypadkach dopuszcza się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stosowanie takich odniesień, jeżeli niemożliwe jest opisanie przedmiotu zamówienia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wystarczająco precyzyjny i zrozumiały sposób zgodnie ze zdaniem pierwszym.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Takim odniesieniom muszą towarzyszyć słowa „lub równoważne”</w:t>
      </w:r>
      <w:r w:rsidR="003758C7" w:rsidRPr="00FC6D62">
        <w:rPr>
          <w:rFonts w:eastAsia="MS Mincho" w:cstheme="minorHAnsi"/>
          <w:sz w:val="24"/>
          <w:szCs w:val="24"/>
          <w:lang w:eastAsia="ja-JP"/>
        </w:rPr>
        <w:t xml:space="preserve"> wraz z podaniem kryteriów równoważności</w:t>
      </w:r>
      <w:r w:rsidRPr="00FC6D62">
        <w:rPr>
          <w:rFonts w:eastAsia="MS Mincho" w:cstheme="minorHAnsi"/>
          <w:sz w:val="24"/>
          <w:szCs w:val="24"/>
          <w:lang w:eastAsia="ja-JP"/>
        </w:rPr>
        <w:t>. W przypadku</w:t>
      </w:r>
      <w:r w:rsidR="00500C62" w:rsidRPr="00FC6D62">
        <w:rPr>
          <w:rFonts w:eastAsia="MS Mincho" w:cstheme="minorHAnsi"/>
          <w:sz w:val="24"/>
          <w:szCs w:val="24"/>
          <w:lang w:eastAsia="ja-JP"/>
        </w:rPr>
        <w:t>,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gdy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zamawiający korzysta z możliwości zastosowania takich odniesień, nie może on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odrzucić oferty jako niezgodnej z zapytaniem ofertowym, jeżeli wykonawca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udowodni w swojej ofercie, że proponowane rozwiązania w równoważnym stopniu</w:t>
      </w:r>
      <w:r w:rsidR="00F9538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spełniają wymagania określone w zapytaniu ofertowym.</w:t>
      </w:r>
    </w:p>
    <w:p w14:paraId="77CE28A0" w14:textId="77777777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 uwagi na konieczność ochrony tajemnicy przedsiębiorstwa dopuszcza się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możliwość ograniczenia zakresu opisu przedmiotu zamówienia, przy czym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wymagane jest udostępnienie uzupełnienia wyłączonego opisu przedmiotu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zamówienia potencjalnemu </w:t>
      </w: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wykonawcy, który zobowiązał się do zachowania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poufności w odniesieniu do przedstawionych informacji, w terminie umożliwiającym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przygotowanie i złożenie oferty.</w:t>
      </w:r>
    </w:p>
    <w:p w14:paraId="6E086194" w14:textId="68BD6D79" w:rsidR="00AD2B32" w:rsidRPr="0018228A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18228A">
        <w:rPr>
          <w:rFonts w:eastAsia="MS Mincho" w:cstheme="minorHAnsi"/>
          <w:sz w:val="24"/>
          <w:szCs w:val="24"/>
          <w:lang w:eastAsia="ja-JP"/>
        </w:rPr>
        <w:t>Do opisu przedmiotu zamówienia stosuje się nazwy i kody określone we Wspólnym</w:t>
      </w:r>
      <w:r w:rsidR="002D0D26" w:rsidRPr="0018228A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18228A">
        <w:rPr>
          <w:rFonts w:eastAsia="MS Mincho" w:cstheme="minorHAnsi"/>
          <w:sz w:val="24"/>
          <w:szCs w:val="24"/>
          <w:lang w:eastAsia="ja-JP"/>
        </w:rPr>
        <w:t>Słowniku Zamówień</w:t>
      </w:r>
      <w:r w:rsidR="00500C62" w:rsidRPr="0018228A">
        <w:rPr>
          <w:rFonts w:eastAsia="MS Mincho" w:cstheme="minorHAnsi"/>
          <w:sz w:val="24"/>
          <w:szCs w:val="24"/>
          <w:lang w:eastAsia="ja-JP"/>
        </w:rPr>
        <w:t>,</w:t>
      </w:r>
      <w:r w:rsidR="002D0D26" w:rsidRPr="0018228A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18228A">
        <w:rPr>
          <w:rFonts w:eastAsia="MS Mincho" w:cstheme="minorHAnsi"/>
          <w:sz w:val="24"/>
          <w:szCs w:val="24"/>
          <w:lang w:eastAsia="ja-JP"/>
        </w:rPr>
        <w:t>o którym mowa w rozporządzeniu (WE) nr 2195/2002</w:t>
      </w:r>
      <w:r w:rsidR="002D0D26" w:rsidRPr="0018228A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18228A">
        <w:rPr>
          <w:rFonts w:eastAsia="MS Mincho" w:cstheme="minorHAnsi"/>
          <w:sz w:val="24"/>
          <w:szCs w:val="24"/>
          <w:lang w:eastAsia="ja-JP"/>
        </w:rPr>
        <w:t>Parlamentu Europejskiego i Rady z dnia 5 listopada 2002 r. w sprawie Wspólnego</w:t>
      </w:r>
      <w:r w:rsidR="002D0D26" w:rsidRPr="0018228A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18228A">
        <w:rPr>
          <w:rFonts w:eastAsia="MS Mincho" w:cstheme="minorHAnsi"/>
          <w:sz w:val="24"/>
          <w:szCs w:val="24"/>
          <w:lang w:eastAsia="ja-JP"/>
        </w:rPr>
        <w:t>Słownika Zamówień (CPV) (Dz. Urz. WE L 340 z 16.12.2002, str. 1, z późn. zm.; Dz.</w:t>
      </w:r>
      <w:r w:rsidR="002D0D26" w:rsidRPr="0018228A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18228A">
        <w:rPr>
          <w:rFonts w:eastAsia="MS Mincho" w:cstheme="minorHAnsi"/>
          <w:sz w:val="24"/>
          <w:szCs w:val="24"/>
          <w:lang w:eastAsia="ja-JP"/>
        </w:rPr>
        <w:t>Urz. UE Polskie wydanie specjalne rozdz. 6, t. 5, str. 3).</w:t>
      </w:r>
      <w:r w:rsidR="00500C62" w:rsidRPr="0018228A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5"/>
      </w:r>
    </w:p>
    <w:p w14:paraId="1F73277C" w14:textId="6867D43B" w:rsidR="00AD2B32" w:rsidRPr="00FC6D62" w:rsidRDefault="00D24E7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Warunki udziału w postępowaniu o udzielenie zamówienia oraz opis sposobu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dokonywania oceny ich spełniania, o ile zostaną zawarte w zapytaniu ofertowym,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którym mowa w pkt 1</w:t>
      </w:r>
      <w:r w:rsidR="00B70D2F" w:rsidRPr="00FC6D62">
        <w:rPr>
          <w:rFonts w:eastAsia="MS Mincho" w:cstheme="minorHAnsi"/>
          <w:sz w:val="24"/>
          <w:szCs w:val="24"/>
          <w:lang w:eastAsia="ja-JP"/>
        </w:rPr>
        <w:t>2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lit. a, określane są w sposób proporcjonalny do przedmiotu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zamówienia, zapewniający zachowanie uczciwej konkurencji i równego traktowania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wykonawców. Nie można formułować warunków przewyższających wymagania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wystarczające do należytego wykonania zamówienia.</w:t>
      </w:r>
    </w:p>
    <w:p w14:paraId="3F3391E3" w14:textId="1849A002" w:rsidR="00D9038B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Kryteria oceny ofert składanych w ramach postępowania o udzielenie zamówienia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są formułowane w sposób zapewniający zachowanie uczciwej konkurencji oraz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równego traktowania wykonawców, przy czym:</w:t>
      </w:r>
    </w:p>
    <w:p w14:paraId="0DD2F9E7" w14:textId="77777777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każde kryterium oceny ofert musi odnosić się do danego przedmiotu zamówienia,</w:t>
      </w:r>
    </w:p>
    <w:p w14:paraId="14802C8B" w14:textId="77777777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każde kryterium (i opis jego stosowania) musi być sformułowane jednoznacznie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 precyzyjnie, tak żeby każdy wykonawca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mógł interpretować je w jednakowy sposób,</w:t>
      </w:r>
    </w:p>
    <w:p w14:paraId="750B6BE7" w14:textId="63859B7E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wagi (znaczenie) poszczególnych kryteriów powinny być określone w sposób</w:t>
      </w:r>
      <w:r w:rsidR="002D0D2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umożliwiający wybór najkorzystniejszej oferty,</w:t>
      </w:r>
    </w:p>
    <w:p w14:paraId="501E7709" w14:textId="14956A76" w:rsidR="00AD2B32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kryteria oceny ofert nie mogą dotyczyć właściwości wykonawcy</w:t>
      </w:r>
      <w:r w:rsidR="005337E6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a w szczególności jego wiarygodności ekonomicznej, technicznej lub finansowej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oraz doświadczenia. Zakaz ten nie dotyczy zamówień na usługi społeczne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 innych szczególnych usług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5337E6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6"/>
      </w:r>
    </w:p>
    <w:p w14:paraId="2B69EC99" w14:textId="3CF48103" w:rsidR="00D9038B" w:rsidRPr="00FC6D62" w:rsidRDefault="00D9038B" w:rsidP="00AD78EE">
      <w:pPr>
        <w:pStyle w:val="Akapitzlist"/>
        <w:numPr>
          <w:ilvl w:val="1"/>
          <w:numId w:val="12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cena może być jedynym kryterium oceny ofert. Poza wymaganiami dotyczącymi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o</w:t>
      </w:r>
      <w:r w:rsidRPr="00FC6D62">
        <w:rPr>
          <w:rFonts w:eastAsia="MS Mincho" w:cstheme="minorHAnsi"/>
          <w:sz w:val="24"/>
          <w:szCs w:val="24"/>
          <w:lang w:eastAsia="ja-JP"/>
        </w:rPr>
        <w:t>ceny wskazane jest stosowanie jako kryterium oceny ofert innych wymagań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odnoszących się </w:t>
      </w: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do przedmiotu zamówienia, takich jak np. jakość,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funkcjonalność, parametry techniczne, aspekty środowiskowe, społeczne,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innowacyjne, serwis, termin wykonania zamówienia, koszty eksploatacji oraz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organizacja, kwalifikacje zawodowe i doświadczenie osób wyznaczonych do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 xml:space="preserve"> realizacji zamówienia, jeżeli mogą mieć zna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czący wpływ na jakość wykonania </w:t>
      </w:r>
      <w:r w:rsidR="00223657" w:rsidRPr="00FC6D62">
        <w:rPr>
          <w:rFonts w:eastAsia="MS Mincho" w:cstheme="minorHAnsi"/>
          <w:sz w:val="24"/>
          <w:szCs w:val="24"/>
          <w:lang w:eastAsia="ja-JP"/>
        </w:rPr>
        <w:t>zamówienia.</w:t>
      </w:r>
    </w:p>
    <w:p w14:paraId="7C756C93" w14:textId="267C3ABD" w:rsidR="00AD2B32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Termin na złożenie oferty (decyduje data wpływu oferty do zamawiającego) wynosi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co najmniej 7 dni – w przypadku dostaw i usług, co najmniej 14 dni w przypadku zamówień sektorowych o wartości niższej niż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progi unijne w rozumieniu art. 3 Pzp. W przypadku zamówień o wartości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szacunkowej równej lub przekraczającej progi unijne w rozumieniu art. 3 Pzp</w:t>
      </w:r>
      <w:r w:rsidR="00274100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7"/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termin wynosi co najmniej 30 dni. Bieg terminu rozpoczyna się w dniu następującym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 dniu upublicznienia zapytania ofertowego, a kończy się z upływem ostatniego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dnia. Jeżeli koniec terminu przypada na sobotę lub dzień ustawowo wolny od pracy,</w:t>
      </w:r>
      <w:r w:rsidR="00035E99" w:rsidRPr="00FC6D62">
        <w:rPr>
          <w:rFonts w:eastAsia="MS Mincho" w:cstheme="minorHAnsi"/>
          <w:sz w:val="24"/>
          <w:szCs w:val="24"/>
          <w:lang w:eastAsia="ja-JP"/>
        </w:rPr>
        <w:t xml:space="preserve"> termin upływa dnia następującego po dniu lub dniach wolnych od pracy.</w:t>
      </w:r>
    </w:p>
    <w:p w14:paraId="3DA01E9C" w14:textId="7F9DD138" w:rsidR="00D9038B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celu spełnienia zasady konkurencyjności należy:</w:t>
      </w:r>
    </w:p>
    <w:p w14:paraId="51EB7CF6" w14:textId="79D1B2DF" w:rsidR="00D9038B" w:rsidRPr="00FC6D62" w:rsidRDefault="00D9038B" w:rsidP="00AD78EE">
      <w:pPr>
        <w:pStyle w:val="Akapitzlist"/>
        <w:numPr>
          <w:ilvl w:val="1"/>
          <w:numId w:val="13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upublicznić zapytanie ofertowe zgodnie z warunkami</w:t>
      </w:r>
      <w:r w:rsidR="005337E6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których mowa w pkt 1</w:t>
      </w:r>
      <w:r w:rsidR="00B70D2F" w:rsidRPr="00FC6D62">
        <w:rPr>
          <w:rFonts w:eastAsia="MS Mincho" w:cstheme="minorHAnsi"/>
          <w:sz w:val="24"/>
          <w:szCs w:val="24"/>
          <w:lang w:eastAsia="ja-JP"/>
        </w:rPr>
        <w:t>3</w:t>
      </w:r>
      <w:r w:rsidR="00647C4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1</w:t>
      </w:r>
      <w:r w:rsidR="00B70D2F" w:rsidRPr="00FC6D62">
        <w:rPr>
          <w:rFonts w:eastAsia="MS Mincho" w:cstheme="minorHAnsi"/>
          <w:sz w:val="24"/>
          <w:szCs w:val="24"/>
          <w:lang w:eastAsia="ja-JP"/>
        </w:rPr>
        <w:t>4</w:t>
      </w:r>
      <w:r w:rsidRPr="00FC6D62">
        <w:rPr>
          <w:rFonts w:eastAsia="MS Mincho" w:cstheme="minorHAnsi"/>
          <w:sz w:val="24"/>
          <w:szCs w:val="24"/>
          <w:lang w:eastAsia="ja-JP"/>
        </w:rPr>
        <w:t>, które zawiera co najmniej:</w:t>
      </w:r>
    </w:p>
    <w:p w14:paraId="5225C4EE" w14:textId="0588A015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opis przedmiotu zamówienia,</w:t>
      </w:r>
    </w:p>
    <w:p w14:paraId="4C7775F9" w14:textId="340211B0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warunki udziału w postępowaniu oraz opis sposobu dokonywania oceny ich</w:t>
      </w:r>
      <w:r w:rsidR="005F2B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spełniania, przy czym stawianie warunków udziału nie jest obowiązkowe,</w:t>
      </w:r>
    </w:p>
    <w:p w14:paraId="1DF5A84D" w14:textId="2597E24E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kryteria oceny oferty,</w:t>
      </w:r>
    </w:p>
    <w:p w14:paraId="49E29BEB" w14:textId="3D3F991D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wagach punktowych lub procentowych przypisanych</w:t>
      </w:r>
      <w:r w:rsidR="00042CEF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 poszczególnych kryteriów oceny oferty,</w:t>
      </w:r>
    </w:p>
    <w:p w14:paraId="1431F4DC" w14:textId="4A93BFCF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opis sposobu przyznawania punktacji za spełnienie danego kryterium oceny</w:t>
      </w:r>
      <w:r w:rsidR="005F2B0B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oferty,</w:t>
      </w:r>
    </w:p>
    <w:p w14:paraId="0A88CCB2" w14:textId="48D8FE27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termin składania ofert,</w:t>
      </w:r>
    </w:p>
    <w:p w14:paraId="3D218116" w14:textId="633FB229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termin realizacji umowy,</w:t>
      </w:r>
    </w:p>
    <w:p w14:paraId="0C2975B0" w14:textId="27A54EA8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na temat zakazu powiązań osobowych lub kapitałowych</w:t>
      </w:r>
      <w:r w:rsidR="005337E6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B46A3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którym</w:t>
      </w:r>
      <w:r w:rsidR="00B46A3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mowa w pkt 2 lit. a,</w:t>
      </w:r>
      <w:r w:rsidR="005337E6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8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 ile zakaz taki nie został wyłączony na podstawie pkt 2</w:t>
      </w:r>
      <w:r w:rsidR="00B46A3C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lit. a tiret i,</w:t>
      </w:r>
    </w:p>
    <w:p w14:paraId="4302F1F5" w14:textId="285962A7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określenie warunków istotnych zmian umowy zawartej w wyniku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przeprowadzonego postępowania o udzielenie zamówienia, o ile przewiduje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się możliwość zmiany takiej umowy,</w:t>
      </w:r>
    </w:p>
    <w:p w14:paraId="6D4F75B8" w14:textId="625B0F56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możliwości składania ofert częściowych, o ile zamawiający taką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możliwość przewiduje,</w:t>
      </w:r>
    </w:p>
    <w:p w14:paraId="5FAF5B38" w14:textId="4C5B7E6E" w:rsidR="00F70C46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opis sposobu przedstawiania ofert wariantowych oraz minimalne warunki,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jakim muszą odpowiadać oferty wariantowe wraz z wybranymi kryteriami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oceny, jeżeli zamawiający wymaga lub dopuszcza ich składanie,</w:t>
      </w:r>
    </w:p>
    <w:p w14:paraId="015D001F" w14:textId="48097C3E" w:rsidR="00D9038B" w:rsidRPr="00FC6D62" w:rsidRDefault="00D9038B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informację o planowanych zamówieniach, o których mowa w pkt 7 lit. </w:t>
      </w:r>
      <w:r w:rsidR="00F34E10" w:rsidRPr="00FC6D62">
        <w:rPr>
          <w:rFonts w:eastAsia="MS Mincho" w:cstheme="minorHAnsi"/>
          <w:sz w:val="24"/>
          <w:szCs w:val="24"/>
          <w:lang w:eastAsia="ja-JP"/>
        </w:rPr>
        <w:t>f sekcji 1</w:t>
      </w:r>
      <w:r w:rsidRPr="00FC6D62">
        <w:rPr>
          <w:rFonts w:eastAsia="MS Mincho" w:cstheme="minorHAnsi"/>
          <w:sz w:val="24"/>
          <w:szCs w:val="24"/>
          <w:lang w:eastAsia="ja-JP"/>
        </w:rPr>
        <w:t>, ich zakres oraz warunki, na jakich zostaną udzielone,</w:t>
      </w:r>
      <w:r w:rsidR="00F70C4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ile zamawiający przewiduje udzielenie tego typu zamówień,</w:t>
      </w:r>
    </w:p>
    <w:p w14:paraId="2EF0202E" w14:textId="24B5894E" w:rsidR="000D4C28" w:rsidRPr="00FC6D62" w:rsidRDefault="000D4C28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wysokość wadium (jeśli dotyczy), zakazane jest ustalenie wysokości wadium o wartości większej aniżeli wskazano w art. 97 ust. 2 ustawy Pzp</w:t>
      </w:r>
      <w:r w:rsidR="0025094C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1B7648F5" w14:textId="1D20AE91" w:rsidR="000D4C28" w:rsidRPr="00FC6D62" w:rsidRDefault="000D4C28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wysokość zabezpieczenia należytego wykonania umowy (jeśli dotyczy), zakazane jest ustalenie wysokości zabezpieczenia o wartości większej aniżeli wskazano w art. 452 ust. 2 i 3 ustawy Pzp</w:t>
      </w:r>
      <w:r w:rsidR="0025094C" w:rsidRPr="00FC6D62">
        <w:rPr>
          <w:rFonts w:eastAsia="MS Mincho" w:cstheme="minorHAnsi"/>
          <w:sz w:val="24"/>
          <w:szCs w:val="24"/>
          <w:lang w:eastAsia="ja-JP"/>
        </w:rPr>
        <w:t>,</w:t>
      </w:r>
    </w:p>
    <w:p w14:paraId="2C3EE8EF" w14:textId="2B383B64" w:rsidR="00B70D2F" w:rsidRPr="00FC6D62" w:rsidRDefault="006E6F42" w:rsidP="00FC6D62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wzór umowy,</w:t>
      </w:r>
    </w:p>
    <w:p w14:paraId="21BBE47C" w14:textId="4978489F" w:rsidR="00664ED4" w:rsidRPr="00FC6D62" w:rsidRDefault="00D9038B" w:rsidP="00AD78EE">
      <w:pPr>
        <w:pStyle w:val="Akapitzlist"/>
        <w:numPr>
          <w:ilvl w:val="1"/>
          <w:numId w:val="13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wybrać najkorzystniejszą ofertę zgodną z opisem przedmiotu zamówienia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złożoną przez wykonawcę spełniającego warunki udziału w postępowaniu,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oparciu o ustalone w zapytaniu ofertowym kryteria oceny. Wybór oferty jest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dokumentowany protokołem postępowania o udzielenie zamówienia, o którym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mowa w pkt 17. Postępowanie może zakończyć się wyborem kilku wykonawców,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gdy zamawiający dopuszcza składanie ofert częściowych</w:t>
      </w:r>
      <w:r w:rsidR="00344E81" w:rsidRPr="00FC6D62">
        <w:rPr>
          <w:rFonts w:eastAsia="MS Mincho" w:cstheme="minorHAnsi"/>
          <w:sz w:val="24"/>
          <w:szCs w:val="24"/>
          <w:lang w:eastAsia="ja-JP"/>
        </w:rPr>
        <w:t xml:space="preserve"> lub zamawiający planuje zawrzeć umowę ramową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</w:p>
    <w:p w14:paraId="236CFE4F" w14:textId="710392BC" w:rsidR="00E23146" w:rsidRPr="00FC6D62" w:rsidRDefault="00D9038B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Upublicznienie zapytania ofertowego polega na jego umieszczeniu w bazie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konkurencyjności,</w:t>
      </w:r>
      <w:r w:rsidR="002204D4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9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a w przypadku zawieszenia działalności bazy potwierdzonego</w:t>
      </w:r>
      <w:r w:rsidR="00944452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odpowiednim komunikatem ministra właściwego do spraw rozwoju regionalnego –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skierowaniu zapytania ofertowego do co najmniej trzech potencjalnych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wykonawców, o ile na rynku istnieje trzech potencjalnych wykonawców danego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zamówienia oraz upublicznieniu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lastRenderedPageBreak/>
        <w:t>tego zapytania co najmniej na stronie internetowej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E296D" w:rsidRPr="00FC6D62">
        <w:rPr>
          <w:rFonts w:eastAsia="MS Mincho" w:cstheme="minorHAnsi"/>
          <w:sz w:val="24"/>
          <w:szCs w:val="24"/>
          <w:lang w:eastAsia="ja-JP"/>
        </w:rPr>
        <w:t>B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eneficjenta, o ile posiada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ją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 taką stronę. Upublicznienie zapytania ofertowego</w:t>
      </w:r>
      <w:r w:rsidR="00C6456A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oznacza wszczęcie postępowania o udzielenie zamówienia w ramach 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.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Zapytanie ofertowe musi być ogólnodostępne do czasu formalnego zamknięcia Przedsięwzięcia wraz z </w:t>
      </w:r>
      <w:proofErr w:type="gramStart"/>
      <w:r w:rsidR="004B1184" w:rsidRPr="00FC6D62">
        <w:rPr>
          <w:rFonts w:eastAsia="MS Mincho" w:cstheme="minorHAnsi"/>
          <w:sz w:val="24"/>
          <w:szCs w:val="24"/>
          <w:lang w:eastAsia="ja-JP"/>
        </w:rPr>
        <w:t>finalnym</w:t>
      </w:r>
      <w:proofErr w:type="gramEnd"/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rozliczeniem Wniosku o Płatność Końcową.</w:t>
      </w:r>
    </w:p>
    <w:p w14:paraId="63D7CCDA" w14:textId="6865B21C" w:rsidR="00E23146" w:rsidRPr="00FC6D62" w:rsidRDefault="00C6456A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</w:t>
      </w:r>
      <w:r w:rsidR="008E3124" w:rsidRPr="00FC6D62">
        <w:rPr>
          <w:rFonts w:eastAsia="MS Mincho" w:cstheme="minorHAnsi"/>
          <w:sz w:val="24"/>
          <w:szCs w:val="24"/>
          <w:lang w:eastAsia="ja-JP"/>
        </w:rPr>
        <w:t xml:space="preserve"> przypadku, gdy Beneficjent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rozpoczyna realizację 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 xml:space="preserve"> na własne ryzyko</w:t>
      </w:r>
      <w:r w:rsidR="00664ED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przed</w:t>
      </w:r>
      <w:r w:rsidR="004806D4" w:rsidRPr="00FC6D62">
        <w:rPr>
          <w:rFonts w:eastAsia="MS Mincho" w:cstheme="minorHAnsi"/>
          <w:sz w:val="24"/>
          <w:szCs w:val="24"/>
          <w:lang w:eastAsia="ja-JP"/>
        </w:rPr>
        <w:t xml:space="preserve"> podpisaniem umowy o objęciem </w:t>
      </w:r>
      <w:r w:rsidR="00C1694B" w:rsidRPr="00FC6D62">
        <w:rPr>
          <w:rFonts w:eastAsia="MS Mincho" w:cstheme="minorHAnsi"/>
          <w:sz w:val="24"/>
          <w:szCs w:val="24"/>
          <w:lang w:eastAsia="ja-JP"/>
        </w:rPr>
        <w:t>Przedsięwzięcia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wsparciem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, upublicznia zapytanie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D45636" w:rsidRPr="00FC6D62">
        <w:rPr>
          <w:rFonts w:eastAsia="MS Mincho" w:cstheme="minorHAnsi"/>
          <w:sz w:val="24"/>
          <w:szCs w:val="24"/>
          <w:lang w:eastAsia="ja-JP"/>
        </w:rPr>
        <w:t>ofertowe na stronie internetowej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BC210D" w:rsidRPr="003D2E34">
        <w:rPr>
          <w:rFonts w:ascii="Calibri" w:eastAsia="Calibri" w:hAnsi="Calibri" w:cs="Calibri"/>
          <w:b/>
          <w:bCs/>
          <w:iCs/>
          <w:color w:val="000000" w:themeColor="text1"/>
          <w:sz w:val="24"/>
          <w:szCs w:val="24"/>
        </w:rPr>
        <w:t xml:space="preserve">Bazy Konkurencyjności (BK2021) </w:t>
      </w:r>
      <w:hyperlink r:id="rId8" w:history="1">
        <w:r w:rsidR="00664ED4" w:rsidRPr="00FC6D62">
          <w:rPr>
            <w:rStyle w:val="Hipercze"/>
            <w:rFonts w:eastAsia="MS Mincho" w:cstheme="minorHAnsi"/>
            <w:sz w:val="24"/>
            <w:szCs w:val="24"/>
            <w:lang w:eastAsia="ja-JP"/>
          </w:rPr>
          <w:t>https://bazakonkurencyjnosci.funduszeeuropejskie.gov.pl/</w:t>
        </w:r>
      </w:hyperlink>
      <w:r w:rsidR="00C910F1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011CCA7B" w14:textId="023D9B6E" w:rsidR="00E2314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przypadku wszczęcia postępowania przed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podpisaniem umowy o objęciem Przedsięwzięcia wsparciem,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ocena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czy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stopień upublicznienia zapytania ofertowego był wystarczający do uznania </w:t>
      </w:r>
      <w:r w:rsidR="007D6C52" w:rsidRPr="00FC6D62">
        <w:rPr>
          <w:rFonts w:eastAsia="MS Mincho" w:cstheme="minorHAnsi"/>
          <w:sz w:val="24"/>
          <w:szCs w:val="24"/>
          <w:lang w:eastAsia="ja-JP"/>
        </w:rPr>
        <w:t>koszt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za kwalifikowalny </w:t>
      </w:r>
      <w:r w:rsidRPr="00FC6D62">
        <w:rPr>
          <w:rFonts w:eastAsia="MS Mincho" w:cstheme="minorHAnsi"/>
          <w:sz w:val="24"/>
          <w:szCs w:val="24"/>
          <w:lang w:eastAsia="ja-JP"/>
        </w:rPr>
        <w:t>należy do</w:t>
      </w:r>
      <w:r w:rsidR="00DE296D" w:rsidRPr="00FC6D62">
        <w:rPr>
          <w:rFonts w:eastAsia="MS Mincho" w:cstheme="minorHAnsi"/>
          <w:sz w:val="24"/>
          <w:szCs w:val="24"/>
          <w:lang w:eastAsia="ja-JP"/>
        </w:rPr>
        <w:t xml:space="preserve"> JW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46FC6D47" w14:textId="2BE0F297" w:rsidR="00E2314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Zapytanie ofertowe może zostać zmienione przed upływem terminu składania ofert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przewidzianym w zapytaniu ofertowym. W takim przypadku należy w opublikowanym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zgodnie z pkt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>3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4 </w:t>
      </w:r>
      <w:r w:rsidRPr="00FC6D62">
        <w:rPr>
          <w:rFonts w:eastAsia="MS Mincho" w:cstheme="minorHAnsi"/>
          <w:sz w:val="24"/>
          <w:szCs w:val="24"/>
          <w:lang w:eastAsia="ja-JP"/>
        </w:rPr>
        <w:t>zapytaniu ofertowym uwzględnić informację o zmianie.</w:t>
      </w:r>
      <w:r w:rsidR="00C910F1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Informacja ta powinna zawierać co najmniej</w:t>
      </w:r>
      <w:r w:rsidR="004B426F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datę upublicznienia zmienianego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zapytania ofertowego</w:t>
      </w:r>
      <w:r w:rsidR="004B426F" w:rsidRPr="00FC6D62">
        <w:rPr>
          <w:rFonts w:eastAsia="MS Mincho" w:cstheme="minorHAnsi"/>
          <w:sz w:val="24"/>
          <w:szCs w:val="24"/>
          <w:lang w:eastAsia="ja-JP"/>
        </w:rPr>
        <w:t xml:space="preserve"> oraz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opis dokonanych zmian. Zamawiający </w:t>
      </w:r>
      <w:r w:rsidR="00977B8D" w:rsidRPr="00FC6D62">
        <w:rPr>
          <w:rFonts w:eastAsia="MS Mincho" w:cstheme="minorHAnsi"/>
          <w:sz w:val="24"/>
          <w:szCs w:val="24"/>
          <w:lang w:eastAsia="ja-JP"/>
        </w:rPr>
        <w:t>przedłuża termin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składania ofert o czas niezbędny do wprowadzenia zmian w ofertach, jeżeli</w:t>
      </w:r>
      <w:r w:rsidR="00211E7C" w:rsidRPr="00FC6D62">
        <w:rPr>
          <w:rFonts w:eastAsia="MS Mincho" w:cstheme="minorHAnsi"/>
          <w:sz w:val="24"/>
          <w:szCs w:val="24"/>
          <w:lang w:eastAsia="ja-JP"/>
        </w:rPr>
        <w:t xml:space="preserve"> jest to konieczne z uwag</w:t>
      </w:r>
      <w:r w:rsidR="00E23146" w:rsidRPr="00FC6D62">
        <w:rPr>
          <w:rFonts w:eastAsia="MS Mincho" w:cstheme="minorHAnsi"/>
          <w:sz w:val="24"/>
          <w:szCs w:val="24"/>
          <w:lang w:eastAsia="ja-JP"/>
        </w:rPr>
        <w:t>i na zakres wprowadzonych zmian.</w:t>
      </w:r>
    </w:p>
    <w:p w14:paraId="2A6B6B31" w14:textId="223EB620" w:rsidR="00E2314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Treść pytań dotyczących zapytania ofertowego wraz z wyjaśnieniami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zamawiającego publikowana jest zgodnie z pkt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>3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1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>4</w:t>
      </w:r>
      <w:r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40E2297A" w14:textId="5F9F71A6" w:rsidR="00D45636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Protokół postępowania o udzielenie zamówienia należy sporządzić w formie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pisemnej. Protokół zawiera co najmniej:</w:t>
      </w:r>
    </w:p>
    <w:p w14:paraId="1495C8D2" w14:textId="072CF916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wykaz wszystkich ofert, które wpłynęły w odpowiedzi na zapytanie ofertowe</w:t>
      </w:r>
      <w:r w:rsidR="00D045E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wraz</w:t>
      </w:r>
      <w:r w:rsidR="004B1184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ze wskazaniem daty wpłynięcia oferty do zamawiającego,</w:t>
      </w:r>
    </w:p>
    <w:p w14:paraId="09DC48F9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spełnieniu warunku, o którym mowa w pkt 2 lit. a,</w:t>
      </w:r>
    </w:p>
    <w:p w14:paraId="2CC02285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informację o spełnieniu warunków udziału w postępowaniu przez 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>wykonawców o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ile takie warunki były stawiane,</w:t>
      </w:r>
    </w:p>
    <w:p w14:paraId="1A6B5E20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informację o wagach punktowych lub procentowych przypisanych do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poszczególnych kryteriów oceny i sposobie przyznawania punktacji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poszczególnym wykonawcom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 xml:space="preserve"> za spełnienie danego kryterium,</w:t>
      </w:r>
    </w:p>
    <w:p w14:paraId="535687F8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wskazanie wybranej oferty wraz z uzasadnieniem wyboru,</w:t>
      </w:r>
    </w:p>
    <w:p w14:paraId="2ABE128F" w14:textId="77777777" w:rsidR="009C078D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datę sporządzenia protokołu i podpis zamawiającego,</w:t>
      </w:r>
    </w:p>
    <w:p w14:paraId="7B894EF8" w14:textId="0432C50C" w:rsidR="00D45636" w:rsidRPr="00FC6D62" w:rsidRDefault="00D45636" w:rsidP="00AD78EE">
      <w:pPr>
        <w:pStyle w:val="Akapitzlist"/>
        <w:numPr>
          <w:ilvl w:val="0"/>
          <w:numId w:val="15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następujące załączniki:</w:t>
      </w:r>
    </w:p>
    <w:p w14:paraId="13DDA639" w14:textId="7632FBB2" w:rsidR="00D45636" w:rsidRPr="00FC6D62" w:rsidRDefault="00D45636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potwierdzenie upublicznienia zapytania ofertowego w sposób wskazany</w:t>
      </w:r>
      <w:r w:rsidR="009C078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pkt 1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>3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lub 1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>4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wraz ze zmianami w zapytaniu ofertowym</w:t>
      </w:r>
      <w:r w:rsidR="00D045E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których mowa</w:t>
      </w:r>
      <w:r w:rsidR="009C078D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pkt 1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>6</w:t>
      </w:r>
      <w:r w:rsidRPr="00FC6D62">
        <w:rPr>
          <w:rFonts w:eastAsia="MS Mincho" w:cstheme="minorHAnsi"/>
          <w:sz w:val="24"/>
          <w:szCs w:val="24"/>
          <w:lang w:eastAsia="ja-JP"/>
        </w:rPr>
        <w:t>, o ile zostały dokonane,</w:t>
      </w:r>
    </w:p>
    <w:p w14:paraId="393E9746" w14:textId="2B67DD0F" w:rsidR="00D45636" w:rsidRPr="00FC6D62" w:rsidRDefault="00D45636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złożone oferty,</w:t>
      </w:r>
    </w:p>
    <w:p w14:paraId="61282CAE" w14:textId="639502AE" w:rsidR="00D45636" w:rsidRPr="00FC6D62" w:rsidRDefault="00D45636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oświadczenia o braku powiązań z wykonawcami, którzy złożyli oferty,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podpisane przez 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 xml:space="preserve">osoby uprawnione do reprezentowania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zamawiającego i osoby wykonujące w 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>imieniu zamawiającego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czynności związane z procedurą wyboru wykonawcy, w tym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biorące udział w procesie oceny ofert (tj. powiązań, o których mowa pkt 2 lit.</w:t>
      </w:r>
      <w:r w:rsidR="008B1EBC" w:rsidRPr="00FC6D62">
        <w:rPr>
          <w:rFonts w:eastAsia="MS Mincho" w:cstheme="minorHAnsi"/>
          <w:sz w:val="24"/>
          <w:szCs w:val="24"/>
          <w:lang w:eastAsia="ja-JP"/>
        </w:rPr>
        <w:t xml:space="preserve"> b).</w:t>
      </w:r>
    </w:p>
    <w:p w14:paraId="6694BF40" w14:textId="351D0CF7" w:rsidR="000D4C28" w:rsidRPr="00FC6D62" w:rsidRDefault="0095124F" w:rsidP="00FC6D62">
      <w:pPr>
        <w:pStyle w:val="Akapitzlist"/>
        <w:numPr>
          <w:ilvl w:val="1"/>
          <w:numId w:val="16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oświadczenie,</w:t>
      </w:r>
      <w:r w:rsidR="000D4C28" w:rsidRPr="00FC6D62">
        <w:rPr>
          <w:rFonts w:eastAsia="MS Mincho" w:cstheme="minorHAnsi"/>
          <w:sz w:val="24"/>
          <w:szCs w:val="24"/>
          <w:lang w:eastAsia="ja-JP"/>
        </w:rPr>
        <w:t xml:space="preserve"> o którym mowa w art. 56 ust. 4 ustawy Pzp</w:t>
      </w:r>
      <w:r w:rsidR="0025094C" w:rsidRPr="00FC6D62">
        <w:rPr>
          <w:rFonts w:eastAsia="MS Mincho" w:cstheme="minorHAnsi"/>
          <w:sz w:val="24"/>
          <w:szCs w:val="24"/>
          <w:lang w:eastAsia="ja-JP"/>
        </w:rPr>
        <w:t xml:space="preserve">. </w:t>
      </w:r>
    </w:p>
    <w:p w14:paraId="485C873F" w14:textId="2E1E4A12" w:rsidR="009C078D" w:rsidRPr="00FC6D62" w:rsidRDefault="00D45636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Informację o wyniku postępowania upublicznia się w taki 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>sposób</w:t>
      </w:r>
      <w:r w:rsidR="002204D4" w:rsidRPr="00FC6D62">
        <w:rPr>
          <w:rFonts w:eastAsia="MS Mincho" w:cstheme="minorHAnsi"/>
          <w:sz w:val="24"/>
          <w:szCs w:val="24"/>
          <w:lang w:eastAsia="ja-JP"/>
        </w:rPr>
        <w:t>,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 xml:space="preserve"> w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jaki zostało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upublicznione zapytanie ofertowe. Informacja o wyniku postępowania zawiera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nazwę wybranego wykonawcy, 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 xml:space="preserve">adres </w:t>
      </w:r>
      <w:r w:rsidRPr="00FC6D62">
        <w:rPr>
          <w:rFonts w:eastAsia="MS Mincho" w:cstheme="minorHAnsi"/>
          <w:sz w:val="24"/>
          <w:szCs w:val="24"/>
          <w:lang w:eastAsia="ja-JP"/>
        </w:rPr>
        <w:t>jego siedzib</w:t>
      </w:r>
      <w:r w:rsidR="00824B24" w:rsidRPr="00FC6D62">
        <w:rPr>
          <w:rFonts w:eastAsia="MS Mincho" w:cstheme="minorHAnsi"/>
          <w:sz w:val="24"/>
          <w:szCs w:val="24"/>
          <w:lang w:eastAsia="ja-JP"/>
        </w:rPr>
        <w:t>y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oraz cenę zamówienia. Na wniosek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wykonawcy, który złożył ofertę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 xml:space="preserve"> lub innego zainteresowanego podmiotu</w:t>
      </w:r>
      <w:r w:rsidRPr="00FC6D62">
        <w:rPr>
          <w:rFonts w:eastAsia="MS Mincho" w:cstheme="minorHAnsi"/>
          <w:sz w:val="24"/>
          <w:szCs w:val="24"/>
          <w:lang w:eastAsia="ja-JP"/>
        </w:rPr>
        <w:t>, należy udostępnić protokół</w:t>
      </w:r>
      <w:r w:rsidR="00D045EE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6C576D" w:rsidRPr="00FC6D62">
        <w:rPr>
          <w:rFonts w:eastAsia="MS Mincho" w:cstheme="minorHAnsi"/>
          <w:sz w:val="24"/>
          <w:szCs w:val="24"/>
          <w:lang w:eastAsia="ja-JP"/>
        </w:rPr>
        <w:t>postępowania o udzielenie zamówienia, z wyłączeniem części ofert stanowiących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="006C576D" w:rsidRPr="00FC6D62">
        <w:rPr>
          <w:rFonts w:eastAsia="MS Mincho" w:cstheme="minorHAnsi"/>
          <w:sz w:val="24"/>
          <w:szCs w:val="24"/>
          <w:lang w:eastAsia="ja-JP"/>
        </w:rPr>
        <w:t>tajemnicę przedsiębiorstwa.</w:t>
      </w:r>
      <w:r w:rsidR="003764D5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0"/>
      </w:r>
    </w:p>
    <w:p w14:paraId="45131AE5" w14:textId="79DB68B0" w:rsidR="009C078D" w:rsidRPr="00FC6D62" w:rsidRDefault="006C576D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Po przeprowadzeniu procedury uregulowanej w niniejszej sekcji następuje zawarcie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umowy z wykonawcą w formie pisemnej lub elektronicznej (wraz z kwalifikowanym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podpisem elektronicznym). W przypadku, gdy zamawiający dopuszcza składanie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ofert częściowych, postępowanie może zakończyć się zawarciem umowy na część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zamówienia. 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 xml:space="preserve">W przypadku gdy przedmiotem zamówienia jest zawarcie umowy ramowej, dopuszcza się sporządzenie jednej umowy z wieloma </w:t>
      </w:r>
      <w:r w:rsidR="0095124F" w:rsidRPr="00FC6D62">
        <w:rPr>
          <w:rFonts w:eastAsia="MS Mincho" w:cstheme="minorHAnsi"/>
          <w:sz w:val="24"/>
          <w:szCs w:val="24"/>
          <w:lang w:eastAsia="ja-JP"/>
        </w:rPr>
        <w:t>wykonawcami</w:t>
      </w:r>
      <w:r w:rsidR="00A43A42" w:rsidRPr="00FC6D62">
        <w:rPr>
          <w:rFonts w:eastAsia="MS Mincho" w:cstheme="minorHAnsi"/>
          <w:sz w:val="24"/>
          <w:szCs w:val="24"/>
          <w:lang w:eastAsia="ja-JP"/>
        </w:rPr>
        <w:t xml:space="preserve"> lub kilku samodzielnych umów. </w:t>
      </w:r>
      <w:r w:rsidRPr="00FC6D62">
        <w:rPr>
          <w:rFonts w:eastAsia="MS Mincho" w:cstheme="minorHAnsi"/>
          <w:sz w:val="24"/>
          <w:szCs w:val="24"/>
          <w:lang w:eastAsia="ja-JP"/>
        </w:rPr>
        <w:t>W przypadku gdy wybrany wykonawca odstąpi od zawarcia umowy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 zamawiającym, zamawiający zawiera umowę z kolejnym wykonawcą, który w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postępowaniu o udzielenie zamówienia uzyskał kolejną najwyższą liczbę punktów.</w:t>
      </w:r>
    </w:p>
    <w:p w14:paraId="73AA198E" w14:textId="032AB7A1" w:rsidR="006C576D" w:rsidRPr="00FC6D62" w:rsidRDefault="006C576D" w:rsidP="00AD78EE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Nie jest możliwe dokonywanie istotnych zmian</w:t>
      </w:r>
      <w:r w:rsidR="00683D29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1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postanowień zawartej umowy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 stosunku do treści oferty, na podstawie której dokonano wyboru wykonawcy,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chyba że:</w:t>
      </w:r>
    </w:p>
    <w:p w14:paraId="3FCDC685" w14:textId="61C6F42D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zmiany zostały przewidziane w zapytaniu ofertowym w postaci jednoznacznych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postanowień umownych, które określają ich zakres i charakter oraz warunki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wprowadzenia zmian,</w:t>
      </w:r>
    </w:p>
    <w:p w14:paraId="19D92F32" w14:textId="37322FA3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zmiany dotyczą realizacji dodatkowych dostaw</w:t>
      </w:r>
      <w:r w:rsidR="009C001A" w:rsidRPr="00FC6D62">
        <w:rPr>
          <w:rFonts w:eastAsia="MS Mincho" w:cstheme="minorHAnsi"/>
          <w:sz w:val="24"/>
          <w:szCs w:val="24"/>
          <w:lang w:eastAsia="ja-JP"/>
        </w:rPr>
        <w:t xml:space="preserve"> lub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usług od dotychczasowego wykonawcy, nieobjętych zamówieniem podstawowym,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ile stały się niezbędne i zostały spełnione łącznie następujące warunki:</w:t>
      </w:r>
    </w:p>
    <w:p w14:paraId="40373123" w14:textId="25236872" w:rsidR="006C576D" w:rsidRPr="00FC6D62" w:rsidRDefault="006C576D" w:rsidP="00FC6D62">
      <w:pPr>
        <w:pStyle w:val="Akapitzlist"/>
        <w:numPr>
          <w:ilvl w:val="1"/>
          <w:numId w:val="18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zmiana wykonawcy nie może zostać dokonana z powodów ekonomicznych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technicznych, w szczególności dotyczących zamienności lub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interoperacyjności sprzętu, usług lub instalacji, zamówionych w ramach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podstawowego,</w:t>
      </w:r>
    </w:p>
    <w:p w14:paraId="5AD874F9" w14:textId="73C1795F" w:rsidR="006C576D" w:rsidRPr="00FC6D62" w:rsidRDefault="006C576D" w:rsidP="00FC6D62">
      <w:pPr>
        <w:pStyle w:val="Akapitzlist"/>
        <w:numPr>
          <w:ilvl w:val="1"/>
          <w:numId w:val="18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zmiana wykonawcy spowodowałaby istotną niedogodność lub znaczne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zwiększenie kosztów dla zamawiającego,</w:t>
      </w:r>
    </w:p>
    <w:p w14:paraId="1F496713" w14:textId="17548670" w:rsidR="006C576D" w:rsidRPr="00FC6D62" w:rsidRDefault="006C576D" w:rsidP="00FC6D62">
      <w:pPr>
        <w:pStyle w:val="Akapitzlist"/>
        <w:numPr>
          <w:ilvl w:val="1"/>
          <w:numId w:val="18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wartość każdej kolejnej zmiany nie przekracza 50% wartości zamówienia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określonej pierwotnie w umowie,</w:t>
      </w:r>
    </w:p>
    <w:p w14:paraId="58B1DBDC" w14:textId="0D515043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zmiana nie prowadzi do zmiany charakteru umowy i zostały spełnione łącznie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następujące warunki:</w:t>
      </w:r>
    </w:p>
    <w:p w14:paraId="1EC16F2B" w14:textId="6BD9777D" w:rsidR="006C576D" w:rsidRPr="00FC6D62" w:rsidRDefault="006C576D" w:rsidP="00FC6D62">
      <w:pPr>
        <w:pStyle w:val="Akapitzlist"/>
        <w:numPr>
          <w:ilvl w:val="1"/>
          <w:numId w:val="19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konieczność zmiany umowy spowodowana jest okolicznościami, których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zamawiający, działając z należytą starannością, nie mógł przewidzieć,</w:t>
      </w:r>
    </w:p>
    <w:p w14:paraId="1341301D" w14:textId="78CFA7BC" w:rsidR="006C576D" w:rsidRPr="00FC6D62" w:rsidRDefault="006C576D" w:rsidP="00FC6D62">
      <w:pPr>
        <w:pStyle w:val="Akapitzlist"/>
        <w:numPr>
          <w:ilvl w:val="1"/>
          <w:numId w:val="19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wartość zmiany nie przekracza 50% wartości zamówienia określonej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pierwotnie w umowie,</w:t>
      </w:r>
    </w:p>
    <w:p w14:paraId="46DF799D" w14:textId="532D702D" w:rsidR="006C576D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wykonawcę, któremu zamawiający udzielił </w:t>
      </w:r>
      <w:r w:rsidR="00D16C82" w:rsidRPr="00FC6D62">
        <w:rPr>
          <w:rFonts w:eastAsia="MS Mincho" w:cstheme="minorHAnsi"/>
          <w:sz w:val="24"/>
          <w:szCs w:val="24"/>
          <w:lang w:eastAsia="ja-JP"/>
        </w:rPr>
        <w:t>zamówienia ma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zastąpić nowy</w:t>
      </w:r>
      <w:r w:rsidR="00D16C82" w:rsidRPr="00FC6D62">
        <w:rPr>
          <w:rFonts w:eastAsia="MS Mincho" w:cstheme="minorHAnsi"/>
          <w:sz w:val="24"/>
          <w:szCs w:val="24"/>
          <w:lang w:eastAsia="ja-JP"/>
        </w:rPr>
        <w:t xml:space="preserve"> wykonawca:</w:t>
      </w:r>
    </w:p>
    <w:p w14:paraId="464AE5BA" w14:textId="49DCF902" w:rsidR="006C576D" w:rsidRPr="00FC6D62" w:rsidRDefault="006C576D" w:rsidP="00FC6D62">
      <w:pPr>
        <w:pStyle w:val="Akapitzlist"/>
        <w:numPr>
          <w:ilvl w:val="1"/>
          <w:numId w:val="20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na podstawie postanowień umownych, o których mowa w lit. a,</w:t>
      </w:r>
    </w:p>
    <w:p w14:paraId="3C14A91D" w14:textId="7AF752AA" w:rsidR="006C576D" w:rsidRPr="00FC6D62" w:rsidRDefault="006C576D" w:rsidP="00FC6D62">
      <w:pPr>
        <w:pStyle w:val="Akapitzlist"/>
        <w:numPr>
          <w:ilvl w:val="1"/>
          <w:numId w:val="20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wyniku połączenia, podziału, przekształcenia, upadłości, restrukturyzacji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lub nabycia dotychczasowego wykonawcy lub jego przedsiębiorstwa</w:t>
      </w:r>
      <w:r w:rsidR="00F53607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 ile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nowy </w:t>
      </w:r>
      <w:r w:rsidRPr="00FC6D62">
        <w:rPr>
          <w:rFonts w:eastAsia="MS Mincho" w:cstheme="minorHAnsi"/>
          <w:sz w:val="24"/>
          <w:szCs w:val="24"/>
          <w:lang w:eastAsia="ja-JP"/>
        </w:rPr>
        <w:lastRenderedPageBreak/>
        <w:t>wykonawca spełnia warunki udziału w postępowaniu, nie zachodzą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wobec niego podstawy wykluczenia oraz nie pociąga to za sobą innych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istotnych zmian umowy,</w:t>
      </w:r>
    </w:p>
    <w:p w14:paraId="5F225AEB" w14:textId="0B119FBA" w:rsidR="00D45636" w:rsidRPr="00FC6D62" w:rsidRDefault="006C576D" w:rsidP="00FC6D62">
      <w:pPr>
        <w:pStyle w:val="Akapitzlist"/>
        <w:numPr>
          <w:ilvl w:val="1"/>
          <w:numId w:val="20"/>
        </w:numPr>
        <w:spacing w:before="120" w:after="120" w:line="360" w:lineRule="auto"/>
        <w:ind w:left="1134" w:hanging="425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w wyniku przejęcia przez zamawiającego zobowiązań wykonawcy względem jego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podwykonawców; w przypadku zmiany podwykonawcy, zamawiający może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zawrzeć umowę z nowym podwykonawcą bez zmiany warunków realizacji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zamówienia z uwzględnieniem dokonanych płatności z tytułu dotychczas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zrealizowanych prac,</w:t>
      </w:r>
    </w:p>
    <w:p w14:paraId="5AE942C3" w14:textId="6587F723" w:rsidR="00117196" w:rsidRPr="00FC6D62" w:rsidRDefault="006C576D" w:rsidP="00AD78EE">
      <w:pPr>
        <w:pStyle w:val="Akapitzlist"/>
        <w:numPr>
          <w:ilvl w:val="1"/>
          <w:numId w:val="17"/>
        </w:numPr>
        <w:spacing w:before="120" w:after="120" w:line="360" w:lineRule="auto"/>
        <w:ind w:left="641" w:hanging="357"/>
        <w:rPr>
          <w:rFonts w:eastAsia="MS Mincho" w:cstheme="minorHAnsi"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>zmiana nie prowadzi do zmiany charakteru umowy a łączna wartość zmian jest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mniejsza niż progi unijne w rozumieniu art. 3 Pzp</w:t>
      </w:r>
      <w:r w:rsidR="0097090F" w:rsidRPr="00FC6D62">
        <w:rPr>
          <w:rStyle w:val="Odwoanieprzypisudolnego"/>
          <w:rFonts w:eastAsia="MS Mincho" w:cstheme="minorHAnsi"/>
          <w:sz w:val="24"/>
          <w:szCs w:val="24"/>
          <w:lang w:eastAsia="ja-JP"/>
        </w:rPr>
        <w:footnoteReference w:id="12"/>
      </w:r>
      <w:r w:rsidRPr="00FC6D62">
        <w:rPr>
          <w:rFonts w:eastAsia="MS Mincho" w:cstheme="minorHAnsi"/>
          <w:sz w:val="24"/>
          <w:szCs w:val="24"/>
          <w:lang w:eastAsia="ja-JP"/>
        </w:rPr>
        <w:t xml:space="preserve"> i jednocześnie jest mniejsza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od 10% wartości zamówienia określonej pierwotnie w umowie w przypadku</w:t>
      </w:r>
      <w:r w:rsidR="00002616" w:rsidRPr="00FC6D62">
        <w:rPr>
          <w:rFonts w:eastAsia="MS Mincho" w:cstheme="minorHAnsi"/>
          <w:sz w:val="24"/>
          <w:szCs w:val="24"/>
          <w:lang w:eastAsia="ja-JP"/>
        </w:rPr>
        <w:t xml:space="preserve"> </w:t>
      </w:r>
      <w:r w:rsidRPr="00FC6D62">
        <w:rPr>
          <w:rFonts w:eastAsia="MS Mincho" w:cstheme="minorHAnsi"/>
          <w:sz w:val="24"/>
          <w:szCs w:val="24"/>
          <w:lang w:eastAsia="ja-JP"/>
        </w:rPr>
        <w:t>zamówień na usługi lub dostawy</w:t>
      </w:r>
      <w:r w:rsidR="00F53607" w:rsidRPr="00FC6D62">
        <w:rPr>
          <w:rFonts w:eastAsia="MS Mincho" w:cstheme="minorHAnsi"/>
          <w:sz w:val="24"/>
          <w:szCs w:val="24"/>
          <w:lang w:eastAsia="ja-JP"/>
        </w:rPr>
        <w:t>.</w:t>
      </w:r>
    </w:p>
    <w:p w14:paraId="01FA4A47" w14:textId="2024C49A" w:rsidR="004B5A4B" w:rsidRPr="00FC6D62" w:rsidRDefault="00A11606" w:rsidP="00FC6D62">
      <w:pPr>
        <w:pStyle w:val="Nagwek2"/>
        <w:rPr>
          <w:rFonts w:eastAsia="MS Mincho"/>
          <w:szCs w:val="24"/>
          <w:lang w:eastAsia="ja-JP"/>
        </w:rPr>
      </w:pPr>
      <w:bookmarkStart w:id="6" w:name="_Toc169702711"/>
      <w:r w:rsidRPr="00FC6D62">
        <w:rPr>
          <w:rFonts w:eastAsia="MS Mincho"/>
          <w:szCs w:val="24"/>
          <w:lang w:eastAsia="ja-JP"/>
        </w:rPr>
        <w:t>1.</w:t>
      </w:r>
      <w:r w:rsidR="004255EE" w:rsidRPr="00FC6D62">
        <w:rPr>
          <w:rFonts w:eastAsia="MS Mincho"/>
          <w:szCs w:val="24"/>
          <w:lang w:eastAsia="ja-JP"/>
        </w:rPr>
        <w:t>2</w:t>
      </w:r>
      <w:bookmarkStart w:id="7" w:name="_Toc115082200"/>
      <w:r w:rsidR="004B5A4B" w:rsidRPr="00FC6D62">
        <w:rPr>
          <w:rFonts w:eastAsia="MS Mincho"/>
          <w:szCs w:val="24"/>
          <w:lang w:eastAsia="ja-JP"/>
        </w:rPr>
        <w:t xml:space="preserve">. </w:t>
      </w:r>
      <w:r w:rsidR="004B5A4B" w:rsidRPr="00FC6D62">
        <w:rPr>
          <w:szCs w:val="24"/>
        </w:rPr>
        <w:t>Zamówienia w trybie in-house</w:t>
      </w:r>
      <w:bookmarkEnd w:id="6"/>
      <w:bookmarkEnd w:id="7"/>
    </w:p>
    <w:p w14:paraId="7A003B97" w14:textId="77777777" w:rsidR="004B5A4B" w:rsidRPr="00FC6D62" w:rsidRDefault="004B5A4B" w:rsidP="00FC6D62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W przypadku zamówień w trybie in-house, oprócz zasad i warunków zawartych w niniejszym dokumencie wraz z załącznikiem oraz spełnienia przesłanek wskazanych w ustawie – Prawo zamówień publicznych, w celu uznania kosztów poniesionych w związku z zamówieniem w trybie in-house za kwalifikowalne Beneficjent zobowiązany jest do:</w:t>
      </w:r>
    </w:p>
    <w:p w14:paraId="7BD983D1" w14:textId="77777777" w:rsidR="00522F3E" w:rsidRDefault="004B5A4B" w:rsidP="00FC6D62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 xml:space="preserve">zlecenie prac podmiotowi wewnętrznemu na </w:t>
      </w:r>
      <w:r w:rsidR="0095124F" w:rsidRPr="00522F3E">
        <w:rPr>
          <w:rFonts w:eastAsia="Times New Roman" w:cstheme="minorHAnsi"/>
          <w:sz w:val="24"/>
          <w:szCs w:val="24"/>
          <w:lang w:eastAsia="pl-PL"/>
        </w:rPr>
        <w:t>podstawie podpisanej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umowy z podmiotem wewnętrznym;</w:t>
      </w:r>
    </w:p>
    <w:p w14:paraId="03BCE8AF" w14:textId="77777777" w:rsidR="00522F3E" w:rsidRDefault="004B5A4B" w:rsidP="00FC6D62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 xml:space="preserve">przeprowadzenie rozeznania rynku przed zleceniem prac in-house (ex </w:t>
      </w:r>
      <w:proofErr w:type="spellStart"/>
      <w:r w:rsidRPr="00522F3E">
        <w:rPr>
          <w:rFonts w:eastAsia="Times New Roman" w:cstheme="minorHAnsi"/>
          <w:sz w:val="24"/>
          <w:szCs w:val="24"/>
          <w:lang w:eastAsia="pl-PL"/>
        </w:rPr>
        <w:t>ante</w:t>
      </w:r>
      <w:proofErr w:type="spellEnd"/>
      <w:r w:rsidRPr="00522F3E">
        <w:rPr>
          <w:rFonts w:eastAsia="Times New Roman" w:cstheme="minorHAnsi"/>
          <w:sz w:val="24"/>
          <w:szCs w:val="24"/>
          <w:lang w:eastAsia="pl-PL"/>
        </w:rPr>
        <w:t>) poprzez:</w:t>
      </w:r>
    </w:p>
    <w:p w14:paraId="0D8102F8" w14:textId="77777777" w:rsidR="00522F3E" w:rsidRPr="00522F3E" w:rsidRDefault="004B5A4B" w:rsidP="00522F3E">
      <w:pPr>
        <w:pStyle w:val="Akapitzlist"/>
        <w:numPr>
          <w:ilvl w:val="1"/>
          <w:numId w:val="28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 xml:space="preserve">przeprowadzenie niezależnej, zewnętrznej wyceny zakresu prac projektowych, przeznaczonych do powierzenia wewnętrznemu podmiotowi w ramach konkretnych zleceń, przez wyłonionego w otwartym konkursie eksperta rynkowego </w:t>
      </w:r>
      <w:r w:rsidRPr="00522F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lub/i ekspertów z jednostek podległych i nadzorowanych przez Beneficjenta;</w:t>
      </w:r>
    </w:p>
    <w:p w14:paraId="1224E007" w14:textId="77777777" w:rsidR="00522F3E" w:rsidRPr="00522F3E" w:rsidRDefault="004B5A4B" w:rsidP="00522F3E">
      <w:pPr>
        <w:pStyle w:val="Akapitzlist"/>
        <w:numPr>
          <w:ilvl w:val="1"/>
          <w:numId w:val="28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 xml:space="preserve">przeprowadzenie niezależnej, zewnętrznej weryfikacji poprawności oszacowania kosztów prac przedstawionych przez podmiot wewnętrzny, w tym: metodologii szacowania i pracochłonności prac projektowych określonej przez podmiot wewnętrzny, przez wyłonionego w otwartym konkursie eksperta rynkowego </w:t>
      </w:r>
      <w:r w:rsidRPr="00522F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>lub/i ekspertów z jednostek podległych i nadzorowanych przez Beneficjenta</w:t>
      </w:r>
    </w:p>
    <w:p w14:paraId="5EEB8B41" w14:textId="423D1091" w:rsidR="004B5A4B" w:rsidRPr="00522F3E" w:rsidRDefault="004B5A4B" w:rsidP="00522F3E">
      <w:pPr>
        <w:pStyle w:val="Akapitzlist"/>
        <w:numPr>
          <w:ilvl w:val="1"/>
          <w:numId w:val="28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lastRenderedPageBreak/>
        <w:t>przeprowadzenie zewnętrznej, niezależnej analizy porównawczej wyceny rynkowej</w:t>
      </w:r>
      <w:r w:rsidR="00522F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2F3E">
        <w:rPr>
          <w:rFonts w:eastAsia="Times New Roman" w:cstheme="minorHAnsi"/>
          <w:sz w:val="24"/>
          <w:szCs w:val="24"/>
          <w:lang w:eastAsia="pl-PL"/>
        </w:rPr>
        <w:t>(punkt 2</w:t>
      </w:r>
      <w:r w:rsidR="00522F3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2F3E">
        <w:rPr>
          <w:rFonts w:eastAsia="Times New Roman" w:cstheme="minorHAnsi"/>
          <w:sz w:val="24"/>
          <w:szCs w:val="24"/>
          <w:lang w:eastAsia="pl-PL"/>
        </w:rPr>
        <w:t>a</w:t>
      </w:r>
      <w:r w:rsidR="00522F3E">
        <w:rPr>
          <w:rFonts w:eastAsia="Times New Roman" w:cstheme="minorHAnsi"/>
          <w:sz w:val="24"/>
          <w:szCs w:val="24"/>
          <w:lang w:eastAsia="pl-PL"/>
        </w:rPr>
        <w:t>)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powyżej</w:t>
      </w:r>
      <w:r w:rsidR="00522F3E">
        <w:rPr>
          <w:rFonts w:eastAsia="Times New Roman" w:cstheme="minorHAnsi"/>
          <w:sz w:val="24"/>
          <w:szCs w:val="24"/>
          <w:lang w:eastAsia="pl-PL"/>
        </w:rPr>
        <w:t>)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i oszacowania kosztów podmiotu wewnętrznego (punkt </w:t>
      </w:r>
      <w:r w:rsidR="00522F3E">
        <w:rPr>
          <w:rFonts w:eastAsia="Times New Roman" w:cstheme="minorHAnsi"/>
          <w:sz w:val="24"/>
          <w:szCs w:val="24"/>
          <w:lang w:eastAsia="pl-PL"/>
        </w:rPr>
        <w:t xml:space="preserve">2 </w:t>
      </w:r>
      <w:r w:rsidRPr="00522F3E">
        <w:rPr>
          <w:rFonts w:eastAsia="Times New Roman" w:cstheme="minorHAnsi"/>
          <w:sz w:val="24"/>
          <w:szCs w:val="24"/>
          <w:lang w:eastAsia="pl-PL"/>
        </w:rPr>
        <w:t>b</w:t>
      </w:r>
      <w:r w:rsidR="00522F3E">
        <w:rPr>
          <w:rFonts w:eastAsia="Times New Roman" w:cstheme="minorHAnsi"/>
          <w:sz w:val="24"/>
          <w:szCs w:val="24"/>
          <w:lang w:eastAsia="pl-PL"/>
        </w:rPr>
        <w:t>)</w:t>
      </w:r>
      <w:r w:rsidRPr="00522F3E">
        <w:rPr>
          <w:rFonts w:eastAsia="Times New Roman" w:cstheme="minorHAnsi"/>
          <w:sz w:val="24"/>
          <w:szCs w:val="24"/>
          <w:lang w:eastAsia="pl-PL"/>
        </w:rPr>
        <w:t xml:space="preserve"> powyżej) przez wyłonionego w otwartym konkursie eksperta rynkowego</w:t>
      </w:r>
      <w:r w:rsidRPr="00522F3E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lub/i ekspertów z jednostek podległych i nadzorowanych przez - Beneficjenta, </w:t>
      </w:r>
      <w:r w:rsidRPr="00522F3E">
        <w:rPr>
          <w:rFonts w:eastAsia="Times New Roman" w:cstheme="minorHAnsi"/>
          <w:sz w:val="24"/>
          <w:szCs w:val="24"/>
          <w:lang w:eastAsia="pl-PL"/>
        </w:rPr>
        <w:t>w celu potwierdzenia lub zaprzeczenia oszczędnego i efektywnego gospodarowania środkami finansowymi.</w:t>
      </w:r>
    </w:p>
    <w:p w14:paraId="0D4A2F55" w14:textId="77777777" w:rsidR="004B5A4B" w:rsidRPr="00FC6D62" w:rsidRDefault="004B5A4B" w:rsidP="00FC6D62">
      <w:pPr>
        <w:rPr>
          <w:rFonts w:cstheme="minorHAnsi"/>
          <w:b/>
          <w:bCs/>
          <w:sz w:val="24"/>
          <w:szCs w:val="24"/>
        </w:rPr>
      </w:pPr>
      <w:r w:rsidRPr="00FC6D62">
        <w:rPr>
          <w:rFonts w:cstheme="minorHAnsi"/>
          <w:b/>
          <w:bCs/>
          <w:sz w:val="24"/>
          <w:szCs w:val="24"/>
        </w:rPr>
        <w:t xml:space="preserve">Eksperci muszą jednocześnie spełniać warunek posiadania niezbędnej wiedzy eksperckiej oraz złożyć deklarację o braku konfliktu interesów/deklarację o bezstronności. </w:t>
      </w:r>
    </w:p>
    <w:p w14:paraId="11A91850" w14:textId="77777777" w:rsidR="00522F3E" w:rsidRDefault="004B5A4B" w:rsidP="00522F3E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Odbioru prac zgodnie z przyjętym harmonogramem realizacji Przedsięwzięcia wskazanym w Umowie/Porozumieniu o objęciu Przedsięwzięcia wsparciem;</w:t>
      </w:r>
    </w:p>
    <w:p w14:paraId="7F7125A6" w14:textId="2C27E5D6" w:rsidR="004B5A4B" w:rsidRPr="00522F3E" w:rsidRDefault="008B214E" w:rsidP="00522F3E">
      <w:pPr>
        <w:pStyle w:val="Akapitzlist"/>
        <w:numPr>
          <w:ilvl w:val="0"/>
          <w:numId w:val="28"/>
        </w:numPr>
        <w:spacing w:before="120" w:after="12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c</w:t>
      </w:r>
      <w:r w:rsidR="004B5A4B" w:rsidRPr="00522F3E">
        <w:rPr>
          <w:rFonts w:eastAsia="Times New Roman" w:cstheme="minorHAnsi"/>
          <w:sz w:val="24"/>
          <w:szCs w:val="24"/>
          <w:lang w:eastAsia="pl-PL"/>
        </w:rPr>
        <w:t>yklicznego raportowania kosztów ponoszonych w trybie in-house do JW.</w:t>
      </w:r>
    </w:p>
    <w:p w14:paraId="32BE4F43" w14:textId="77777777" w:rsidR="004B5A4B" w:rsidRPr="00FC6D62" w:rsidRDefault="004B5A4B" w:rsidP="00FC6D62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Podmiot wewnętrzny zobowiązany jest do:</w:t>
      </w:r>
    </w:p>
    <w:p w14:paraId="732EC863" w14:textId="77777777" w:rsidR="00522F3E" w:rsidRPr="00C66B1A" w:rsidRDefault="004B5A4B" w:rsidP="00522F3E">
      <w:pPr>
        <w:pStyle w:val="Akapitzlist"/>
        <w:numPr>
          <w:ilvl w:val="0"/>
          <w:numId w:val="30"/>
        </w:numPr>
        <w:spacing w:before="120" w:after="120" w:line="360" w:lineRule="auto"/>
        <w:ind w:left="641" w:hanging="357"/>
        <w:rPr>
          <w:rFonts w:eastAsia="Times New Roman" w:cstheme="minorHAnsi"/>
          <w:iCs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 xml:space="preserve">dokonywania zakupów towarów, materiałów i usług dotyczących podpisanej umowy zgodnie z ustawą Prawo zamówień publicznych lub zgodnie z </w:t>
      </w:r>
      <w:r w:rsidRPr="00C66B1A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8B214E" w:rsidRPr="00C66B1A">
        <w:rPr>
          <w:rFonts w:eastAsia="Times New Roman" w:cstheme="minorHAnsi"/>
          <w:iCs/>
          <w:sz w:val="24"/>
          <w:szCs w:val="24"/>
          <w:lang w:eastAsia="pl-PL"/>
        </w:rPr>
        <w:t>asadami</w:t>
      </w:r>
      <w:r w:rsidRPr="00C66B1A">
        <w:rPr>
          <w:rFonts w:eastAsia="Times New Roman" w:cstheme="minorHAnsi"/>
          <w:iCs/>
          <w:sz w:val="24"/>
          <w:szCs w:val="24"/>
          <w:lang w:eastAsia="pl-PL"/>
        </w:rPr>
        <w:t>;</w:t>
      </w:r>
    </w:p>
    <w:p w14:paraId="0523EFCF" w14:textId="77777777" w:rsidR="00522F3E" w:rsidRDefault="004B5A4B" w:rsidP="00522F3E">
      <w:pPr>
        <w:pStyle w:val="Akapitzlist"/>
        <w:numPr>
          <w:ilvl w:val="0"/>
          <w:numId w:val="30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prowadzenia wyodrębnionej ewidencji czasu pracy w ramach umowy w celu zapewnienia pełnej weryfikowalności i przejrzystości;</w:t>
      </w:r>
    </w:p>
    <w:p w14:paraId="399C97CF" w14:textId="62FFA9DA" w:rsidR="004B5A4B" w:rsidRPr="00522F3E" w:rsidRDefault="004B5A4B" w:rsidP="00522F3E">
      <w:pPr>
        <w:pStyle w:val="Akapitzlist"/>
        <w:numPr>
          <w:ilvl w:val="0"/>
          <w:numId w:val="30"/>
        </w:numPr>
        <w:spacing w:before="120" w:after="120" w:line="360" w:lineRule="auto"/>
        <w:ind w:left="641" w:hanging="357"/>
        <w:rPr>
          <w:rFonts w:eastAsia="Times New Roman" w:cstheme="minorHAnsi"/>
          <w:sz w:val="24"/>
          <w:szCs w:val="24"/>
          <w:lang w:eastAsia="pl-PL"/>
        </w:rPr>
      </w:pPr>
      <w:r w:rsidRPr="00522F3E">
        <w:rPr>
          <w:rFonts w:eastAsia="Times New Roman" w:cstheme="minorHAnsi"/>
          <w:sz w:val="24"/>
          <w:szCs w:val="24"/>
          <w:lang w:eastAsia="pl-PL"/>
        </w:rPr>
        <w:t>prowadzenia wyodrębnionej ewidencji księgowej kosztów związanych z realizacją danej umowy.</w:t>
      </w:r>
    </w:p>
    <w:p w14:paraId="1FA09AE1" w14:textId="1FF56F75" w:rsidR="00117196" w:rsidRPr="00FC6D62" w:rsidRDefault="00117196" w:rsidP="00684913">
      <w:pPr>
        <w:pStyle w:val="Nagwek1"/>
        <w:rPr>
          <w:rFonts w:eastAsia="MS Mincho" w:cstheme="minorHAnsi"/>
          <w:b w:val="0"/>
          <w:szCs w:val="24"/>
          <w:lang w:eastAsia="ja-JP"/>
        </w:rPr>
      </w:pPr>
      <w:bookmarkStart w:id="8" w:name="_Toc169702712"/>
      <w:bookmarkStart w:id="9" w:name="_Toc78468510"/>
      <w:r w:rsidRPr="00FC6D62">
        <w:rPr>
          <w:rFonts w:eastAsia="MS Mincho" w:cstheme="minorHAnsi"/>
          <w:szCs w:val="24"/>
          <w:lang w:eastAsia="ja-JP"/>
        </w:rPr>
        <w:t xml:space="preserve">2. Przykłady możliwych nieprawidłowości w obszarze </w:t>
      </w:r>
      <w:r w:rsidR="00D72C2E" w:rsidRPr="00FC6D62">
        <w:rPr>
          <w:rFonts w:eastAsia="MS Mincho" w:cstheme="minorHAnsi"/>
          <w:szCs w:val="24"/>
          <w:lang w:eastAsia="ja-JP"/>
        </w:rPr>
        <w:t>zamówień</w:t>
      </w:r>
      <w:bookmarkEnd w:id="8"/>
    </w:p>
    <w:p w14:paraId="5EBE3369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stosowanie trybów niekonkurencyjnych lub nieuprawnione stosowanie procedur przyspieszonych powołując się np. na termin zakończenia projektu lub koniec roku budżetowego.</w:t>
      </w:r>
    </w:p>
    <w:p w14:paraId="41C72A66" w14:textId="70E7C518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Niekorzystne zjawisko „uzależnienia się” zamawiającego od pierwotnego wykonawcy systemu lub producenta sprzętu lub oprogramowania gotowego, uniemożliwiające nabycie niezbędnych usług lub dostaw w trybach konkurencyjnych np. brak zapewnienia sobie w</w:t>
      </w:r>
      <w:r w:rsidR="00C66B1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C6D62">
        <w:rPr>
          <w:rFonts w:eastAsia="Times New Roman" w:cstheme="minorHAnsi"/>
          <w:sz w:val="24"/>
          <w:szCs w:val="24"/>
          <w:lang w:eastAsia="pl-PL"/>
        </w:rPr>
        <w:t>pierwotnym przetargu autorskich</w:t>
      </w:r>
      <w:r w:rsidR="00BA1F4D" w:rsidRPr="00FC6D62">
        <w:rPr>
          <w:rFonts w:eastAsia="Times New Roman" w:cstheme="minorHAnsi"/>
          <w:sz w:val="24"/>
          <w:szCs w:val="24"/>
          <w:lang w:eastAsia="pl-PL"/>
        </w:rPr>
        <w:t xml:space="preserve"> praw</w:t>
      </w:r>
      <w:r w:rsidR="00BA1F4D" w:rsidRPr="00FC6D62">
        <w:rPr>
          <w:rFonts w:cstheme="minorHAnsi"/>
          <w:sz w:val="24"/>
          <w:szCs w:val="24"/>
        </w:rPr>
        <w:t xml:space="preserve"> majątkowych oraz praw zależnych, w tym do kodów źródłowych i dokumentacji lub nabycie licencji na niewystarczających polach eksploatacji odpowiadających zakresowi Przedsięwzięcia</w:t>
      </w:r>
      <w:r w:rsidRPr="00FC6D62">
        <w:rPr>
          <w:rFonts w:eastAsia="Times New Roman" w:cstheme="minorHAnsi"/>
          <w:sz w:val="24"/>
          <w:szCs w:val="24"/>
          <w:lang w:eastAsia="pl-PL"/>
        </w:rPr>
        <w:t>.</w:t>
      </w:r>
    </w:p>
    <w:p w14:paraId="10B25589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Nieuzasadnione udzielanie zamówień publicznych z wolnej ręki związanych z systemami informatycznymi, wynikające z niewłaściwego przygotowania postępowania i udzielania zamówienia publicznego.</w:t>
      </w:r>
    </w:p>
    <w:p w14:paraId="24883161" w14:textId="4275100C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lastRenderedPageBreak/>
        <w:t>Niedopuszczenie przez zamawiającego zaoferowania produktu równoważnego lub usługi równoważnej, w</w:t>
      </w:r>
      <w:r w:rsidR="0046088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C6D62">
        <w:rPr>
          <w:rFonts w:eastAsia="Times New Roman" w:cstheme="minorHAnsi"/>
          <w:sz w:val="24"/>
          <w:szCs w:val="24"/>
          <w:lang w:eastAsia="pl-PL"/>
        </w:rPr>
        <w:t>przypadku opisania przedmiotu zamówienia publicznego poprzez wskazanie znaków towarowych, patentów, pochodzenia, źródła lub szczególnego procesu, który charakteryzuje produkty lub usługi dostarczane przez konkretnego wykonawcę.</w:t>
      </w:r>
    </w:p>
    <w:p w14:paraId="17DB0A17" w14:textId="5A288949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dzielenie zamówienia publicznego na części w celu zastosowania mniej restrykcyjnej zasady udzielenia zamówienia w sytuacji, gdy zamawiający wszczyna kilka postępowań, które są tożsame przedmiotowo i czasowo, a zamówienie publiczne może być wykonane przez jednego wykonawcę. Tożsamość czasową należy odnosić nie tylko do roku budżetowego, ale także do całego okresu realizacji projektu.</w:t>
      </w:r>
    </w:p>
    <w:p w14:paraId="491EE281" w14:textId="6027ABFB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łączenie zamówień publicznych, które odrębnie udzielane wymagają zastosowania różnych zasad udzielenia.</w:t>
      </w:r>
    </w:p>
    <w:p w14:paraId="4CAC62C0" w14:textId="55DA09A6" w:rsidR="00A43A42" w:rsidRPr="00FC6D62" w:rsidRDefault="00A43A42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Nieuprawnione łączenie zamówień publicznych, które odrębnie udzielane skutkowałoby zwiększeniem konkurencyjności ofert wykonawców i umożliwiałoby złożenie oferty przez podmioty zainteresowane konkretną częścią zamówienia, np. łącznie dostaw sprzętu wraz z usługami w postaci budowy systemów informatycznych.</w:t>
      </w:r>
    </w:p>
    <w:p w14:paraId="40E45A03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Nieuzasadnione przedmiotem zamówienia publicznego ograniczenia dotyczące podwykonawstwa, np. wprowadzenie zasady, że określona w sposób procentowy część zamówienia publicznego nie może być zlecona podwykonawcom.</w:t>
      </w:r>
    </w:p>
    <w:p w14:paraId="135DF531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Wymaganie od wykonawcy posiadania potencjału technicznego już na etapie składania ofert/wniosków o dopuszczenie do udziału w postępowaniu.</w:t>
      </w:r>
    </w:p>
    <w:p w14:paraId="480DE775" w14:textId="57A87843" w:rsidR="001D09F0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Żądanie, aby wykonawca posiadał doświadczenie w realizacji usług, dostaw lub robót budowlanych współfinansowanych ze środków UE lub z funduszy krajowych (w sytuacji, gdy fakt współfinansowania nie ma wpływu na potwierdzenie umiejętności wykonawcy w</w:t>
      </w:r>
      <w:r w:rsidR="0033565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C6D62">
        <w:rPr>
          <w:rFonts w:eastAsia="Times New Roman" w:cstheme="minorHAnsi"/>
          <w:sz w:val="24"/>
          <w:szCs w:val="24"/>
          <w:lang w:eastAsia="pl-PL"/>
        </w:rPr>
        <w:t>zakresie wykonania zamówienia publicznego)</w:t>
      </w:r>
      <w:r w:rsidR="001D09F0" w:rsidRPr="00FC6D62">
        <w:rPr>
          <w:rFonts w:eastAsia="Times New Roman" w:cstheme="minorHAnsi"/>
          <w:sz w:val="24"/>
          <w:szCs w:val="24"/>
          <w:lang w:eastAsia="pl-PL"/>
        </w:rPr>
        <w:t>.</w:t>
      </w:r>
    </w:p>
    <w:p w14:paraId="49A7A5F4" w14:textId="013C73DE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Żądanie zamawiającego, aby wykonawca posiadał doświadczenie w realizacji usług, dostaw lub robót budowlanych wykonywanych wyłącznie w Polsce.</w:t>
      </w:r>
    </w:p>
    <w:p w14:paraId="0735CA24" w14:textId="66976C74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Żądanie zamawiającego, aby wykonawca posiadał doświadczenie w realizacji usług, dostaw lub robót budowlanych, przewyższających wartość szacunkową zamówienia.</w:t>
      </w:r>
    </w:p>
    <w:p w14:paraId="3F966BE4" w14:textId="1CEA2D5A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>Uwzględnianie przez zamawiającego jedynie doświadczenia zdobytego po uzyskaniu przez wykonawcę stosownych polskich uprawnień budowlanych lub posiadania doświadczenia zdobytego w Polsce.</w:t>
      </w:r>
    </w:p>
    <w:p w14:paraId="5EDA8DF7" w14:textId="62E0D6A5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lastRenderedPageBreak/>
        <w:t xml:space="preserve">Nieuprawniony podział zamówienia na części, w </w:t>
      </w:r>
      <w:r w:rsidR="0095124F" w:rsidRPr="00FC6D62">
        <w:rPr>
          <w:rFonts w:eastAsia="Times New Roman" w:cstheme="minorHAnsi"/>
          <w:sz w:val="24"/>
          <w:szCs w:val="24"/>
          <w:lang w:eastAsia="pl-PL"/>
        </w:rPr>
        <w:t>sytuacji,</w:t>
      </w:r>
      <w:r w:rsidRPr="00FC6D62">
        <w:rPr>
          <w:rFonts w:eastAsia="Times New Roman" w:cstheme="minorHAnsi"/>
          <w:sz w:val="24"/>
          <w:szCs w:val="24"/>
          <w:lang w:eastAsia="pl-PL"/>
        </w:rPr>
        <w:t xml:space="preserve"> gdy w ramach kilku Przedsięwzięć realizowane są tożsame zamówienia, celem uniknięcia stosowania przepisów Ustawy lub zasad określonych w niniejszym dokumencie.</w:t>
      </w:r>
    </w:p>
    <w:p w14:paraId="08B5D309" w14:textId="2C984E53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Times New Roman" w:cstheme="minorHAnsi"/>
          <w:sz w:val="24"/>
          <w:szCs w:val="24"/>
          <w:lang w:eastAsia="pl-PL"/>
        </w:rPr>
        <w:t xml:space="preserve">Odrzucenie przez zamawiającego oferty zamiast dokonania poprawy oczywistej omyłki pisarskiej/rachunkowej/innej. </w:t>
      </w:r>
      <w:r w:rsidRPr="00FC6D62">
        <w:rPr>
          <w:rFonts w:eastAsia="Calibri" w:cstheme="minorHAnsi"/>
          <w:sz w:val="24"/>
          <w:szCs w:val="24"/>
        </w:rPr>
        <w:t>Za niedopuszczalne uznaje się natomiast uprzednie uzgodnienie z wykonawcą lub jakimkolwiek innym podmiotem/jakąkolwiek inną osobą sposobu poprawienia omyłek, które pojawiły się w ofercie, a o których mowa w przepisie art.</w:t>
      </w:r>
      <w:r w:rsidR="0075766E">
        <w:rPr>
          <w:rFonts w:eastAsia="Calibri" w:cstheme="minorHAnsi"/>
          <w:sz w:val="24"/>
          <w:szCs w:val="24"/>
        </w:rPr>
        <w:t xml:space="preserve"> </w:t>
      </w:r>
      <w:r w:rsidRPr="00FC6D62">
        <w:rPr>
          <w:rFonts w:eastAsia="Calibri" w:cstheme="minorHAnsi"/>
          <w:sz w:val="24"/>
          <w:szCs w:val="24"/>
        </w:rPr>
        <w:t>87 ust</w:t>
      </w:r>
      <w:r w:rsidR="00335659" w:rsidRPr="00FC6D62">
        <w:rPr>
          <w:rFonts w:eastAsia="Calibri" w:cstheme="minorHAnsi"/>
          <w:sz w:val="24"/>
          <w:szCs w:val="24"/>
        </w:rPr>
        <w:t>.</w:t>
      </w:r>
      <w:r w:rsidR="00335659">
        <w:rPr>
          <w:rFonts w:eastAsia="Calibri" w:cstheme="minorHAnsi"/>
          <w:sz w:val="24"/>
          <w:szCs w:val="24"/>
        </w:rPr>
        <w:t xml:space="preserve"> </w:t>
      </w:r>
      <w:r w:rsidRPr="00FC6D62">
        <w:rPr>
          <w:rFonts w:eastAsia="Calibri" w:cstheme="minorHAnsi"/>
          <w:sz w:val="24"/>
          <w:szCs w:val="24"/>
        </w:rPr>
        <w:t>2 ustawy Pzp.</w:t>
      </w:r>
    </w:p>
    <w:p w14:paraId="0E4FA8CA" w14:textId="254C9412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Konstruowanie kryteriów oceny ofert, które w połączeni</w:t>
      </w:r>
      <w:r w:rsidR="0025094C" w:rsidRPr="00FC6D62">
        <w:rPr>
          <w:rFonts w:eastAsia="Calibri" w:cstheme="minorHAnsi"/>
          <w:sz w:val="24"/>
          <w:szCs w:val="24"/>
        </w:rPr>
        <w:t>u z karami umownymi, mają charak</w:t>
      </w:r>
      <w:r w:rsidRPr="00FC6D62">
        <w:rPr>
          <w:rFonts w:eastAsia="Calibri" w:cstheme="minorHAnsi"/>
          <w:sz w:val="24"/>
          <w:szCs w:val="24"/>
        </w:rPr>
        <w:t xml:space="preserve">ter </w:t>
      </w:r>
      <w:r w:rsidR="0095124F" w:rsidRPr="00FC6D62">
        <w:rPr>
          <w:rFonts w:eastAsia="Calibri" w:cstheme="minorHAnsi"/>
          <w:sz w:val="24"/>
          <w:szCs w:val="24"/>
        </w:rPr>
        <w:t>iluzoryczny, m.in.</w:t>
      </w:r>
      <w:r w:rsidRPr="00FC6D62">
        <w:rPr>
          <w:rFonts w:eastAsia="Calibri" w:cstheme="minorHAnsi"/>
          <w:sz w:val="24"/>
          <w:szCs w:val="24"/>
        </w:rPr>
        <w:t xml:space="preserve"> takich jak kryterium terminu realizacji w </w:t>
      </w:r>
      <w:r w:rsidR="0095124F" w:rsidRPr="00FC6D62">
        <w:rPr>
          <w:rFonts w:eastAsia="Calibri" w:cstheme="minorHAnsi"/>
          <w:sz w:val="24"/>
          <w:szCs w:val="24"/>
        </w:rPr>
        <w:t>sytuacji,</w:t>
      </w:r>
      <w:r w:rsidRPr="00FC6D62">
        <w:rPr>
          <w:rFonts w:eastAsia="Calibri" w:cstheme="minorHAnsi"/>
          <w:sz w:val="24"/>
          <w:szCs w:val="24"/>
        </w:rPr>
        <w:t xml:space="preserve"> gdy brak jest kar umownej za zwłokę/opóźnienie </w:t>
      </w:r>
      <w:r w:rsidR="0025094C" w:rsidRPr="00FC6D62">
        <w:rPr>
          <w:rFonts w:eastAsia="Calibri" w:cstheme="minorHAnsi"/>
          <w:sz w:val="24"/>
          <w:szCs w:val="24"/>
        </w:rPr>
        <w:t xml:space="preserve">ze strony </w:t>
      </w:r>
      <w:r w:rsidRPr="00FC6D62">
        <w:rPr>
          <w:rFonts w:eastAsia="Calibri" w:cstheme="minorHAnsi"/>
          <w:sz w:val="24"/>
          <w:szCs w:val="24"/>
        </w:rPr>
        <w:t>wykonawcy.</w:t>
      </w:r>
    </w:p>
    <w:p w14:paraId="74DA7AD3" w14:textId="7631784B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Odrzucenie przez zamawiającego ofert przewyższający</w:t>
      </w:r>
      <w:r w:rsidR="0025094C" w:rsidRPr="00FC6D62">
        <w:rPr>
          <w:rFonts w:eastAsia="Calibri" w:cstheme="minorHAnsi"/>
          <w:sz w:val="24"/>
          <w:szCs w:val="24"/>
        </w:rPr>
        <w:t>ch wartość środków, które zostały przeznaczone na realizację z</w:t>
      </w:r>
      <w:r w:rsidRPr="00FC6D62">
        <w:rPr>
          <w:rFonts w:eastAsia="Calibri" w:cstheme="minorHAnsi"/>
          <w:sz w:val="24"/>
          <w:szCs w:val="24"/>
        </w:rPr>
        <w:t>amówienia.</w:t>
      </w:r>
    </w:p>
    <w:p w14:paraId="1772E49F" w14:textId="36264BAA" w:rsidR="00405EC4" w:rsidRPr="00FC6D62" w:rsidRDefault="00405EC4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Wybór oferty wykonawcy, która nie była najkorzystniejszą ofertą w postępowaniu, podczas gdy inne oferty uzyskały więcej punktów w ramach kryteriów oceny ofert i nie mieściły się w budżecie Zamawiającego.</w:t>
      </w:r>
    </w:p>
    <w:p w14:paraId="426DC581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Przekazywanie wybranym wykonawcom określonych informacji dotyczących prowadzonego postępowania, które mogą stawiać ich w uprzywilejowanej pozycji w stosunku do innych wykonawców.</w:t>
      </w:r>
    </w:p>
    <w:p w14:paraId="083EB969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Wyznaczenie nowego terminu na złożenie wyjaśnień/uzupełnień po upływie pierwotnie wyznaczonego terminu. Zamawiający może rozważyć przedłużenie pierwotnie wyznaczonego terminu w trakcie jego biegu na odpowiednio umotywowany wniosek wykonawcy, mając na względzie potrzebę zachowania zasady uczciwej konkurencji i równego traktowania wykonawców.</w:t>
      </w:r>
    </w:p>
    <w:p w14:paraId="695BB8EC" w14:textId="77777777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Uznanie przez zamawiającego ofert, wyjaśnień lub uzupełnień, które wpłynęły do zamawiającego po upływie wyznaczonego terminu lub – w zakresie uzupełnień – także w nieodpowiedniej formie.</w:t>
      </w:r>
    </w:p>
    <w:p w14:paraId="7ED23662" w14:textId="3B238D2F" w:rsidR="007C0C37" w:rsidRPr="00FC6D62" w:rsidRDefault="007C0C37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Wszelkie działania mające na celu modyfikację daty lub godziny wpływu korespondencji do zamawiającego w sytuacji, gdy data lub godzina wpływu warunkuje uwzględnienie pisma wykonawcy.</w:t>
      </w:r>
    </w:p>
    <w:p w14:paraId="41FF5D55" w14:textId="1A7AD09C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Przygotowanie dokumentacji zamówienia w oparciu o konkretny produkt lub dostawcę.</w:t>
      </w:r>
    </w:p>
    <w:p w14:paraId="44CFA6F1" w14:textId="74A1AE43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lastRenderedPageBreak/>
        <w:t>Skracanie terminów składania ofert celem uniemożliwienia lub utrudnienia złożenia ofert przez innych wykonawców.</w:t>
      </w:r>
    </w:p>
    <w:p w14:paraId="33874A22" w14:textId="79A72604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Ustalanie terminów realizacji zamówienia niemożliwe do realizacji dla potencjalnego wykonawcy a następnie aneksowanie umowy w oparciu o niejasne zapisy dotyczące terminów realizacji.</w:t>
      </w:r>
    </w:p>
    <w:p w14:paraId="0B79C820" w14:textId="1C6A5407" w:rsidR="001D09F0" w:rsidRPr="00FC6D62" w:rsidRDefault="001D09F0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Niepublikowanie wzoru umowy.</w:t>
      </w:r>
    </w:p>
    <w:p w14:paraId="5C481FF9" w14:textId="28265D66" w:rsidR="00577EB3" w:rsidRPr="00FC6D62" w:rsidRDefault="00577EB3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 xml:space="preserve">Sporządzenie aneksu do umowy wydłużającego termin realizacji zamówienia, w </w:t>
      </w:r>
      <w:r w:rsidR="0095124F" w:rsidRPr="00FC6D62">
        <w:rPr>
          <w:rFonts w:eastAsia="Calibri" w:cstheme="minorHAnsi"/>
          <w:sz w:val="24"/>
          <w:szCs w:val="24"/>
        </w:rPr>
        <w:t>sytuacji,</w:t>
      </w:r>
      <w:r w:rsidRPr="00FC6D62">
        <w:rPr>
          <w:rFonts w:eastAsia="Calibri" w:cstheme="minorHAnsi"/>
          <w:sz w:val="24"/>
          <w:szCs w:val="24"/>
        </w:rPr>
        <w:t xml:space="preserve"> gdy przesłanka i warunki wydłużenia terminu nie zostały wprost określone w treści wzoru umowy a termin realizacji był kryterium punktowanym w ramach kryteriów oceny ofert.</w:t>
      </w:r>
    </w:p>
    <w:p w14:paraId="4126E254" w14:textId="77777777" w:rsidR="00C07D05" w:rsidRPr="00FC6D62" w:rsidRDefault="00C07D05" w:rsidP="0075766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Profilowanie opisu przedmiotu zamówienia pod konkretną technologię/produkt lub producenta/dostawcę.</w:t>
      </w:r>
    </w:p>
    <w:p w14:paraId="29A159D6" w14:textId="5482015B" w:rsidR="00C07D05" w:rsidRPr="00FC6D62" w:rsidRDefault="00C07D05" w:rsidP="0075766E">
      <w:pPr>
        <w:numPr>
          <w:ilvl w:val="0"/>
          <w:numId w:val="2"/>
        </w:numPr>
        <w:tabs>
          <w:tab w:val="left" w:pos="426"/>
        </w:tabs>
        <w:spacing w:after="600" w:line="360" w:lineRule="auto"/>
        <w:ind w:left="357" w:hanging="357"/>
        <w:rPr>
          <w:rFonts w:eastAsia="Calibri" w:cstheme="minorHAnsi"/>
          <w:sz w:val="24"/>
          <w:szCs w:val="24"/>
        </w:rPr>
      </w:pPr>
      <w:r w:rsidRPr="00FC6D62">
        <w:rPr>
          <w:rFonts w:eastAsia="Calibri" w:cstheme="minorHAnsi"/>
          <w:sz w:val="24"/>
          <w:szCs w:val="24"/>
        </w:rPr>
        <w:t>Nieuzasadnione stosowanie wyłączeń ustawowych.</w:t>
      </w:r>
    </w:p>
    <w:p w14:paraId="6A367185" w14:textId="4349F999" w:rsidR="000C47F8" w:rsidRPr="00FC6D62" w:rsidRDefault="00AB33AB" w:rsidP="00684913">
      <w:pPr>
        <w:pStyle w:val="Nagwek1"/>
        <w:rPr>
          <w:rFonts w:eastAsia="MS Mincho" w:cstheme="minorHAnsi"/>
          <w:b w:val="0"/>
          <w:szCs w:val="24"/>
          <w:lang w:eastAsia="ja-JP"/>
        </w:rPr>
      </w:pPr>
      <w:bookmarkStart w:id="10" w:name="_Toc169702713"/>
      <w:r w:rsidRPr="00FC6D62">
        <w:rPr>
          <w:rFonts w:eastAsia="MS Mincho" w:cstheme="minorHAnsi"/>
          <w:szCs w:val="24"/>
          <w:lang w:eastAsia="ja-JP"/>
        </w:rPr>
        <w:t xml:space="preserve">3. </w:t>
      </w:r>
      <w:r w:rsidR="000C47F8" w:rsidRPr="00FC6D62">
        <w:rPr>
          <w:rFonts w:eastAsia="MS Mincho" w:cstheme="minorHAnsi"/>
          <w:szCs w:val="24"/>
          <w:lang w:eastAsia="ja-JP"/>
        </w:rPr>
        <w:t>Zestawienie regulacji w za</w:t>
      </w:r>
      <w:r w:rsidR="009E4385" w:rsidRPr="00FC6D62">
        <w:rPr>
          <w:rFonts w:eastAsia="MS Mincho" w:cstheme="minorHAnsi"/>
          <w:szCs w:val="24"/>
          <w:lang w:eastAsia="ja-JP"/>
        </w:rPr>
        <w:t xml:space="preserve">kresie zasady konkurencyjności </w:t>
      </w:r>
      <w:r w:rsidR="000C47F8" w:rsidRPr="00FC6D62">
        <w:rPr>
          <w:rFonts w:eastAsia="MS Mincho" w:cstheme="minorHAnsi"/>
          <w:szCs w:val="24"/>
          <w:lang w:eastAsia="ja-JP"/>
        </w:rPr>
        <w:t>w</w:t>
      </w:r>
      <w:r w:rsidR="0075766E">
        <w:rPr>
          <w:rFonts w:eastAsia="MS Mincho" w:cstheme="minorHAnsi"/>
          <w:szCs w:val="24"/>
          <w:lang w:eastAsia="ja-JP"/>
        </w:rPr>
        <w:t xml:space="preserve"> </w:t>
      </w:r>
      <w:r w:rsidR="000C47F8" w:rsidRPr="00FC6D62">
        <w:rPr>
          <w:rFonts w:eastAsia="MS Mincho" w:cstheme="minorHAnsi"/>
          <w:szCs w:val="24"/>
          <w:lang w:eastAsia="ja-JP"/>
        </w:rPr>
        <w:t>odniesieniu do konieczności stosowania przez zamawiającego określonej ścieżki postępowania</w:t>
      </w:r>
      <w:bookmarkEnd w:id="9"/>
      <w:bookmarkEnd w:id="10"/>
    </w:p>
    <w:p w14:paraId="3952CBA5" w14:textId="09267811" w:rsidR="000C47F8" w:rsidRPr="00FC6D62" w:rsidRDefault="000C47F8" w:rsidP="00FC6D62">
      <w:pPr>
        <w:spacing w:before="120" w:after="120" w:line="360" w:lineRule="auto"/>
        <w:rPr>
          <w:rFonts w:eastAsia="MS Mincho" w:cstheme="minorHAnsi"/>
          <w:i/>
          <w:sz w:val="24"/>
          <w:szCs w:val="24"/>
          <w:lang w:eastAsia="ja-JP"/>
        </w:rPr>
      </w:pPr>
      <w:r w:rsidRPr="00FC6D62">
        <w:rPr>
          <w:rFonts w:eastAsia="MS Mincho" w:cstheme="minorHAnsi"/>
          <w:sz w:val="24"/>
          <w:szCs w:val="24"/>
          <w:lang w:eastAsia="ja-JP"/>
        </w:rPr>
        <w:t xml:space="preserve">Poniższe zestawienie zostało opracowane na podstawie informacji zawartych w niniejszym załączniku </w:t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1965"/>
        <w:gridCol w:w="2337"/>
        <w:gridCol w:w="2634"/>
        <w:gridCol w:w="2925"/>
      </w:tblGrid>
      <w:tr w:rsidR="000C47F8" w:rsidRPr="00FC6D62" w14:paraId="0A069939" w14:textId="77777777" w:rsidTr="007E62E8">
        <w:trPr>
          <w:trHeight w:val="235"/>
        </w:trPr>
        <w:tc>
          <w:tcPr>
            <w:tcW w:w="2694" w:type="dxa"/>
            <w:vMerge w:val="restart"/>
            <w:vAlign w:val="center"/>
          </w:tcPr>
          <w:p w14:paraId="385B3A94" w14:textId="77777777" w:rsidR="000C47F8" w:rsidRPr="00FC6D62" w:rsidRDefault="000C47F8" w:rsidP="00BC3193">
            <w:pPr>
              <w:spacing w:before="120" w:after="120" w:line="276" w:lineRule="auto"/>
              <w:ind w:left="64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Wartość zamówienia</w:t>
            </w:r>
          </w:p>
        </w:tc>
        <w:tc>
          <w:tcPr>
            <w:tcW w:w="11198" w:type="dxa"/>
            <w:gridSpan w:val="3"/>
            <w:vAlign w:val="center"/>
          </w:tcPr>
          <w:p w14:paraId="1EE31E1A" w14:textId="77777777" w:rsidR="000C47F8" w:rsidRPr="00FC6D62" w:rsidRDefault="000C47F8" w:rsidP="00BC3193">
            <w:pPr>
              <w:spacing w:before="120" w:after="120" w:line="276" w:lineRule="auto"/>
              <w:jc w:val="center"/>
              <w:rPr>
                <w:rFonts w:eastAsia="MS Mincho" w:cstheme="minorHAnsi"/>
                <w:b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b/>
                <w:bCs/>
                <w:sz w:val="24"/>
                <w:szCs w:val="24"/>
                <w:lang w:eastAsia="ja-JP"/>
              </w:rPr>
              <w:t>Regulacja w zakresie zasady uczciwej konkurencji</w:t>
            </w:r>
          </w:p>
        </w:tc>
      </w:tr>
      <w:tr w:rsidR="000C47F8" w:rsidRPr="00FC6D62" w14:paraId="5F328D1D" w14:textId="77777777" w:rsidTr="007E62E8">
        <w:trPr>
          <w:trHeight w:val="934"/>
        </w:trPr>
        <w:tc>
          <w:tcPr>
            <w:tcW w:w="2694" w:type="dxa"/>
            <w:vMerge/>
            <w:vAlign w:val="center"/>
          </w:tcPr>
          <w:p w14:paraId="3A30E803" w14:textId="77777777" w:rsidR="000C47F8" w:rsidRPr="00FC6D62" w:rsidRDefault="000C47F8" w:rsidP="00BC3193">
            <w:pPr>
              <w:spacing w:before="120" w:after="120" w:line="276" w:lineRule="auto"/>
              <w:ind w:left="403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14:paraId="01419FCC" w14:textId="77777777" w:rsidR="000C47F8" w:rsidRPr="00FC6D62" w:rsidRDefault="000C47F8" w:rsidP="00BC3193">
            <w:pPr>
              <w:spacing w:before="120" w:after="120" w:line="276" w:lineRule="auto"/>
              <w:ind w:left="36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Zamawiający zobligowani do stosowania Pzp (zgodnie z zapisami Pzp)</w:t>
            </w:r>
          </w:p>
        </w:tc>
        <w:tc>
          <w:tcPr>
            <w:tcW w:w="3543" w:type="dxa"/>
            <w:vAlign w:val="center"/>
          </w:tcPr>
          <w:p w14:paraId="4D9C0D61" w14:textId="3FF8EE61" w:rsidR="000C47F8" w:rsidRPr="00FC6D62" w:rsidRDefault="000C47F8" w:rsidP="00BC3193">
            <w:pPr>
              <w:spacing w:before="120" w:after="120" w:line="276" w:lineRule="auto"/>
              <w:ind w:left="21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Zamawiający zobowiązani do przestrz</w:t>
            </w:r>
            <w:r w:rsidR="00A91A7B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egania zasady </w:t>
            </w:r>
            <w:r w:rsidR="0095124F" w:rsidRPr="00FC6D62">
              <w:rPr>
                <w:rFonts w:eastAsia="MS Mincho" w:cstheme="minorHAnsi"/>
                <w:sz w:val="24"/>
                <w:szCs w:val="24"/>
                <w:lang w:eastAsia="ja-JP"/>
              </w:rPr>
              <w:t>konkurencyjności,</w:t>
            </w:r>
            <w:r w:rsidR="00A91A7B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o której mowa w sekcji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253" w:type="dxa"/>
            <w:vAlign w:val="center"/>
          </w:tcPr>
          <w:p w14:paraId="76BA2BE3" w14:textId="7E6B0E62" w:rsidR="000C47F8" w:rsidRPr="00FC6D62" w:rsidRDefault="000C47F8" w:rsidP="00BC3193">
            <w:pPr>
              <w:spacing w:before="120" w:after="120" w:line="276" w:lineRule="auto"/>
              <w:ind w:left="17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Zamawiający niezobowiązani do stosowania Pzp lub zasady konkurencyjności, o której mowa w s</w:t>
            </w:r>
            <w:r w:rsidR="00A91A7B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ekcji 1.2 </w:t>
            </w:r>
          </w:p>
        </w:tc>
      </w:tr>
      <w:tr w:rsidR="000C47F8" w:rsidRPr="00FC6D62" w14:paraId="45AE1236" w14:textId="77777777" w:rsidTr="007E62E8">
        <w:trPr>
          <w:trHeight w:val="70"/>
        </w:trPr>
        <w:tc>
          <w:tcPr>
            <w:tcW w:w="2694" w:type="dxa"/>
            <w:vAlign w:val="center"/>
          </w:tcPr>
          <w:p w14:paraId="315C6FDF" w14:textId="77777777" w:rsidR="000C47F8" w:rsidRPr="00FC6D62" w:rsidRDefault="000C47F8" w:rsidP="00BC3193">
            <w:pPr>
              <w:spacing w:before="120" w:after="120" w:line="276" w:lineRule="auto"/>
              <w:ind w:left="64"/>
              <w:jc w:val="center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402" w:type="dxa"/>
            <w:vAlign w:val="center"/>
          </w:tcPr>
          <w:p w14:paraId="423C8BCA" w14:textId="77777777" w:rsidR="000C47F8" w:rsidRPr="00FC6D62" w:rsidRDefault="000C47F8" w:rsidP="00BC3193">
            <w:pPr>
              <w:spacing w:before="120" w:after="120" w:line="276" w:lineRule="auto"/>
              <w:jc w:val="center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543" w:type="dxa"/>
            <w:vAlign w:val="center"/>
          </w:tcPr>
          <w:p w14:paraId="27CB8CB1" w14:textId="77777777" w:rsidR="000C47F8" w:rsidRPr="00FC6D62" w:rsidRDefault="000C47F8" w:rsidP="00BC3193">
            <w:pPr>
              <w:spacing w:before="120" w:after="120" w:line="276" w:lineRule="auto"/>
              <w:ind w:left="55"/>
              <w:jc w:val="center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4253" w:type="dxa"/>
            <w:vAlign w:val="center"/>
          </w:tcPr>
          <w:p w14:paraId="46E120A4" w14:textId="77777777" w:rsidR="000C47F8" w:rsidRPr="00FC6D62" w:rsidRDefault="000C47F8" w:rsidP="00BC3193">
            <w:pPr>
              <w:spacing w:before="120" w:after="120" w:line="276" w:lineRule="auto"/>
              <w:ind w:left="51"/>
              <w:jc w:val="center"/>
              <w:rPr>
                <w:rFonts w:eastAsia="MS Mincho" w:cstheme="minorHAnsi"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4</w:t>
            </w:r>
          </w:p>
        </w:tc>
      </w:tr>
      <w:tr w:rsidR="000C47F8" w:rsidRPr="00FC6D62" w14:paraId="14A3AF14" w14:textId="77777777" w:rsidTr="007E62E8">
        <w:tc>
          <w:tcPr>
            <w:tcW w:w="2694" w:type="dxa"/>
            <w:vAlign w:val="center"/>
          </w:tcPr>
          <w:p w14:paraId="41FD8B44" w14:textId="57AE58C0" w:rsidR="000C47F8" w:rsidRPr="00FC6D62" w:rsidRDefault="00447FE0" w:rsidP="00BC3193">
            <w:pPr>
              <w:spacing w:before="120" w:after="120" w:line="276" w:lineRule="auto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Do</w:t>
            </w:r>
            <w:r w:rsidR="000C47F8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- </w:t>
            </w:r>
            <w:r w:rsidR="00464820">
              <w:rPr>
                <w:rFonts w:eastAsia="MS Mincho" w:cstheme="minorHAnsi"/>
                <w:sz w:val="24"/>
                <w:szCs w:val="24"/>
                <w:lang w:eastAsia="ja-JP"/>
              </w:rPr>
              <w:t>8</w:t>
            </w:r>
            <w:r w:rsidR="000C47F8" w:rsidRPr="00FC6D62">
              <w:rPr>
                <w:rFonts w:eastAsia="MS Mincho" w:cstheme="minorHAnsi"/>
                <w:sz w:val="24"/>
                <w:szCs w:val="24"/>
                <w:lang w:eastAsia="ja-JP"/>
              </w:rPr>
              <w:t>0 tys. zł netto włącznie</w:t>
            </w:r>
          </w:p>
        </w:tc>
        <w:tc>
          <w:tcPr>
            <w:tcW w:w="3402" w:type="dxa"/>
            <w:vAlign w:val="center"/>
          </w:tcPr>
          <w:p w14:paraId="36D48DE4" w14:textId="1E20AC13" w:rsidR="000C47F8" w:rsidRPr="00FC6D62" w:rsidRDefault="00447FE0" w:rsidP="00BC3193">
            <w:pPr>
              <w:spacing w:before="120" w:after="120" w:line="276" w:lineRule="auto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3543" w:type="dxa"/>
            <w:vAlign w:val="center"/>
          </w:tcPr>
          <w:p w14:paraId="135423AC" w14:textId="16B074F9" w:rsidR="000C47F8" w:rsidRPr="00FC6D62" w:rsidRDefault="00447FE0" w:rsidP="00BC3193">
            <w:pPr>
              <w:spacing w:before="120" w:after="120" w:line="276" w:lineRule="auto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4253" w:type="dxa"/>
            <w:vAlign w:val="center"/>
          </w:tcPr>
          <w:p w14:paraId="1DE927AC" w14:textId="573DD288" w:rsidR="000C47F8" w:rsidRPr="00FC6D62" w:rsidRDefault="00447FE0" w:rsidP="00BC3193">
            <w:pPr>
              <w:spacing w:before="120" w:after="120" w:line="276" w:lineRule="auto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Własne wewnętrzne uregulowania określające zasady dokonywania zakupu towarów, usług oraz robót budowlanych.</w:t>
            </w:r>
            <w:r w:rsidR="00FF7E48"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Koszty w ramach Przedsięwzięcia muszą być </w:t>
            </w:r>
            <w:r w:rsidR="00FF7E48" w:rsidRPr="00FC6D62">
              <w:rPr>
                <w:rFonts w:eastAsia="MS Mincho" w:cstheme="minorHAnsi"/>
                <w:sz w:val="24"/>
                <w:szCs w:val="24"/>
                <w:lang w:eastAsia="ja-JP"/>
              </w:rPr>
              <w:lastRenderedPageBreak/>
              <w:t>ponoszone w sposób przejrzysty, racjonalny i efektywny.</w:t>
            </w:r>
          </w:p>
        </w:tc>
      </w:tr>
      <w:tr w:rsidR="000C47F8" w:rsidRPr="00FC6D62" w14:paraId="69219D1D" w14:textId="77777777" w:rsidTr="007E62E8">
        <w:trPr>
          <w:trHeight w:val="944"/>
        </w:trPr>
        <w:tc>
          <w:tcPr>
            <w:tcW w:w="2694" w:type="dxa"/>
            <w:vAlign w:val="center"/>
          </w:tcPr>
          <w:p w14:paraId="66805194" w14:textId="3CB92440" w:rsidR="000C47F8" w:rsidRPr="00FC6D62" w:rsidRDefault="000C47F8" w:rsidP="00BC3193">
            <w:pPr>
              <w:spacing w:before="120" w:after="120" w:line="276" w:lineRule="auto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lastRenderedPageBreak/>
              <w:t xml:space="preserve">Powyżej </w:t>
            </w:r>
            <w:r w:rsidR="00464820">
              <w:rPr>
                <w:rFonts w:eastAsia="MS Mincho" w:cstheme="minorHAnsi"/>
                <w:sz w:val="24"/>
                <w:szCs w:val="24"/>
                <w:lang w:eastAsia="ja-JP"/>
              </w:rPr>
              <w:t>8</w:t>
            </w: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0 tys. zł netto – do kwoty 1</w:t>
            </w:r>
            <w:r w:rsidR="00936DD1">
              <w:rPr>
                <w:rFonts w:eastAsia="MS Mincho" w:cstheme="minorHAnsi"/>
                <w:sz w:val="24"/>
                <w:szCs w:val="24"/>
                <w:lang w:eastAsia="ja-JP"/>
              </w:rPr>
              <w:t>7</w:t>
            </w: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0 tys. zł netto</w:t>
            </w:r>
          </w:p>
        </w:tc>
        <w:tc>
          <w:tcPr>
            <w:tcW w:w="3402" w:type="dxa"/>
            <w:vAlign w:val="center"/>
          </w:tcPr>
          <w:p w14:paraId="63C68743" w14:textId="2639011B" w:rsidR="000C47F8" w:rsidRPr="00FC6D62" w:rsidRDefault="00A91A7B" w:rsidP="00BC3193">
            <w:pPr>
              <w:spacing w:before="120" w:after="120" w:line="276" w:lineRule="auto"/>
              <w:jc w:val="center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Sekcja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543" w:type="dxa"/>
            <w:vAlign w:val="center"/>
          </w:tcPr>
          <w:p w14:paraId="523FEFC7" w14:textId="73EC342F" w:rsidR="000C47F8" w:rsidRPr="00FC6D62" w:rsidRDefault="00A91A7B" w:rsidP="00BC3193">
            <w:pPr>
              <w:spacing w:before="120" w:after="120" w:line="276" w:lineRule="auto"/>
              <w:jc w:val="center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Sekcja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253" w:type="dxa"/>
            <w:vAlign w:val="center"/>
          </w:tcPr>
          <w:p w14:paraId="79DE8858" w14:textId="59821B3C" w:rsidR="000C47F8" w:rsidRPr="00FC6D62" w:rsidRDefault="00FF7E48" w:rsidP="00BC3193">
            <w:pPr>
              <w:spacing w:before="120" w:after="120" w:line="276" w:lineRule="auto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Własne wewnętrzne uregulowania określające zasady dokonywania zakupu towarów, usług oraz robót budowlanych. Koszty w ramach Przedsięwzięcia muszą być ponoszone w sposób przejrzysty, racjonalny i efektywny. </w:t>
            </w:r>
          </w:p>
        </w:tc>
      </w:tr>
      <w:tr w:rsidR="000C47F8" w:rsidRPr="00FC6D62" w14:paraId="281C4866" w14:textId="77777777" w:rsidTr="007E62E8">
        <w:tc>
          <w:tcPr>
            <w:tcW w:w="2694" w:type="dxa"/>
            <w:vAlign w:val="center"/>
          </w:tcPr>
          <w:p w14:paraId="49955932" w14:textId="672B8A6A" w:rsidR="000C47F8" w:rsidRPr="00FC6D62" w:rsidRDefault="000C47F8" w:rsidP="00BC3193">
            <w:pPr>
              <w:spacing w:before="120" w:after="120" w:line="276" w:lineRule="auto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Od 1</w:t>
            </w:r>
            <w:r w:rsidR="00936DD1">
              <w:rPr>
                <w:rFonts w:eastAsia="MS Mincho" w:cstheme="minorHAnsi"/>
                <w:sz w:val="24"/>
                <w:szCs w:val="24"/>
                <w:lang w:eastAsia="ja-JP"/>
              </w:rPr>
              <w:t>7</w:t>
            </w: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0 tys. zł netto włącznie</w:t>
            </w:r>
          </w:p>
        </w:tc>
        <w:tc>
          <w:tcPr>
            <w:tcW w:w="3402" w:type="dxa"/>
            <w:vAlign w:val="center"/>
          </w:tcPr>
          <w:p w14:paraId="018BB014" w14:textId="77777777" w:rsidR="000C47F8" w:rsidRPr="00FC6D62" w:rsidRDefault="000C47F8" w:rsidP="00BC3193">
            <w:pPr>
              <w:spacing w:before="120" w:after="120" w:line="276" w:lineRule="auto"/>
              <w:jc w:val="center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Pzp</w:t>
            </w:r>
          </w:p>
        </w:tc>
        <w:tc>
          <w:tcPr>
            <w:tcW w:w="3543" w:type="dxa"/>
            <w:vAlign w:val="center"/>
          </w:tcPr>
          <w:p w14:paraId="66EEABBB" w14:textId="0F70A08F" w:rsidR="000C47F8" w:rsidRPr="00FC6D62" w:rsidRDefault="00A91A7B" w:rsidP="00BC3193">
            <w:pPr>
              <w:spacing w:before="120" w:after="120" w:line="276" w:lineRule="auto"/>
              <w:jc w:val="center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>Sekcja 1.</w:t>
            </w:r>
            <w:r w:rsidR="00447FE0" w:rsidRPr="00FC6D62">
              <w:rPr>
                <w:rFonts w:eastAsia="MS Mincho" w:cstheme="minorHAnsi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253" w:type="dxa"/>
            <w:vAlign w:val="center"/>
          </w:tcPr>
          <w:p w14:paraId="6D3F152D" w14:textId="6C978BCE" w:rsidR="000C47F8" w:rsidRPr="00FC6D62" w:rsidRDefault="00FF7E48" w:rsidP="00BC3193">
            <w:pPr>
              <w:spacing w:before="120" w:after="120" w:line="276" w:lineRule="auto"/>
              <w:rPr>
                <w:rFonts w:eastAsia="MS Mincho" w:cstheme="minorHAnsi"/>
                <w:i/>
                <w:sz w:val="24"/>
                <w:szCs w:val="24"/>
                <w:lang w:eastAsia="ja-JP"/>
              </w:rPr>
            </w:pPr>
            <w:r w:rsidRPr="00FC6D62">
              <w:rPr>
                <w:rFonts w:eastAsia="MS Mincho" w:cstheme="minorHAnsi"/>
                <w:sz w:val="24"/>
                <w:szCs w:val="24"/>
                <w:lang w:eastAsia="ja-JP"/>
              </w:rPr>
              <w:t xml:space="preserve">Własne wewnętrzne uregulowania określające zasady dokonywania zakupu towarów, usług oraz robót budowlanych. Koszty w ramach Przedsięwzięcia muszą być ponoszone w sposób przejrzysty, racjonalny i efektywny. </w:t>
            </w:r>
          </w:p>
        </w:tc>
      </w:tr>
    </w:tbl>
    <w:p w14:paraId="4CDF20EC" w14:textId="1E141131" w:rsidR="00D24E7A" w:rsidRPr="005B065F" w:rsidRDefault="00D24E7A" w:rsidP="00FC6D62">
      <w:pPr>
        <w:spacing w:before="120" w:after="120" w:line="360" w:lineRule="auto"/>
        <w:rPr>
          <w:rFonts w:eastAsia="MS Mincho" w:cstheme="minorHAnsi"/>
          <w:sz w:val="24"/>
          <w:szCs w:val="24"/>
          <w:lang w:eastAsia="ja-JP"/>
        </w:rPr>
      </w:pPr>
    </w:p>
    <w:sectPr w:rsidR="00D24E7A" w:rsidRPr="005B065F" w:rsidSect="001834A1">
      <w:headerReference w:type="default" r:id="rId9"/>
      <w:footerReference w:type="default" r:id="rId10"/>
      <w:pgSz w:w="11906" w:h="16838"/>
      <w:pgMar w:top="1554" w:right="1247" w:bottom="1418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0512" w14:textId="77777777" w:rsidR="00356208" w:rsidRPr="00FC6D62" w:rsidRDefault="00356208" w:rsidP="004A3775">
      <w:pPr>
        <w:spacing w:after="0" w:line="240" w:lineRule="auto"/>
      </w:pPr>
      <w:r w:rsidRPr="00FC6D62">
        <w:separator/>
      </w:r>
    </w:p>
  </w:endnote>
  <w:endnote w:type="continuationSeparator" w:id="0">
    <w:p w14:paraId="27263062" w14:textId="77777777" w:rsidR="00356208" w:rsidRPr="00FC6D62" w:rsidRDefault="00356208" w:rsidP="004A3775">
      <w:pPr>
        <w:spacing w:after="0" w:line="240" w:lineRule="auto"/>
      </w:pPr>
      <w:r w:rsidRPr="00FC6D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2824502"/>
      <w:docPartObj>
        <w:docPartGallery w:val="Page Numbers (Bottom of Page)"/>
        <w:docPartUnique/>
      </w:docPartObj>
    </w:sdtPr>
    <w:sdtEndPr/>
    <w:sdtContent>
      <w:p w14:paraId="51E16BCE" w14:textId="4B3DF2FE" w:rsidR="000D4C28" w:rsidRPr="00FC6D62" w:rsidRDefault="000D4C28">
        <w:pPr>
          <w:pStyle w:val="Stopka"/>
          <w:jc w:val="right"/>
        </w:pPr>
        <w:r w:rsidRPr="00FC6D62">
          <w:fldChar w:fldCharType="begin"/>
        </w:r>
        <w:r w:rsidRPr="00FC6D62">
          <w:instrText>PAGE   \* MERGEFORMAT</w:instrText>
        </w:r>
        <w:r w:rsidRPr="00FC6D62">
          <w:fldChar w:fldCharType="separate"/>
        </w:r>
        <w:r w:rsidR="00664ED4" w:rsidRPr="00FC6D62">
          <w:t>13</w:t>
        </w:r>
        <w:r w:rsidRPr="00FC6D6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2478" w14:textId="77777777" w:rsidR="00356208" w:rsidRPr="00FC6D62" w:rsidRDefault="00356208" w:rsidP="004A3775">
      <w:pPr>
        <w:spacing w:after="0" w:line="240" w:lineRule="auto"/>
      </w:pPr>
      <w:r w:rsidRPr="00FC6D62">
        <w:separator/>
      </w:r>
    </w:p>
  </w:footnote>
  <w:footnote w:type="continuationSeparator" w:id="0">
    <w:p w14:paraId="03C2FEF7" w14:textId="77777777" w:rsidR="00356208" w:rsidRPr="00FC6D62" w:rsidRDefault="00356208" w:rsidP="004A3775">
      <w:pPr>
        <w:spacing w:after="0" w:line="240" w:lineRule="auto"/>
      </w:pPr>
      <w:r w:rsidRPr="00FC6D62">
        <w:continuationSeparator/>
      </w:r>
    </w:p>
  </w:footnote>
  <w:footnote w:id="1">
    <w:p w14:paraId="472D7534" w14:textId="00044696" w:rsidR="000D4C28" w:rsidRPr="001834A1" w:rsidRDefault="000D4C28" w:rsidP="009008E3">
      <w:pPr>
        <w:pStyle w:val="Tekstprzypisudolnego"/>
        <w:rPr>
          <w:rFonts w:cstheme="minorHAnsi"/>
          <w:sz w:val="22"/>
          <w:szCs w:val="22"/>
        </w:rPr>
      </w:pPr>
      <w:r w:rsidRPr="001834A1">
        <w:rPr>
          <w:rStyle w:val="Odwoanieprzypisudolnego"/>
          <w:rFonts w:cstheme="minorHAnsi"/>
          <w:sz w:val="22"/>
          <w:szCs w:val="22"/>
        </w:rPr>
        <w:footnoteRef/>
      </w:r>
      <w:r w:rsidRPr="001834A1">
        <w:rPr>
          <w:rFonts w:cstheme="minorHAnsi"/>
          <w:sz w:val="22"/>
          <w:szCs w:val="22"/>
        </w:rPr>
        <w:t xml:space="preserve"> Określone w sekcji 1</w:t>
      </w:r>
      <w:r w:rsidR="00543235" w:rsidRPr="001834A1">
        <w:rPr>
          <w:rFonts w:cstheme="minorHAnsi"/>
          <w:sz w:val="22"/>
          <w:szCs w:val="22"/>
        </w:rPr>
        <w:t xml:space="preserve"> </w:t>
      </w:r>
      <w:r w:rsidRPr="001834A1">
        <w:rPr>
          <w:rFonts w:cstheme="minorHAnsi"/>
          <w:sz w:val="22"/>
          <w:szCs w:val="22"/>
        </w:rPr>
        <w:t>pkt 7 i 8 przesłanki umożliwiające niestosowanie procedur należy interpretować biorąc pod uwagę wykładnię odpowiednich przepisów Pzp umożliwiających zastosowanie trybu niekonkurencyjnego po spełnieniu określonych warunków.</w:t>
      </w:r>
    </w:p>
  </w:footnote>
  <w:footnote w:id="2">
    <w:p w14:paraId="66B7D75D" w14:textId="2543B097" w:rsidR="000D4C28" w:rsidRPr="005A668C" w:rsidRDefault="000D4C28" w:rsidP="00522F3E">
      <w:pPr>
        <w:pStyle w:val="Tekstprzypisudolnego"/>
        <w:spacing w:line="276" w:lineRule="auto"/>
        <w:rPr>
          <w:rFonts w:cstheme="minorHAnsi"/>
          <w:sz w:val="22"/>
          <w:szCs w:val="22"/>
        </w:rPr>
      </w:pPr>
      <w:r w:rsidRPr="005A668C">
        <w:rPr>
          <w:rStyle w:val="Odwoanieprzypisudolnego"/>
          <w:rFonts w:cstheme="minorHAnsi"/>
          <w:sz w:val="22"/>
          <w:szCs w:val="22"/>
        </w:rPr>
        <w:footnoteRef/>
      </w:r>
      <w:r w:rsidRPr="005A668C">
        <w:rPr>
          <w:rFonts w:cstheme="minorHAnsi"/>
          <w:sz w:val="22"/>
          <w:szCs w:val="22"/>
        </w:rPr>
        <w:t>Wskazane przesłanki należy interpretować zgodnie z wykładnią przepisów Pzp dotyczących szacowania wartości zamówienia.</w:t>
      </w:r>
    </w:p>
  </w:footnote>
  <w:footnote w:id="3">
    <w:p w14:paraId="219447E5" w14:textId="30DA4934" w:rsidR="000D4C28" w:rsidRPr="005A668C" w:rsidRDefault="000D4C28" w:rsidP="00522F3E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5A668C">
        <w:rPr>
          <w:rStyle w:val="Odwoanieprzypisudolnego"/>
          <w:rFonts w:cstheme="minorHAnsi"/>
          <w:sz w:val="22"/>
          <w:szCs w:val="22"/>
        </w:rPr>
        <w:footnoteRef/>
      </w:r>
      <w:r w:rsidRPr="005A668C">
        <w:rPr>
          <w:rFonts w:cstheme="minorHAnsi"/>
          <w:sz w:val="22"/>
          <w:szCs w:val="22"/>
        </w:rPr>
        <w:t>Np. w przypadku Przedsięwzięć dotyczących organizacji misji gospodarczych i targów wartość zamówienia na usługi hotelowe czy dostawę biletów lotniczych szacuje się ze względu na specyfikę tych Przedsięwzięć co do zasady odrębnie dla każdego wydarzenia.</w:t>
      </w:r>
    </w:p>
  </w:footnote>
  <w:footnote w:id="4">
    <w:p w14:paraId="2D092A8A" w14:textId="41371A25" w:rsidR="000D4C28" w:rsidRPr="00FC6D62" w:rsidRDefault="000D4C28" w:rsidP="00522F3E">
      <w:pPr>
        <w:pStyle w:val="Tekstprzypisudolnego"/>
        <w:spacing w:line="276" w:lineRule="auto"/>
        <w:rPr>
          <w:rFonts w:cstheme="minorHAnsi"/>
          <w:sz w:val="16"/>
          <w:szCs w:val="16"/>
        </w:rPr>
      </w:pPr>
      <w:r w:rsidRPr="005A668C">
        <w:rPr>
          <w:rStyle w:val="Odwoanieprzypisudolnego"/>
          <w:rFonts w:cstheme="minorHAnsi"/>
          <w:sz w:val="22"/>
          <w:szCs w:val="22"/>
        </w:rPr>
        <w:footnoteRef/>
      </w:r>
      <w:r w:rsidRPr="005A668C">
        <w:rPr>
          <w:rFonts w:cstheme="minorHAnsi"/>
          <w:sz w:val="22"/>
          <w:szCs w:val="22"/>
        </w:rPr>
        <w:t xml:space="preserve">W przypadku podmiotu zobowiązanego do stosowania Pzp – nie dotyczy to zamówień o których mowa w </w:t>
      </w:r>
      <w:r w:rsidRPr="007D1812">
        <w:rPr>
          <w:rFonts w:cstheme="minorHAnsi"/>
          <w:sz w:val="22"/>
          <w:szCs w:val="22"/>
        </w:rPr>
        <w:t>art. 30 ust. 4 Pzp</w:t>
      </w:r>
      <w:r w:rsidRPr="005A668C">
        <w:rPr>
          <w:rFonts w:cstheme="minorHAnsi"/>
          <w:sz w:val="22"/>
          <w:szCs w:val="22"/>
        </w:rPr>
        <w:t>.</w:t>
      </w:r>
    </w:p>
  </w:footnote>
  <w:footnote w:id="5">
    <w:p w14:paraId="2ECC6F39" w14:textId="58E21F81" w:rsidR="000D4C28" w:rsidRPr="0018228A" w:rsidRDefault="000D4C28" w:rsidP="00522F3E">
      <w:pPr>
        <w:pStyle w:val="Tekstprzypisudolnego"/>
        <w:spacing w:line="276" w:lineRule="auto"/>
        <w:rPr>
          <w:rFonts w:cstheme="minorHAnsi"/>
          <w:sz w:val="22"/>
          <w:szCs w:val="22"/>
        </w:rPr>
      </w:pPr>
      <w:r w:rsidRPr="0018228A">
        <w:rPr>
          <w:rStyle w:val="Odwoanieprzypisudolnego"/>
          <w:rFonts w:cstheme="minorHAnsi"/>
          <w:sz w:val="22"/>
          <w:szCs w:val="22"/>
        </w:rPr>
        <w:footnoteRef/>
      </w:r>
      <w:r w:rsidRPr="0018228A">
        <w:rPr>
          <w:rFonts w:cstheme="minorHAnsi"/>
          <w:sz w:val="22"/>
          <w:szCs w:val="22"/>
        </w:rPr>
        <w:t xml:space="preserve"> Wspólny Słownik Zamówień dostępny jest m. in.: pod adresem: </w:t>
      </w:r>
      <w:hyperlink r:id="rId1" w:history="1">
        <w:r w:rsidR="0027539D" w:rsidRPr="0018228A">
          <w:rPr>
            <w:rStyle w:val="Hipercze"/>
            <w:rFonts w:cstheme="minorHAnsi"/>
            <w:sz w:val="22"/>
            <w:szCs w:val="22"/>
          </w:rPr>
          <w:t>http://kody.uzp.gov.pl</w:t>
        </w:r>
      </w:hyperlink>
      <w:r w:rsidR="0027539D" w:rsidRPr="0018228A">
        <w:rPr>
          <w:rFonts w:cstheme="minorHAnsi"/>
          <w:sz w:val="22"/>
          <w:szCs w:val="22"/>
        </w:rPr>
        <w:t xml:space="preserve"> </w:t>
      </w:r>
      <w:r w:rsidRPr="0018228A">
        <w:rPr>
          <w:rFonts w:cstheme="minorHAnsi"/>
          <w:sz w:val="22"/>
          <w:szCs w:val="22"/>
        </w:rPr>
        <w:t>.</w:t>
      </w:r>
    </w:p>
  </w:footnote>
  <w:footnote w:id="6">
    <w:p w14:paraId="0B3F601F" w14:textId="58F319B8" w:rsidR="000D4C28" w:rsidRPr="0018228A" w:rsidRDefault="000D4C28" w:rsidP="00522F3E">
      <w:pPr>
        <w:pStyle w:val="Tekstprzypisudolnego"/>
        <w:spacing w:line="276" w:lineRule="auto"/>
        <w:rPr>
          <w:rFonts w:cstheme="minorHAnsi"/>
          <w:sz w:val="22"/>
          <w:szCs w:val="22"/>
        </w:rPr>
      </w:pPr>
      <w:r w:rsidRPr="0018228A">
        <w:rPr>
          <w:rStyle w:val="Odwoanieprzypisudolnego"/>
          <w:rFonts w:cstheme="minorHAnsi"/>
          <w:sz w:val="22"/>
          <w:szCs w:val="22"/>
        </w:rPr>
        <w:footnoteRef/>
      </w:r>
      <w:r w:rsidRPr="0018228A">
        <w:rPr>
          <w:rFonts w:cstheme="minorHAnsi"/>
          <w:sz w:val="22"/>
          <w:szCs w:val="22"/>
        </w:rPr>
        <w:t xml:space="preserve"> Wykaz usług społecznych i innych szczególnych usług stanowi załącznik XIV do dyrektywy 2014/24/UE z dnia 26 lutego 2014 r. w sprawie zamówień publicznych, uchylającej dyrektywę 2004/18/WE (Dz. Urz. UE L 94 z 28.03.2014, str. 65, z późn. zm.) oraz załącznik XVII dyrektywy 2014/25/UE z dnia 26 lutego 2014 r. w sprawie udzielania zamówień przez podmioty działające w sektorach gospodarki wodnej, energetyki, transportu i usług pocztowych, uchylającej dyrektywę 2004/17/WE (Dz. Urz. UE L 94 z 28.03.2014, str. 243, z późn. zm.).</w:t>
      </w:r>
    </w:p>
  </w:footnote>
  <w:footnote w:id="7">
    <w:p w14:paraId="4B26B3F9" w14:textId="2D73AAE3" w:rsidR="000D4C28" w:rsidRPr="001834A1" w:rsidRDefault="000D4C28" w:rsidP="00FC6D62">
      <w:pPr>
        <w:pStyle w:val="Tekstprzypisudolnego"/>
        <w:spacing w:line="276" w:lineRule="auto"/>
        <w:rPr>
          <w:sz w:val="22"/>
          <w:szCs w:val="22"/>
        </w:rPr>
      </w:pPr>
      <w:r w:rsidRPr="001834A1">
        <w:rPr>
          <w:rStyle w:val="Odwoanieprzypisudolnego"/>
          <w:sz w:val="22"/>
          <w:szCs w:val="22"/>
        </w:rPr>
        <w:footnoteRef/>
      </w:r>
      <w:r w:rsidRPr="001834A1">
        <w:rPr>
          <w:sz w:val="22"/>
          <w:szCs w:val="22"/>
        </w:rPr>
        <w:t xml:space="preserve"> Średni kurs PLN w stosunku do EUR stanowiący podstawę przeliczania wartości zamówień ustala się w oparciu o przepisy art. 3 Pzp.</w:t>
      </w:r>
    </w:p>
  </w:footnote>
  <w:footnote w:id="8">
    <w:p w14:paraId="0D3C6A0F" w14:textId="76AFDA6A" w:rsidR="000D4C28" w:rsidRPr="00FC6D62" w:rsidRDefault="000D4C28" w:rsidP="00FC6D62">
      <w:pPr>
        <w:pStyle w:val="Tekstprzypisudolnego"/>
        <w:spacing w:line="276" w:lineRule="auto"/>
        <w:rPr>
          <w:rFonts w:cstheme="minorHAnsi"/>
          <w:sz w:val="24"/>
          <w:szCs w:val="24"/>
        </w:rPr>
      </w:pPr>
      <w:r w:rsidRPr="001834A1">
        <w:rPr>
          <w:rStyle w:val="Odwoanieprzypisudolnego"/>
          <w:rFonts w:cstheme="minorHAnsi"/>
          <w:sz w:val="22"/>
          <w:szCs w:val="22"/>
        </w:rPr>
        <w:footnoteRef/>
      </w:r>
      <w:r w:rsidRPr="001834A1">
        <w:rPr>
          <w:rFonts w:cstheme="minorHAnsi"/>
          <w:sz w:val="22"/>
          <w:szCs w:val="22"/>
        </w:rPr>
        <w:t xml:space="preserve"> Nie dotyczy podmiotów będących zamawiającymi w rozumieniu </w:t>
      </w:r>
      <w:r w:rsidR="00855E06" w:rsidRPr="001834A1">
        <w:rPr>
          <w:rFonts w:cstheme="minorHAnsi"/>
          <w:sz w:val="22"/>
          <w:szCs w:val="22"/>
        </w:rPr>
        <w:t>PZP</w:t>
      </w:r>
      <w:r w:rsidRPr="001834A1">
        <w:rPr>
          <w:rFonts w:cstheme="minorHAnsi"/>
          <w:sz w:val="22"/>
          <w:szCs w:val="22"/>
        </w:rPr>
        <w:t>.</w:t>
      </w:r>
    </w:p>
  </w:footnote>
  <w:footnote w:id="9">
    <w:p w14:paraId="37AF51C4" w14:textId="29EFCAFD" w:rsidR="000D4C28" w:rsidRPr="003936D2" w:rsidRDefault="000D4C28" w:rsidP="00FC6D62">
      <w:pPr>
        <w:pStyle w:val="Tekstprzypisudolnego"/>
        <w:spacing w:line="276" w:lineRule="auto"/>
        <w:rPr>
          <w:sz w:val="22"/>
          <w:szCs w:val="22"/>
        </w:rPr>
      </w:pPr>
      <w:r w:rsidRPr="003936D2">
        <w:rPr>
          <w:rStyle w:val="Odwoanieprzypisudolnego"/>
          <w:rFonts w:cstheme="minorHAnsi"/>
          <w:sz w:val="22"/>
          <w:szCs w:val="22"/>
        </w:rPr>
        <w:footnoteRef/>
      </w:r>
      <w:r w:rsidRPr="003936D2">
        <w:rPr>
          <w:rFonts w:cstheme="minorHAnsi"/>
          <w:sz w:val="22"/>
          <w:szCs w:val="22"/>
        </w:rPr>
        <w:t xml:space="preserve"> Strona internetowa wskazana w komunikacie ministra właściwego do spraw rozwoju regionalnego, przeznaczona do umieszczania zapytań ofertowych (</w:t>
      </w:r>
      <w:hyperlink r:id="rId2" w:history="1">
        <w:r w:rsidR="00B66DEE" w:rsidRPr="003936D2">
          <w:rPr>
            <w:rStyle w:val="Hipercze"/>
            <w:rFonts w:cstheme="minorHAnsi"/>
            <w:sz w:val="22"/>
            <w:szCs w:val="22"/>
          </w:rPr>
          <w:t>https://bazakonkurencyjnosci.funduszeeuropejskie.gov.pl</w:t>
        </w:r>
      </w:hyperlink>
      <w:r w:rsidR="00571889" w:rsidRPr="003936D2">
        <w:rPr>
          <w:rFonts w:cstheme="minorHAnsi"/>
          <w:sz w:val="22"/>
          <w:szCs w:val="22"/>
        </w:rPr>
        <w:t>)</w:t>
      </w:r>
    </w:p>
  </w:footnote>
  <w:footnote w:id="10">
    <w:p w14:paraId="4AFFACF6" w14:textId="094BB32C" w:rsidR="000D4C28" w:rsidRPr="001834A1" w:rsidRDefault="000D4C28" w:rsidP="001834A1">
      <w:pPr>
        <w:pStyle w:val="Tekstprzypisudolnego"/>
        <w:spacing w:line="276" w:lineRule="auto"/>
        <w:rPr>
          <w:rFonts w:cstheme="minorHAnsi"/>
          <w:sz w:val="22"/>
          <w:szCs w:val="22"/>
        </w:rPr>
      </w:pPr>
      <w:r w:rsidRPr="001834A1">
        <w:rPr>
          <w:rStyle w:val="Odwoanieprzypisudolnego"/>
          <w:rFonts w:cstheme="minorHAnsi"/>
          <w:sz w:val="22"/>
          <w:szCs w:val="22"/>
        </w:rPr>
        <w:footnoteRef/>
      </w:r>
      <w:r w:rsidRPr="001834A1">
        <w:rPr>
          <w:rFonts w:cstheme="minorHAnsi"/>
          <w:sz w:val="22"/>
          <w:szCs w:val="22"/>
        </w:rPr>
        <w:t xml:space="preserve"> Tajemnicę przedsiębiorstwa należy rozumieć zgodnie z przepisami o zwalczaniu nieuczciwej konkurencji (ustawa z dnia 16 kwietnia 1993 r. o zwalczaniu nieuczciwej konkurencji (Dz. U. z </w:t>
      </w:r>
      <w:r w:rsidR="001834A1" w:rsidRPr="001834A1">
        <w:rPr>
          <w:rFonts w:cstheme="minorHAnsi"/>
          <w:sz w:val="22"/>
          <w:szCs w:val="22"/>
        </w:rPr>
        <w:t>2022 r.</w:t>
      </w:r>
      <w:r w:rsidRPr="001834A1">
        <w:rPr>
          <w:rFonts w:cstheme="minorHAnsi"/>
          <w:sz w:val="22"/>
          <w:szCs w:val="22"/>
        </w:rPr>
        <w:t xml:space="preserve"> poz. 1</w:t>
      </w:r>
      <w:r w:rsidR="00BC210D" w:rsidRPr="001834A1">
        <w:rPr>
          <w:rFonts w:cstheme="minorHAnsi"/>
          <w:sz w:val="22"/>
          <w:szCs w:val="22"/>
        </w:rPr>
        <w:t>233</w:t>
      </w:r>
      <w:r w:rsidRPr="001834A1">
        <w:rPr>
          <w:rFonts w:cstheme="minorHAnsi"/>
          <w:sz w:val="22"/>
          <w:szCs w:val="22"/>
        </w:rPr>
        <w:t>).</w:t>
      </w:r>
    </w:p>
  </w:footnote>
  <w:footnote w:id="11">
    <w:p w14:paraId="329B00D6" w14:textId="529D8D9F" w:rsidR="000D4C28" w:rsidRPr="00FC6D62" w:rsidRDefault="000D4C28" w:rsidP="005A668C">
      <w:pPr>
        <w:pStyle w:val="Tekstprzypisudolnego"/>
        <w:spacing w:line="276" w:lineRule="auto"/>
      </w:pPr>
      <w:r w:rsidRPr="00335659">
        <w:rPr>
          <w:rStyle w:val="Odwoanieprzypisudolnego"/>
          <w:rFonts w:cstheme="minorHAnsi"/>
          <w:sz w:val="22"/>
          <w:szCs w:val="22"/>
        </w:rPr>
        <w:footnoteRef/>
      </w:r>
      <w:r w:rsidRPr="00335659">
        <w:rPr>
          <w:rFonts w:cstheme="minorHAnsi"/>
          <w:sz w:val="22"/>
          <w:szCs w:val="22"/>
        </w:rPr>
        <w:t xml:space="preserve"> Zmianę uznaje się za istotną jeżeli zmienia ogólny charakter umowy, w stosunku do charakteru umowy w pierwotnym brzmieniu albo nie zmienia ogólnego charakteru umowy i zachodzi co najmniej jedna z następujących okoliczności: zmiana wprowadza warunki, które, gdyby były postawione w postępowaniu o udzielenie zamówienia, to w tym postępowaniu wzięliby lub mogliby wziąć udział inni wykonawcy lub przyjęto by oferty innej treści, zmiana narusza równowagę ekonomiczną umowy na korzyść wykonawcy w sposób nieprzewidziany pierwotnie w umowie</w:t>
      </w:r>
      <w:r w:rsidR="00FC6D62" w:rsidRPr="00335659">
        <w:rPr>
          <w:rFonts w:cstheme="minorHAnsi"/>
          <w:sz w:val="22"/>
          <w:szCs w:val="22"/>
        </w:rPr>
        <w:t xml:space="preserve"> </w:t>
      </w:r>
      <w:r w:rsidRPr="00335659">
        <w:rPr>
          <w:rFonts w:cstheme="minorHAnsi"/>
          <w:sz w:val="22"/>
          <w:szCs w:val="22"/>
        </w:rPr>
        <w:t>zmiana znacznie rozszerza lub zmniejsza zakres świadczeń i zobowiązań wynikający z umowy lub polega na zastąpieniu wykonawcy, któremu zamawiający udzielił zamówienia, nowym wykonawcą, w przypadkach innych niż wymienione w lit. d.</w:t>
      </w:r>
    </w:p>
  </w:footnote>
  <w:footnote w:id="12">
    <w:p w14:paraId="60883367" w14:textId="0F02BC9B" w:rsidR="000D4C28" w:rsidRPr="009C078D" w:rsidRDefault="000D4C28" w:rsidP="00684913">
      <w:pPr>
        <w:pStyle w:val="Tekstprzypisudolnego"/>
        <w:spacing w:line="276" w:lineRule="auto"/>
        <w:rPr>
          <w:rFonts w:cstheme="minorHAnsi"/>
          <w:sz w:val="16"/>
          <w:szCs w:val="16"/>
        </w:rPr>
      </w:pPr>
      <w:r w:rsidRPr="00335659">
        <w:rPr>
          <w:rStyle w:val="Odwoanieprzypisudolnego"/>
          <w:rFonts w:cstheme="minorHAnsi"/>
          <w:sz w:val="22"/>
          <w:szCs w:val="22"/>
        </w:rPr>
        <w:footnoteRef/>
      </w:r>
      <w:r w:rsidRPr="00335659">
        <w:rPr>
          <w:rFonts w:cstheme="minorHAnsi"/>
          <w:sz w:val="22"/>
          <w:szCs w:val="22"/>
        </w:rPr>
        <w:t xml:space="preserve"> Średni kurs PLN w stosunku do EUR stanowiący podstawę przeliczania wartości zamówień ustala się w oparciu o przepisy art. 3 Pzp.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EFDE" w14:textId="6A7BEFD2" w:rsidR="0052562F" w:rsidRDefault="0052562F">
    <w:pPr>
      <w:pStyle w:val="Nagwek"/>
    </w:pPr>
    <w:r>
      <w:rPr>
        <w:noProof/>
      </w:rPr>
      <w:drawing>
        <wp:inline distT="0" distB="0" distL="0" distR="0" wp14:anchorId="2FAC2C66" wp14:editId="128BFC4D">
          <wp:extent cx="5757684" cy="344425"/>
          <wp:effectExtent l="0" t="0" r="0" b="0"/>
          <wp:docPr id="56454336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7080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684" cy="34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435"/>
    <w:multiLevelType w:val="hybridMultilevel"/>
    <w:tmpl w:val="E3163EEA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E8BADBF8">
      <w:start w:val="4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E4B"/>
    <w:multiLevelType w:val="hybridMultilevel"/>
    <w:tmpl w:val="290A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D9D4426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5FA4"/>
    <w:multiLevelType w:val="multilevel"/>
    <w:tmpl w:val="30906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12902F2"/>
    <w:multiLevelType w:val="multilevel"/>
    <w:tmpl w:val="6CD8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2B3860"/>
    <w:multiLevelType w:val="hybridMultilevel"/>
    <w:tmpl w:val="DA56A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4AF7"/>
    <w:multiLevelType w:val="multilevel"/>
    <w:tmpl w:val="40F8F0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366AE0"/>
    <w:multiLevelType w:val="hybridMultilevel"/>
    <w:tmpl w:val="54D87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E7B93"/>
    <w:multiLevelType w:val="hybridMultilevel"/>
    <w:tmpl w:val="5CA0C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262BE"/>
    <w:multiLevelType w:val="hybridMultilevel"/>
    <w:tmpl w:val="2B826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71C5"/>
    <w:multiLevelType w:val="hybridMultilevel"/>
    <w:tmpl w:val="D1FC386A"/>
    <w:lvl w:ilvl="0" w:tplc="C450C152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D6369E"/>
    <w:multiLevelType w:val="singleLevel"/>
    <w:tmpl w:val="6E2896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11" w15:restartNumberingAfterBreak="0">
    <w:nsid w:val="3A9A651A"/>
    <w:multiLevelType w:val="hybridMultilevel"/>
    <w:tmpl w:val="E13C3AE2"/>
    <w:lvl w:ilvl="0" w:tplc="C450C152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200E1E"/>
    <w:multiLevelType w:val="hybridMultilevel"/>
    <w:tmpl w:val="B0F65D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7A82ABB"/>
    <w:multiLevelType w:val="hybridMultilevel"/>
    <w:tmpl w:val="18BEA66C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C3209"/>
    <w:multiLevelType w:val="hybridMultilevel"/>
    <w:tmpl w:val="1EC49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638098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13141"/>
    <w:multiLevelType w:val="hybridMultilevel"/>
    <w:tmpl w:val="F1BE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22912"/>
    <w:multiLevelType w:val="hybridMultilevel"/>
    <w:tmpl w:val="477E3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83470"/>
    <w:multiLevelType w:val="hybridMultilevel"/>
    <w:tmpl w:val="EE7A463C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210B4"/>
    <w:multiLevelType w:val="hybridMultilevel"/>
    <w:tmpl w:val="0268A8C2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73FFC"/>
    <w:multiLevelType w:val="hybridMultilevel"/>
    <w:tmpl w:val="B6068C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38963B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D508B"/>
    <w:multiLevelType w:val="multilevel"/>
    <w:tmpl w:val="41CEC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DC3457B"/>
    <w:multiLevelType w:val="multilevel"/>
    <w:tmpl w:val="E4648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DC4031D"/>
    <w:multiLevelType w:val="hybridMultilevel"/>
    <w:tmpl w:val="DDAEF9BC"/>
    <w:lvl w:ilvl="0" w:tplc="C450C152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C450C152">
      <w:start w:val="1"/>
      <w:numFmt w:val="lowerRoman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97EB8"/>
    <w:multiLevelType w:val="hybridMultilevel"/>
    <w:tmpl w:val="47F85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B6DC9"/>
    <w:multiLevelType w:val="hybridMultilevel"/>
    <w:tmpl w:val="1E9EE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43C7"/>
    <w:multiLevelType w:val="hybridMultilevel"/>
    <w:tmpl w:val="EE1A0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2239D"/>
    <w:multiLevelType w:val="hybridMultilevel"/>
    <w:tmpl w:val="D3E0C6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4869CE"/>
    <w:multiLevelType w:val="hybridMultilevel"/>
    <w:tmpl w:val="D6B0B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A0FC8"/>
    <w:multiLevelType w:val="hybridMultilevel"/>
    <w:tmpl w:val="38DA5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97441"/>
    <w:multiLevelType w:val="hybridMultilevel"/>
    <w:tmpl w:val="23DC14C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599902">
    <w:abstractNumId w:val="10"/>
  </w:num>
  <w:num w:numId="2" w16cid:durableId="1466696273">
    <w:abstractNumId w:val="5"/>
  </w:num>
  <w:num w:numId="3" w16cid:durableId="586622290">
    <w:abstractNumId w:val="19"/>
  </w:num>
  <w:num w:numId="4" w16cid:durableId="1797411414">
    <w:abstractNumId w:val="14"/>
  </w:num>
  <w:num w:numId="5" w16cid:durableId="74058265">
    <w:abstractNumId w:val="26"/>
  </w:num>
  <w:num w:numId="6" w16cid:durableId="1073696772">
    <w:abstractNumId w:val="23"/>
  </w:num>
  <w:num w:numId="7" w16cid:durableId="615410709">
    <w:abstractNumId w:val="29"/>
  </w:num>
  <w:num w:numId="8" w16cid:durableId="241447655">
    <w:abstractNumId w:val="25"/>
  </w:num>
  <w:num w:numId="9" w16cid:durableId="1699236500">
    <w:abstractNumId w:val="6"/>
  </w:num>
  <w:num w:numId="10" w16cid:durableId="668098575">
    <w:abstractNumId w:val="11"/>
  </w:num>
  <w:num w:numId="11" w16cid:durableId="811562432">
    <w:abstractNumId w:val="27"/>
  </w:num>
  <w:num w:numId="12" w16cid:durableId="1281380575">
    <w:abstractNumId w:val="4"/>
  </w:num>
  <w:num w:numId="13" w16cid:durableId="762606606">
    <w:abstractNumId w:val="16"/>
  </w:num>
  <w:num w:numId="14" w16cid:durableId="554775024">
    <w:abstractNumId w:val="13"/>
  </w:num>
  <w:num w:numId="15" w16cid:durableId="2018654439">
    <w:abstractNumId w:val="1"/>
  </w:num>
  <w:num w:numId="16" w16cid:durableId="1741127279">
    <w:abstractNumId w:val="22"/>
  </w:num>
  <w:num w:numId="17" w16cid:durableId="543562037">
    <w:abstractNumId w:val="7"/>
  </w:num>
  <w:num w:numId="18" w16cid:durableId="576591377">
    <w:abstractNumId w:val="17"/>
  </w:num>
  <w:num w:numId="19" w16cid:durableId="813568068">
    <w:abstractNumId w:val="18"/>
  </w:num>
  <w:num w:numId="20" w16cid:durableId="851116159">
    <w:abstractNumId w:val="0"/>
  </w:num>
  <w:num w:numId="21" w16cid:durableId="244267154">
    <w:abstractNumId w:val="9"/>
  </w:num>
  <w:num w:numId="22" w16cid:durableId="6829549">
    <w:abstractNumId w:val="12"/>
  </w:num>
  <w:num w:numId="23" w16cid:durableId="1273823461">
    <w:abstractNumId w:val="15"/>
  </w:num>
  <w:num w:numId="24" w16cid:durableId="739252076">
    <w:abstractNumId w:val="8"/>
  </w:num>
  <w:num w:numId="25" w16cid:durableId="2120220957">
    <w:abstractNumId w:val="21"/>
  </w:num>
  <w:num w:numId="26" w16cid:durableId="1719470920">
    <w:abstractNumId w:val="2"/>
  </w:num>
  <w:num w:numId="27" w16cid:durableId="753740369">
    <w:abstractNumId w:val="20"/>
  </w:num>
  <w:num w:numId="28" w16cid:durableId="2096826487">
    <w:abstractNumId w:val="24"/>
  </w:num>
  <w:num w:numId="29" w16cid:durableId="920795569">
    <w:abstractNumId w:val="28"/>
  </w:num>
  <w:num w:numId="30" w16cid:durableId="43833242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08"/>
    <w:rsid w:val="00002616"/>
    <w:rsid w:val="000069FF"/>
    <w:rsid w:val="00011C57"/>
    <w:rsid w:val="00013694"/>
    <w:rsid w:val="00016D2C"/>
    <w:rsid w:val="000212F1"/>
    <w:rsid w:val="00027075"/>
    <w:rsid w:val="00033023"/>
    <w:rsid w:val="00033DE0"/>
    <w:rsid w:val="00035E99"/>
    <w:rsid w:val="00042CEF"/>
    <w:rsid w:val="00043291"/>
    <w:rsid w:val="000521A3"/>
    <w:rsid w:val="00056C35"/>
    <w:rsid w:val="00087EAC"/>
    <w:rsid w:val="000A2730"/>
    <w:rsid w:val="000C2DCE"/>
    <w:rsid w:val="000C47F8"/>
    <w:rsid w:val="000D1C56"/>
    <w:rsid w:val="000D4C28"/>
    <w:rsid w:val="000E6768"/>
    <w:rsid w:val="000F3ABE"/>
    <w:rsid w:val="00105148"/>
    <w:rsid w:val="00114002"/>
    <w:rsid w:val="0011527F"/>
    <w:rsid w:val="00117196"/>
    <w:rsid w:val="001241D3"/>
    <w:rsid w:val="00142BF9"/>
    <w:rsid w:val="00147A62"/>
    <w:rsid w:val="001504BD"/>
    <w:rsid w:val="00167B43"/>
    <w:rsid w:val="0018228A"/>
    <w:rsid w:val="001834A1"/>
    <w:rsid w:val="00187603"/>
    <w:rsid w:val="00190DEE"/>
    <w:rsid w:val="00196524"/>
    <w:rsid w:val="001A1C8A"/>
    <w:rsid w:val="001A6C67"/>
    <w:rsid w:val="001B4CA4"/>
    <w:rsid w:val="001B59CD"/>
    <w:rsid w:val="001C4668"/>
    <w:rsid w:val="001C495C"/>
    <w:rsid w:val="001C5C0C"/>
    <w:rsid w:val="001D09F0"/>
    <w:rsid w:val="001E7E0C"/>
    <w:rsid w:val="001F5239"/>
    <w:rsid w:val="00211C2F"/>
    <w:rsid w:val="00211E7C"/>
    <w:rsid w:val="00217922"/>
    <w:rsid w:val="002204D4"/>
    <w:rsid w:val="00223657"/>
    <w:rsid w:val="0023787D"/>
    <w:rsid w:val="002379AF"/>
    <w:rsid w:val="00240912"/>
    <w:rsid w:val="00244837"/>
    <w:rsid w:val="00244F5E"/>
    <w:rsid w:val="0025094C"/>
    <w:rsid w:val="00253DE7"/>
    <w:rsid w:val="002548A5"/>
    <w:rsid w:val="00263204"/>
    <w:rsid w:val="002732B1"/>
    <w:rsid w:val="002737F0"/>
    <w:rsid w:val="00274100"/>
    <w:rsid w:val="0027539D"/>
    <w:rsid w:val="0027692D"/>
    <w:rsid w:val="00277C5A"/>
    <w:rsid w:val="00283AFA"/>
    <w:rsid w:val="00285958"/>
    <w:rsid w:val="002A1648"/>
    <w:rsid w:val="002B2A9C"/>
    <w:rsid w:val="002B6B10"/>
    <w:rsid w:val="002C0035"/>
    <w:rsid w:val="002C1F0A"/>
    <w:rsid w:val="002D0D26"/>
    <w:rsid w:val="002E5A1C"/>
    <w:rsid w:val="002E7271"/>
    <w:rsid w:val="002F2771"/>
    <w:rsid w:val="002F43B8"/>
    <w:rsid w:val="00302F3E"/>
    <w:rsid w:val="00304CD3"/>
    <w:rsid w:val="003112C8"/>
    <w:rsid w:val="00323634"/>
    <w:rsid w:val="00325211"/>
    <w:rsid w:val="003323DB"/>
    <w:rsid w:val="00332C3E"/>
    <w:rsid w:val="00335659"/>
    <w:rsid w:val="00344E81"/>
    <w:rsid w:val="00346826"/>
    <w:rsid w:val="00354668"/>
    <w:rsid w:val="00356208"/>
    <w:rsid w:val="00373A85"/>
    <w:rsid w:val="0037480D"/>
    <w:rsid w:val="003758C7"/>
    <w:rsid w:val="003764D5"/>
    <w:rsid w:val="00376A58"/>
    <w:rsid w:val="003862D6"/>
    <w:rsid w:val="0039146A"/>
    <w:rsid w:val="003936D2"/>
    <w:rsid w:val="003965DA"/>
    <w:rsid w:val="003A1994"/>
    <w:rsid w:val="003A25F3"/>
    <w:rsid w:val="003A7B91"/>
    <w:rsid w:val="003C6C62"/>
    <w:rsid w:val="003D278B"/>
    <w:rsid w:val="003D5AA1"/>
    <w:rsid w:val="003F3A8F"/>
    <w:rsid w:val="003F3B47"/>
    <w:rsid w:val="003F4738"/>
    <w:rsid w:val="003F4FBA"/>
    <w:rsid w:val="00405A5A"/>
    <w:rsid w:val="00405EC4"/>
    <w:rsid w:val="004120F0"/>
    <w:rsid w:val="0041551C"/>
    <w:rsid w:val="0042267C"/>
    <w:rsid w:val="004255EE"/>
    <w:rsid w:val="0043321B"/>
    <w:rsid w:val="00433C71"/>
    <w:rsid w:val="00443C08"/>
    <w:rsid w:val="004470EC"/>
    <w:rsid w:val="00447FE0"/>
    <w:rsid w:val="00460889"/>
    <w:rsid w:val="00464820"/>
    <w:rsid w:val="00472125"/>
    <w:rsid w:val="004747E8"/>
    <w:rsid w:val="004806D4"/>
    <w:rsid w:val="00485AED"/>
    <w:rsid w:val="004914CF"/>
    <w:rsid w:val="00492BAA"/>
    <w:rsid w:val="00493D58"/>
    <w:rsid w:val="004A3775"/>
    <w:rsid w:val="004B1184"/>
    <w:rsid w:val="004B303F"/>
    <w:rsid w:val="004B426F"/>
    <w:rsid w:val="004B5A4B"/>
    <w:rsid w:val="004C15F4"/>
    <w:rsid w:val="004D2A8E"/>
    <w:rsid w:val="004D4793"/>
    <w:rsid w:val="004E0213"/>
    <w:rsid w:val="004E391D"/>
    <w:rsid w:val="004E60F0"/>
    <w:rsid w:val="004E729C"/>
    <w:rsid w:val="00500C62"/>
    <w:rsid w:val="00500E70"/>
    <w:rsid w:val="005011D3"/>
    <w:rsid w:val="005068D7"/>
    <w:rsid w:val="00506C48"/>
    <w:rsid w:val="00511460"/>
    <w:rsid w:val="00522F3E"/>
    <w:rsid w:val="00525485"/>
    <w:rsid w:val="0052562F"/>
    <w:rsid w:val="00532E0B"/>
    <w:rsid w:val="005337E6"/>
    <w:rsid w:val="00535C83"/>
    <w:rsid w:val="005403AD"/>
    <w:rsid w:val="00541534"/>
    <w:rsid w:val="00543235"/>
    <w:rsid w:val="005500A1"/>
    <w:rsid w:val="00554259"/>
    <w:rsid w:val="00554FF2"/>
    <w:rsid w:val="00555E74"/>
    <w:rsid w:val="00567223"/>
    <w:rsid w:val="00570B0A"/>
    <w:rsid w:val="00571889"/>
    <w:rsid w:val="00571CC0"/>
    <w:rsid w:val="00577EB3"/>
    <w:rsid w:val="00585473"/>
    <w:rsid w:val="00591B6B"/>
    <w:rsid w:val="0059651F"/>
    <w:rsid w:val="005A668C"/>
    <w:rsid w:val="005B065F"/>
    <w:rsid w:val="005B37C3"/>
    <w:rsid w:val="005B727A"/>
    <w:rsid w:val="005C1397"/>
    <w:rsid w:val="005F2B0B"/>
    <w:rsid w:val="005F32B7"/>
    <w:rsid w:val="00607139"/>
    <w:rsid w:val="006110FE"/>
    <w:rsid w:val="00620FB6"/>
    <w:rsid w:val="006221C8"/>
    <w:rsid w:val="00632497"/>
    <w:rsid w:val="00632C47"/>
    <w:rsid w:val="006363AB"/>
    <w:rsid w:val="00647C41"/>
    <w:rsid w:val="0065086E"/>
    <w:rsid w:val="00653A5E"/>
    <w:rsid w:val="00655F2C"/>
    <w:rsid w:val="00662525"/>
    <w:rsid w:val="00664ED4"/>
    <w:rsid w:val="00667448"/>
    <w:rsid w:val="00667DFF"/>
    <w:rsid w:val="006740F1"/>
    <w:rsid w:val="006756A2"/>
    <w:rsid w:val="00683D29"/>
    <w:rsid w:val="006848C8"/>
    <w:rsid w:val="00684913"/>
    <w:rsid w:val="006849B5"/>
    <w:rsid w:val="006854E3"/>
    <w:rsid w:val="00690AB6"/>
    <w:rsid w:val="00691701"/>
    <w:rsid w:val="00693B20"/>
    <w:rsid w:val="00696ED9"/>
    <w:rsid w:val="006B7054"/>
    <w:rsid w:val="006C1C85"/>
    <w:rsid w:val="006C4ADE"/>
    <w:rsid w:val="006C576D"/>
    <w:rsid w:val="006D7B08"/>
    <w:rsid w:val="006E2A7D"/>
    <w:rsid w:val="006E4408"/>
    <w:rsid w:val="006E6F42"/>
    <w:rsid w:val="006F2DAF"/>
    <w:rsid w:val="00705C9B"/>
    <w:rsid w:val="0070611C"/>
    <w:rsid w:val="00706E16"/>
    <w:rsid w:val="00722124"/>
    <w:rsid w:val="00723029"/>
    <w:rsid w:val="00724BCB"/>
    <w:rsid w:val="00731C48"/>
    <w:rsid w:val="00731CD4"/>
    <w:rsid w:val="007330E0"/>
    <w:rsid w:val="00733E5F"/>
    <w:rsid w:val="0073705F"/>
    <w:rsid w:val="00741071"/>
    <w:rsid w:val="00747566"/>
    <w:rsid w:val="00752E65"/>
    <w:rsid w:val="00756744"/>
    <w:rsid w:val="0075766E"/>
    <w:rsid w:val="00772E31"/>
    <w:rsid w:val="00787499"/>
    <w:rsid w:val="007914F0"/>
    <w:rsid w:val="007A21C0"/>
    <w:rsid w:val="007A3B88"/>
    <w:rsid w:val="007A51DD"/>
    <w:rsid w:val="007A585A"/>
    <w:rsid w:val="007B2893"/>
    <w:rsid w:val="007C0C37"/>
    <w:rsid w:val="007C65D2"/>
    <w:rsid w:val="007D1812"/>
    <w:rsid w:val="007D6109"/>
    <w:rsid w:val="007D6379"/>
    <w:rsid w:val="007D6BD8"/>
    <w:rsid w:val="007D6C52"/>
    <w:rsid w:val="007E33C4"/>
    <w:rsid w:val="007E5193"/>
    <w:rsid w:val="007E62E8"/>
    <w:rsid w:val="007F1EC2"/>
    <w:rsid w:val="007F5B74"/>
    <w:rsid w:val="007F5BE0"/>
    <w:rsid w:val="008045C6"/>
    <w:rsid w:val="00804FAF"/>
    <w:rsid w:val="00805608"/>
    <w:rsid w:val="008068E6"/>
    <w:rsid w:val="008131EF"/>
    <w:rsid w:val="00813E3F"/>
    <w:rsid w:val="00822264"/>
    <w:rsid w:val="00824B24"/>
    <w:rsid w:val="0083678B"/>
    <w:rsid w:val="0084083C"/>
    <w:rsid w:val="00851F3E"/>
    <w:rsid w:val="00853E14"/>
    <w:rsid w:val="00855E06"/>
    <w:rsid w:val="008561E9"/>
    <w:rsid w:val="008600E6"/>
    <w:rsid w:val="00860AD5"/>
    <w:rsid w:val="00862662"/>
    <w:rsid w:val="008700FB"/>
    <w:rsid w:val="00872862"/>
    <w:rsid w:val="00876EDE"/>
    <w:rsid w:val="00895736"/>
    <w:rsid w:val="008968B0"/>
    <w:rsid w:val="008A54A7"/>
    <w:rsid w:val="008A7CF9"/>
    <w:rsid w:val="008B068D"/>
    <w:rsid w:val="008B1EBC"/>
    <w:rsid w:val="008B214E"/>
    <w:rsid w:val="008B4558"/>
    <w:rsid w:val="008B566C"/>
    <w:rsid w:val="008D0717"/>
    <w:rsid w:val="008D44C9"/>
    <w:rsid w:val="008D46C2"/>
    <w:rsid w:val="008E1002"/>
    <w:rsid w:val="008E3124"/>
    <w:rsid w:val="009008E3"/>
    <w:rsid w:val="00907C68"/>
    <w:rsid w:val="00910FBB"/>
    <w:rsid w:val="00925D1B"/>
    <w:rsid w:val="00936DD1"/>
    <w:rsid w:val="009415E0"/>
    <w:rsid w:val="00943D92"/>
    <w:rsid w:val="00944452"/>
    <w:rsid w:val="0095036D"/>
    <w:rsid w:val="0095124F"/>
    <w:rsid w:val="00957265"/>
    <w:rsid w:val="0097090F"/>
    <w:rsid w:val="009725D7"/>
    <w:rsid w:val="00977B8D"/>
    <w:rsid w:val="00982C42"/>
    <w:rsid w:val="0098318F"/>
    <w:rsid w:val="0099611A"/>
    <w:rsid w:val="009A0D1C"/>
    <w:rsid w:val="009A1ED1"/>
    <w:rsid w:val="009C001A"/>
    <w:rsid w:val="009C078D"/>
    <w:rsid w:val="009C4831"/>
    <w:rsid w:val="009D2F4A"/>
    <w:rsid w:val="009D3A76"/>
    <w:rsid w:val="009E230B"/>
    <w:rsid w:val="009E4385"/>
    <w:rsid w:val="009E5053"/>
    <w:rsid w:val="009F30E8"/>
    <w:rsid w:val="00A01AC4"/>
    <w:rsid w:val="00A053A6"/>
    <w:rsid w:val="00A1007C"/>
    <w:rsid w:val="00A11606"/>
    <w:rsid w:val="00A1432C"/>
    <w:rsid w:val="00A149EC"/>
    <w:rsid w:val="00A35E8F"/>
    <w:rsid w:val="00A43A42"/>
    <w:rsid w:val="00A45735"/>
    <w:rsid w:val="00A533E6"/>
    <w:rsid w:val="00A601C9"/>
    <w:rsid w:val="00A636DE"/>
    <w:rsid w:val="00A8071B"/>
    <w:rsid w:val="00A83AF5"/>
    <w:rsid w:val="00A91A7B"/>
    <w:rsid w:val="00A9209B"/>
    <w:rsid w:val="00A94A40"/>
    <w:rsid w:val="00A95901"/>
    <w:rsid w:val="00A9616F"/>
    <w:rsid w:val="00A975F5"/>
    <w:rsid w:val="00AA4AC3"/>
    <w:rsid w:val="00AB33AB"/>
    <w:rsid w:val="00AB36F8"/>
    <w:rsid w:val="00AC7377"/>
    <w:rsid w:val="00AC7705"/>
    <w:rsid w:val="00AD2B32"/>
    <w:rsid w:val="00AD78EE"/>
    <w:rsid w:val="00B002A7"/>
    <w:rsid w:val="00B2578D"/>
    <w:rsid w:val="00B311D3"/>
    <w:rsid w:val="00B42ECD"/>
    <w:rsid w:val="00B434B0"/>
    <w:rsid w:val="00B46A3C"/>
    <w:rsid w:val="00B503A0"/>
    <w:rsid w:val="00B55554"/>
    <w:rsid w:val="00B62941"/>
    <w:rsid w:val="00B66DEE"/>
    <w:rsid w:val="00B70D2F"/>
    <w:rsid w:val="00B848C8"/>
    <w:rsid w:val="00B8512D"/>
    <w:rsid w:val="00B9084E"/>
    <w:rsid w:val="00B90C7E"/>
    <w:rsid w:val="00BA1D2F"/>
    <w:rsid w:val="00BA1F4D"/>
    <w:rsid w:val="00BA4810"/>
    <w:rsid w:val="00BB0CA9"/>
    <w:rsid w:val="00BB3B13"/>
    <w:rsid w:val="00BC210D"/>
    <w:rsid w:val="00BC3193"/>
    <w:rsid w:val="00C060C2"/>
    <w:rsid w:val="00C07D05"/>
    <w:rsid w:val="00C1694B"/>
    <w:rsid w:val="00C1786F"/>
    <w:rsid w:val="00C2245D"/>
    <w:rsid w:val="00C256DD"/>
    <w:rsid w:val="00C269FE"/>
    <w:rsid w:val="00C33363"/>
    <w:rsid w:val="00C33B94"/>
    <w:rsid w:val="00C35A52"/>
    <w:rsid w:val="00C3645A"/>
    <w:rsid w:val="00C51330"/>
    <w:rsid w:val="00C537EA"/>
    <w:rsid w:val="00C567AE"/>
    <w:rsid w:val="00C5771B"/>
    <w:rsid w:val="00C6456A"/>
    <w:rsid w:val="00C66B1A"/>
    <w:rsid w:val="00C679CC"/>
    <w:rsid w:val="00C67A7E"/>
    <w:rsid w:val="00C826F1"/>
    <w:rsid w:val="00C910F1"/>
    <w:rsid w:val="00C94F8F"/>
    <w:rsid w:val="00CA1520"/>
    <w:rsid w:val="00CA3569"/>
    <w:rsid w:val="00CB1346"/>
    <w:rsid w:val="00CB1E64"/>
    <w:rsid w:val="00CB783C"/>
    <w:rsid w:val="00CC4B1E"/>
    <w:rsid w:val="00CC69AB"/>
    <w:rsid w:val="00CD5F79"/>
    <w:rsid w:val="00CD611B"/>
    <w:rsid w:val="00CE5A47"/>
    <w:rsid w:val="00D02136"/>
    <w:rsid w:val="00D045EE"/>
    <w:rsid w:val="00D124F4"/>
    <w:rsid w:val="00D12C3D"/>
    <w:rsid w:val="00D14C2B"/>
    <w:rsid w:val="00D16C82"/>
    <w:rsid w:val="00D20733"/>
    <w:rsid w:val="00D24E7A"/>
    <w:rsid w:val="00D41CD7"/>
    <w:rsid w:val="00D4353B"/>
    <w:rsid w:val="00D45636"/>
    <w:rsid w:val="00D523B9"/>
    <w:rsid w:val="00D6244A"/>
    <w:rsid w:val="00D72C2E"/>
    <w:rsid w:val="00D9038B"/>
    <w:rsid w:val="00D91320"/>
    <w:rsid w:val="00D92DC4"/>
    <w:rsid w:val="00D968C9"/>
    <w:rsid w:val="00D9788B"/>
    <w:rsid w:val="00DA00BA"/>
    <w:rsid w:val="00DA4E27"/>
    <w:rsid w:val="00DA533F"/>
    <w:rsid w:val="00DB068F"/>
    <w:rsid w:val="00DB0A88"/>
    <w:rsid w:val="00DB417D"/>
    <w:rsid w:val="00DB7D27"/>
    <w:rsid w:val="00DC255C"/>
    <w:rsid w:val="00DC6A5C"/>
    <w:rsid w:val="00DE113B"/>
    <w:rsid w:val="00DE296D"/>
    <w:rsid w:val="00DE4E96"/>
    <w:rsid w:val="00DF13BC"/>
    <w:rsid w:val="00E22C16"/>
    <w:rsid w:val="00E23146"/>
    <w:rsid w:val="00E3613A"/>
    <w:rsid w:val="00E46BF0"/>
    <w:rsid w:val="00E53FC2"/>
    <w:rsid w:val="00E54D30"/>
    <w:rsid w:val="00E63012"/>
    <w:rsid w:val="00E7323C"/>
    <w:rsid w:val="00E74CE0"/>
    <w:rsid w:val="00E773E3"/>
    <w:rsid w:val="00E83178"/>
    <w:rsid w:val="00E87176"/>
    <w:rsid w:val="00EA1302"/>
    <w:rsid w:val="00EA7218"/>
    <w:rsid w:val="00EB34D3"/>
    <w:rsid w:val="00EC0CA8"/>
    <w:rsid w:val="00EC73CE"/>
    <w:rsid w:val="00ED5A7D"/>
    <w:rsid w:val="00ED5CDC"/>
    <w:rsid w:val="00ED636E"/>
    <w:rsid w:val="00EE09AF"/>
    <w:rsid w:val="00EF5F4C"/>
    <w:rsid w:val="00EF6D16"/>
    <w:rsid w:val="00F01818"/>
    <w:rsid w:val="00F03471"/>
    <w:rsid w:val="00F1568A"/>
    <w:rsid w:val="00F21768"/>
    <w:rsid w:val="00F310AD"/>
    <w:rsid w:val="00F32B78"/>
    <w:rsid w:val="00F338D5"/>
    <w:rsid w:val="00F34E10"/>
    <w:rsid w:val="00F36EF6"/>
    <w:rsid w:val="00F42228"/>
    <w:rsid w:val="00F47B4E"/>
    <w:rsid w:val="00F518E0"/>
    <w:rsid w:val="00F53607"/>
    <w:rsid w:val="00F622D0"/>
    <w:rsid w:val="00F70C46"/>
    <w:rsid w:val="00F72EFA"/>
    <w:rsid w:val="00F73E68"/>
    <w:rsid w:val="00F74B15"/>
    <w:rsid w:val="00F84F7A"/>
    <w:rsid w:val="00F95387"/>
    <w:rsid w:val="00F953E5"/>
    <w:rsid w:val="00FA594A"/>
    <w:rsid w:val="00FA6EB4"/>
    <w:rsid w:val="00FB0E6C"/>
    <w:rsid w:val="00FB0EA2"/>
    <w:rsid w:val="00FB790F"/>
    <w:rsid w:val="00FC118C"/>
    <w:rsid w:val="00FC6D62"/>
    <w:rsid w:val="00FD2675"/>
    <w:rsid w:val="00FD2757"/>
    <w:rsid w:val="00FD29A7"/>
    <w:rsid w:val="00FD2DEA"/>
    <w:rsid w:val="00FD4899"/>
    <w:rsid w:val="00FE4588"/>
    <w:rsid w:val="00FE5828"/>
    <w:rsid w:val="00FF7E48"/>
    <w:rsid w:val="08328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AFC5C"/>
  <w15:docId w15:val="{89982A1D-6B6D-4799-AA85-7A163B1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668C"/>
    <w:pPr>
      <w:keepNext/>
      <w:keepLines/>
      <w:spacing w:before="240" w:after="240" w:line="276" w:lineRule="auto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D62"/>
    <w:pPr>
      <w:keepNext/>
      <w:keepLines/>
      <w:spacing w:before="240" w:after="240" w:line="276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2E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4E7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C6D62"/>
    <w:rPr>
      <w:rFonts w:asciiTheme="majorHAnsi" w:eastAsiaTheme="majorEastAsia" w:hAnsiTheme="majorHAnsi" w:cstheme="majorBidi"/>
      <w:b/>
      <w:bCs/>
      <w:sz w:val="24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3F4FBA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D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CD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C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A3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37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7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A668C"/>
    <w:rPr>
      <w:rFonts w:eastAsiaTheme="majorEastAsia" w:cstheme="majorBidi"/>
      <w:b/>
      <w:sz w:val="24"/>
      <w:szCs w:val="32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2E0B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47FE0"/>
    <w:pPr>
      <w:tabs>
        <w:tab w:val="right" w:leader="dot" w:pos="9062"/>
      </w:tabs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532E0B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32E0B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2E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2B1"/>
  </w:style>
  <w:style w:type="paragraph" w:styleId="Stopka">
    <w:name w:val="footer"/>
    <w:basedOn w:val="Normalny"/>
    <w:link w:val="Stopka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2B1"/>
  </w:style>
  <w:style w:type="paragraph" w:styleId="Poprawka">
    <w:name w:val="Revision"/>
    <w:hidden/>
    <w:uiPriority w:val="99"/>
    <w:semiHidden/>
    <w:rsid w:val="004255E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7539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753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azakonkurencyjnosci.funduszeeuropejskie.gov.pl" TargetMode="External"/><Relationship Id="rId1" Type="http://schemas.openxmlformats.org/officeDocument/2006/relationships/hyperlink" Target="http://kody.uz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E039-B923-4EC1-81B6-5BDBF564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20</Pages>
  <Words>5003</Words>
  <Characters>30018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Zamówienia udzielane w Przedsięwzięciach Inwestycja C2.1.1</vt:lpstr>
    </vt:vector>
  </TitlesOfParts>
  <Company/>
  <LinksUpToDate>false</LinksUpToDate>
  <CharactersWithSpaces>34952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Zamówienia udzielane w Przedsięwzięciach Inwestycja C2.1.1</dc:title>
  <dc:creator>Violetta Korkuś</dc:creator>
  <cp:lastModifiedBy>Łukasz Szojda</cp:lastModifiedBy>
  <cp:revision>32</cp:revision>
  <dcterms:created xsi:type="dcterms:W3CDTF">2022-10-31T12:54:00Z</dcterms:created>
  <dcterms:modified xsi:type="dcterms:W3CDTF">2026-01-28T07:17:00Z</dcterms:modified>
</cp:coreProperties>
</file>