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Państwowa Szkoła Muzyczna I stopnia 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Króla  Pole 7,</w:t>
      </w:r>
      <w:r>
        <w:rPr>
          <w:spacing w:val="26"/>
        </w:rPr>
        <w:t> </w:t>
      </w:r>
      <w:r>
        <w:rPr/>
        <w:t>21-040  Świdnik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