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BC05" w14:textId="5A6D86AD" w:rsidR="00E60E67" w:rsidRDefault="00E60E67" w:rsidP="003D1908">
      <w:pPr>
        <w:jc w:val="center"/>
        <w:rPr>
          <w:rFonts w:ascii="Times New Roman" w:hAnsi="Times New Roman" w:cs="Times New Roman"/>
          <w:b/>
          <w:bCs/>
        </w:rPr>
      </w:pPr>
      <w:r w:rsidRPr="00F62656">
        <w:rPr>
          <w:rFonts w:ascii="Times New Roman" w:hAnsi="Times New Roman" w:cs="Times New Roman"/>
          <w:b/>
          <w:bCs/>
        </w:rPr>
        <w:t>UZASADNIENIE</w:t>
      </w:r>
    </w:p>
    <w:p w14:paraId="21DF25CE" w14:textId="77777777" w:rsidR="002142BF" w:rsidRPr="00F62656" w:rsidRDefault="002142BF" w:rsidP="003D1908">
      <w:pPr>
        <w:jc w:val="center"/>
        <w:rPr>
          <w:rFonts w:ascii="Times New Roman" w:hAnsi="Times New Roman" w:cs="Times New Roman"/>
          <w:b/>
          <w:bCs/>
        </w:rPr>
      </w:pPr>
    </w:p>
    <w:p w14:paraId="15CF974C" w14:textId="07DD5B08" w:rsidR="006C0AE0" w:rsidRDefault="006C0AE0" w:rsidP="003D1908">
      <w:pPr>
        <w:jc w:val="both"/>
        <w:rPr>
          <w:rFonts w:ascii="Times New Roman" w:hAnsi="Times New Roman" w:cs="Times New Roman"/>
        </w:rPr>
      </w:pPr>
      <w:r w:rsidRPr="006C0AE0">
        <w:rPr>
          <w:rFonts w:ascii="Times New Roman" w:hAnsi="Times New Roman" w:cs="Times New Roman"/>
        </w:rPr>
        <w:t>Projekt</w:t>
      </w:r>
      <w:r w:rsidR="009543DC">
        <w:rPr>
          <w:rFonts w:ascii="Times New Roman" w:hAnsi="Times New Roman" w:cs="Times New Roman"/>
        </w:rPr>
        <w:t>owana ustawa</w:t>
      </w:r>
      <w:r w:rsidRPr="006C0AE0">
        <w:rPr>
          <w:rFonts w:ascii="Times New Roman" w:hAnsi="Times New Roman" w:cs="Times New Roman"/>
        </w:rPr>
        <w:t xml:space="preserve"> wprowadz</w:t>
      </w:r>
      <w:r w:rsidR="009543DC">
        <w:rPr>
          <w:rFonts w:ascii="Times New Roman" w:hAnsi="Times New Roman" w:cs="Times New Roman"/>
        </w:rPr>
        <w:t>a</w:t>
      </w:r>
      <w:r w:rsidRPr="006C0AE0">
        <w:rPr>
          <w:rFonts w:ascii="Times New Roman" w:hAnsi="Times New Roman" w:cs="Times New Roman"/>
        </w:rPr>
        <w:t xml:space="preserve"> zmian</w:t>
      </w:r>
      <w:r w:rsidR="009543DC">
        <w:rPr>
          <w:rFonts w:ascii="Times New Roman" w:hAnsi="Times New Roman" w:cs="Times New Roman"/>
        </w:rPr>
        <w:t>y</w:t>
      </w:r>
      <w:r w:rsidRPr="006C0AE0">
        <w:rPr>
          <w:rFonts w:ascii="Times New Roman" w:hAnsi="Times New Roman" w:cs="Times New Roman"/>
        </w:rPr>
        <w:t xml:space="preserve"> </w:t>
      </w:r>
      <w:r w:rsidR="009543DC">
        <w:rPr>
          <w:rFonts w:ascii="Times New Roman" w:hAnsi="Times New Roman" w:cs="Times New Roman"/>
        </w:rPr>
        <w:t>w</w:t>
      </w:r>
      <w:r w:rsidR="009543DC" w:rsidRPr="006C0AE0">
        <w:rPr>
          <w:rFonts w:ascii="Times New Roman" w:hAnsi="Times New Roman" w:cs="Times New Roman"/>
        </w:rPr>
        <w:t xml:space="preserve"> </w:t>
      </w:r>
      <w:r w:rsidR="009543DC">
        <w:rPr>
          <w:rFonts w:ascii="Times New Roman" w:hAnsi="Times New Roman" w:cs="Times New Roman"/>
        </w:rPr>
        <w:t xml:space="preserve">ustawie </w:t>
      </w:r>
      <w:r w:rsidRPr="006C0AE0">
        <w:rPr>
          <w:rFonts w:ascii="Times New Roman" w:hAnsi="Times New Roman" w:cs="Times New Roman"/>
        </w:rPr>
        <w:t xml:space="preserve">z dnia 21 czerwca 2001 r. o ochronie praw lokatorów, mieszkaniowym zasobie gminy i o zmianie Kodeksu cywilnego </w:t>
      </w:r>
      <w:r w:rsidR="006A3091">
        <w:rPr>
          <w:rFonts w:ascii="Times New Roman" w:hAnsi="Times New Roman" w:cs="Times New Roman"/>
        </w:rPr>
        <w:br/>
      </w:r>
      <w:r w:rsidRPr="006C0AE0">
        <w:rPr>
          <w:rFonts w:ascii="Times New Roman" w:hAnsi="Times New Roman" w:cs="Times New Roman"/>
        </w:rPr>
        <w:t>(Dz. U. z 2023 r. poz. 725)</w:t>
      </w:r>
      <w:r w:rsidR="009543DC">
        <w:rPr>
          <w:rFonts w:ascii="Times New Roman" w:hAnsi="Times New Roman" w:cs="Times New Roman"/>
        </w:rPr>
        <w:t>, zwanej dalej „ustawą”</w:t>
      </w:r>
      <w:r w:rsidR="004B1D08">
        <w:rPr>
          <w:rFonts w:ascii="Times New Roman" w:hAnsi="Times New Roman" w:cs="Times New Roman"/>
        </w:rPr>
        <w:t>.</w:t>
      </w:r>
    </w:p>
    <w:p w14:paraId="762C38FC" w14:textId="77777777" w:rsidR="00E75720" w:rsidRDefault="00E60E67" w:rsidP="003D1908">
      <w:pPr>
        <w:jc w:val="both"/>
        <w:rPr>
          <w:rFonts w:ascii="Times New Roman" w:hAnsi="Times New Roman" w:cs="Times New Roman"/>
        </w:rPr>
      </w:pPr>
      <w:r w:rsidRPr="00F62656">
        <w:rPr>
          <w:rFonts w:ascii="Times New Roman" w:hAnsi="Times New Roman" w:cs="Times New Roman"/>
        </w:rPr>
        <w:t xml:space="preserve">Projektowane zmiany obejmują wprowadzenie umowy najmu senioralnego lokalu </w:t>
      </w:r>
      <w:r w:rsidR="0028162C">
        <w:rPr>
          <w:rFonts w:ascii="Times New Roman" w:hAnsi="Times New Roman" w:cs="Times New Roman"/>
        </w:rPr>
        <w:br/>
      </w:r>
      <w:r w:rsidRPr="00F62656">
        <w:rPr>
          <w:rFonts w:ascii="Times New Roman" w:hAnsi="Times New Roman" w:cs="Times New Roman"/>
        </w:rPr>
        <w:t xml:space="preserve">jako nowego rozwiązania mającego zapewnić osobom starszym, </w:t>
      </w:r>
      <w:r w:rsidR="00011D54">
        <w:rPr>
          <w:rFonts w:ascii="Times New Roman" w:hAnsi="Times New Roman" w:cs="Times New Roman"/>
        </w:rPr>
        <w:t xml:space="preserve">samodzielnie </w:t>
      </w:r>
      <w:r w:rsidRPr="00F62656">
        <w:rPr>
          <w:rFonts w:ascii="Times New Roman" w:hAnsi="Times New Roman" w:cs="Times New Roman"/>
        </w:rPr>
        <w:t xml:space="preserve">zamieszkującym w lokalach położonych na wyższych kondygnacjach budynków niewyposażonych w windy, możliwość przeniesienia się do przestrzeni, która nie będzie ograniczać ich samodzielności. </w:t>
      </w:r>
    </w:p>
    <w:p w14:paraId="45A6A1AE" w14:textId="21CDFB3E"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Problemy związane z tzw. „więźniami czwartego piętra” są coraz częściej spotykane, a ich skala będzie się zwiększać w przyszłości. Obecnie w Polsce blisko 9,9 mln osób stanowią właśnie osoby starsze (czyli zgodnie z projektowanym art. 2 ust. 1 pkt 14 zmienianej ustawy </w:t>
      </w:r>
      <w:r w:rsidR="003D1908">
        <w:rPr>
          <w:rFonts w:ascii="Times New Roman" w:hAnsi="Times New Roman" w:cs="Times New Roman"/>
        </w:rPr>
        <w:sym w:font="Symbol" w:char="F02D"/>
      </w:r>
      <w:r w:rsidRPr="00F62656">
        <w:rPr>
          <w:rFonts w:ascii="Times New Roman" w:hAnsi="Times New Roman" w:cs="Times New Roman"/>
        </w:rPr>
        <w:t xml:space="preserve"> osoby w wieku 60 lat i w</w:t>
      </w:r>
      <w:r w:rsidR="00C96F18">
        <w:rPr>
          <w:rFonts w:ascii="Times New Roman" w:hAnsi="Times New Roman" w:cs="Times New Roman"/>
        </w:rPr>
        <w:t>ięcej</w:t>
      </w:r>
      <w:r w:rsidRPr="00F62656">
        <w:rPr>
          <w:rFonts w:ascii="Times New Roman" w:hAnsi="Times New Roman" w:cs="Times New Roman"/>
        </w:rPr>
        <w:t>), co stanowi 26,3% ludności Polski. Według prognozy GUS udział takich osób w ogóle ludności Polski w roku 2050 stanowić ma około 40%.</w:t>
      </w:r>
    </w:p>
    <w:p w14:paraId="19FB4C45" w14:textId="3ECD9636"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Wprowadzane w projektowanym art. 21d zmienianej ustawy rozwiązanie oparto o instytucję mieszkaniowego zasobu gminy. Umożliwić ma ono gminom uruchomienie nowego rodzaju wsparcia dla osób starszych w zakresie poprawy ich warunków mieszkaniowych. Zakłada ono, że osoby starsze zamieszkujące we własnych mieszkaniach umiejscowionych </w:t>
      </w:r>
      <w:r w:rsidR="006A3091">
        <w:rPr>
          <w:rFonts w:ascii="Times New Roman" w:hAnsi="Times New Roman" w:cs="Times New Roman"/>
        </w:rPr>
        <w:br/>
      </w:r>
      <w:r w:rsidRPr="00F62656">
        <w:rPr>
          <w:rFonts w:ascii="Times New Roman" w:hAnsi="Times New Roman" w:cs="Times New Roman"/>
        </w:rPr>
        <w:t xml:space="preserve">w budynkach bez windy na co najmniej czwartej kondygnacji naziemnej (czyli co najmniej </w:t>
      </w:r>
      <w:r w:rsidR="006212D6">
        <w:rPr>
          <w:rFonts w:ascii="Times New Roman" w:hAnsi="Times New Roman" w:cs="Times New Roman"/>
        </w:rPr>
        <w:br/>
      </w:r>
      <w:r w:rsidRPr="00F62656">
        <w:rPr>
          <w:rFonts w:ascii="Times New Roman" w:hAnsi="Times New Roman" w:cs="Times New Roman"/>
        </w:rPr>
        <w:t xml:space="preserve">na 3. piętrze) będą mogły zawrzeć z gminą umowę najmu lokalu wchodzącego w skład mieszkaniowego zasobu gminy pod warunkiem jednoczesnego wynajęcia gminie </w:t>
      </w:r>
      <w:r w:rsidR="00153F1A" w:rsidRPr="00F62656">
        <w:rPr>
          <w:rFonts w:ascii="Times New Roman" w:hAnsi="Times New Roman" w:cs="Times New Roman"/>
        </w:rPr>
        <w:t>lokalu</w:t>
      </w:r>
      <w:r w:rsidRPr="00F62656">
        <w:rPr>
          <w:rFonts w:ascii="Times New Roman" w:hAnsi="Times New Roman" w:cs="Times New Roman"/>
        </w:rPr>
        <w:t xml:space="preserve">, </w:t>
      </w:r>
      <w:r w:rsidR="006212D6">
        <w:rPr>
          <w:rFonts w:ascii="Times New Roman" w:hAnsi="Times New Roman" w:cs="Times New Roman"/>
        </w:rPr>
        <w:br/>
      </w:r>
      <w:r w:rsidRPr="00F62656">
        <w:rPr>
          <w:rFonts w:ascii="Times New Roman" w:hAnsi="Times New Roman" w:cs="Times New Roman"/>
        </w:rPr>
        <w:t>w którym dotychczas zamieszkiwały. Z kolei gmina będzie mogła wynajmowan</w:t>
      </w:r>
      <w:r w:rsidR="00153F1A" w:rsidRPr="00F62656">
        <w:rPr>
          <w:rFonts w:ascii="Times New Roman" w:hAnsi="Times New Roman" w:cs="Times New Roman"/>
        </w:rPr>
        <w:t xml:space="preserve">y lokal </w:t>
      </w:r>
      <w:r w:rsidRPr="00F62656">
        <w:rPr>
          <w:rFonts w:ascii="Times New Roman" w:hAnsi="Times New Roman" w:cs="Times New Roman"/>
        </w:rPr>
        <w:t>podnajmować na zasadach obowiązujących w mieszkaniowym zasobie gminy osobom oczekującym na najem lokalu komunalnego.</w:t>
      </w:r>
    </w:p>
    <w:p w14:paraId="58A9B53A" w14:textId="59A08801"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Lokal wchodzący w skład mieszkaniowego zasobu gminy wynajmowany w ramach umowy najmu senioralnego będzie musiał umożliwiać osobom starszym swobodny dostęp, </w:t>
      </w:r>
      <w:r w:rsidR="0028162C">
        <w:rPr>
          <w:rFonts w:ascii="Times New Roman" w:hAnsi="Times New Roman" w:cs="Times New Roman"/>
        </w:rPr>
        <w:br/>
      </w:r>
      <w:r w:rsidRPr="00F62656">
        <w:rPr>
          <w:rFonts w:ascii="Times New Roman" w:hAnsi="Times New Roman" w:cs="Times New Roman"/>
        </w:rPr>
        <w:t xml:space="preserve">czyli będzie musiał znajdować się na parterze albo na wyższych piętrach pod warunkiem, </w:t>
      </w:r>
      <w:r w:rsidR="0028162C">
        <w:rPr>
          <w:rFonts w:ascii="Times New Roman" w:hAnsi="Times New Roman" w:cs="Times New Roman"/>
        </w:rPr>
        <w:br/>
      </w:r>
      <w:r w:rsidRPr="00F62656">
        <w:rPr>
          <w:rFonts w:ascii="Times New Roman" w:hAnsi="Times New Roman" w:cs="Times New Roman"/>
        </w:rPr>
        <w:t>iż budynek będzie wyposażony w windę.</w:t>
      </w:r>
    </w:p>
    <w:p w14:paraId="019A5AD3" w14:textId="3ABF1088"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Seniorzy nie będą musieli spełniać kryterium dochodowego obowiązującego w danej gminie przy „standardowej” umowie najmu lokalu wchodzącego w skład mieszkaniowego zasobu gminy </w:t>
      </w:r>
      <w:r w:rsidR="00E75720">
        <w:rPr>
          <w:rFonts w:ascii="Times New Roman" w:hAnsi="Times New Roman" w:cs="Times New Roman"/>
        </w:rPr>
        <w:sym w:font="Symbol" w:char="F02D"/>
      </w:r>
      <w:r w:rsidRPr="00F62656">
        <w:rPr>
          <w:rFonts w:ascii="Times New Roman" w:hAnsi="Times New Roman" w:cs="Times New Roman"/>
        </w:rPr>
        <w:t xml:space="preserve"> wynajęcie seniorom takich </w:t>
      </w:r>
      <w:r w:rsidR="00153F1A" w:rsidRPr="00F62656">
        <w:rPr>
          <w:rFonts w:ascii="Times New Roman" w:hAnsi="Times New Roman" w:cs="Times New Roman"/>
        </w:rPr>
        <w:t>lokali</w:t>
      </w:r>
      <w:r w:rsidRPr="00F62656">
        <w:rPr>
          <w:rFonts w:ascii="Times New Roman" w:hAnsi="Times New Roman" w:cs="Times New Roman"/>
        </w:rPr>
        <w:t xml:space="preserve"> nie wynika wszakże z ich trudnej sytuacji materialnej, a z ograniczeń w codziennym życiu spowodowanych utrudnionym dostępem </w:t>
      </w:r>
      <w:r w:rsidR="0028162C">
        <w:rPr>
          <w:rFonts w:ascii="Times New Roman" w:hAnsi="Times New Roman" w:cs="Times New Roman"/>
        </w:rPr>
        <w:br/>
      </w:r>
      <w:r w:rsidRPr="00F62656">
        <w:rPr>
          <w:rFonts w:ascii="Times New Roman" w:hAnsi="Times New Roman" w:cs="Times New Roman"/>
        </w:rPr>
        <w:t xml:space="preserve">do </w:t>
      </w:r>
      <w:r w:rsidR="00153F1A" w:rsidRPr="00F62656">
        <w:rPr>
          <w:rFonts w:ascii="Times New Roman" w:hAnsi="Times New Roman" w:cs="Times New Roman"/>
        </w:rPr>
        <w:t>lokali</w:t>
      </w:r>
      <w:r w:rsidRPr="00F62656">
        <w:rPr>
          <w:rFonts w:ascii="Times New Roman" w:hAnsi="Times New Roman" w:cs="Times New Roman"/>
        </w:rPr>
        <w:t xml:space="preserve"> położonych na wyższych piętrach.</w:t>
      </w:r>
    </w:p>
    <w:p w14:paraId="199B0195" w14:textId="5C7906E7"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Wejście w życie umowy najmu senioralnego lokalu będzie uwarunkowane podpisaniem </w:t>
      </w:r>
      <w:r w:rsidR="0028162C">
        <w:rPr>
          <w:rFonts w:ascii="Times New Roman" w:hAnsi="Times New Roman" w:cs="Times New Roman"/>
        </w:rPr>
        <w:br/>
      </w:r>
      <w:r w:rsidRPr="00F62656">
        <w:rPr>
          <w:rFonts w:ascii="Times New Roman" w:hAnsi="Times New Roman" w:cs="Times New Roman"/>
        </w:rPr>
        <w:t>z gminą umowy najmu lokalu stanowiącego własność seniora. Zasadniczo te dwie umowy najmu lokalu mają obowiązywać równolegle. W okresie obowiązywania umowy najmu senioralnego lokalu, właścicielowi przysługuje prawo do wypowiedzenia umowy najmu lokalu zawartej z gminą.</w:t>
      </w:r>
      <w:r w:rsidR="00A363E5" w:rsidRPr="00A363E5">
        <w:rPr>
          <w:rFonts w:ascii="Times New Roman" w:hAnsi="Times New Roman" w:cs="Times New Roman"/>
        </w:rPr>
        <w:t xml:space="preserve"> </w:t>
      </w:r>
      <w:r w:rsidR="00A363E5" w:rsidRPr="00796CFC">
        <w:rPr>
          <w:rFonts w:ascii="Times New Roman" w:hAnsi="Times New Roman" w:cs="Times New Roman"/>
        </w:rPr>
        <w:t xml:space="preserve">W przypadku wypowiedzenia przez osobę starszą albo rozwiązania bez wypowiedzenia umowy najmu senioralnego lokalu, upływ terminu wypowiedzenia umowy </w:t>
      </w:r>
      <w:r w:rsidR="00A363E5" w:rsidRPr="00796CFC">
        <w:rPr>
          <w:rFonts w:ascii="Times New Roman" w:hAnsi="Times New Roman" w:cs="Times New Roman"/>
        </w:rPr>
        <w:lastRenderedPageBreak/>
        <w:t>najmu lokalu, o którym mowa w art. 21d ust. 2 pkt 2 ustawy, przypada na dzień upływu terminu wypowiedzenia umowy najmu senioralnego lokalu.</w:t>
      </w:r>
    </w:p>
    <w:p w14:paraId="6A987C0E" w14:textId="01B7AA6D"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Do umowy najmu senioralnego lokalu nie będzie miał zastosowania przepis art. 691 ustawy </w:t>
      </w:r>
      <w:r w:rsidR="0028162C">
        <w:rPr>
          <w:rFonts w:ascii="Times New Roman" w:hAnsi="Times New Roman" w:cs="Times New Roman"/>
        </w:rPr>
        <w:br/>
      </w:r>
      <w:r w:rsidRPr="00F62656">
        <w:rPr>
          <w:rFonts w:ascii="Times New Roman" w:hAnsi="Times New Roman" w:cs="Times New Roman"/>
        </w:rPr>
        <w:t xml:space="preserve">z dnia 23 kwietnia 1964 r. </w:t>
      </w:r>
      <w:r w:rsidR="003D1908">
        <w:rPr>
          <w:rFonts w:ascii="Times New Roman" w:hAnsi="Times New Roman" w:cs="Times New Roman"/>
        </w:rPr>
        <w:t xml:space="preserve">– </w:t>
      </w:r>
      <w:r w:rsidRPr="00F62656">
        <w:rPr>
          <w:rFonts w:ascii="Times New Roman" w:hAnsi="Times New Roman" w:cs="Times New Roman"/>
        </w:rPr>
        <w:t>Kodeks cywilny</w:t>
      </w:r>
      <w:r w:rsidR="00153F1A" w:rsidRPr="00F62656">
        <w:rPr>
          <w:rFonts w:ascii="Times New Roman" w:hAnsi="Times New Roman" w:cs="Times New Roman"/>
        </w:rPr>
        <w:t>,</w:t>
      </w:r>
      <w:r w:rsidRPr="00F62656">
        <w:rPr>
          <w:rFonts w:ascii="Times New Roman" w:hAnsi="Times New Roman" w:cs="Times New Roman"/>
        </w:rPr>
        <w:t xml:space="preserve"> ustanawiający prawo wstąpienia w najem </w:t>
      </w:r>
      <w:r w:rsidR="0028162C">
        <w:rPr>
          <w:rFonts w:ascii="Times New Roman" w:hAnsi="Times New Roman" w:cs="Times New Roman"/>
        </w:rPr>
        <w:br/>
      </w:r>
      <w:r w:rsidRPr="00F62656">
        <w:rPr>
          <w:rFonts w:ascii="Times New Roman" w:hAnsi="Times New Roman" w:cs="Times New Roman"/>
        </w:rPr>
        <w:t>w przypadku śmierci najemcy.</w:t>
      </w:r>
    </w:p>
    <w:p w14:paraId="26A3EFB1" w14:textId="767D0A06" w:rsidR="00684D49" w:rsidRDefault="00E60E67" w:rsidP="003D1908">
      <w:pPr>
        <w:jc w:val="both"/>
        <w:rPr>
          <w:rFonts w:ascii="Times New Roman" w:hAnsi="Times New Roman" w:cs="Times New Roman"/>
        </w:rPr>
      </w:pPr>
      <w:r w:rsidRPr="00F62656">
        <w:rPr>
          <w:rFonts w:ascii="Times New Roman" w:hAnsi="Times New Roman" w:cs="Times New Roman"/>
        </w:rPr>
        <w:t xml:space="preserve">W związku z dodaniem do ustawy przepisów o najmie senioralnym opierającym </w:t>
      </w:r>
      <w:r w:rsidR="0028162C">
        <w:rPr>
          <w:rFonts w:ascii="Times New Roman" w:hAnsi="Times New Roman" w:cs="Times New Roman"/>
        </w:rPr>
        <w:br/>
      </w:r>
      <w:r w:rsidRPr="00F62656">
        <w:rPr>
          <w:rFonts w:ascii="Times New Roman" w:hAnsi="Times New Roman" w:cs="Times New Roman"/>
        </w:rPr>
        <w:t>się na podnajmie lokali, konieczne jest rozszerzenie regulacji określających zasady podnajmu lokali przez gminę określone aktualnie w art. 20 ust. 2a</w:t>
      </w:r>
      <w:r w:rsidR="003D1908">
        <w:rPr>
          <w:rFonts w:ascii="Times New Roman" w:hAnsi="Times New Roman" w:cs="Times New Roman"/>
        </w:rPr>
        <w:sym w:font="Symbol" w:char="F02D"/>
      </w:r>
      <w:r w:rsidRPr="00F62656">
        <w:rPr>
          <w:rFonts w:ascii="Times New Roman" w:hAnsi="Times New Roman" w:cs="Times New Roman"/>
        </w:rPr>
        <w:t xml:space="preserve">2d ustawy. Proponuje </w:t>
      </w:r>
      <w:r w:rsidR="006A3091">
        <w:rPr>
          <w:rFonts w:ascii="Times New Roman" w:hAnsi="Times New Roman" w:cs="Times New Roman"/>
        </w:rPr>
        <w:br/>
      </w:r>
      <w:r w:rsidRPr="00F62656">
        <w:rPr>
          <w:rFonts w:ascii="Times New Roman" w:hAnsi="Times New Roman" w:cs="Times New Roman"/>
        </w:rPr>
        <w:t xml:space="preserve">się uregulowanie kwestii okresu obowiązywania podnajmu lokalu w związku z terminem obowiązywania umowy najmu zawartej przez gminę z właścicielem lokalu jako najemcą. Wyłączone zostało stosowanie w odniesieniu do umów podnajmu przepisów nakazujących stosowanie przez gminy umów najmu lokali komunalnych na czas nieoznaczony. </w:t>
      </w:r>
      <w:r w:rsidR="0028162C">
        <w:rPr>
          <w:rFonts w:ascii="Times New Roman" w:hAnsi="Times New Roman" w:cs="Times New Roman"/>
        </w:rPr>
        <w:br/>
      </w:r>
      <w:r w:rsidRPr="00F62656">
        <w:rPr>
          <w:rFonts w:ascii="Times New Roman" w:hAnsi="Times New Roman" w:cs="Times New Roman"/>
        </w:rPr>
        <w:t xml:space="preserve">W konsekwencji umowa podnajmu może być zawierana, zarówno na czas oznaczony, </w:t>
      </w:r>
      <w:r w:rsidR="0028162C">
        <w:rPr>
          <w:rFonts w:ascii="Times New Roman" w:hAnsi="Times New Roman" w:cs="Times New Roman"/>
        </w:rPr>
        <w:br/>
      </w:r>
      <w:r w:rsidRPr="00F62656">
        <w:rPr>
          <w:rFonts w:ascii="Times New Roman" w:hAnsi="Times New Roman" w:cs="Times New Roman"/>
        </w:rPr>
        <w:t xml:space="preserve">jak i na czas nieoznaczony. Mając na uwadze fakt, iż umowa najmu lokalu na czas nieoznaczony zawierana przez gminę może być wypowiedziana przez właściciela, konieczne jest dodanie podstawy prawnej pozwalającej gminie wypowiedzieć umowę podnajmu tego lokalu </w:t>
      </w:r>
      <w:r w:rsidR="00936344">
        <w:rPr>
          <w:rFonts w:ascii="Times New Roman" w:hAnsi="Times New Roman" w:cs="Times New Roman"/>
        </w:rPr>
        <w:br/>
      </w:r>
      <w:r w:rsidRPr="00F62656">
        <w:rPr>
          <w:rFonts w:ascii="Times New Roman" w:hAnsi="Times New Roman" w:cs="Times New Roman"/>
        </w:rPr>
        <w:t>w odpowiednim czasie, co umożliwi zwrot mieszkania właścicielowi.</w:t>
      </w:r>
    </w:p>
    <w:p w14:paraId="3A30C249" w14:textId="7A2F2580" w:rsidR="00E60E67" w:rsidRPr="00F62656" w:rsidRDefault="00E60E67" w:rsidP="003D1908">
      <w:pPr>
        <w:jc w:val="both"/>
        <w:rPr>
          <w:rFonts w:ascii="Times New Roman" w:hAnsi="Times New Roman" w:cs="Times New Roman"/>
        </w:rPr>
      </w:pPr>
      <w:r w:rsidRPr="00F62656">
        <w:rPr>
          <w:rFonts w:ascii="Times New Roman" w:hAnsi="Times New Roman" w:cs="Times New Roman"/>
        </w:rPr>
        <w:t xml:space="preserve">Jednocześnie, </w:t>
      </w:r>
      <w:r w:rsidR="00AB4FC7" w:rsidRPr="00F62656">
        <w:rPr>
          <w:rFonts w:ascii="Times New Roman" w:hAnsi="Times New Roman" w:cs="Times New Roman"/>
        </w:rPr>
        <w:t>w projek</w:t>
      </w:r>
      <w:r w:rsidR="00A71D65" w:rsidRPr="00F62656">
        <w:rPr>
          <w:rFonts w:ascii="Times New Roman" w:hAnsi="Times New Roman" w:cs="Times New Roman"/>
        </w:rPr>
        <w:t>towanym</w:t>
      </w:r>
      <w:r w:rsidR="00AB4FC7" w:rsidRPr="00F62656">
        <w:rPr>
          <w:rFonts w:ascii="Times New Roman" w:hAnsi="Times New Roman" w:cs="Times New Roman"/>
        </w:rPr>
        <w:t xml:space="preserve"> </w:t>
      </w:r>
      <w:r w:rsidRPr="00F62656">
        <w:rPr>
          <w:rFonts w:ascii="Times New Roman" w:hAnsi="Times New Roman" w:cs="Times New Roman"/>
        </w:rPr>
        <w:t xml:space="preserve">art. </w:t>
      </w:r>
      <w:r w:rsidR="00684D49">
        <w:rPr>
          <w:rFonts w:ascii="Times New Roman" w:hAnsi="Times New Roman" w:cs="Times New Roman"/>
        </w:rPr>
        <w:t>2 r</w:t>
      </w:r>
      <w:r w:rsidRPr="00F62656">
        <w:rPr>
          <w:rFonts w:ascii="Times New Roman" w:hAnsi="Times New Roman" w:cs="Times New Roman"/>
        </w:rPr>
        <w:t>ozstrzygnięto, że dodawane przepisy regulujące zasady wypowiadania umów podnajmu lokalu</w:t>
      </w:r>
      <w:r w:rsidR="00684D49">
        <w:rPr>
          <w:rFonts w:ascii="Times New Roman" w:hAnsi="Times New Roman" w:cs="Times New Roman"/>
        </w:rPr>
        <w:t>,</w:t>
      </w:r>
      <w:r w:rsidRPr="00F62656">
        <w:rPr>
          <w:rFonts w:ascii="Times New Roman" w:hAnsi="Times New Roman" w:cs="Times New Roman"/>
        </w:rPr>
        <w:t xml:space="preserve"> stosuje się także do umów podnajmu zawartych przed dniem wejścia w życie niniejszej ustawy. Taka regulacja pozwoli zastosować także do</w:t>
      </w:r>
      <w:r w:rsidR="00E75720">
        <w:rPr>
          <w:rFonts w:ascii="Times New Roman" w:hAnsi="Times New Roman" w:cs="Times New Roman"/>
        </w:rPr>
        <w:t> </w:t>
      </w:r>
      <w:r w:rsidRPr="00F62656">
        <w:rPr>
          <w:rFonts w:ascii="Times New Roman" w:hAnsi="Times New Roman" w:cs="Times New Roman"/>
        </w:rPr>
        <w:t>obowiązujących umów podnajmu lokalu regulację rozstrzygającą tryb wypowiadania umów podnajmu.</w:t>
      </w:r>
    </w:p>
    <w:p w14:paraId="27110115" w14:textId="4C6AF9E7" w:rsidR="004B1D08" w:rsidRDefault="004B1D08" w:rsidP="003D1908">
      <w:pPr>
        <w:jc w:val="both"/>
        <w:rPr>
          <w:rFonts w:ascii="Times New Roman" w:hAnsi="Times New Roman" w:cs="Times New Roman"/>
        </w:rPr>
      </w:pPr>
      <w:r w:rsidRPr="004B1D08">
        <w:rPr>
          <w:rFonts w:ascii="Times New Roman" w:hAnsi="Times New Roman" w:cs="Times New Roman"/>
        </w:rPr>
        <w:t xml:space="preserve">W projekcie przewidziano, że projektowana ustawa wejdzie w życie z dniem </w:t>
      </w:r>
      <w:r w:rsidR="00936344">
        <w:rPr>
          <w:rFonts w:ascii="Times New Roman" w:hAnsi="Times New Roman" w:cs="Times New Roman"/>
        </w:rPr>
        <w:br/>
      </w:r>
      <w:r w:rsidRPr="001F4773">
        <w:rPr>
          <w:rFonts w:ascii="Times New Roman" w:hAnsi="Times New Roman" w:cs="Times New Roman"/>
        </w:rPr>
        <w:t>1 stycznia 2026 r.</w:t>
      </w:r>
    </w:p>
    <w:p w14:paraId="3861631C" w14:textId="77777777" w:rsidR="004B1D08" w:rsidRPr="004B1D08" w:rsidRDefault="004B1D08" w:rsidP="003D1908">
      <w:pPr>
        <w:jc w:val="both"/>
        <w:rPr>
          <w:rFonts w:ascii="Times New Roman" w:hAnsi="Times New Roman" w:cs="Times New Roman"/>
        </w:rPr>
      </w:pPr>
      <w:r w:rsidRPr="004B1D08">
        <w:rPr>
          <w:rFonts w:ascii="Times New Roman" w:hAnsi="Times New Roman" w:cs="Times New Roman"/>
        </w:rPr>
        <w:t>Projekt ustawy nie jest objęty prawem Unii Europejskiej. Projekt nie wymaga zasięgnięcia opinii, dokonania konsultacji lub uzgodnienia z właściwymi organami i instytucjami Unii Europejskiej, w tym z Europejskim Bankiem Centralnym.</w:t>
      </w:r>
    </w:p>
    <w:p w14:paraId="44FF4E99" w14:textId="7CCB6195" w:rsidR="004B1D08" w:rsidRDefault="004B1D08" w:rsidP="003D1908">
      <w:pPr>
        <w:jc w:val="both"/>
        <w:rPr>
          <w:rFonts w:ascii="Times New Roman" w:hAnsi="Times New Roman" w:cs="Times New Roman"/>
        </w:rPr>
      </w:pPr>
      <w:r w:rsidRPr="004B1D08">
        <w:rPr>
          <w:rFonts w:ascii="Times New Roman" w:hAnsi="Times New Roman" w:cs="Times New Roman"/>
        </w:rPr>
        <w:t>Projekt ustawy nie zawiera przepisów technicznych w rozumieniu rozporządzenia Rady Ministrów z dnia 23 grudnia 2002 r. w sprawie sposobu funkcjonowania krajowego systemu notyfikacji norm i aktów prawnych (Dz. U. poz. 2039</w:t>
      </w:r>
      <w:r w:rsidR="00142B50">
        <w:rPr>
          <w:rFonts w:ascii="Times New Roman" w:hAnsi="Times New Roman" w:cs="Times New Roman"/>
        </w:rPr>
        <w:t xml:space="preserve"> oraz z 2004 r. poz. 597</w:t>
      </w:r>
      <w:r w:rsidRPr="004B1D08">
        <w:rPr>
          <w:rFonts w:ascii="Times New Roman" w:hAnsi="Times New Roman" w:cs="Times New Roman"/>
        </w:rPr>
        <w:t xml:space="preserve">), w związku </w:t>
      </w:r>
      <w:r w:rsidR="002142BF">
        <w:rPr>
          <w:rFonts w:ascii="Times New Roman" w:hAnsi="Times New Roman" w:cs="Times New Roman"/>
        </w:rPr>
        <w:br/>
      </w:r>
      <w:r w:rsidRPr="004B1D08">
        <w:rPr>
          <w:rFonts w:ascii="Times New Roman" w:hAnsi="Times New Roman" w:cs="Times New Roman"/>
        </w:rPr>
        <w:t>z tym nie podlega notyfikacji w rozumieniu tego rozporządzenia.</w:t>
      </w:r>
    </w:p>
    <w:p w14:paraId="064E956B" w14:textId="4FBE80F0" w:rsidR="00B52812" w:rsidRDefault="00B52812" w:rsidP="003D1908">
      <w:pPr>
        <w:jc w:val="both"/>
        <w:rPr>
          <w:rFonts w:ascii="Times New Roman" w:hAnsi="Times New Roman" w:cs="Times New Roman"/>
        </w:rPr>
      </w:pPr>
      <w:r w:rsidRPr="00B52812">
        <w:rPr>
          <w:rFonts w:ascii="Times New Roman" w:hAnsi="Times New Roman" w:cs="Times New Roman"/>
        </w:rPr>
        <w:t xml:space="preserve">Zawarte w projekcie regulacje nie będą miały wpływu na działalność </w:t>
      </w:r>
      <w:proofErr w:type="spellStart"/>
      <w:r w:rsidRPr="00B52812">
        <w:rPr>
          <w:rFonts w:ascii="Times New Roman" w:hAnsi="Times New Roman" w:cs="Times New Roman"/>
        </w:rPr>
        <w:t>mikroprzedsiębiorców</w:t>
      </w:r>
      <w:proofErr w:type="spellEnd"/>
      <w:r w:rsidRPr="00B52812">
        <w:rPr>
          <w:rFonts w:ascii="Times New Roman" w:hAnsi="Times New Roman" w:cs="Times New Roman"/>
        </w:rPr>
        <w:t xml:space="preserve">, małych i średnich przedsiębiorców, o których mowa w ustawie z dnia 6 marca 2018 r. – Prawo przedsiębiorców (Dz. U. z 2024 r. poz. 236, z </w:t>
      </w:r>
      <w:proofErr w:type="spellStart"/>
      <w:r w:rsidRPr="00B52812">
        <w:rPr>
          <w:rFonts w:ascii="Times New Roman" w:hAnsi="Times New Roman" w:cs="Times New Roman"/>
        </w:rPr>
        <w:t>późn</w:t>
      </w:r>
      <w:proofErr w:type="spellEnd"/>
      <w:r w:rsidRPr="00B52812">
        <w:rPr>
          <w:rFonts w:ascii="Times New Roman" w:hAnsi="Times New Roman" w:cs="Times New Roman"/>
        </w:rPr>
        <w:t>. zm.).</w:t>
      </w:r>
    </w:p>
    <w:p w14:paraId="7BBB3ADA" w14:textId="722B4125" w:rsidR="002142BF" w:rsidRDefault="004B1D08" w:rsidP="003D1908">
      <w:pPr>
        <w:jc w:val="both"/>
        <w:rPr>
          <w:rFonts w:ascii="Times New Roman" w:hAnsi="Times New Roman" w:cs="Times New Roman"/>
        </w:rPr>
      </w:pPr>
      <w:r w:rsidRPr="004B1D08">
        <w:rPr>
          <w:rFonts w:ascii="Times New Roman" w:hAnsi="Times New Roman" w:cs="Times New Roman"/>
        </w:rPr>
        <w:t>Stosownie do art. 5 ustawy z dnia 7 lipca 2005 r. o działalności lobbingowej w procesie stanowienia prawa (Dz. U. z 20</w:t>
      </w:r>
      <w:r>
        <w:rPr>
          <w:rFonts w:ascii="Times New Roman" w:hAnsi="Times New Roman" w:cs="Times New Roman"/>
        </w:rPr>
        <w:t>25</w:t>
      </w:r>
      <w:r w:rsidRPr="004B1D08">
        <w:rPr>
          <w:rFonts w:ascii="Times New Roman" w:hAnsi="Times New Roman" w:cs="Times New Roman"/>
        </w:rPr>
        <w:t xml:space="preserve"> r. poz. </w:t>
      </w:r>
      <w:r>
        <w:rPr>
          <w:rFonts w:ascii="Times New Roman" w:hAnsi="Times New Roman" w:cs="Times New Roman"/>
        </w:rPr>
        <w:t>677</w:t>
      </w:r>
      <w:r w:rsidRPr="004B1D08">
        <w:rPr>
          <w:rFonts w:ascii="Times New Roman" w:hAnsi="Times New Roman" w:cs="Times New Roman"/>
        </w:rPr>
        <w:t>) oraz § 4 i § 52 uchwały nr 190 Rady Ministrów z dnia 29 października 2013 r. – Regulamin pracy Rady Ministrów (M.P. z 2024 r. poz. 806</w:t>
      </w:r>
      <w:r w:rsidR="00015235">
        <w:rPr>
          <w:rFonts w:ascii="Times New Roman" w:hAnsi="Times New Roman" w:cs="Times New Roman"/>
        </w:rPr>
        <w:t xml:space="preserve"> oraz z 2025 r. poz. 408</w:t>
      </w:r>
      <w:r w:rsidRPr="004B1D08">
        <w:rPr>
          <w:rFonts w:ascii="Times New Roman" w:hAnsi="Times New Roman" w:cs="Times New Roman"/>
        </w:rPr>
        <w:t xml:space="preserve">), projekt ustawy został udostępniony w Biuletynie Informacji Publicznej </w:t>
      </w:r>
      <w:r w:rsidRPr="004B1D08">
        <w:rPr>
          <w:rFonts w:ascii="Times New Roman" w:hAnsi="Times New Roman" w:cs="Times New Roman"/>
        </w:rPr>
        <w:lastRenderedPageBreak/>
        <w:t>na stronie podmiotowej Rządowego Centrum Legislacji, w serwisie Rządowy Proces Legislacyjny.</w:t>
      </w:r>
    </w:p>
    <w:p w14:paraId="28F416E9" w14:textId="77777777" w:rsidR="002142BF" w:rsidRDefault="002142BF" w:rsidP="003D1908">
      <w:pPr>
        <w:jc w:val="both"/>
        <w:rPr>
          <w:rFonts w:ascii="Times New Roman" w:hAnsi="Times New Roman" w:cs="Times New Roman"/>
        </w:rPr>
      </w:pPr>
    </w:p>
    <w:p w14:paraId="65FAE4C1" w14:textId="77777777" w:rsidR="002142BF" w:rsidRDefault="002142BF" w:rsidP="003D1908">
      <w:pPr>
        <w:jc w:val="both"/>
        <w:rPr>
          <w:rFonts w:ascii="Times New Roman" w:hAnsi="Times New Roman" w:cs="Times New Roman"/>
        </w:rPr>
      </w:pPr>
    </w:p>
    <w:p w14:paraId="1859AFDF" w14:textId="77777777" w:rsidR="002142BF" w:rsidRDefault="002142BF" w:rsidP="003D1908">
      <w:pPr>
        <w:jc w:val="both"/>
        <w:rPr>
          <w:rFonts w:ascii="Times New Roman" w:hAnsi="Times New Roman" w:cs="Times New Roman"/>
        </w:rPr>
      </w:pPr>
    </w:p>
    <w:p w14:paraId="5126813C" w14:textId="77777777" w:rsidR="002142BF" w:rsidRPr="00B63431" w:rsidRDefault="002142BF" w:rsidP="00B63431">
      <w:pPr>
        <w:spacing w:after="0"/>
        <w:jc w:val="both"/>
        <w:rPr>
          <w:rFonts w:ascii="Times New Roman" w:hAnsi="Times New Roman" w:cs="Times New Roman"/>
          <w:bCs/>
          <w:sz w:val="22"/>
          <w:szCs w:val="22"/>
        </w:rPr>
      </w:pPr>
      <w:r w:rsidRPr="00B63431">
        <w:rPr>
          <w:rFonts w:ascii="Times New Roman" w:hAnsi="Times New Roman" w:cs="Times New Roman"/>
          <w:bCs/>
          <w:sz w:val="22"/>
          <w:szCs w:val="22"/>
        </w:rPr>
        <w:t>ZA ZGODNOŚĆ POD WZGLĘDEM PRAWNYM,</w:t>
      </w:r>
    </w:p>
    <w:p w14:paraId="4D38AFB1" w14:textId="77777777" w:rsidR="002142BF" w:rsidRPr="00B63431" w:rsidRDefault="002142BF" w:rsidP="00B63431">
      <w:pPr>
        <w:spacing w:after="0"/>
        <w:jc w:val="both"/>
        <w:rPr>
          <w:rFonts w:ascii="Times New Roman" w:hAnsi="Times New Roman" w:cs="Times New Roman"/>
          <w:bCs/>
          <w:sz w:val="22"/>
          <w:szCs w:val="22"/>
        </w:rPr>
      </w:pPr>
      <w:r w:rsidRPr="00B63431">
        <w:rPr>
          <w:rFonts w:ascii="Times New Roman" w:hAnsi="Times New Roman" w:cs="Times New Roman"/>
          <w:bCs/>
          <w:sz w:val="22"/>
          <w:szCs w:val="22"/>
        </w:rPr>
        <w:t>REDAKCYJNYM I LEGISLACYJNYM</w:t>
      </w:r>
    </w:p>
    <w:p w14:paraId="12B8EB6D" w14:textId="77777777" w:rsidR="002142BF" w:rsidRPr="00B63431" w:rsidRDefault="002142BF" w:rsidP="00B63431">
      <w:pPr>
        <w:spacing w:after="0"/>
        <w:jc w:val="both"/>
        <w:rPr>
          <w:rFonts w:ascii="Times New Roman" w:hAnsi="Times New Roman" w:cs="Times New Roman"/>
          <w:bCs/>
          <w:sz w:val="22"/>
          <w:szCs w:val="22"/>
        </w:rPr>
      </w:pPr>
      <w:r w:rsidRPr="00B63431">
        <w:rPr>
          <w:rFonts w:ascii="Times New Roman" w:hAnsi="Times New Roman" w:cs="Times New Roman"/>
          <w:bCs/>
          <w:sz w:val="22"/>
          <w:szCs w:val="22"/>
        </w:rPr>
        <w:t>Aleksandra Ziuzia</w:t>
      </w:r>
    </w:p>
    <w:p w14:paraId="5B2C6B12" w14:textId="77777777" w:rsidR="002142BF" w:rsidRPr="00B63431" w:rsidRDefault="002142BF" w:rsidP="00B63431">
      <w:pPr>
        <w:spacing w:after="0"/>
        <w:jc w:val="both"/>
        <w:rPr>
          <w:rFonts w:ascii="Times New Roman" w:hAnsi="Times New Roman" w:cs="Times New Roman"/>
          <w:bCs/>
          <w:sz w:val="22"/>
          <w:szCs w:val="22"/>
        </w:rPr>
      </w:pPr>
      <w:r w:rsidRPr="00B63431">
        <w:rPr>
          <w:rFonts w:ascii="Times New Roman" w:hAnsi="Times New Roman" w:cs="Times New Roman"/>
          <w:bCs/>
          <w:sz w:val="22"/>
          <w:szCs w:val="22"/>
        </w:rPr>
        <w:t>Zastępca dyrektora Departamentu Prawnego</w:t>
      </w:r>
    </w:p>
    <w:p w14:paraId="52146D66" w14:textId="77777777" w:rsidR="002142BF" w:rsidRPr="00B63431" w:rsidRDefault="002142BF" w:rsidP="00B63431">
      <w:pPr>
        <w:spacing w:after="0"/>
        <w:jc w:val="both"/>
        <w:rPr>
          <w:rFonts w:ascii="Times New Roman" w:hAnsi="Times New Roman" w:cs="Times New Roman"/>
          <w:bCs/>
          <w:sz w:val="22"/>
          <w:szCs w:val="22"/>
        </w:rPr>
      </w:pPr>
      <w:r w:rsidRPr="00B63431">
        <w:rPr>
          <w:rFonts w:ascii="Times New Roman" w:hAnsi="Times New Roman" w:cs="Times New Roman"/>
          <w:bCs/>
          <w:sz w:val="22"/>
          <w:szCs w:val="22"/>
        </w:rPr>
        <w:t>w Kancelarii Prezesa Rady Ministrów</w:t>
      </w:r>
    </w:p>
    <w:p w14:paraId="74B5D66A" w14:textId="77777777" w:rsidR="002142BF" w:rsidRPr="00B63431" w:rsidRDefault="002142BF" w:rsidP="00B63431">
      <w:pPr>
        <w:spacing w:after="0"/>
        <w:jc w:val="both"/>
        <w:rPr>
          <w:rFonts w:ascii="Times New Roman" w:hAnsi="Times New Roman" w:cs="Times New Roman"/>
          <w:bCs/>
          <w:sz w:val="22"/>
          <w:szCs w:val="22"/>
        </w:rPr>
      </w:pPr>
      <w:r w:rsidRPr="00B63431">
        <w:rPr>
          <w:rFonts w:ascii="Times New Roman" w:hAnsi="Times New Roman" w:cs="Times New Roman"/>
          <w:bCs/>
          <w:sz w:val="22"/>
          <w:szCs w:val="22"/>
        </w:rPr>
        <w:t>/- podpisano elektronicznie/</w:t>
      </w:r>
    </w:p>
    <w:p w14:paraId="4AF8A9DD" w14:textId="77777777" w:rsidR="002142BF" w:rsidRPr="00F62656" w:rsidRDefault="002142BF" w:rsidP="003D1908">
      <w:pPr>
        <w:jc w:val="both"/>
        <w:rPr>
          <w:rFonts w:ascii="Times New Roman" w:hAnsi="Times New Roman" w:cs="Times New Roman"/>
        </w:rPr>
      </w:pPr>
    </w:p>
    <w:sectPr w:rsidR="002142BF" w:rsidRPr="00F62656" w:rsidSect="002142BF">
      <w:footerReference w:type="default" r:id="rId6"/>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2350" w14:textId="77777777" w:rsidR="003A0F1A" w:rsidRDefault="003A0F1A" w:rsidP="002142BF">
      <w:pPr>
        <w:spacing w:after="0" w:line="240" w:lineRule="auto"/>
      </w:pPr>
      <w:r>
        <w:separator/>
      </w:r>
    </w:p>
  </w:endnote>
  <w:endnote w:type="continuationSeparator" w:id="0">
    <w:p w14:paraId="102777E9" w14:textId="77777777" w:rsidR="003A0F1A" w:rsidRDefault="003A0F1A" w:rsidP="0021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70979"/>
      <w:docPartObj>
        <w:docPartGallery w:val="Page Numbers (Bottom of Page)"/>
        <w:docPartUnique/>
      </w:docPartObj>
    </w:sdtPr>
    <w:sdtContent>
      <w:p w14:paraId="7250E575" w14:textId="4F60D067" w:rsidR="002142BF" w:rsidRDefault="002142BF">
        <w:pPr>
          <w:pStyle w:val="Stopka"/>
          <w:jc w:val="right"/>
        </w:pPr>
        <w:r>
          <w:fldChar w:fldCharType="begin"/>
        </w:r>
        <w:r>
          <w:instrText>PAGE   \* MERGEFORMAT</w:instrText>
        </w:r>
        <w:r>
          <w:fldChar w:fldCharType="separate"/>
        </w:r>
        <w:r>
          <w:t>2</w:t>
        </w:r>
        <w:r>
          <w:fldChar w:fldCharType="end"/>
        </w:r>
      </w:p>
    </w:sdtContent>
  </w:sdt>
  <w:p w14:paraId="285AB2EE" w14:textId="77777777" w:rsidR="002142BF" w:rsidRDefault="002142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85F9" w14:textId="77777777" w:rsidR="003A0F1A" w:rsidRDefault="003A0F1A" w:rsidP="002142BF">
      <w:pPr>
        <w:spacing w:after="0" w:line="240" w:lineRule="auto"/>
      </w:pPr>
      <w:r>
        <w:separator/>
      </w:r>
    </w:p>
  </w:footnote>
  <w:footnote w:type="continuationSeparator" w:id="0">
    <w:p w14:paraId="36934A1B" w14:textId="77777777" w:rsidR="003A0F1A" w:rsidRDefault="003A0F1A" w:rsidP="00214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D4"/>
    <w:rsid w:val="00011D54"/>
    <w:rsid w:val="00015235"/>
    <w:rsid w:val="00091A06"/>
    <w:rsid w:val="000B2380"/>
    <w:rsid w:val="000B3012"/>
    <w:rsid w:val="00142B50"/>
    <w:rsid w:val="00153F1A"/>
    <w:rsid w:val="001D7FCA"/>
    <w:rsid w:val="001F4773"/>
    <w:rsid w:val="00201A3B"/>
    <w:rsid w:val="002142BF"/>
    <w:rsid w:val="002409C2"/>
    <w:rsid w:val="00254FDD"/>
    <w:rsid w:val="0028162C"/>
    <w:rsid w:val="002B4E3D"/>
    <w:rsid w:val="002D6C7E"/>
    <w:rsid w:val="0038521D"/>
    <w:rsid w:val="003A0F1A"/>
    <w:rsid w:val="003D1908"/>
    <w:rsid w:val="003D26D0"/>
    <w:rsid w:val="004519AB"/>
    <w:rsid w:val="004B1D08"/>
    <w:rsid w:val="00505EEE"/>
    <w:rsid w:val="00540CF9"/>
    <w:rsid w:val="005561BF"/>
    <w:rsid w:val="00584527"/>
    <w:rsid w:val="005D47CC"/>
    <w:rsid w:val="006212D6"/>
    <w:rsid w:val="006640D5"/>
    <w:rsid w:val="00684D49"/>
    <w:rsid w:val="006A3091"/>
    <w:rsid w:val="006C0AE0"/>
    <w:rsid w:val="006E057D"/>
    <w:rsid w:val="00703CEB"/>
    <w:rsid w:val="007059CB"/>
    <w:rsid w:val="00775EAA"/>
    <w:rsid w:val="007B09AA"/>
    <w:rsid w:val="00821BA7"/>
    <w:rsid w:val="008F5B96"/>
    <w:rsid w:val="00932907"/>
    <w:rsid w:val="00936344"/>
    <w:rsid w:val="009543DC"/>
    <w:rsid w:val="00980571"/>
    <w:rsid w:val="009C7762"/>
    <w:rsid w:val="009D601E"/>
    <w:rsid w:val="00A02FE0"/>
    <w:rsid w:val="00A363E5"/>
    <w:rsid w:val="00A53180"/>
    <w:rsid w:val="00A71D65"/>
    <w:rsid w:val="00A7697A"/>
    <w:rsid w:val="00AB4FC7"/>
    <w:rsid w:val="00B52812"/>
    <w:rsid w:val="00B63431"/>
    <w:rsid w:val="00BE6DE0"/>
    <w:rsid w:val="00C0671A"/>
    <w:rsid w:val="00C96F18"/>
    <w:rsid w:val="00CB20D4"/>
    <w:rsid w:val="00CD1A26"/>
    <w:rsid w:val="00D8451C"/>
    <w:rsid w:val="00DA28DC"/>
    <w:rsid w:val="00DF7C46"/>
    <w:rsid w:val="00E31657"/>
    <w:rsid w:val="00E60E67"/>
    <w:rsid w:val="00E75720"/>
    <w:rsid w:val="00E907E0"/>
    <w:rsid w:val="00F62656"/>
    <w:rsid w:val="00F64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E241"/>
  <w15:chartTrackingRefBased/>
  <w15:docId w15:val="{9974A2F1-63D0-486C-991D-18A3463A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B2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2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20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20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20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20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20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20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20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20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B20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B20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B20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B20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B20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20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20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20D4"/>
    <w:rPr>
      <w:rFonts w:eastAsiaTheme="majorEastAsia" w:cstheme="majorBidi"/>
      <w:color w:val="272727" w:themeColor="text1" w:themeTint="D8"/>
    </w:rPr>
  </w:style>
  <w:style w:type="paragraph" w:styleId="Tytu">
    <w:name w:val="Title"/>
    <w:basedOn w:val="Normalny"/>
    <w:next w:val="Normalny"/>
    <w:link w:val="TytuZnak"/>
    <w:uiPriority w:val="10"/>
    <w:qFormat/>
    <w:rsid w:val="00CB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20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20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20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20D4"/>
    <w:pPr>
      <w:spacing w:before="160"/>
      <w:jc w:val="center"/>
    </w:pPr>
    <w:rPr>
      <w:i/>
      <w:iCs/>
      <w:color w:val="404040" w:themeColor="text1" w:themeTint="BF"/>
    </w:rPr>
  </w:style>
  <w:style w:type="character" w:customStyle="1" w:styleId="CytatZnak">
    <w:name w:val="Cytat Znak"/>
    <w:basedOn w:val="Domylnaczcionkaakapitu"/>
    <w:link w:val="Cytat"/>
    <w:uiPriority w:val="29"/>
    <w:rsid w:val="00CB20D4"/>
    <w:rPr>
      <w:i/>
      <w:iCs/>
      <w:color w:val="404040" w:themeColor="text1" w:themeTint="BF"/>
    </w:rPr>
  </w:style>
  <w:style w:type="paragraph" w:styleId="Akapitzlist">
    <w:name w:val="List Paragraph"/>
    <w:basedOn w:val="Normalny"/>
    <w:uiPriority w:val="34"/>
    <w:qFormat/>
    <w:rsid w:val="00CB20D4"/>
    <w:pPr>
      <w:ind w:left="720"/>
      <w:contextualSpacing/>
    </w:pPr>
  </w:style>
  <w:style w:type="character" w:styleId="Wyrnienieintensywne">
    <w:name w:val="Intense Emphasis"/>
    <w:basedOn w:val="Domylnaczcionkaakapitu"/>
    <w:uiPriority w:val="21"/>
    <w:qFormat/>
    <w:rsid w:val="00CB20D4"/>
    <w:rPr>
      <w:i/>
      <w:iCs/>
      <w:color w:val="0F4761" w:themeColor="accent1" w:themeShade="BF"/>
    </w:rPr>
  </w:style>
  <w:style w:type="paragraph" w:styleId="Cytatintensywny">
    <w:name w:val="Intense Quote"/>
    <w:basedOn w:val="Normalny"/>
    <w:next w:val="Normalny"/>
    <w:link w:val="CytatintensywnyZnak"/>
    <w:uiPriority w:val="30"/>
    <w:qFormat/>
    <w:rsid w:val="00CB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20D4"/>
    <w:rPr>
      <w:i/>
      <w:iCs/>
      <w:color w:val="0F4761" w:themeColor="accent1" w:themeShade="BF"/>
    </w:rPr>
  </w:style>
  <w:style w:type="character" w:styleId="Odwoanieintensywne">
    <w:name w:val="Intense Reference"/>
    <w:basedOn w:val="Domylnaczcionkaakapitu"/>
    <w:uiPriority w:val="32"/>
    <w:qFormat/>
    <w:rsid w:val="00CB20D4"/>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C96F18"/>
    <w:rPr>
      <w:sz w:val="16"/>
      <w:szCs w:val="16"/>
    </w:rPr>
  </w:style>
  <w:style w:type="paragraph" w:styleId="Tekstkomentarza">
    <w:name w:val="annotation text"/>
    <w:basedOn w:val="Normalny"/>
    <w:link w:val="TekstkomentarzaZnak"/>
    <w:uiPriority w:val="99"/>
    <w:unhideWhenUsed/>
    <w:rsid w:val="00C96F18"/>
    <w:pPr>
      <w:spacing w:line="240" w:lineRule="auto"/>
    </w:pPr>
    <w:rPr>
      <w:sz w:val="20"/>
      <w:szCs w:val="20"/>
    </w:rPr>
  </w:style>
  <w:style w:type="character" w:customStyle="1" w:styleId="TekstkomentarzaZnak">
    <w:name w:val="Tekst komentarza Znak"/>
    <w:basedOn w:val="Domylnaczcionkaakapitu"/>
    <w:link w:val="Tekstkomentarza"/>
    <w:uiPriority w:val="99"/>
    <w:rsid w:val="00C96F18"/>
    <w:rPr>
      <w:sz w:val="20"/>
      <w:szCs w:val="20"/>
    </w:rPr>
  </w:style>
  <w:style w:type="paragraph" w:styleId="Tematkomentarza">
    <w:name w:val="annotation subject"/>
    <w:basedOn w:val="Tekstkomentarza"/>
    <w:next w:val="Tekstkomentarza"/>
    <w:link w:val="TematkomentarzaZnak"/>
    <w:uiPriority w:val="99"/>
    <w:semiHidden/>
    <w:unhideWhenUsed/>
    <w:rsid w:val="00C96F18"/>
    <w:rPr>
      <w:b/>
      <w:bCs/>
    </w:rPr>
  </w:style>
  <w:style w:type="character" w:customStyle="1" w:styleId="TematkomentarzaZnak">
    <w:name w:val="Temat komentarza Znak"/>
    <w:basedOn w:val="TekstkomentarzaZnak"/>
    <w:link w:val="Tematkomentarza"/>
    <w:uiPriority w:val="99"/>
    <w:semiHidden/>
    <w:rsid w:val="00C96F18"/>
    <w:rPr>
      <w:b/>
      <w:bCs/>
      <w:sz w:val="20"/>
      <w:szCs w:val="20"/>
    </w:rPr>
  </w:style>
  <w:style w:type="paragraph" w:styleId="Poprawka">
    <w:name w:val="Revision"/>
    <w:hidden/>
    <w:uiPriority w:val="99"/>
    <w:semiHidden/>
    <w:rsid w:val="00C96F18"/>
    <w:pPr>
      <w:spacing w:after="0" w:line="240" w:lineRule="auto"/>
    </w:pPr>
  </w:style>
  <w:style w:type="paragraph" w:styleId="Nagwek">
    <w:name w:val="header"/>
    <w:basedOn w:val="Normalny"/>
    <w:link w:val="NagwekZnak"/>
    <w:uiPriority w:val="99"/>
    <w:unhideWhenUsed/>
    <w:rsid w:val="002142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42BF"/>
  </w:style>
  <w:style w:type="paragraph" w:styleId="Stopka">
    <w:name w:val="footer"/>
    <w:basedOn w:val="Normalny"/>
    <w:link w:val="StopkaZnak"/>
    <w:uiPriority w:val="99"/>
    <w:unhideWhenUsed/>
    <w:rsid w:val="002142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913196">
      <w:bodyDiv w:val="1"/>
      <w:marLeft w:val="0"/>
      <w:marRight w:val="0"/>
      <w:marTop w:val="0"/>
      <w:marBottom w:val="0"/>
      <w:divBdr>
        <w:top w:val="none" w:sz="0" w:space="0" w:color="auto"/>
        <w:left w:val="none" w:sz="0" w:space="0" w:color="auto"/>
        <w:bottom w:val="none" w:sz="0" w:space="0" w:color="auto"/>
        <w:right w:val="none" w:sz="0" w:space="0" w:color="auto"/>
      </w:divBdr>
    </w:div>
    <w:div w:id="21140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 Marta</dc:creator>
  <cp:keywords/>
  <dc:description/>
  <cp:lastModifiedBy>Książek Katarzyna</cp:lastModifiedBy>
  <cp:revision>2</cp:revision>
  <dcterms:created xsi:type="dcterms:W3CDTF">2026-05-08T08:33:00Z</dcterms:created>
  <dcterms:modified xsi:type="dcterms:W3CDTF">2026-05-08T08:33:00Z</dcterms:modified>
</cp:coreProperties>
</file>