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3A819" w14:textId="2B5FF00E" w:rsidR="00FB46AD" w:rsidRPr="00115720" w:rsidRDefault="00FB46AD" w:rsidP="00FC0628">
      <w:pPr>
        <w:spacing w:before="100" w:beforeAutospacing="1" w:after="100" w:afterAutospacing="1" w:line="240" w:lineRule="auto"/>
        <w:jc w:val="center"/>
        <w:rPr>
          <w:rFonts w:asciiTheme="majorHAnsi" w:eastAsia="Times New Roman" w:hAnsiTheme="majorHAnsi" w:cstheme="majorHAnsi"/>
          <w:b/>
          <w:bCs/>
          <w:lang w:val="en-US" w:eastAsia="pl-PL"/>
        </w:rPr>
      </w:pPr>
    </w:p>
    <w:p w14:paraId="73C9F4A1" w14:textId="348FB8C6" w:rsidR="00FC0628" w:rsidRPr="00115720" w:rsidRDefault="00FC0628" w:rsidP="00FC0628">
      <w:pPr>
        <w:spacing w:before="100" w:beforeAutospacing="1" w:after="100" w:afterAutospacing="1" w:line="240" w:lineRule="auto"/>
        <w:jc w:val="center"/>
        <w:rPr>
          <w:rFonts w:asciiTheme="majorHAnsi" w:eastAsia="Times New Roman" w:hAnsiTheme="majorHAnsi" w:cstheme="majorHAnsi"/>
          <w:b/>
          <w:bCs/>
          <w:lang w:val="en-US" w:eastAsia="pl-PL"/>
        </w:rPr>
      </w:pPr>
      <w:r w:rsidRPr="00115720">
        <w:rPr>
          <w:rFonts w:asciiTheme="majorHAnsi" w:eastAsia="Times New Roman" w:hAnsiTheme="majorHAnsi" w:cstheme="majorHAnsi"/>
          <w:b/>
          <w:bCs/>
          <w:lang w:val="en-US" w:eastAsia="pl-PL"/>
        </w:rPr>
        <w:t>THE NATIONAL CENTRE FOR RESEARCH AND DEVELOPMENT AS</w:t>
      </w:r>
      <w:r w:rsidRPr="00115720">
        <w:rPr>
          <w:rFonts w:asciiTheme="majorHAnsi" w:eastAsia="Times New Roman" w:hAnsiTheme="majorHAnsi" w:cstheme="majorHAnsi"/>
          <w:b/>
          <w:bCs/>
          <w:lang w:val="en-US" w:eastAsia="pl-PL"/>
        </w:rPr>
        <w:br/>
        <w:t xml:space="preserve">PROGRAMME OPERATOR OF THE </w:t>
      </w:r>
      <w:r w:rsidR="00220F0E" w:rsidRPr="00115720">
        <w:rPr>
          <w:rFonts w:asciiTheme="majorHAnsi" w:eastAsia="Times New Roman" w:hAnsiTheme="majorHAnsi" w:cstheme="majorHAnsi"/>
          <w:b/>
          <w:bCs/>
          <w:lang w:val="en-US" w:eastAsia="pl-PL"/>
        </w:rPr>
        <w:t>PROGRAMME ‘</w:t>
      </w:r>
      <w:r w:rsidRPr="00115720">
        <w:rPr>
          <w:rFonts w:asciiTheme="majorHAnsi" w:eastAsia="Times New Roman" w:hAnsiTheme="majorHAnsi" w:cstheme="majorHAnsi"/>
          <w:b/>
          <w:bCs/>
          <w:lang w:val="en-US" w:eastAsia="pl-PL"/>
        </w:rPr>
        <w:t>APPLIED RESEARCH</w:t>
      </w:r>
      <w:r w:rsidR="00220F0E" w:rsidRPr="00115720">
        <w:rPr>
          <w:rFonts w:asciiTheme="majorHAnsi" w:eastAsia="Times New Roman" w:hAnsiTheme="majorHAnsi" w:cstheme="majorHAnsi"/>
          <w:b/>
          <w:bCs/>
          <w:lang w:val="en-US" w:eastAsia="pl-PL"/>
        </w:rPr>
        <w:t>’</w:t>
      </w:r>
      <w:r w:rsidRPr="00115720">
        <w:rPr>
          <w:rFonts w:asciiTheme="majorHAnsi" w:eastAsia="Times New Roman" w:hAnsiTheme="majorHAnsi" w:cstheme="majorHAnsi"/>
          <w:b/>
          <w:bCs/>
          <w:lang w:val="en-US" w:eastAsia="pl-PL"/>
        </w:rPr>
        <w:t xml:space="preserve"> </w:t>
      </w:r>
      <w:r w:rsidRPr="00115720">
        <w:rPr>
          <w:rFonts w:asciiTheme="majorHAnsi" w:eastAsia="Times New Roman" w:hAnsiTheme="majorHAnsi" w:cstheme="majorHAnsi"/>
          <w:b/>
          <w:bCs/>
          <w:lang w:val="en-US" w:eastAsia="pl-PL"/>
        </w:rPr>
        <w:br/>
        <w:t>IMPLEMENTED UNDER THE NORWEGIAN FINANCIAL MECHANISM 2014-2021</w:t>
      </w:r>
      <w:r w:rsidRPr="00115720">
        <w:rPr>
          <w:rFonts w:asciiTheme="majorHAnsi" w:eastAsia="Times New Roman" w:hAnsiTheme="majorHAnsi" w:cstheme="majorHAnsi"/>
          <w:b/>
          <w:bCs/>
          <w:lang w:val="en-US" w:eastAsia="pl-PL"/>
        </w:rPr>
        <w:br/>
      </w:r>
      <w:r w:rsidRPr="00115720">
        <w:rPr>
          <w:rFonts w:asciiTheme="majorHAnsi" w:eastAsia="Times New Roman" w:hAnsiTheme="majorHAnsi" w:cstheme="majorHAnsi"/>
          <w:b/>
          <w:bCs/>
          <w:lang w:val="en-US" w:eastAsia="pl-PL"/>
        </w:rPr>
        <w:br/>
        <w:t>ANNOUNCES</w:t>
      </w:r>
      <w:r w:rsidRPr="00115720">
        <w:rPr>
          <w:rFonts w:asciiTheme="majorHAnsi" w:eastAsia="Times New Roman" w:hAnsiTheme="majorHAnsi" w:cstheme="majorHAnsi"/>
          <w:b/>
          <w:bCs/>
          <w:lang w:val="en-US" w:eastAsia="pl-PL"/>
        </w:rPr>
        <w:br/>
        <w:t xml:space="preserve">THE </w:t>
      </w:r>
      <w:r w:rsidR="00B143A1">
        <w:rPr>
          <w:rFonts w:asciiTheme="majorHAnsi" w:eastAsia="Times New Roman" w:hAnsiTheme="majorHAnsi" w:cstheme="majorHAnsi"/>
          <w:b/>
          <w:bCs/>
          <w:lang w:val="en-US" w:eastAsia="pl-PL"/>
        </w:rPr>
        <w:t>SMALL GRANT SCHEME</w:t>
      </w:r>
      <w:r w:rsidRPr="00115720">
        <w:rPr>
          <w:rFonts w:asciiTheme="majorHAnsi" w:eastAsia="Times New Roman" w:hAnsiTheme="majorHAnsi" w:cstheme="majorHAnsi"/>
          <w:b/>
          <w:bCs/>
          <w:lang w:val="en-US" w:eastAsia="pl-PL"/>
        </w:rPr>
        <w:t xml:space="preserve"> CALL FOR PROPOSALS</w:t>
      </w:r>
    </w:p>
    <w:p w14:paraId="25BABD6D" w14:textId="77777777" w:rsidR="00FC0628" w:rsidRPr="00115720" w:rsidRDefault="00FC0628" w:rsidP="00FC0628">
      <w:pPr>
        <w:pStyle w:val="Akapitzlist"/>
        <w:numPr>
          <w:ilvl w:val="1"/>
          <w:numId w:val="10"/>
        </w:numPr>
        <w:rPr>
          <w:rFonts w:asciiTheme="majorHAnsi" w:eastAsia="Times New Roman" w:hAnsiTheme="majorHAnsi" w:cstheme="majorHAnsi"/>
          <w:b/>
          <w:bCs/>
          <w:lang w:val="en-US" w:eastAsia="pl-PL"/>
        </w:rPr>
      </w:pPr>
      <w:r w:rsidRPr="00115720">
        <w:rPr>
          <w:rFonts w:asciiTheme="majorHAnsi" w:eastAsia="Times New Roman" w:hAnsiTheme="majorHAnsi" w:cstheme="majorHAnsi"/>
          <w:b/>
          <w:bCs/>
          <w:lang w:val="en-US" w:eastAsia="pl-PL"/>
        </w:rPr>
        <w:t xml:space="preserve">Objective of the </w:t>
      </w:r>
      <w:proofErr w:type="spellStart"/>
      <w:r w:rsidRPr="00115720">
        <w:rPr>
          <w:rFonts w:asciiTheme="majorHAnsi" w:eastAsia="Times New Roman" w:hAnsiTheme="majorHAnsi" w:cstheme="majorHAnsi"/>
          <w:b/>
          <w:bCs/>
          <w:lang w:val="en-US" w:eastAsia="pl-PL"/>
        </w:rPr>
        <w:t>Programme</w:t>
      </w:r>
      <w:proofErr w:type="spellEnd"/>
    </w:p>
    <w:p w14:paraId="59C4056D" w14:textId="77777777" w:rsidR="00B143A1" w:rsidRDefault="00B162C1" w:rsidP="00734A9E">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 xml:space="preserve">The </w:t>
      </w:r>
      <w:proofErr w:type="spellStart"/>
      <w:r w:rsidR="00450FC1" w:rsidRPr="00115720">
        <w:rPr>
          <w:rFonts w:asciiTheme="majorHAnsi" w:eastAsia="Times New Roman" w:hAnsiTheme="majorHAnsi" w:cstheme="majorHAnsi"/>
          <w:lang w:val="en-US" w:eastAsia="pl-PL"/>
        </w:rPr>
        <w:t>Programme</w:t>
      </w:r>
      <w:proofErr w:type="spellEnd"/>
      <w:r w:rsidR="00450FC1" w:rsidRPr="00115720">
        <w:rPr>
          <w:rFonts w:asciiTheme="majorHAnsi" w:eastAsia="Times New Roman" w:hAnsiTheme="majorHAnsi" w:cstheme="majorHAnsi"/>
          <w:lang w:val="en-US" w:eastAsia="pl-PL"/>
        </w:rPr>
        <w:t xml:space="preserve"> ‘</w:t>
      </w:r>
      <w:r w:rsidRPr="00115720">
        <w:rPr>
          <w:rFonts w:asciiTheme="majorHAnsi" w:eastAsia="Times New Roman" w:hAnsiTheme="majorHAnsi" w:cstheme="majorHAnsi"/>
          <w:lang w:val="en-US" w:eastAsia="pl-PL"/>
        </w:rPr>
        <w:t>Appli</w:t>
      </w:r>
      <w:r w:rsidR="00220F0E" w:rsidRPr="00115720">
        <w:rPr>
          <w:rFonts w:asciiTheme="majorHAnsi" w:eastAsia="Times New Roman" w:hAnsiTheme="majorHAnsi" w:cstheme="majorHAnsi"/>
          <w:lang w:val="en-US" w:eastAsia="pl-PL"/>
        </w:rPr>
        <w:t>ed Research</w:t>
      </w:r>
      <w:r w:rsidR="00450FC1" w:rsidRPr="00115720">
        <w:rPr>
          <w:rFonts w:asciiTheme="majorHAnsi" w:eastAsia="Times New Roman" w:hAnsiTheme="majorHAnsi" w:cstheme="majorHAnsi"/>
          <w:lang w:val="en-US" w:eastAsia="pl-PL"/>
        </w:rPr>
        <w:t>’</w:t>
      </w:r>
      <w:r w:rsidR="00220F0E" w:rsidRPr="00115720">
        <w:rPr>
          <w:rFonts w:asciiTheme="majorHAnsi" w:eastAsia="Times New Roman" w:hAnsiTheme="majorHAnsi" w:cstheme="majorHAnsi"/>
          <w:lang w:val="en-US" w:eastAsia="pl-PL"/>
        </w:rPr>
        <w:t xml:space="preserve"> has been </w:t>
      </w:r>
      <w:r w:rsidRPr="00115720">
        <w:rPr>
          <w:rFonts w:asciiTheme="majorHAnsi" w:eastAsia="Times New Roman" w:hAnsiTheme="majorHAnsi" w:cstheme="majorHAnsi"/>
          <w:lang w:val="en-US" w:eastAsia="pl-PL"/>
        </w:rPr>
        <w:t xml:space="preserve">established under the priority sector Innovation, Research, Education and Competitiveness. </w:t>
      </w:r>
      <w:r w:rsidR="00BB2328" w:rsidRPr="00115720">
        <w:rPr>
          <w:rFonts w:asciiTheme="majorHAnsi" w:eastAsia="Times New Roman" w:hAnsiTheme="majorHAnsi" w:cstheme="majorHAnsi"/>
          <w:lang w:val="en-US" w:eastAsia="pl-PL"/>
        </w:rPr>
        <w:t xml:space="preserve">The objective </w:t>
      </w:r>
      <w:r w:rsidR="00A078EB" w:rsidRPr="00115720">
        <w:rPr>
          <w:rFonts w:asciiTheme="majorHAnsi" w:eastAsia="Times New Roman" w:hAnsiTheme="majorHAnsi" w:cstheme="majorHAnsi"/>
          <w:lang w:val="en-US" w:eastAsia="pl-PL"/>
        </w:rPr>
        <w:t xml:space="preserve">of </w:t>
      </w:r>
      <w:proofErr w:type="spellStart"/>
      <w:r w:rsidR="00450FC1" w:rsidRPr="00115720">
        <w:rPr>
          <w:rFonts w:asciiTheme="majorHAnsi" w:eastAsia="Times New Roman" w:hAnsiTheme="majorHAnsi" w:cstheme="majorHAnsi"/>
          <w:lang w:val="en-US" w:eastAsia="pl-PL"/>
        </w:rPr>
        <w:t>Programme</w:t>
      </w:r>
      <w:proofErr w:type="spellEnd"/>
      <w:r w:rsidR="00450FC1" w:rsidRPr="00115720">
        <w:rPr>
          <w:rFonts w:asciiTheme="majorHAnsi" w:eastAsia="Times New Roman" w:hAnsiTheme="majorHAnsi" w:cstheme="majorHAnsi"/>
          <w:lang w:val="en-US" w:eastAsia="pl-PL"/>
        </w:rPr>
        <w:t xml:space="preserve"> ‘Applied Research’ </w:t>
      </w:r>
      <w:r w:rsidR="00BB2328" w:rsidRPr="00115720">
        <w:rPr>
          <w:rFonts w:asciiTheme="majorHAnsi" w:eastAsia="Times New Roman" w:hAnsiTheme="majorHAnsi" w:cstheme="majorHAnsi"/>
          <w:lang w:val="en-US" w:eastAsia="pl-PL"/>
        </w:rPr>
        <w:t xml:space="preserve">is </w:t>
      </w:r>
      <w:r w:rsidR="00450FC1" w:rsidRPr="00115720">
        <w:rPr>
          <w:rFonts w:asciiTheme="majorHAnsi" w:eastAsia="Times New Roman" w:hAnsiTheme="majorHAnsi" w:cstheme="majorHAnsi"/>
          <w:lang w:val="en-US" w:eastAsia="pl-PL"/>
        </w:rPr>
        <w:t xml:space="preserve">to </w:t>
      </w:r>
      <w:r w:rsidR="00BB2328" w:rsidRPr="00115720">
        <w:rPr>
          <w:rFonts w:asciiTheme="majorHAnsi" w:eastAsia="Times New Roman" w:hAnsiTheme="majorHAnsi" w:cstheme="majorHAnsi"/>
          <w:lang w:val="en-US" w:eastAsia="pl-PL"/>
        </w:rPr>
        <w:t>enhance performance of Polish applied research in Poland</w:t>
      </w:r>
      <w:r w:rsidR="00B143A1">
        <w:rPr>
          <w:rFonts w:asciiTheme="majorHAnsi" w:eastAsia="Times New Roman" w:hAnsiTheme="majorHAnsi" w:cstheme="majorHAnsi"/>
          <w:lang w:val="en-US" w:eastAsia="pl-PL"/>
        </w:rPr>
        <w:t xml:space="preserve">. </w:t>
      </w:r>
      <w:r w:rsidR="00B143A1" w:rsidRPr="00B143A1">
        <w:rPr>
          <w:rFonts w:asciiTheme="majorHAnsi" w:eastAsia="Times New Roman" w:hAnsiTheme="majorHAnsi" w:cstheme="majorHAnsi"/>
          <w:lang w:val="en-US" w:eastAsia="pl-PL"/>
        </w:rPr>
        <w:t xml:space="preserve">One of the challenges that the Polish scientific community faces is to increase the share of female researchers, both in terms of the number, and in terms of their professional role in technical sciences. Technical sciences are the least feminized in comparison to other areas of science. Therefore measures designed to tackle the challenge should take advantage of female researchers’ potential and support their career advancement. </w:t>
      </w:r>
    </w:p>
    <w:p w14:paraId="0801B8AC" w14:textId="50C21750" w:rsidR="00B162C1" w:rsidRDefault="00B143A1" w:rsidP="00734A9E">
      <w:pPr>
        <w:spacing w:before="100" w:beforeAutospacing="1" w:after="100" w:afterAutospacing="1" w:line="240" w:lineRule="auto"/>
        <w:jc w:val="both"/>
        <w:rPr>
          <w:rFonts w:asciiTheme="majorHAnsi" w:eastAsia="Times New Roman" w:hAnsiTheme="majorHAnsi" w:cstheme="majorHAnsi"/>
          <w:lang w:val="en-US" w:eastAsia="pl-PL"/>
        </w:rPr>
      </w:pPr>
      <w:r>
        <w:rPr>
          <w:rFonts w:asciiTheme="majorHAnsi" w:eastAsia="Times New Roman" w:hAnsiTheme="majorHAnsi" w:cstheme="majorHAnsi"/>
          <w:lang w:val="en-US" w:eastAsia="pl-PL"/>
        </w:rPr>
        <w:t xml:space="preserve">The Small Grant Scheme (SGS) Call will support applied research projects led by female scientists in technical sciences. </w:t>
      </w:r>
      <w:r w:rsidR="00A96740">
        <w:rPr>
          <w:rFonts w:asciiTheme="majorHAnsi" w:eastAsia="Times New Roman" w:hAnsiTheme="majorHAnsi" w:cstheme="majorHAnsi"/>
          <w:lang w:val="en-US" w:eastAsia="pl-PL"/>
        </w:rPr>
        <w:t>The projects will contribute to development of scientific research in Poland, as well as strengthen the scientific career prospects of female researchers involved. It is expected that involvement in SGS projects</w:t>
      </w:r>
      <w:r>
        <w:rPr>
          <w:rFonts w:asciiTheme="majorHAnsi" w:eastAsia="Times New Roman" w:hAnsiTheme="majorHAnsi" w:cstheme="majorHAnsi"/>
          <w:lang w:val="en-US" w:eastAsia="pl-PL"/>
        </w:rPr>
        <w:t xml:space="preserve"> </w:t>
      </w:r>
      <w:r w:rsidR="00A96740">
        <w:rPr>
          <w:rFonts w:asciiTheme="majorHAnsi" w:eastAsia="Times New Roman" w:hAnsiTheme="majorHAnsi" w:cstheme="majorHAnsi"/>
          <w:lang w:val="en-US" w:eastAsia="pl-PL"/>
        </w:rPr>
        <w:t>will allow the female researchers to progress in their scientific career, possibly completing important career steps like obtaining the PhD title, graduating from post-doctoral studies or being granted a title of professor.</w:t>
      </w:r>
      <w:r>
        <w:rPr>
          <w:rFonts w:asciiTheme="majorHAnsi" w:eastAsia="Times New Roman" w:hAnsiTheme="majorHAnsi" w:cstheme="majorHAnsi"/>
          <w:lang w:val="en-US" w:eastAsia="pl-PL"/>
        </w:rPr>
        <w:t xml:space="preserve"> </w:t>
      </w:r>
    </w:p>
    <w:p w14:paraId="41053D71" w14:textId="52CC3657" w:rsidR="006F3EF4" w:rsidRDefault="006F3EF4" w:rsidP="00734A9E">
      <w:pPr>
        <w:spacing w:before="100" w:beforeAutospacing="1" w:after="100" w:afterAutospacing="1" w:line="240" w:lineRule="auto"/>
        <w:jc w:val="both"/>
        <w:rPr>
          <w:rFonts w:asciiTheme="majorHAnsi" w:eastAsia="Times New Roman" w:hAnsiTheme="majorHAnsi" w:cstheme="majorHAnsi"/>
          <w:lang w:val="en-US" w:eastAsia="pl-PL"/>
        </w:rPr>
      </w:pPr>
      <w:r>
        <w:rPr>
          <w:rFonts w:asciiTheme="majorHAnsi" w:eastAsia="Times New Roman" w:hAnsiTheme="majorHAnsi" w:cstheme="majorHAnsi"/>
          <w:lang w:val="en-US" w:eastAsia="pl-PL"/>
        </w:rPr>
        <w:t xml:space="preserve">The Small Grant Scheme, through its realization, will contribute to the following Outcomes and Outputs of the </w:t>
      </w:r>
      <w:proofErr w:type="spellStart"/>
      <w:r>
        <w:rPr>
          <w:rFonts w:asciiTheme="majorHAnsi" w:eastAsia="Times New Roman" w:hAnsiTheme="majorHAnsi" w:cstheme="majorHAnsi"/>
          <w:lang w:val="en-US" w:eastAsia="pl-PL"/>
        </w:rPr>
        <w:t>Programme</w:t>
      </w:r>
      <w:proofErr w:type="spellEnd"/>
      <w:r>
        <w:rPr>
          <w:rFonts w:asciiTheme="majorHAnsi" w:eastAsia="Times New Roman" w:hAnsiTheme="majorHAnsi" w:cstheme="majorHAnsi"/>
          <w:lang w:val="en-US" w:eastAsia="pl-PL"/>
        </w:rPr>
        <w:t>:</w:t>
      </w:r>
    </w:p>
    <w:tbl>
      <w:tblPr>
        <w:tblStyle w:val="Tabela-Siatka"/>
        <w:tblW w:w="9067" w:type="dxa"/>
        <w:tblLook w:val="04A0" w:firstRow="1" w:lastRow="0" w:firstColumn="1" w:lastColumn="0" w:noHBand="0" w:noVBand="1"/>
      </w:tblPr>
      <w:tblGrid>
        <w:gridCol w:w="3964"/>
        <w:gridCol w:w="5103"/>
      </w:tblGrid>
      <w:tr w:rsidR="00731D9A" w14:paraId="477125A2" w14:textId="77777777" w:rsidTr="00731D9A">
        <w:tc>
          <w:tcPr>
            <w:tcW w:w="3964" w:type="dxa"/>
          </w:tcPr>
          <w:p w14:paraId="192CD3BE" w14:textId="3AE677D1" w:rsidR="00731D9A"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r>
              <w:rPr>
                <w:rFonts w:asciiTheme="majorHAnsi" w:eastAsia="Times New Roman" w:hAnsiTheme="majorHAnsi" w:cstheme="majorHAnsi"/>
                <w:lang w:val="en-GB" w:eastAsia="pl-PL"/>
              </w:rPr>
              <w:t>Expected Programme Results</w:t>
            </w:r>
          </w:p>
        </w:tc>
        <w:tc>
          <w:tcPr>
            <w:tcW w:w="5103" w:type="dxa"/>
          </w:tcPr>
          <w:p w14:paraId="67C3E315" w14:textId="37049103" w:rsidR="00731D9A"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r>
              <w:rPr>
                <w:rFonts w:asciiTheme="majorHAnsi" w:eastAsia="Times New Roman" w:hAnsiTheme="majorHAnsi" w:cstheme="majorHAnsi"/>
                <w:lang w:val="en-GB" w:eastAsia="pl-PL"/>
              </w:rPr>
              <w:t>Indicator</w:t>
            </w:r>
          </w:p>
        </w:tc>
      </w:tr>
      <w:tr w:rsidR="00731D9A" w:rsidRPr="00D47CBE" w14:paraId="4C26CFDF" w14:textId="77777777" w:rsidTr="00731D9A">
        <w:tc>
          <w:tcPr>
            <w:tcW w:w="3964" w:type="dxa"/>
          </w:tcPr>
          <w:p w14:paraId="5ABD8746" w14:textId="7B5F097A" w:rsidR="00731D9A"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r>
              <w:rPr>
                <w:rFonts w:asciiTheme="majorHAnsi" w:eastAsia="Times New Roman" w:hAnsiTheme="majorHAnsi" w:cstheme="majorHAnsi"/>
                <w:lang w:val="en-GB" w:eastAsia="pl-PL"/>
              </w:rPr>
              <w:t>“Enhanced research-based knowledge development”</w:t>
            </w:r>
          </w:p>
        </w:tc>
        <w:tc>
          <w:tcPr>
            <w:tcW w:w="5103" w:type="dxa"/>
          </w:tcPr>
          <w:p w14:paraId="33FB76F3" w14:textId="77777777" w:rsidR="00731D9A"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p>
        </w:tc>
      </w:tr>
      <w:tr w:rsidR="00731D9A" w:rsidRPr="00D47CBE" w14:paraId="3B6FDB9D" w14:textId="77777777" w:rsidTr="00731D9A">
        <w:tc>
          <w:tcPr>
            <w:tcW w:w="3964" w:type="dxa"/>
            <w:vMerge w:val="restart"/>
          </w:tcPr>
          <w:p w14:paraId="080186EA" w14:textId="7DF91D47" w:rsidR="00731D9A"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r>
              <w:rPr>
                <w:rFonts w:asciiTheme="majorHAnsi" w:eastAsia="Times New Roman" w:hAnsiTheme="majorHAnsi" w:cstheme="majorHAnsi"/>
                <w:lang w:val="en-GB" w:eastAsia="pl-PL"/>
              </w:rPr>
              <w:t xml:space="preserve">Outcome 1: </w:t>
            </w:r>
            <w:r w:rsidRPr="00B17C62">
              <w:rPr>
                <w:rFonts w:asciiTheme="majorHAnsi" w:eastAsia="Times New Roman" w:hAnsiTheme="majorHAnsi" w:cstheme="majorHAnsi"/>
                <w:lang w:val="en-GB" w:eastAsia="pl-PL"/>
              </w:rPr>
              <w:t>Enhanced performance of Polish applied research</w:t>
            </w:r>
          </w:p>
        </w:tc>
        <w:tc>
          <w:tcPr>
            <w:tcW w:w="5103" w:type="dxa"/>
          </w:tcPr>
          <w:p w14:paraId="3DA17DE0" w14:textId="2FBB432B" w:rsidR="00731D9A"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r w:rsidRPr="00B17C62">
              <w:rPr>
                <w:rFonts w:asciiTheme="majorHAnsi" w:eastAsia="Times New Roman" w:hAnsiTheme="majorHAnsi" w:cstheme="majorHAnsi"/>
                <w:lang w:val="en-GB" w:eastAsia="pl-PL"/>
              </w:rPr>
              <w:t>Number of peer-reviewed scientific publications submitted (disaggregated by type of scientific publication)</w:t>
            </w:r>
          </w:p>
        </w:tc>
      </w:tr>
      <w:tr w:rsidR="00731D9A" w:rsidRPr="00D47CBE" w14:paraId="3FA65E0A" w14:textId="77777777" w:rsidTr="00731D9A">
        <w:tc>
          <w:tcPr>
            <w:tcW w:w="3964" w:type="dxa"/>
            <w:vMerge/>
          </w:tcPr>
          <w:p w14:paraId="4D48F6EB" w14:textId="77777777" w:rsidR="00731D9A"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p>
        </w:tc>
        <w:tc>
          <w:tcPr>
            <w:tcW w:w="5103" w:type="dxa"/>
          </w:tcPr>
          <w:p w14:paraId="033569E5" w14:textId="1170802C" w:rsidR="00731D9A" w:rsidRPr="00B17C62"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r w:rsidRPr="00B17C62">
              <w:rPr>
                <w:rFonts w:asciiTheme="majorHAnsi" w:eastAsia="Times New Roman" w:hAnsiTheme="majorHAnsi" w:cstheme="majorHAnsi"/>
                <w:lang w:val="en-GB" w:eastAsia="pl-PL"/>
              </w:rPr>
              <w:t>Number of new products/technologies developed</w:t>
            </w:r>
          </w:p>
        </w:tc>
      </w:tr>
      <w:tr w:rsidR="00731D9A" w:rsidRPr="00D47CBE" w14:paraId="073A87C0" w14:textId="77777777" w:rsidTr="00731D9A">
        <w:tc>
          <w:tcPr>
            <w:tcW w:w="3964" w:type="dxa"/>
            <w:vMerge/>
          </w:tcPr>
          <w:p w14:paraId="6C727042" w14:textId="77777777" w:rsidR="00731D9A"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p>
        </w:tc>
        <w:tc>
          <w:tcPr>
            <w:tcW w:w="5103" w:type="dxa"/>
          </w:tcPr>
          <w:p w14:paraId="7D4990E1" w14:textId="4486452E" w:rsidR="00731D9A" w:rsidRPr="00B17C62"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r w:rsidRPr="00B17C62">
              <w:rPr>
                <w:rFonts w:asciiTheme="majorHAnsi" w:eastAsia="Times New Roman" w:hAnsiTheme="majorHAnsi" w:cstheme="majorHAnsi"/>
                <w:lang w:val="en-GB" w:eastAsia="pl-PL"/>
              </w:rPr>
              <w:t>Number of registered applications for Intellectual Property Protection</w:t>
            </w:r>
          </w:p>
        </w:tc>
      </w:tr>
      <w:tr w:rsidR="00731D9A" w14:paraId="7BC6D416" w14:textId="77777777" w:rsidTr="00731D9A">
        <w:tc>
          <w:tcPr>
            <w:tcW w:w="3964" w:type="dxa"/>
          </w:tcPr>
          <w:p w14:paraId="6B769156" w14:textId="1540CA55" w:rsidR="00731D9A"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r>
              <w:rPr>
                <w:rFonts w:asciiTheme="majorHAnsi" w:eastAsia="Times New Roman" w:hAnsiTheme="majorHAnsi" w:cstheme="majorHAnsi"/>
                <w:lang w:val="en-GB" w:eastAsia="pl-PL"/>
              </w:rPr>
              <w:t xml:space="preserve">Output 1.1: </w:t>
            </w:r>
            <w:r w:rsidRPr="00B17C62">
              <w:rPr>
                <w:rFonts w:asciiTheme="majorHAnsi" w:eastAsia="Times New Roman" w:hAnsiTheme="majorHAnsi" w:cstheme="majorHAnsi"/>
                <w:lang w:val="en-GB" w:eastAsia="pl-PL"/>
              </w:rPr>
              <w:t>Support to technology transfer for applied research to R&amp;D based SMEs provided</w:t>
            </w:r>
          </w:p>
        </w:tc>
        <w:tc>
          <w:tcPr>
            <w:tcW w:w="5103" w:type="dxa"/>
          </w:tcPr>
          <w:p w14:paraId="3EB2801C" w14:textId="25D6BA66" w:rsidR="00731D9A"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r w:rsidRPr="00B17C62">
              <w:rPr>
                <w:rFonts w:asciiTheme="majorHAnsi" w:eastAsia="Times New Roman" w:hAnsiTheme="majorHAnsi" w:cstheme="majorHAnsi"/>
                <w:lang w:val="en-GB" w:eastAsia="pl-PL"/>
              </w:rPr>
              <w:t>Number of SMEs supported</w:t>
            </w:r>
          </w:p>
        </w:tc>
      </w:tr>
      <w:tr w:rsidR="00731D9A" w:rsidRPr="00D47CBE" w14:paraId="2ADACEA8" w14:textId="77777777" w:rsidTr="00731D9A">
        <w:tc>
          <w:tcPr>
            <w:tcW w:w="3964" w:type="dxa"/>
          </w:tcPr>
          <w:p w14:paraId="15C33B84" w14:textId="7C9EEB42" w:rsidR="00731D9A"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r w:rsidRPr="00B17C62">
              <w:rPr>
                <w:rFonts w:asciiTheme="majorHAnsi" w:eastAsia="Times New Roman" w:hAnsiTheme="majorHAnsi" w:cstheme="majorHAnsi"/>
                <w:lang w:val="en-GB" w:eastAsia="pl-PL"/>
              </w:rPr>
              <w:t>Output 1.2</w:t>
            </w:r>
            <w:r>
              <w:rPr>
                <w:rFonts w:asciiTheme="majorHAnsi" w:eastAsia="Times New Roman" w:hAnsiTheme="majorHAnsi" w:cstheme="majorHAnsi"/>
                <w:lang w:val="en-GB" w:eastAsia="pl-PL"/>
              </w:rPr>
              <w:t xml:space="preserve">: </w:t>
            </w:r>
            <w:r w:rsidRPr="00B17C62">
              <w:rPr>
                <w:rFonts w:asciiTheme="majorHAnsi" w:eastAsia="Times New Roman" w:hAnsiTheme="majorHAnsi" w:cstheme="majorHAnsi"/>
                <w:lang w:val="en-GB" w:eastAsia="pl-PL"/>
              </w:rPr>
              <w:t>Support to researchers conducting applied research provided</w:t>
            </w:r>
          </w:p>
        </w:tc>
        <w:tc>
          <w:tcPr>
            <w:tcW w:w="5103" w:type="dxa"/>
          </w:tcPr>
          <w:p w14:paraId="7DCF039A" w14:textId="74E5A91C" w:rsidR="00731D9A"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r w:rsidRPr="00B17C62">
              <w:rPr>
                <w:rFonts w:asciiTheme="majorHAnsi" w:eastAsia="Times New Roman" w:hAnsiTheme="majorHAnsi" w:cstheme="majorHAnsi"/>
                <w:lang w:val="en-GB" w:eastAsia="pl-PL"/>
              </w:rPr>
              <w:t>Number of Polish researchers supported (disaggregated by gender)</w:t>
            </w:r>
          </w:p>
        </w:tc>
      </w:tr>
      <w:tr w:rsidR="00731D9A" w:rsidRPr="00D47CBE" w14:paraId="1F252FA0" w14:textId="77777777" w:rsidTr="00731D9A">
        <w:tc>
          <w:tcPr>
            <w:tcW w:w="3964" w:type="dxa"/>
          </w:tcPr>
          <w:p w14:paraId="2736C39F" w14:textId="79EA402C" w:rsidR="00731D9A" w:rsidRPr="00B17C62"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r>
              <w:rPr>
                <w:rFonts w:asciiTheme="majorHAnsi" w:eastAsia="Times New Roman" w:hAnsiTheme="majorHAnsi" w:cstheme="majorHAnsi"/>
                <w:lang w:val="en-GB" w:eastAsia="pl-PL"/>
              </w:rPr>
              <w:t xml:space="preserve">Output 1.3: </w:t>
            </w:r>
            <w:r w:rsidRPr="00B17C62">
              <w:rPr>
                <w:rFonts w:asciiTheme="majorHAnsi" w:eastAsia="Times New Roman" w:hAnsiTheme="majorHAnsi" w:cstheme="majorHAnsi"/>
                <w:lang w:val="en-GB" w:eastAsia="pl-PL"/>
              </w:rPr>
              <w:t>Support to women researchers provided</w:t>
            </w:r>
          </w:p>
        </w:tc>
        <w:tc>
          <w:tcPr>
            <w:tcW w:w="5103" w:type="dxa"/>
          </w:tcPr>
          <w:p w14:paraId="7AFB7443" w14:textId="5C6BB48D" w:rsidR="00731D9A"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r w:rsidRPr="00B17C62">
              <w:rPr>
                <w:rFonts w:asciiTheme="majorHAnsi" w:eastAsia="Times New Roman" w:hAnsiTheme="majorHAnsi" w:cstheme="majorHAnsi"/>
                <w:lang w:val="en-GB" w:eastAsia="pl-PL"/>
              </w:rPr>
              <w:t>Number of female researchers supported in applied research projects</w:t>
            </w:r>
          </w:p>
        </w:tc>
      </w:tr>
      <w:tr w:rsidR="00731D9A" w:rsidRPr="00D47CBE" w14:paraId="2F4F22E2" w14:textId="77777777" w:rsidTr="00731D9A">
        <w:tc>
          <w:tcPr>
            <w:tcW w:w="3964" w:type="dxa"/>
          </w:tcPr>
          <w:p w14:paraId="63663EA2" w14:textId="46A47B62" w:rsidR="00731D9A"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r>
              <w:rPr>
                <w:rFonts w:asciiTheme="majorHAnsi" w:eastAsia="Times New Roman" w:hAnsiTheme="majorHAnsi" w:cstheme="majorHAnsi"/>
                <w:lang w:val="en-GB" w:eastAsia="pl-PL"/>
              </w:rPr>
              <w:t xml:space="preserve">Output 1.4: </w:t>
            </w:r>
            <w:r w:rsidRPr="00B17C62">
              <w:rPr>
                <w:rFonts w:asciiTheme="majorHAnsi" w:eastAsia="Times New Roman" w:hAnsiTheme="majorHAnsi" w:cstheme="majorHAnsi"/>
                <w:lang w:val="en-GB" w:eastAsia="pl-PL"/>
              </w:rPr>
              <w:t>Support to young researchers provided</w:t>
            </w:r>
          </w:p>
        </w:tc>
        <w:tc>
          <w:tcPr>
            <w:tcW w:w="5103" w:type="dxa"/>
          </w:tcPr>
          <w:p w14:paraId="647DC8EE" w14:textId="24063CC2" w:rsidR="00731D9A" w:rsidRPr="00B17C62" w:rsidRDefault="00731D9A" w:rsidP="00734A9E">
            <w:pPr>
              <w:spacing w:before="100" w:beforeAutospacing="1" w:after="100" w:afterAutospacing="1" w:line="240" w:lineRule="auto"/>
              <w:jc w:val="both"/>
              <w:rPr>
                <w:rFonts w:asciiTheme="majorHAnsi" w:eastAsia="Times New Roman" w:hAnsiTheme="majorHAnsi" w:cstheme="majorHAnsi"/>
                <w:lang w:val="en-GB" w:eastAsia="pl-PL"/>
              </w:rPr>
            </w:pPr>
            <w:r w:rsidRPr="00B17C62">
              <w:rPr>
                <w:rFonts w:asciiTheme="majorHAnsi" w:eastAsia="Times New Roman" w:hAnsiTheme="majorHAnsi" w:cstheme="majorHAnsi"/>
                <w:lang w:val="en-GB" w:eastAsia="pl-PL"/>
              </w:rPr>
              <w:t>Number of grant projects lead by young researchers</w:t>
            </w:r>
          </w:p>
        </w:tc>
      </w:tr>
    </w:tbl>
    <w:p w14:paraId="7F4D7A3F" w14:textId="77777777" w:rsidR="006F3EF4" w:rsidRPr="006F3EF4" w:rsidRDefault="006F3EF4" w:rsidP="00734A9E">
      <w:pPr>
        <w:spacing w:before="100" w:beforeAutospacing="1" w:after="100" w:afterAutospacing="1" w:line="240" w:lineRule="auto"/>
        <w:jc w:val="both"/>
        <w:rPr>
          <w:rFonts w:asciiTheme="majorHAnsi" w:eastAsia="Times New Roman" w:hAnsiTheme="majorHAnsi" w:cstheme="majorHAnsi"/>
          <w:lang w:val="en-GB" w:eastAsia="pl-PL"/>
        </w:rPr>
      </w:pPr>
    </w:p>
    <w:p w14:paraId="285C13A2" w14:textId="71B01D90" w:rsidR="004B54E5" w:rsidRPr="00115720" w:rsidRDefault="004B54E5" w:rsidP="004B54E5">
      <w:pPr>
        <w:pStyle w:val="Akapitzlist"/>
        <w:spacing w:before="100" w:beforeAutospacing="1" w:after="100" w:afterAutospacing="1" w:line="240" w:lineRule="auto"/>
        <w:ind w:left="1425"/>
        <w:jc w:val="both"/>
        <w:rPr>
          <w:rFonts w:asciiTheme="majorHAnsi" w:eastAsia="Times New Roman" w:hAnsiTheme="majorHAnsi" w:cstheme="majorHAnsi"/>
          <w:lang w:val="en-GB" w:eastAsia="pl-PL"/>
        </w:rPr>
      </w:pPr>
    </w:p>
    <w:p w14:paraId="6F69F6D4" w14:textId="3D0241AE" w:rsidR="00FC0628" w:rsidRPr="00B56183" w:rsidRDefault="009621DC" w:rsidP="00FC0628">
      <w:pPr>
        <w:pStyle w:val="Akapitzlist"/>
        <w:numPr>
          <w:ilvl w:val="1"/>
          <w:numId w:val="10"/>
        </w:numPr>
        <w:rPr>
          <w:rFonts w:asciiTheme="majorHAnsi" w:hAnsiTheme="majorHAnsi" w:cstheme="majorHAnsi"/>
          <w:lang w:val="en-US"/>
        </w:rPr>
      </w:pPr>
      <w:r w:rsidRPr="00B56183">
        <w:rPr>
          <w:rFonts w:asciiTheme="majorHAnsi" w:eastAsia="Times New Roman" w:hAnsiTheme="majorHAnsi" w:cstheme="majorHAnsi"/>
          <w:b/>
          <w:bCs/>
          <w:lang w:val="en-GB" w:eastAsia="pl-PL"/>
        </w:rPr>
        <w:lastRenderedPageBreak/>
        <w:t>Fields of science eligible in the Call</w:t>
      </w:r>
    </w:p>
    <w:p w14:paraId="6E77A439" w14:textId="040C737E" w:rsidR="009621DC" w:rsidRDefault="009621DC" w:rsidP="00B56183">
      <w:pPr>
        <w:jc w:val="both"/>
        <w:rPr>
          <w:rFonts w:asciiTheme="majorHAnsi" w:hAnsiTheme="majorHAnsi" w:cstheme="majorHAnsi"/>
          <w:lang w:val="en-US"/>
        </w:rPr>
      </w:pPr>
      <w:r>
        <w:rPr>
          <w:rFonts w:asciiTheme="majorHAnsi" w:hAnsiTheme="majorHAnsi" w:cstheme="majorHAnsi"/>
          <w:lang w:val="en-US"/>
        </w:rPr>
        <w:t xml:space="preserve">There are no thematic areas defined in the SGS </w:t>
      </w:r>
      <w:r w:rsidR="00160043">
        <w:rPr>
          <w:rFonts w:asciiTheme="majorHAnsi" w:hAnsiTheme="majorHAnsi" w:cstheme="majorHAnsi"/>
          <w:lang w:val="en-US"/>
        </w:rPr>
        <w:t>C</w:t>
      </w:r>
      <w:r>
        <w:rPr>
          <w:rFonts w:asciiTheme="majorHAnsi" w:hAnsiTheme="majorHAnsi" w:cstheme="majorHAnsi"/>
          <w:lang w:val="en-US"/>
        </w:rPr>
        <w:t xml:space="preserve">all. However, as the Call is dedicated to applied technical sciences, only the fields of science listed as “Engineering and technology” in the </w:t>
      </w:r>
      <w:r w:rsidRPr="009621DC">
        <w:rPr>
          <w:rFonts w:asciiTheme="majorHAnsi" w:hAnsiTheme="majorHAnsi" w:cstheme="majorHAnsi"/>
          <w:lang w:val="en-US"/>
        </w:rPr>
        <w:t xml:space="preserve">“Revised field of science and technology (FOS) classification in the </w:t>
      </w:r>
      <w:proofErr w:type="spellStart"/>
      <w:r w:rsidRPr="009621DC">
        <w:rPr>
          <w:rFonts w:asciiTheme="majorHAnsi" w:hAnsiTheme="majorHAnsi" w:cstheme="majorHAnsi"/>
          <w:lang w:val="en-US"/>
        </w:rPr>
        <w:t>Frascati</w:t>
      </w:r>
      <w:proofErr w:type="spellEnd"/>
      <w:r w:rsidRPr="009621DC">
        <w:rPr>
          <w:rFonts w:asciiTheme="majorHAnsi" w:hAnsiTheme="majorHAnsi" w:cstheme="majorHAnsi"/>
          <w:lang w:val="en-US"/>
        </w:rPr>
        <w:t xml:space="preserve"> manual”</w:t>
      </w:r>
      <w:r>
        <w:rPr>
          <w:rFonts w:asciiTheme="majorHAnsi" w:hAnsiTheme="majorHAnsi" w:cstheme="majorHAnsi"/>
          <w:lang w:val="en-US"/>
        </w:rPr>
        <w:t xml:space="preserve"> published by the Organization for Economic Cooperation and Development (OECD) are considered eligible.</w:t>
      </w:r>
    </w:p>
    <w:p w14:paraId="3161F86C" w14:textId="0CB0B559" w:rsidR="009621DC" w:rsidRPr="00B56183" w:rsidRDefault="009621DC" w:rsidP="009621DC">
      <w:pPr>
        <w:spacing w:line="276" w:lineRule="auto"/>
        <w:jc w:val="both"/>
        <w:rPr>
          <w:rFonts w:ascii="Calibri Light" w:hAnsi="Calibri Light"/>
          <w:lang w:val="en-GB"/>
        </w:rPr>
      </w:pPr>
      <w:r w:rsidRPr="00B56183">
        <w:rPr>
          <w:rFonts w:ascii="Calibri Light" w:hAnsi="Calibri Light"/>
          <w:lang w:val="en-GB"/>
        </w:rPr>
        <w:t>In particular, the Call covers the following</w:t>
      </w:r>
      <w:r w:rsidRPr="00B56183">
        <w:rPr>
          <w:sz w:val="20"/>
          <w:lang w:val="en-GB"/>
        </w:rPr>
        <w:t xml:space="preserve"> </w:t>
      </w:r>
      <w:r w:rsidRPr="00B56183">
        <w:rPr>
          <w:rFonts w:ascii="Calibri Light" w:hAnsi="Calibri Light"/>
          <w:lang w:val="en-GB"/>
        </w:rPr>
        <w:t>fields of science and technology published by the OECD:</w:t>
      </w:r>
    </w:p>
    <w:p w14:paraId="168414B7" w14:textId="77777777" w:rsidR="009621DC" w:rsidRPr="00B56183" w:rsidRDefault="009621DC" w:rsidP="009621DC">
      <w:pPr>
        <w:pStyle w:val="Akapitzlist"/>
        <w:numPr>
          <w:ilvl w:val="0"/>
          <w:numId w:val="28"/>
        </w:numPr>
        <w:spacing w:line="276" w:lineRule="auto"/>
        <w:jc w:val="both"/>
        <w:rPr>
          <w:rFonts w:ascii="Calibri Light" w:hAnsi="Calibri Light"/>
          <w:lang w:val="en-GB"/>
        </w:rPr>
      </w:pPr>
      <w:r w:rsidRPr="00B56183">
        <w:rPr>
          <w:rFonts w:ascii="Calibri Light" w:hAnsi="Calibri Light"/>
          <w:lang w:val="en-GB"/>
        </w:rPr>
        <w:t>Engineering and technology</w:t>
      </w:r>
    </w:p>
    <w:p w14:paraId="641B5CE9" w14:textId="77777777" w:rsidR="009621DC" w:rsidRPr="00B56183" w:rsidRDefault="009621DC" w:rsidP="009621DC">
      <w:pPr>
        <w:pStyle w:val="Akapitzlist"/>
        <w:numPr>
          <w:ilvl w:val="1"/>
          <w:numId w:val="28"/>
        </w:numPr>
        <w:spacing w:line="276" w:lineRule="auto"/>
        <w:ind w:left="170" w:firstLine="0"/>
        <w:jc w:val="both"/>
        <w:rPr>
          <w:rFonts w:ascii="Calibri Light" w:hAnsi="Calibri Light"/>
          <w:lang w:val="en-GB"/>
        </w:rPr>
      </w:pPr>
      <w:r w:rsidRPr="00B56183">
        <w:rPr>
          <w:rFonts w:ascii="Calibri Light" w:hAnsi="Calibri Light"/>
          <w:lang w:val="en-GB"/>
        </w:rPr>
        <w:t>Civil engineering</w:t>
      </w:r>
    </w:p>
    <w:p w14:paraId="08C84BD6" w14:textId="77777777" w:rsidR="009621DC" w:rsidRPr="00B56183" w:rsidRDefault="009621DC" w:rsidP="009621DC">
      <w:pPr>
        <w:pStyle w:val="Akapitzlist"/>
        <w:numPr>
          <w:ilvl w:val="1"/>
          <w:numId w:val="28"/>
        </w:numPr>
        <w:spacing w:line="276" w:lineRule="auto"/>
        <w:ind w:left="170" w:firstLine="0"/>
        <w:jc w:val="both"/>
        <w:rPr>
          <w:rFonts w:ascii="Calibri Light" w:hAnsi="Calibri Light"/>
          <w:lang w:val="en-GB"/>
        </w:rPr>
      </w:pPr>
      <w:r w:rsidRPr="00B56183">
        <w:rPr>
          <w:rFonts w:ascii="Calibri Light" w:hAnsi="Calibri Light"/>
          <w:lang w:val="en-GB"/>
        </w:rPr>
        <w:t>Electrical engineering, Electronic engineering, Information engineering</w:t>
      </w:r>
    </w:p>
    <w:p w14:paraId="07120785" w14:textId="77777777" w:rsidR="009621DC" w:rsidRPr="00B56183" w:rsidRDefault="009621DC" w:rsidP="009621DC">
      <w:pPr>
        <w:pStyle w:val="Akapitzlist"/>
        <w:numPr>
          <w:ilvl w:val="1"/>
          <w:numId w:val="28"/>
        </w:numPr>
        <w:spacing w:line="276" w:lineRule="auto"/>
        <w:ind w:left="170" w:firstLine="0"/>
        <w:jc w:val="both"/>
        <w:rPr>
          <w:rFonts w:ascii="Calibri Light" w:hAnsi="Calibri Light"/>
          <w:lang w:val="en-GB"/>
        </w:rPr>
      </w:pPr>
      <w:r w:rsidRPr="00B56183">
        <w:rPr>
          <w:rFonts w:ascii="Calibri Light" w:hAnsi="Calibri Light"/>
          <w:lang w:val="en-GB"/>
        </w:rPr>
        <w:t>Mechanical engineering</w:t>
      </w:r>
    </w:p>
    <w:p w14:paraId="59B72453" w14:textId="77777777" w:rsidR="009621DC" w:rsidRPr="00B56183" w:rsidRDefault="009621DC" w:rsidP="009621DC">
      <w:pPr>
        <w:pStyle w:val="Akapitzlist"/>
        <w:numPr>
          <w:ilvl w:val="1"/>
          <w:numId w:val="28"/>
        </w:numPr>
        <w:spacing w:line="276" w:lineRule="auto"/>
        <w:ind w:left="170" w:firstLine="0"/>
        <w:jc w:val="both"/>
        <w:rPr>
          <w:rFonts w:ascii="Calibri Light" w:hAnsi="Calibri Light"/>
          <w:lang w:val="en-GB"/>
        </w:rPr>
      </w:pPr>
      <w:r w:rsidRPr="00B56183">
        <w:rPr>
          <w:rFonts w:ascii="Calibri Light" w:hAnsi="Calibri Light"/>
          <w:lang w:val="en-GB"/>
        </w:rPr>
        <w:t>Chemical engineering (plants, products); Chemical process engineering;</w:t>
      </w:r>
    </w:p>
    <w:p w14:paraId="61F96808" w14:textId="77777777" w:rsidR="009621DC" w:rsidRPr="00B56183" w:rsidRDefault="009621DC" w:rsidP="009621DC">
      <w:pPr>
        <w:pStyle w:val="Akapitzlist"/>
        <w:numPr>
          <w:ilvl w:val="1"/>
          <w:numId w:val="28"/>
        </w:numPr>
        <w:spacing w:line="276" w:lineRule="auto"/>
        <w:ind w:left="170" w:firstLine="0"/>
        <w:jc w:val="both"/>
        <w:rPr>
          <w:rFonts w:ascii="Calibri Light" w:hAnsi="Calibri Light"/>
          <w:lang w:val="en-GB"/>
        </w:rPr>
      </w:pPr>
      <w:r w:rsidRPr="00B56183">
        <w:rPr>
          <w:rFonts w:ascii="Calibri Light" w:hAnsi="Calibri Light"/>
          <w:lang w:val="en-GB"/>
        </w:rPr>
        <w:t>Materials engineering</w:t>
      </w:r>
    </w:p>
    <w:p w14:paraId="3818D99E" w14:textId="77777777" w:rsidR="009621DC" w:rsidRPr="00B56183" w:rsidRDefault="009621DC" w:rsidP="009621DC">
      <w:pPr>
        <w:pStyle w:val="Akapitzlist"/>
        <w:numPr>
          <w:ilvl w:val="1"/>
          <w:numId w:val="28"/>
        </w:numPr>
        <w:spacing w:line="276" w:lineRule="auto"/>
        <w:ind w:left="170" w:firstLine="0"/>
        <w:jc w:val="both"/>
        <w:rPr>
          <w:rFonts w:ascii="Calibri Light" w:hAnsi="Calibri Light"/>
          <w:lang w:val="en-GB"/>
        </w:rPr>
      </w:pPr>
      <w:r w:rsidRPr="00B56183">
        <w:rPr>
          <w:rFonts w:ascii="Calibri Light" w:hAnsi="Calibri Light"/>
          <w:lang w:val="en-GB"/>
        </w:rPr>
        <w:t>Medical engineering</w:t>
      </w:r>
    </w:p>
    <w:p w14:paraId="2C614CA7" w14:textId="77777777" w:rsidR="009621DC" w:rsidRPr="00B56183" w:rsidRDefault="009621DC" w:rsidP="009621DC">
      <w:pPr>
        <w:pStyle w:val="Akapitzlist"/>
        <w:numPr>
          <w:ilvl w:val="1"/>
          <w:numId w:val="28"/>
        </w:numPr>
        <w:spacing w:line="276" w:lineRule="auto"/>
        <w:ind w:left="170" w:firstLine="0"/>
        <w:jc w:val="both"/>
        <w:rPr>
          <w:rFonts w:ascii="Calibri Light" w:hAnsi="Calibri Light"/>
          <w:lang w:val="en-GB"/>
        </w:rPr>
      </w:pPr>
      <w:r w:rsidRPr="00B56183">
        <w:rPr>
          <w:rFonts w:ascii="Calibri Light" w:hAnsi="Calibri Light"/>
          <w:lang w:val="en-GB"/>
        </w:rPr>
        <w:t>Environmental engineering</w:t>
      </w:r>
    </w:p>
    <w:p w14:paraId="2BC67CBC" w14:textId="77777777" w:rsidR="009621DC" w:rsidRPr="00B56183" w:rsidRDefault="009621DC" w:rsidP="009621DC">
      <w:pPr>
        <w:pStyle w:val="Akapitzlist"/>
        <w:numPr>
          <w:ilvl w:val="1"/>
          <w:numId w:val="28"/>
        </w:numPr>
        <w:spacing w:line="276" w:lineRule="auto"/>
        <w:ind w:left="170" w:firstLine="0"/>
        <w:jc w:val="both"/>
        <w:rPr>
          <w:rFonts w:ascii="Calibri Light" w:hAnsi="Calibri Light"/>
          <w:lang w:val="en-GB"/>
        </w:rPr>
      </w:pPr>
      <w:r w:rsidRPr="00B56183">
        <w:rPr>
          <w:rFonts w:ascii="Calibri Light" w:hAnsi="Calibri Light"/>
          <w:lang w:val="en-GB"/>
        </w:rPr>
        <w:t>Environmental biotechnology</w:t>
      </w:r>
    </w:p>
    <w:p w14:paraId="78ABF882" w14:textId="77777777" w:rsidR="009621DC" w:rsidRPr="00B56183" w:rsidRDefault="009621DC" w:rsidP="009621DC">
      <w:pPr>
        <w:pStyle w:val="Akapitzlist"/>
        <w:numPr>
          <w:ilvl w:val="1"/>
          <w:numId w:val="28"/>
        </w:numPr>
        <w:spacing w:line="276" w:lineRule="auto"/>
        <w:ind w:left="170" w:firstLine="0"/>
        <w:jc w:val="both"/>
        <w:rPr>
          <w:rFonts w:ascii="Calibri Light" w:hAnsi="Calibri Light"/>
          <w:lang w:val="en-GB"/>
        </w:rPr>
      </w:pPr>
      <w:r w:rsidRPr="00B56183">
        <w:rPr>
          <w:rFonts w:ascii="Calibri Light" w:hAnsi="Calibri Light"/>
          <w:lang w:val="en-GB"/>
        </w:rPr>
        <w:t>Industrial biotechnology</w:t>
      </w:r>
    </w:p>
    <w:p w14:paraId="7869869D" w14:textId="77777777" w:rsidR="009621DC" w:rsidRPr="00B56183" w:rsidRDefault="009621DC" w:rsidP="009621DC">
      <w:pPr>
        <w:pStyle w:val="Akapitzlist"/>
        <w:numPr>
          <w:ilvl w:val="1"/>
          <w:numId w:val="28"/>
        </w:numPr>
        <w:spacing w:line="276" w:lineRule="auto"/>
        <w:ind w:left="170" w:firstLine="0"/>
        <w:jc w:val="both"/>
        <w:rPr>
          <w:rFonts w:ascii="Calibri Light" w:hAnsi="Calibri Light"/>
          <w:lang w:val="en-GB"/>
        </w:rPr>
      </w:pPr>
      <w:r w:rsidRPr="00B56183">
        <w:rPr>
          <w:rFonts w:ascii="Calibri Light" w:hAnsi="Calibri Light"/>
          <w:lang w:val="en-GB"/>
        </w:rPr>
        <w:t>Nano-technology</w:t>
      </w:r>
    </w:p>
    <w:p w14:paraId="035E2AC0" w14:textId="1C6FF68C" w:rsidR="009621DC" w:rsidRDefault="009621DC" w:rsidP="009621DC">
      <w:pPr>
        <w:pStyle w:val="Akapitzlist"/>
        <w:numPr>
          <w:ilvl w:val="1"/>
          <w:numId w:val="28"/>
        </w:numPr>
        <w:spacing w:line="276" w:lineRule="auto"/>
        <w:ind w:left="170" w:firstLine="0"/>
        <w:jc w:val="both"/>
        <w:rPr>
          <w:rFonts w:ascii="Calibri Light" w:hAnsi="Calibri Light"/>
          <w:lang w:val="en-GB"/>
        </w:rPr>
      </w:pPr>
      <w:r w:rsidRPr="00B56183">
        <w:rPr>
          <w:rFonts w:ascii="Calibri Light" w:hAnsi="Calibri Light"/>
          <w:lang w:val="en-GB"/>
        </w:rPr>
        <w:t>Other engineering and technologies</w:t>
      </w:r>
    </w:p>
    <w:p w14:paraId="0E520D77" w14:textId="4C030321" w:rsidR="00570226" w:rsidRDefault="00570226" w:rsidP="00570226">
      <w:pPr>
        <w:pStyle w:val="Akapitzlist"/>
        <w:spacing w:line="276" w:lineRule="auto"/>
        <w:ind w:left="170"/>
        <w:jc w:val="both"/>
        <w:rPr>
          <w:rFonts w:ascii="Calibri Light" w:hAnsi="Calibri Light"/>
          <w:lang w:val="en-GB"/>
        </w:rPr>
      </w:pPr>
    </w:p>
    <w:p w14:paraId="2A9BD903" w14:textId="77777777" w:rsidR="00E91FA9" w:rsidRPr="00B56183" w:rsidRDefault="00E91FA9" w:rsidP="00570226">
      <w:pPr>
        <w:pStyle w:val="Akapitzlist"/>
        <w:spacing w:line="276" w:lineRule="auto"/>
        <w:ind w:left="170"/>
        <w:jc w:val="both"/>
        <w:rPr>
          <w:rFonts w:ascii="Calibri Light" w:hAnsi="Calibri Light"/>
          <w:lang w:val="en-GB"/>
        </w:rPr>
      </w:pPr>
    </w:p>
    <w:p w14:paraId="23319A42" w14:textId="0A5EC2F5" w:rsidR="00EC0910" w:rsidRPr="00115720" w:rsidRDefault="00A078EB" w:rsidP="00E91FA9">
      <w:pPr>
        <w:pStyle w:val="Akapitzlist"/>
        <w:numPr>
          <w:ilvl w:val="1"/>
          <w:numId w:val="10"/>
        </w:numPr>
        <w:rPr>
          <w:rFonts w:asciiTheme="majorHAnsi" w:eastAsia="Times New Roman" w:hAnsiTheme="majorHAnsi" w:cstheme="majorHAnsi"/>
          <w:b/>
          <w:bCs/>
          <w:lang w:val="en-US" w:eastAsia="pl-PL"/>
        </w:rPr>
      </w:pPr>
      <w:r w:rsidRPr="00115720">
        <w:rPr>
          <w:rFonts w:asciiTheme="majorHAnsi" w:eastAsia="Times New Roman" w:hAnsiTheme="majorHAnsi" w:cstheme="majorHAnsi"/>
          <w:b/>
          <w:bCs/>
          <w:lang w:val="en-US" w:eastAsia="pl-PL"/>
        </w:rPr>
        <w:t xml:space="preserve">Types of entities </w:t>
      </w:r>
      <w:r w:rsidRPr="00E91FA9">
        <w:rPr>
          <w:rFonts w:asciiTheme="majorHAnsi" w:eastAsia="Times New Roman" w:hAnsiTheme="majorHAnsi" w:cstheme="majorHAnsi"/>
          <w:b/>
          <w:bCs/>
          <w:lang w:val="en-GB" w:eastAsia="pl-PL"/>
        </w:rPr>
        <w:t>eligible</w:t>
      </w:r>
      <w:r w:rsidRPr="00115720">
        <w:rPr>
          <w:rFonts w:asciiTheme="majorHAnsi" w:eastAsia="Times New Roman" w:hAnsiTheme="majorHAnsi" w:cstheme="majorHAnsi"/>
          <w:b/>
          <w:bCs/>
          <w:lang w:val="en-US" w:eastAsia="pl-PL"/>
        </w:rPr>
        <w:t xml:space="preserve"> for funding</w:t>
      </w:r>
    </w:p>
    <w:p w14:paraId="40F78DF3" w14:textId="554D0ED7" w:rsidR="00A078EB" w:rsidRPr="00115720" w:rsidRDefault="00A078EB" w:rsidP="00A078EB">
      <w:pPr>
        <w:pStyle w:val="Bezodstpw"/>
        <w:ind w:left="360"/>
        <w:rPr>
          <w:rFonts w:asciiTheme="majorHAnsi" w:hAnsiTheme="majorHAnsi" w:cstheme="majorHAnsi"/>
          <w:lang w:val="en-GB"/>
        </w:rPr>
      </w:pPr>
    </w:p>
    <w:p w14:paraId="740D710D" w14:textId="33201957" w:rsidR="00220F0E" w:rsidRPr="00115720" w:rsidRDefault="00D47CBE" w:rsidP="00256AEB">
      <w:pPr>
        <w:pStyle w:val="Bezodstpw"/>
        <w:jc w:val="both"/>
        <w:rPr>
          <w:rFonts w:asciiTheme="majorHAnsi" w:hAnsiTheme="majorHAnsi" w:cstheme="majorHAnsi"/>
          <w:lang w:val="en-US"/>
        </w:rPr>
      </w:pPr>
      <w:r>
        <w:rPr>
          <w:rFonts w:asciiTheme="majorHAnsi" w:hAnsiTheme="majorHAnsi" w:cstheme="majorHAnsi"/>
          <w:lang w:val="en-US"/>
        </w:rPr>
        <w:t xml:space="preserve">- </w:t>
      </w:r>
      <w:r w:rsidR="008A3DA4" w:rsidRPr="00115720">
        <w:rPr>
          <w:rFonts w:asciiTheme="majorHAnsi" w:hAnsiTheme="majorHAnsi" w:cstheme="majorHAnsi"/>
          <w:lang w:val="en-US"/>
        </w:rPr>
        <w:t xml:space="preserve">Research </w:t>
      </w:r>
      <w:r w:rsidR="00323186" w:rsidRPr="00115720">
        <w:rPr>
          <w:rFonts w:asciiTheme="majorHAnsi" w:hAnsiTheme="majorHAnsi" w:cstheme="majorHAnsi"/>
          <w:lang w:val="en-US"/>
        </w:rPr>
        <w:t>organization</w:t>
      </w:r>
      <w:r w:rsidR="008A3DA4" w:rsidRPr="00115720">
        <w:rPr>
          <w:rFonts w:asciiTheme="majorHAnsi" w:hAnsiTheme="majorHAnsi" w:cstheme="majorHAnsi"/>
          <w:lang w:val="en-US"/>
        </w:rPr>
        <w:t xml:space="preserve"> as defined in the Commission Regulation (EU) No 651/2014 of 17 June 2014 declaring certain categories of aid compatible with the internal market in application of Articles 107 and 108 of the Treaty, and as stipulated in Article 37 paragraph 1 of the Act on the National Centre for Research and Development, established as a legal person</w:t>
      </w:r>
      <w:r w:rsidR="00294BA4">
        <w:rPr>
          <w:rStyle w:val="Odwoanieprzypisudolnego"/>
          <w:rFonts w:asciiTheme="majorHAnsi" w:hAnsiTheme="majorHAnsi" w:cstheme="majorHAnsi"/>
          <w:lang w:val="en-US"/>
        </w:rPr>
        <w:footnoteReference w:id="1"/>
      </w:r>
      <w:r w:rsidR="008A3DA4" w:rsidRPr="00115720">
        <w:rPr>
          <w:rFonts w:asciiTheme="majorHAnsi" w:hAnsiTheme="majorHAnsi" w:cstheme="majorHAnsi"/>
          <w:lang w:val="en-US"/>
        </w:rPr>
        <w:t xml:space="preserve"> in Poland</w:t>
      </w:r>
    </w:p>
    <w:p w14:paraId="42B6EE64" w14:textId="724682C5" w:rsidR="00A078EB" w:rsidRDefault="00D47CBE" w:rsidP="00256AEB">
      <w:pPr>
        <w:pStyle w:val="Bezodstpw"/>
        <w:jc w:val="both"/>
        <w:rPr>
          <w:rFonts w:asciiTheme="majorHAnsi" w:hAnsiTheme="majorHAnsi" w:cstheme="majorHAnsi"/>
          <w:lang w:val="en-US"/>
        </w:rPr>
      </w:pPr>
      <w:r>
        <w:rPr>
          <w:rFonts w:asciiTheme="majorHAnsi" w:hAnsiTheme="majorHAnsi" w:cstheme="majorHAnsi"/>
          <w:lang w:val="en-US"/>
        </w:rPr>
        <w:t xml:space="preserve">- </w:t>
      </w:r>
      <w:r w:rsidR="008A3DA4" w:rsidRPr="00115720">
        <w:rPr>
          <w:rFonts w:asciiTheme="majorHAnsi" w:hAnsiTheme="majorHAnsi" w:cstheme="majorHAnsi"/>
          <w:lang w:val="en-US"/>
        </w:rPr>
        <w:t>Enterprise as defined in the Commission Regulation (EU) No 651/2014 of 17 June 2014 declaring certain categories of aid compatible with the internal market in application of Articles 107 and 108 of the Treaty, established in Poland</w:t>
      </w:r>
    </w:p>
    <w:p w14:paraId="6CE4A963" w14:textId="1B4334E0" w:rsidR="009621DC" w:rsidRDefault="009621DC" w:rsidP="00256AEB">
      <w:pPr>
        <w:pStyle w:val="Bezodstpw"/>
        <w:jc w:val="both"/>
        <w:rPr>
          <w:rFonts w:asciiTheme="majorHAnsi" w:hAnsiTheme="majorHAnsi" w:cstheme="majorHAnsi"/>
          <w:lang w:val="en-US"/>
        </w:rPr>
      </w:pPr>
    </w:p>
    <w:p w14:paraId="7EE4571A" w14:textId="6C604903" w:rsidR="00072238" w:rsidRPr="00115720" w:rsidRDefault="009621DC" w:rsidP="00256AEB">
      <w:pPr>
        <w:pStyle w:val="Bezodstpw"/>
        <w:jc w:val="both"/>
        <w:rPr>
          <w:rFonts w:asciiTheme="majorHAnsi" w:hAnsiTheme="majorHAnsi" w:cstheme="majorHAnsi"/>
          <w:lang w:val="en-US"/>
        </w:rPr>
      </w:pPr>
      <w:r>
        <w:rPr>
          <w:rFonts w:asciiTheme="majorHAnsi" w:hAnsiTheme="majorHAnsi" w:cstheme="majorHAnsi"/>
          <w:lang w:val="en-US"/>
        </w:rPr>
        <w:t>There are no partnerships foreseen in the SGS Call.</w:t>
      </w:r>
    </w:p>
    <w:p w14:paraId="7DF69EAC" w14:textId="5BC90879" w:rsidR="00A078EB" w:rsidRPr="00115720" w:rsidRDefault="00A078EB" w:rsidP="00B56183">
      <w:pPr>
        <w:pStyle w:val="Bezodstpw"/>
        <w:ind w:left="360"/>
        <w:jc w:val="both"/>
        <w:rPr>
          <w:rFonts w:asciiTheme="majorHAnsi" w:hAnsiTheme="majorHAnsi" w:cstheme="majorHAnsi"/>
          <w:lang w:val="en-US"/>
        </w:rPr>
      </w:pPr>
    </w:p>
    <w:p w14:paraId="79323527" w14:textId="27995A98" w:rsidR="00DD0A20" w:rsidRPr="00115720" w:rsidRDefault="0088651A" w:rsidP="00E91FA9">
      <w:pPr>
        <w:pStyle w:val="Akapitzlist"/>
        <w:numPr>
          <w:ilvl w:val="1"/>
          <w:numId w:val="10"/>
        </w:numPr>
        <w:rPr>
          <w:rFonts w:asciiTheme="majorHAnsi" w:eastAsia="Times New Roman" w:hAnsiTheme="majorHAnsi" w:cstheme="majorHAnsi"/>
          <w:b/>
          <w:bCs/>
          <w:lang w:val="en-US" w:eastAsia="pl-PL"/>
        </w:rPr>
      </w:pPr>
      <w:r w:rsidRPr="00115720">
        <w:rPr>
          <w:rFonts w:asciiTheme="majorHAnsi" w:eastAsia="Times New Roman" w:hAnsiTheme="majorHAnsi" w:cstheme="majorHAnsi"/>
          <w:b/>
          <w:bCs/>
          <w:lang w:val="en-US" w:eastAsia="pl-PL"/>
        </w:rPr>
        <w:t xml:space="preserve">Project </w:t>
      </w:r>
      <w:r w:rsidRPr="00E91FA9">
        <w:rPr>
          <w:rFonts w:asciiTheme="majorHAnsi" w:eastAsia="Times New Roman" w:hAnsiTheme="majorHAnsi" w:cstheme="majorHAnsi"/>
          <w:b/>
          <w:bCs/>
          <w:lang w:val="en-GB" w:eastAsia="pl-PL"/>
        </w:rPr>
        <w:t>Promoter</w:t>
      </w:r>
      <w:r w:rsidRPr="00115720">
        <w:rPr>
          <w:rFonts w:asciiTheme="majorHAnsi" w:eastAsia="Times New Roman" w:hAnsiTheme="majorHAnsi" w:cstheme="majorHAnsi"/>
          <w:b/>
          <w:bCs/>
          <w:lang w:val="en-US" w:eastAsia="pl-PL"/>
        </w:rPr>
        <w:t xml:space="preserve"> and Principal Investigator</w:t>
      </w:r>
    </w:p>
    <w:p w14:paraId="162DFF00" w14:textId="36AD8C89" w:rsidR="0088651A" w:rsidRPr="00115720" w:rsidRDefault="0088651A" w:rsidP="00DD0A20">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 xml:space="preserve">Projects have to be submitted by </w:t>
      </w:r>
      <w:r w:rsidR="00570226">
        <w:rPr>
          <w:rFonts w:asciiTheme="majorHAnsi" w:eastAsia="Times New Roman" w:hAnsiTheme="majorHAnsi" w:cstheme="majorHAnsi"/>
          <w:lang w:val="en-US" w:eastAsia="pl-PL"/>
        </w:rPr>
        <w:t xml:space="preserve">a </w:t>
      </w:r>
      <w:r w:rsidR="00570226">
        <w:rPr>
          <w:rFonts w:asciiTheme="majorHAnsi" w:eastAsia="Times New Roman" w:hAnsiTheme="majorHAnsi" w:cstheme="majorHAnsi"/>
          <w:b/>
          <w:lang w:val="en-US" w:eastAsia="pl-PL"/>
        </w:rPr>
        <w:t>single</w:t>
      </w:r>
      <w:r w:rsidRPr="00115720">
        <w:rPr>
          <w:rFonts w:asciiTheme="majorHAnsi" w:eastAsia="Times New Roman" w:hAnsiTheme="majorHAnsi" w:cstheme="majorHAnsi"/>
          <w:b/>
          <w:lang w:val="en-US" w:eastAsia="pl-PL"/>
        </w:rPr>
        <w:t xml:space="preserve"> Polish entity</w:t>
      </w:r>
      <w:r w:rsidR="009621DC">
        <w:rPr>
          <w:rFonts w:asciiTheme="majorHAnsi" w:eastAsia="Times New Roman" w:hAnsiTheme="majorHAnsi" w:cstheme="majorHAnsi"/>
          <w:b/>
          <w:lang w:val="en-US" w:eastAsia="pl-PL"/>
        </w:rPr>
        <w:t xml:space="preserve">, </w:t>
      </w:r>
      <w:r w:rsidR="009621DC" w:rsidRPr="00B56183">
        <w:rPr>
          <w:rFonts w:asciiTheme="majorHAnsi" w:eastAsia="Times New Roman" w:hAnsiTheme="majorHAnsi" w:cstheme="majorHAnsi"/>
          <w:lang w:val="en-US" w:eastAsia="pl-PL"/>
        </w:rPr>
        <w:t>known as the</w:t>
      </w:r>
      <w:r w:rsidR="009621DC">
        <w:rPr>
          <w:rFonts w:asciiTheme="majorHAnsi" w:eastAsia="Times New Roman" w:hAnsiTheme="majorHAnsi" w:cstheme="majorHAnsi"/>
          <w:b/>
          <w:lang w:val="en-US" w:eastAsia="pl-PL"/>
        </w:rPr>
        <w:t xml:space="preserve"> Project Promoter (PP)</w:t>
      </w:r>
      <w:r w:rsidRPr="00115720">
        <w:rPr>
          <w:rFonts w:asciiTheme="majorHAnsi" w:eastAsia="Times New Roman" w:hAnsiTheme="majorHAnsi" w:cstheme="majorHAnsi"/>
          <w:lang w:val="en-US" w:eastAsia="pl-PL"/>
        </w:rPr>
        <w:t>.</w:t>
      </w:r>
      <w:r w:rsidR="006C1E3A" w:rsidRPr="00115720">
        <w:rPr>
          <w:rFonts w:asciiTheme="majorHAnsi" w:eastAsia="Times New Roman" w:hAnsiTheme="majorHAnsi" w:cstheme="majorHAnsi"/>
          <w:lang w:val="en-US" w:eastAsia="pl-PL"/>
        </w:rPr>
        <w:t xml:space="preserve"> </w:t>
      </w:r>
    </w:p>
    <w:p w14:paraId="7D9C50C7" w14:textId="4949FE7C" w:rsidR="0088651A" w:rsidRPr="00115720" w:rsidRDefault="0088651A" w:rsidP="0088651A">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For each proposal, th</w:t>
      </w:r>
      <w:r w:rsidR="00DC433C" w:rsidRPr="00115720">
        <w:rPr>
          <w:rFonts w:asciiTheme="majorHAnsi" w:eastAsia="Times New Roman" w:hAnsiTheme="majorHAnsi" w:cstheme="majorHAnsi"/>
          <w:lang w:val="en-US" w:eastAsia="pl-PL"/>
        </w:rPr>
        <w:t xml:space="preserve">e </w:t>
      </w:r>
      <w:r w:rsidR="00DC433C" w:rsidRPr="00115720">
        <w:rPr>
          <w:rFonts w:asciiTheme="majorHAnsi" w:eastAsia="Times New Roman" w:hAnsiTheme="majorHAnsi" w:cstheme="majorHAnsi"/>
          <w:b/>
          <w:lang w:val="en-US" w:eastAsia="pl-PL"/>
        </w:rPr>
        <w:t>Project Promoter</w:t>
      </w:r>
      <w:r w:rsidRPr="00115720">
        <w:rPr>
          <w:rFonts w:asciiTheme="majorHAnsi" w:eastAsia="Times New Roman" w:hAnsiTheme="majorHAnsi" w:cstheme="majorHAnsi"/>
          <w:b/>
          <w:lang w:val="en-US" w:eastAsia="pl-PL"/>
        </w:rPr>
        <w:t xml:space="preserve"> (PP)</w:t>
      </w:r>
      <w:r w:rsidRPr="00115720">
        <w:rPr>
          <w:rFonts w:asciiTheme="majorHAnsi" w:eastAsia="Times New Roman" w:hAnsiTheme="majorHAnsi" w:cstheme="majorHAnsi"/>
          <w:lang w:val="en-US" w:eastAsia="pl-PL"/>
        </w:rPr>
        <w:t xml:space="preserve"> has the formal </w:t>
      </w:r>
      <w:r w:rsidR="00570226">
        <w:rPr>
          <w:rFonts w:asciiTheme="majorHAnsi" w:eastAsia="Times New Roman" w:hAnsiTheme="majorHAnsi" w:cstheme="majorHAnsi"/>
          <w:lang w:val="en-US" w:eastAsia="pl-PL"/>
        </w:rPr>
        <w:t xml:space="preserve">and </w:t>
      </w:r>
      <w:r w:rsidRPr="00115720">
        <w:rPr>
          <w:rFonts w:asciiTheme="majorHAnsi" w:eastAsia="Times New Roman" w:hAnsiTheme="majorHAnsi" w:cstheme="majorHAnsi"/>
          <w:lang w:val="en-US" w:eastAsia="pl-PL"/>
        </w:rPr>
        <w:t>administrative responsibility for the project, and has to submit the proposal</w:t>
      </w:r>
      <w:r w:rsidR="001F3353">
        <w:rPr>
          <w:rFonts w:asciiTheme="majorHAnsi" w:eastAsia="Times New Roman" w:hAnsiTheme="majorHAnsi" w:cstheme="majorHAnsi"/>
          <w:lang w:val="en-US" w:eastAsia="pl-PL"/>
        </w:rPr>
        <w:t>.</w:t>
      </w:r>
    </w:p>
    <w:p w14:paraId="0B8B1520" w14:textId="353E8D07" w:rsidR="0088651A" w:rsidRPr="00115720" w:rsidRDefault="0088651A" w:rsidP="0088651A">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 xml:space="preserve">The </w:t>
      </w:r>
      <w:r w:rsidR="004C508E" w:rsidRPr="00115720">
        <w:rPr>
          <w:rFonts w:asciiTheme="majorHAnsi" w:eastAsia="Times New Roman" w:hAnsiTheme="majorHAnsi" w:cstheme="majorHAnsi"/>
          <w:lang w:val="en-US" w:eastAsia="pl-PL"/>
        </w:rPr>
        <w:t>Project Promoter designate</w:t>
      </w:r>
      <w:r w:rsidR="009A0A05">
        <w:rPr>
          <w:rFonts w:asciiTheme="majorHAnsi" w:eastAsia="Times New Roman" w:hAnsiTheme="majorHAnsi" w:cstheme="majorHAnsi"/>
          <w:lang w:val="en-US" w:eastAsia="pl-PL"/>
        </w:rPr>
        <w:t>s</w:t>
      </w:r>
      <w:r w:rsidR="004C508E" w:rsidRPr="00115720">
        <w:rPr>
          <w:rFonts w:asciiTheme="majorHAnsi" w:eastAsia="Times New Roman" w:hAnsiTheme="majorHAnsi" w:cstheme="majorHAnsi"/>
          <w:lang w:val="en-US" w:eastAsia="pl-PL"/>
        </w:rPr>
        <w:t xml:space="preserve"> the </w:t>
      </w:r>
      <w:r w:rsidR="004C508E" w:rsidRPr="00115720">
        <w:rPr>
          <w:rFonts w:asciiTheme="majorHAnsi" w:eastAsia="Times New Roman" w:hAnsiTheme="majorHAnsi" w:cstheme="majorHAnsi"/>
          <w:b/>
          <w:lang w:val="en-US" w:eastAsia="pl-PL"/>
        </w:rPr>
        <w:t>Principal Investigator (PI),</w:t>
      </w:r>
      <w:r w:rsidRPr="00115720">
        <w:rPr>
          <w:rFonts w:asciiTheme="majorHAnsi" w:eastAsia="Times New Roman" w:hAnsiTheme="majorHAnsi" w:cstheme="majorHAnsi"/>
          <w:lang w:val="en-US" w:eastAsia="pl-PL"/>
        </w:rPr>
        <w:t xml:space="preserve"> who is the researcher having the scientific lead of the project on a daily basis.</w:t>
      </w:r>
      <w:r w:rsidR="00A42CCC">
        <w:rPr>
          <w:rFonts w:asciiTheme="majorHAnsi" w:eastAsia="Times New Roman" w:hAnsiTheme="majorHAnsi" w:cstheme="majorHAnsi"/>
          <w:lang w:val="en-US" w:eastAsia="pl-PL"/>
        </w:rPr>
        <w:t xml:space="preserve"> Only a female researcher can be a PI in the SGS Call.</w:t>
      </w:r>
    </w:p>
    <w:p w14:paraId="74D1C1E8" w14:textId="3B08F5C1" w:rsidR="00BD3CD8" w:rsidRPr="00256AEB" w:rsidRDefault="00DC433C" w:rsidP="00E46EDA">
      <w:pPr>
        <w:jc w:val="both"/>
        <w:rPr>
          <w:rFonts w:asciiTheme="majorHAnsi" w:eastAsia="Times New Roman" w:hAnsiTheme="majorHAnsi" w:cstheme="majorHAnsi"/>
          <w:lang w:val="en-GB"/>
        </w:rPr>
      </w:pPr>
      <w:r w:rsidRPr="00115720">
        <w:rPr>
          <w:rFonts w:asciiTheme="majorHAnsi" w:eastAsia="Times New Roman" w:hAnsiTheme="majorHAnsi" w:cstheme="majorHAnsi"/>
          <w:lang w:val="en-GB"/>
        </w:rPr>
        <w:lastRenderedPageBreak/>
        <w:t xml:space="preserve">The </w:t>
      </w:r>
      <w:r w:rsidR="004E2A78" w:rsidRPr="00115720">
        <w:rPr>
          <w:rFonts w:asciiTheme="majorHAnsi" w:eastAsia="Times New Roman" w:hAnsiTheme="majorHAnsi" w:cstheme="majorHAnsi"/>
          <w:lang w:val="en-GB"/>
        </w:rPr>
        <w:t xml:space="preserve">Programme ‘Applied Research’ </w:t>
      </w:r>
      <w:r w:rsidRPr="00115720">
        <w:rPr>
          <w:rFonts w:asciiTheme="majorHAnsi" w:eastAsia="Times New Roman" w:hAnsiTheme="majorHAnsi" w:cstheme="majorHAnsi"/>
          <w:lang w:val="en-GB"/>
        </w:rPr>
        <w:t xml:space="preserve">supports </w:t>
      </w:r>
      <w:r w:rsidRPr="00115720">
        <w:rPr>
          <w:rFonts w:asciiTheme="majorHAnsi" w:eastAsia="Times New Roman" w:hAnsiTheme="majorHAnsi" w:cstheme="majorHAnsi"/>
          <w:b/>
          <w:lang w:val="en-GB"/>
        </w:rPr>
        <w:t>early stage researchers</w:t>
      </w:r>
      <w:r w:rsidRPr="00115720">
        <w:rPr>
          <w:rFonts w:asciiTheme="majorHAnsi" w:eastAsia="Times New Roman" w:hAnsiTheme="majorHAnsi" w:cstheme="majorHAnsi"/>
          <w:lang w:val="en-GB"/>
        </w:rPr>
        <w:t>, who are planning their career in science</w:t>
      </w:r>
      <w:r w:rsidR="00A92F73" w:rsidRPr="00A92F73">
        <w:rPr>
          <w:rFonts w:ascii="Calibri Light" w:hAnsi="Calibri Light"/>
          <w:sz w:val="24"/>
          <w:lang w:val="en-GB"/>
        </w:rPr>
        <w:t xml:space="preserve"> </w:t>
      </w:r>
      <w:r w:rsidR="00A92F73" w:rsidRPr="00A92F73">
        <w:rPr>
          <w:rFonts w:asciiTheme="majorHAnsi" w:eastAsia="Times New Roman" w:hAnsiTheme="majorHAnsi" w:cstheme="majorHAnsi"/>
          <w:lang w:val="en-GB"/>
        </w:rPr>
        <w:t>on internationally significant level</w:t>
      </w:r>
      <w:r w:rsidR="00A92F73">
        <w:rPr>
          <w:rFonts w:asciiTheme="majorHAnsi" w:eastAsia="Times New Roman" w:hAnsiTheme="majorHAnsi" w:cstheme="majorHAnsi"/>
          <w:lang w:val="en-GB"/>
        </w:rPr>
        <w:t xml:space="preserve"> </w:t>
      </w:r>
      <w:r w:rsidRPr="00115720">
        <w:rPr>
          <w:rFonts w:asciiTheme="majorHAnsi" w:eastAsia="Times New Roman" w:hAnsiTheme="majorHAnsi" w:cstheme="majorHAnsi"/>
          <w:lang w:val="en-GB"/>
        </w:rPr>
        <w:t xml:space="preserve">. With this aim in mind, the </w:t>
      </w:r>
      <w:r w:rsidR="001F3353">
        <w:rPr>
          <w:rFonts w:asciiTheme="majorHAnsi" w:eastAsia="Times New Roman" w:hAnsiTheme="majorHAnsi" w:cstheme="majorHAnsi"/>
          <w:lang w:val="en-GB"/>
        </w:rPr>
        <w:t>SGS</w:t>
      </w:r>
      <w:r w:rsidRPr="00115720">
        <w:rPr>
          <w:rFonts w:asciiTheme="majorHAnsi" w:eastAsia="Times New Roman" w:hAnsiTheme="majorHAnsi" w:cstheme="majorHAnsi"/>
          <w:lang w:val="en-GB"/>
        </w:rPr>
        <w:t xml:space="preserve"> Call feature</w:t>
      </w:r>
      <w:r w:rsidR="00DD0A20" w:rsidRPr="00115720">
        <w:rPr>
          <w:rFonts w:asciiTheme="majorHAnsi" w:eastAsia="Times New Roman" w:hAnsiTheme="majorHAnsi" w:cstheme="majorHAnsi"/>
          <w:lang w:val="en-GB"/>
        </w:rPr>
        <w:t>s</w:t>
      </w:r>
      <w:r w:rsidRPr="00115720">
        <w:rPr>
          <w:rFonts w:asciiTheme="majorHAnsi" w:eastAsia="Times New Roman" w:hAnsiTheme="majorHAnsi" w:cstheme="majorHAnsi"/>
          <w:lang w:val="en-GB"/>
        </w:rPr>
        <w:t xml:space="preserve"> a separate ranking list for applications, in which the Principal Investigator fits the criteria of</w:t>
      </w:r>
      <w:r w:rsidR="00A04273" w:rsidRPr="00115720">
        <w:rPr>
          <w:rFonts w:asciiTheme="majorHAnsi" w:eastAsia="Times New Roman" w:hAnsiTheme="majorHAnsi" w:cstheme="majorHAnsi"/>
          <w:lang w:val="en-GB"/>
        </w:rPr>
        <w:t xml:space="preserve"> ‘young researcher’, </w:t>
      </w:r>
      <w:r w:rsidR="007E3423" w:rsidRPr="00115720">
        <w:rPr>
          <w:rFonts w:asciiTheme="majorHAnsi" w:eastAsia="Times New Roman" w:hAnsiTheme="majorHAnsi" w:cstheme="majorHAnsi"/>
          <w:lang w:val="en-GB" w:bidi="en-US"/>
        </w:rPr>
        <w:t xml:space="preserve">as defined in Article 360 section 2 and Article 360 section 3 of the </w:t>
      </w:r>
      <w:r w:rsidR="00C84C3B" w:rsidRPr="00115720">
        <w:rPr>
          <w:rFonts w:asciiTheme="majorHAnsi" w:eastAsia="Times New Roman" w:hAnsiTheme="majorHAnsi" w:cstheme="majorHAnsi"/>
          <w:lang w:val="en-GB" w:bidi="en-US"/>
        </w:rPr>
        <w:t xml:space="preserve">Act of 20 July 2018 on the Law of Higher Education and Science, (Journal of Laws item </w:t>
      </w:r>
      <w:r w:rsidR="00A92F73" w:rsidRPr="00A92F73">
        <w:rPr>
          <w:rFonts w:asciiTheme="majorHAnsi" w:eastAsia="Times New Roman" w:hAnsiTheme="majorHAnsi" w:cstheme="majorHAnsi"/>
          <w:lang w:val="en-GB" w:bidi="en-US"/>
        </w:rPr>
        <w:t>85, 2020</w:t>
      </w:r>
      <w:r w:rsidR="00C84C3B" w:rsidRPr="00115720">
        <w:rPr>
          <w:rFonts w:asciiTheme="majorHAnsi" w:eastAsia="Times New Roman" w:hAnsiTheme="majorHAnsi" w:cstheme="majorHAnsi"/>
          <w:lang w:val="en-GB" w:bidi="en-US"/>
        </w:rPr>
        <w:t>)</w:t>
      </w:r>
      <w:r w:rsidR="00A04273" w:rsidRPr="00115720">
        <w:rPr>
          <w:rFonts w:asciiTheme="majorHAnsi" w:eastAsia="Times New Roman" w:hAnsiTheme="majorHAnsi" w:cstheme="majorHAnsi"/>
          <w:lang w:val="en-GB" w:bidi="en-US"/>
        </w:rPr>
        <w:t>.</w:t>
      </w:r>
    </w:p>
    <w:p w14:paraId="2E08C982" w14:textId="5EF51656" w:rsidR="00DC433C" w:rsidRPr="00115720" w:rsidRDefault="006C06AB" w:rsidP="00E91FA9">
      <w:pPr>
        <w:pStyle w:val="Akapitzlist"/>
        <w:numPr>
          <w:ilvl w:val="1"/>
          <w:numId w:val="10"/>
        </w:numPr>
        <w:rPr>
          <w:rFonts w:asciiTheme="majorHAnsi" w:hAnsiTheme="majorHAnsi" w:cstheme="majorHAnsi"/>
          <w:b/>
          <w:lang w:val="en-GB"/>
        </w:rPr>
      </w:pPr>
      <w:r w:rsidRPr="00115720">
        <w:rPr>
          <w:rFonts w:asciiTheme="majorHAnsi" w:hAnsiTheme="majorHAnsi" w:cstheme="majorHAnsi"/>
          <w:b/>
          <w:lang w:val="en-GB"/>
        </w:rPr>
        <w:t xml:space="preserve">Type of research </w:t>
      </w:r>
    </w:p>
    <w:p w14:paraId="22274D2E" w14:textId="46AF11B3" w:rsidR="00E46EDA" w:rsidRPr="00115720" w:rsidRDefault="00491210" w:rsidP="00491210">
      <w:pPr>
        <w:jc w:val="both"/>
        <w:rPr>
          <w:rFonts w:asciiTheme="majorHAnsi" w:hAnsiTheme="majorHAnsi" w:cstheme="majorHAnsi"/>
          <w:lang w:val="en-GB"/>
        </w:rPr>
      </w:pPr>
      <w:r w:rsidRPr="00115720">
        <w:rPr>
          <w:rFonts w:asciiTheme="majorHAnsi" w:hAnsiTheme="majorHAnsi" w:cstheme="majorHAnsi"/>
          <w:bCs/>
          <w:lang w:val="en-US"/>
        </w:rPr>
        <w:t xml:space="preserve">The </w:t>
      </w:r>
      <w:r w:rsidR="00654CDB">
        <w:rPr>
          <w:rFonts w:asciiTheme="majorHAnsi" w:hAnsiTheme="majorHAnsi" w:cstheme="majorHAnsi"/>
          <w:bCs/>
          <w:lang w:val="en-US"/>
        </w:rPr>
        <w:t>SGS</w:t>
      </w:r>
      <w:r w:rsidRPr="00115720">
        <w:rPr>
          <w:rFonts w:asciiTheme="majorHAnsi" w:hAnsiTheme="majorHAnsi" w:cstheme="majorHAnsi"/>
          <w:bCs/>
          <w:lang w:val="en-US"/>
        </w:rPr>
        <w:t xml:space="preserve"> Call </w:t>
      </w:r>
      <w:r w:rsidR="00CD6870" w:rsidRPr="00115720">
        <w:rPr>
          <w:rFonts w:asciiTheme="majorHAnsi" w:hAnsiTheme="majorHAnsi" w:cstheme="majorHAnsi"/>
          <w:bCs/>
          <w:lang w:val="en-US"/>
        </w:rPr>
        <w:t>f</w:t>
      </w:r>
      <w:r w:rsidRPr="00115720">
        <w:rPr>
          <w:rFonts w:asciiTheme="majorHAnsi" w:hAnsiTheme="majorHAnsi" w:cstheme="majorHAnsi"/>
          <w:bCs/>
          <w:lang w:val="en-US"/>
        </w:rPr>
        <w:t>or Proposals aims to support research projects</w:t>
      </w:r>
      <w:r w:rsidR="00654CDB">
        <w:rPr>
          <w:rFonts w:asciiTheme="majorHAnsi" w:hAnsiTheme="majorHAnsi" w:cstheme="majorHAnsi"/>
          <w:lang w:val="en-US"/>
        </w:rPr>
        <w:t xml:space="preserve"> including the</w:t>
      </w:r>
      <w:r w:rsidR="00E46EDA" w:rsidRPr="00115720">
        <w:rPr>
          <w:rFonts w:asciiTheme="majorHAnsi" w:hAnsiTheme="majorHAnsi" w:cstheme="majorHAnsi"/>
          <w:lang w:val="en-US"/>
        </w:rPr>
        <w:t xml:space="preserve"> following types of research</w:t>
      </w:r>
      <w:r w:rsidR="00654CDB">
        <w:rPr>
          <w:rFonts w:asciiTheme="majorHAnsi" w:hAnsiTheme="majorHAnsi" w:cstheme="majorHAnsi"/>
          <w:lang w:val="en-US"/>
        </w:rPr>
        <w:t xml:space="preserve"> and </w:t>
      </w:r>
      <w:r w:rsidR="00E46EDA" w:rsidRPr="00115720">
        <w:rPr>
          <w:rFonts w:asciiTheme="majorHAnsi" w:hAnsiTheme="majorHAnsi" w:cstheme="majorHAnsi"/>
          <w:lang w:val="en-US"/>
        </w:rPr>
        <w:t xml:space="preserve">development: </w:t>
      </w:r>
    </w:p>
    <w:p w14:paraId="58C8A617" w14:textId="77777777" w:rsidR="006C06AB" w:rsidRPr="00115720" w:rsidRDefault="006C06AB" w:rsidP="006C06AB">
      <w:pPr>
        <w:pStyle w:val="Tematkomentarza"/>
        <w:numPr>
          <w:ilvl w:val="0"/>
          <w:numId w:val="14"/>
        </w:numPr>
        <w:jc w:val="both"/>
        <w:rPr>
          <w:rFonts w:asciiTheme="majorHAnsi" w:hAnsiTheme="majorHAnsi" w:cstheme="majorHAnsi"/>
          <w:b w:val="0"/>
          <w:sz w:val="22"/>
          <w:szCs w:val="22"/>
          <w:lang w:val="en-US"/>
        </w:rPr>
      </w:pPr>
      <w:r w:rsidRPr="00115720">
        <w:rPr>
          <w:rFonts w:asciiTheme="majorHAnsi" w:eastAsia="Calibri" w:hAnsiTheme="majorHAnsi" w:cstheme="majorHAnsi"/>
          <w:b w:val="0"/>
          <w:sz w:val="22"/>
          <w:szCs w:val="22"/>
        </w:rPr>
        <w:t xml:space="preserve">Fundamental/Basic </w:t>
      </w:r>
      <w:r w:rsidR="00A04273" w:rsidRPr="00115720">
        <w:rPr>
          <w:rFonts w:asciiTheme="majorHAnsi" w:eastAsia="Calibri" w:hAnsiTheme="majorHAnsi" w:cstheme="majorHAnsi"/>
          <w:b w:val="0"/>
          <w:sz w:val="22"/>
          <w:szCs w:val="22"/>
        </w:rPr>
        <w:t>r</w:t>
      </w:r>
      <w:r w:rsidRPr="00115720">
        <w:rPr>
          <w:rFonts w:asciiTheme="majorHAnsi" w:eastAsia="Calibri" w:hAnsiTheme="majorHAnsi" w:cstheme="majorHAnsi"/>
          <w:b w:val="0"/>
          <w:sz w:val="22"/>
          <w:szCs w:val="22"/>
        </w:rPr>
        <w:t xml:space="preserve">esearch, as defined in </w:t>
      </w:r>
      <w:r w:rsidRPr="00115720">
        <w:rPr>
          <w:rFonts w:asciiTheme="majorHAnsi" w:hAnsiTheme="majorHAnsi" w:cstheme="majorHAnsi"/>
          <w:b w:val="0"/>
          <w:sz w:val="22"/>
          <w:szCs w:val="22"/>
          <w:lang w:val="en-US"/>
        </w:rPr>
        <w:t xml:space="preserve">Article 2(84) of </w:t>
      </w:r>
      <w:r w:rsidRPr="00115720">
        <w:rPr>
          <w:rFonts w:asciiTheme="majorHAnsi" w:hAnsiTheme="majorHAnsi" w:cstheme="majorHAnsi"/>
          <w:b w:val="0"/>
          <w:sz w:val="22"/>
          <w:szCs w:val="22"/>
        </w:rPr>
        <w:t xml:space="preserve">Commission Regulation (EU) No. 651/2014, </w:t>
      </w:r>
    </w:p>
    <w:p w14:paraId="2498AC08" w14:textId="77777777" w:rsidR="00E46EDA" w:rsidRPr="00115720" w:rsidRDefault="00A04273" w:rsidP="00E46EDA">
      <w:pPr>
        <w:pStyle w:val="Akapitzlist"/>
        <w:numPr>
          <w:ilvl w:val="0"/>
          <w:numId w:val="14"/>
        </w:numPr>
        <w:jc w:val="both"/>
        <w:rPr>
          <w:rFonts w:asciiTheme="majorHAnsi" w:hAnsiTheme="majorHAnsi" w:cstheme="majorHAnsi"/>
          <w:lang w:val="en-US"/>
        </w:rPr>
      </w:pPr>
      <w:r w:rsidRPr="00115720">
        <w:rPr>
          <w:rFonts w:asciiTheme="majorHAnsi" w:hAnsiTheme="majorHAnsi" w:cstheme="majorHAnsi"/>
          <w:lang w:val="en-US"/>
        </w:rPr>
        <w:t>Industrial</w:t>
      </w:r>
      <w:r w:rsidR="00E46EDA" w:rsidRPr="00115720">
        <w:rPr>
          <w:rFonts w:asciiTheme="majorHAnsi" w:hAnsiTheme="majorHAnsi" w:cstheme="majorHAnsi"/>
          <w:lang w:val="en-US"/>
        </w:rPr>
        <w:t xml:space="preserve"> </w:t>
      </w:r>
      <w:r w:rsidRPr="00115720">
        <w:rPr>
          <w:rFonts w:asciiTheme="majorHAnsi" w:hAnsiTheme="majorHAnsi" w:cstheme="majorHAnsi"/>
          <w:lang w:val="en-US"/>
        </w:rPr>
        <w:t>r</w:t>
      </w:r>
      <w:r w:rsidR="00E46EDA" w:rsidRPr="00115720">
        <w:rPr>
          <w:rFonts w:asciiTheme="majorHAnsi" w:hAnsiTheme="majorHAnsi" w:cstheme="majorHAnsi"/>
          <w:lang w:val="en-US"/>
        </w:rPr>
        <w:t>esearch</w:t>
      </w:r>
      <w:r w:rsidR="006C06AB" w:rsidRPr="00115720">
        <w:rPr>
          <w:rFonts w:asciiTheme="majorHAnsi" w:hAnsiTheme="majorHAnsi" w:cstheme="majorHAnsi"/>
          <w:lang w:val="en-US"/>
        </w:rPr>
        <w:t>, as defined in</w:t>
      </w:r>
      <w:r w:rsidR="006C06AB" w:rsidRPr="00115720">
        <w:rPr>
          <w:rFonts w:asciiTheme="majorHAnsi" w:hAnsiTheme="majorHAnsi" w:cstheme="majorHAnsi"/>
          <w:lang w:val="en-GB"/>
        </w:rPr>
        <w:t xml:space="preserve"> </w:t>
      </w:r>
      <w:r w:rsidR="006C06AB" w:rsidRPr="00115720">
        <w:rPr>
          <w:rFonts w:asciiTheme="majorHAnsi" w:hAnsiTheme="majorHAnsi" w:cstheme="majorHAnsi"/>
          <w:lang w:val="en-US"/>
        </w:rPr>
        <w:t>Article 2(85) of Commission Regulation (EU) No. 651/2014,</w:t>
      </w:r>
    </w:p>
    <w:p w14:paraId="100C630F" w14:textId="77777777" w:rsidR="006C06AB" w:rsidRPr="00115720" w:rsidRDefault="006C06AB" w:rsidP="00E46EDA">
      <w:pPr>
        <w:pStyle w:val="Akapitzlist"/>
        <w:numPr>
          <w:ilvl w:val="0"/>
          <w:numId w:val="14"/>
        </w:numPr>
        <w:jc w:val="both"/>
        <w:rPr>
          <w:rFonts w:asciiTheme="majorHAnsi" w:hAnsiTheme="majorHAnsi" w:cstheme="majorHAnsi"/>
          <w:lang w:val="en-US"/>
        </w:rPr>
      </w:pPr>
      <w:r w:rsidRPr="00115720">
        <w:rPr>
          <w:rFonts w:asciiTheme="majorHAnsi" w:hAnsiTheme="majorHAnsi" w:cstheme="majorHAnsi"/>
          <w:lang w:val="en-GB"/>
        </w:rPr>
        <w:t xml:space="preserve">Experimental development, as defined in </w:t>
      </w:r>
      <w:r w:rsidRPr="00115720">
        <w:rPr>
          <w:rFonts w:asciiTheme="majorHAnsi" w:hAnsiTheme="majorHAnsi" w:cstheme="majorHAnsi"/>
          <w:lang w:val="en-US"/>
        </w:rPr>
        <w:t xml:space="preserve">Article 2(86) of Commission Regulation (EU) No. 651/2014. </w:t>
      </w:r>
    </w:p>
    <w:p w14:paraId="4640FA1C" w14:textId="77777777" w:rsidR="00A04273" w:rsidRPr="00115720" w:rsidRDefault="008A3DA4" w:rsidP="00A21E6C">
      <w:pPr>
        <w:spacing w:before="100" w:beforeAutospacing="1" w:after="100" w:afterAutospacing="1" w:line="240" w:lineRule="auto"/>
        <w:ind w:left="360"/>
        <w:jc w:val="both"/>
        <w:rPr>
          <w:rStyle w:val="alt-edited"/>
          <w:rFonts w:asciiTheme="majorHAnsi" w:hAnsiTheme="majorHAnsi" w:cstheme="majorHAnsi"/>
          <w:lang w:val="en"/>
        </w:rPr>
      </w:pPr>
      <w:r w:rsidRPr="00115720">
        <w:rPr>
          <w:rStyle w:val="alt-edited"/>
          <w:rFonts w:asciiTheme="majorHAnsi" w:hAnsiTheme="majorHAnsi" w:cstheme="majorHAnsi"/>
          <w:lang w:val="en"/>
        </w:rPr>
        <w:t>T</w:t>
      </w:r>
      <w:r w:rsidR="00A04273" w:rsidRPr="00115720">
        <w:rPr>
          <w:rStyle w:val="alt-edited"/>
          <w:rFonts w:asciiTheme="majorHAnsi" w:hAnsiTheme="majorHAnsi" w:cstheme="majorHAnsi"/>
          <w:lang w:val="en"/>
        </w:rPr>
        <w:t>he costs of fundamental</w:t>
      </w:r>
      <w:r w:rsidR="008E7541" w:rsidRPr="00115720">
        <w:rPr>
          <w:rStyle w:val="alt-edited"/>
          <w:rFonts w:asciiTheme="majorHAnsi" w:hAnsiTheme="majorHAnsi" w:cstheme="majorHAnsi"/>
          <w:lang w:val="en"/>
        </w:rPr>
        <w:t>/basic</w:t>
      </w:r>
      <w:r w:rsidR="00A04273" w:rsidRPr="00115720">
        <w:rPr>
          <w:rStyle w:val="alt-edited"/>
          <w:rFonts w:asciiTheme="majorHAnsi" w:hAnsiTheme="majorHAnsi" w:cstheme="majorHAnsi"/>
          <w:lang w:val="en"/>
        </w:rPr>
        <w:t xml:space="preserve"> research </w:t>
      </w:r>
      <w:r w:rsidR="004E2A78" w:rsidRPr="00115720">
        <w:rPr>
          <w:rStyle w:val="alt-edited"/>
          <w:rFonts w:asciiTheme="majorHAnsi" w:hAnsiTheme="majorHAnsi" w:cstheme="majorHAnsi"/>
          <w:lang w:val="en"/>
        </w:rPr>
        <w:t xml:space="preserve">are </w:t>
      </w:r>
      <w:r w:rsidRPr="00115720">
        <w:rPr>
          <w:rStyle w:val="alt-edited"/>
          <w:rFonts w:asciiTheme="majorHAnsi" w:hAnsiTheme="majorHAnsi" w:cstheme="majorHAnsi"/>
          <w:lang w:val="en"/>
        </w:rPr>
        <w:t xml:space="preserve">eligible only if </w:t>
      </w:r>
      <w:r w:rsidR="004E2A78" w:rsidRPr="00115720">
        <w:rPr>
          <w:rStyle w:val="alt-edited"/>
          <w:rFonts w:asciiTheme="majorHAnsi" w:hAnsiTheme="majorHAnsi" w:cstheme="majorHAnsi"/>
          <w:lang w:val="en"/>
        </w:rPr>
        <w:t xml:space="preserve">they are </w:t>
      </w:r>
      <w:r w:rsidRPr="00115720">
        <w:rPr>
          <w:rStyle w:val="alt-edited"/>
          <w:rFonts w:asciiTheme="majorHAnsi" w:hAnsiTheme="majorHAnsi" w:cstheme="majorHAnsi"/>
          <w:lang w:val="en"/>
        </w:rPr>
        <w:t xml:space="preserve">in direct relation to, and necessary for industrial or experimental research planned in the proposal. They </w:t>
      </w:r>
      <w:r w:rsidR="00A04273" w:rsidRPr="00115720">
        <w:rPr>
          <w:rStyle w:val="alt-edited"/>
          <w:rFonts w:asciiTheme="majorHAnsi" w:hAnsiTheme="majorHAnsi" w:cstheme="majorHAnsi"/>
          <w:lang w:val="en"/>
        </w:rPr>
        <w:t xml:space="preserve">may comprise a maximum of </w:t>
      </w:r>
      <w:r w:rsidR="00A04273" w:rsidRPr="00115720">
        <w:rPr>
          <w:rStyle w:val="alt-edited"/>
          <w:rFonts w:asciiTheme="majorHAnsi" w:hAnsiTheme="majorHAnsi" w:cstheme="majorHAnsi"/>
          <w:b/>
          <w:lang w:val="en"/>
        </w:rPr>
        <w:t>10% of total eligible costs of the Project</w:t>
      </w:r>
      <w:r w:rsidRPr="00115720">
        <w:rPr>
          <w:rStyle w:val="alt-edited"/>
          <w:rFonts w:asciiTheme="majorHAnsi" w:hAnsiTheme="majorHAnsi" w:cstheme="majorHAnsi"/>
          <w:b/>
          <w:lang w:val="en"/>
        </w:rPr>
        <w:t>.</w:t>
      </w:r>
    </w:p>
    <w:p w14:paraId="45C7DED6" w14:textId="5AF4D944" w:rsidR="00A21E6C" w:rsidRPr="00115720" w:rsidRDefault="00A21E6C" w:rsidP="00E91FA9">
      <w:pPr>
        <w:pStyle w:val="Akapitzlist"/>
        <w:numPr>
          <w:ilvl w:val="1"/>
          <w:numId w:val="10"/>
        </w:numPr>
        <w:rPr>
          <w:rFonts w:asciiTheme="majorHAnsi" w:eastAsia="Times New Roman" w:hAnsiTheme="majorHAnsi" w:cstheme="majorHAnsi"/>
          <w:lang w:val="en-US" w:eastAsia="pl-PL"/>
        </w:rPr>
      </w:pPr>
      <w:r w:rsidRPr="00115720">
        <w:rPr>
          <w:rFonts w:asciiTheme="majorHAnsi" w:eastAsia="Times New Roman" w:hAnsiTheme="majorHAnsi" w:cstheme="majorHAnsi"/>
          <w:b/>
          <w:bCs/>
          <w:lang w:val="en-US" w:eastAsia="pl-PL"/>
        </w:rPr>
        <w:t xml:space="preserve">The </w:t>
      </w:r>
      <w:r w:rsidRPr="00E91FA9">
        <w:rPr>
          <w:rFonts w:asciiTheme="majorHAnsi" w:hAnsiTheme="majorHAnsi" w:cstheme="majorHAnsi"/>
          <w:b/>
          <w:lang w:val="en-GB"/>
        </w:rPr>
        <w:t>amount</w:t>
      </w:r>
      <w:r w:rsidRPr="00115720">
        <w:rPr>
          <w:rFonts w:asciiTheme="majorHAnsi" w:eastAsia="Times New Roman" w:hAnsiTheme="majorHAnsi" w:cstheme="majorHAnsi"/>
          <w:b/>
          <w:bCs/>
          <w:lang w:val="en-US" w:eastAsia="pl-PL"/>
        </w:rPr>
        <w:t xml:space="preserve"> of co-financing</w:t>
      </w:r>
    </w:p>
    <w:p w14:paraId="1FBC8957" w14:textId="6ACC0C29" w:rsidR="004C508E" w:rsidRPr="00115720" w:rsidRDefault="004C508E" w:rsidP="00A21E6C">
      <w:pPr>
        <w:jc w:val="both"/>
        <w:rPr>
          <w:rFonts w:asciiTheme="majorHAnsi" w:hAnsiTheme="majorHAnsi" w:cstheme="majorHAnsi"/>
          <w:lang w:val="en-GB"/>
        </w:rPr>
      </w:pPr>
      <w:r w:rsidRPr="00115720">
        <w:rPr>
          <w:rFonts w:asciiTheme="majorHAnsi" w:hAnsiTheme="majorHAnsi" w:cstheme="majorHAnsi"/>
          <w:lang w:val="en-GB"/>
        </w:rPr>
        <w:t xml:space="preserve">Grants in the </w:t>
      </w:r>
      <w:r w:rsidR="003D28D0">
        <w:rPr>
          <w:rFonts w:asciiTheme="majorHAnsi" w:hAnsiTheme="majorHAnsi" w:cstheme="majorHAnsi"/>
          <w:lang w:val="en-GB"/>
        </w:rPr>
        <w:t>SGS</w:t>
      </w:r>
      <w:r w:rsidRPr="00115720">
        <w:rPr>
          <w:rFonts w:asciiTheme="majorHAnsi" w:hAnsiTheme="majorHAnsi" w:cstheme="majorHAnsi"/>
          <w:lang w:val="en-GB"/>
        </w:rPr>
        <w:t xml:space="preserve"> call may cover up to 100% of eligible costs for research organisations. In case of enterprises, funding quota will be decided on a case-by-case basis depending on the size of the company, type of research/development, under the Regulation of the Minister of Science and Higher Education of </w:t>
      </w:r>
      <w:r w:rsidR="002E3F1F">
        <w:rPr>
          <w:rFonts w:asciiTheme="majorHAnsi" w:hAnsiTheme="majorHAnsi" w:cstheme="majorHAnsi"/>
          <w:lang w:val="en-GB"/>
        </w:rPr>
        <w:t>19</w:t>
      </w:r>
      <w:r w:rsidRPr="00115720">
        <w:rPr>
          <w:rFonts w:asciiTheme="majorHAnsi" w:hAnsiTheme="majorHAnsi" w:cstheme="majorHAnsi"/>
          <w:lang w:val="en-GB"/>
        </w:rPr>
        <w:t xml:space="preserve"> </w:t>
      </w:r>
      <w:r w:rsidR="00282E35">
        <w:rPr>
          <w:rFonts w:asciiTheme="majorHAnsi" w:hAnsiTheme="majorHAnsi" w:cstheme="majorHAnsi"/>
          <w:lang w:val="en-GB"/>
        </w:rPr>
        <w:t>August</w:t>
      </w:r>
      <w:r w:rsidRPr="00115720">
        <w:rPr>
          <w:rFonts w:asciiTheme="majorHAnsi" w:hAnsiTheme="majorHAnsi" w:cstheme="majorHAnsi"/>
          <w:lang w:val="en-GB"/>
        </w:rPr>
        <w:t xml:space="preserve"> 20</w:t>
      </w:r>
      <w:r w:rsidR="00282E35">
        <w:rPr>
          <w:rFonts w:asciiTheme="majorHAnsi" w:hAnsiTheme="majorHAnsi" w:cstheme="majorHAnsi"/>
          <w:lang w:val="en-GB"/>
        </w:rPr>
        <w:t>20</w:t>
      </w:r>
      <w:r w:rsidRPr="00115720">
        <w:rPr>
          <w:rFonts w:asciiTheme="majorHAnsi" w:hAnsiTheme="majorHAnsi" w:cstheme="majorHAnsi"/>
          <w:lang w:val="en-GB"/>
        </w:rPr>
        <w:t xml:space="preserve"> on granting state aid through the National Centre for Research and Development, published in Journal of Laws item </w:t>
      </w:r>
      <w:r w:rsidR="00282E35">
        <w:rPr>
          <w:rFonts w:asciiTheme="majorHAnsi" w:hAnsiTheme="majorHAnsi" w:cstheme="majorHAnsi"/>
          <w:lang w:val="en-GB"/>
        </w:rPr>
        <w:t>1456</w:t>
      </w:r>
      <w:r w:rsidRPr="00115720">
        <w:rPr>
          <w:rFonts w:asciiTheme="majorHAnsi" w:hAnsiTheme="majorHAnsi" w:cstheme="majorHAnsi"/>
          <w:lang w:val="en-GB"/>
        </w:rPr>
        <w:t>, 20</w:t>
      </w:r>
      <w:r w:rsidR="00282E35">
        <w:rPr>
          <w:rFonts w:asciiTheme="majorHAnsi" w:hAnsiTheme="majorHAnsi" w:cstheme="majorHAnsi"/>
          <w:lang w:val="en-GB"/>
        </w:rPr>
        <w:t>20</w:t>
      </w:r>
      <w:r w:rsidRPr="00115720">
        <w:rPr>
          <w:rFonts w:asciiTheme="majorHAnsi" w:hAnsiTheme="majorHAnsi" w:cstheme="majorHAnsi"/>
          <w:lang w:val="en-GB"/>
        </w:rPr>
        <w:t>.</w:t>
      </w:r>
    </w:p>
    <w:p w14:paraId="1EEDA107" w14:textId="77777777" w:rsidR="00A21E6C" w:rsidRPr="00115720" w:rsidRDefault="008579F9" w:rsidP="00A21E6C">
      <w:pPr>
        <w:jc w:val="both"/>
        <w:rPr>
          <w:rFonts w:asciiTheme="majorHAnsi" w:hAnsiTheme="majorHAnsi" w:cstheme="majorHAnsi"/>
          <w:lang w:val="en-GB"/>
        </w:rPr>
      </w:pPr>
      <w:r w:rsidRPr="00115720">
        <w:rPr>
          <w:rFonts w:asciiTheme="majorHAnsi" w:hAnsiTheme="majorHAnsi" w:cstheme="majorHAnsi"/>
          <w:lang w:val="en-GB"/>
        </w:rPr>
        <w:t>Only basic/industrial research and experimental development will be funded. Other type of activities (e.g. coordination, dissemination, management) may only be parts of research tasks.</w:t>
      </w:r>
    </w:p>
    <w:tbl>
      <w:tblPr>
        <w:tblpPr w:leftFromText="141" w:rightFromText="141" w:vertAnchor="text" w:horzAnchor="margin" w:tblpY="552"/>
        <w:tblOverlap w:val="neve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2"/>
        <w:gridCol w:w="1681"/>
        <w:gridCol w:w="1681"/>
        <w:gridCol w:w="1681"/>
        <w:gridCol w:w="1932"/>
      </w:tblGrid>
      <w:tr w:rsidR="00A21E6C" w:rsidRPr="00115720" w14:paraId="0C18CC17" w14:textId="77777777" w:rsidTr="00454710">
        <w:trPr>
          <w:trHeight w:val="171"/>
        </w:trPr>
        <w:tc>
          <w:tcPr>
            <w:tcW w:w="2602" w:type="dxa"/>
            <w:tcBorders>
              <w:top w:val="single" w:sz="4" w:space="0" w:color="auto"/>
              <w:left w:val="single" w:sz="4" w:space="0" w:color="auto"/>
              <w:bottom w:val="single" w:sz="4" w:space="0" w:color="auto"/>
              <w:right w:val="single" w:sz="4" w:space="0" w:color="auto"/>
            </w:tcBorders>
          </w:tcPr>
          <w:p w14:paraId="1D475BE4" w14:textId="77777777" w:rsidR="00A21E6C" w:rsidRPr="00115720" w:rsidRDefault="00A21E6C" w:rsidP="00EE5F27">
            <w:pPr>
              <w:rPr>
                <w:rFonts w:asciiTheme="majorHAnsi" w:hAnsiTheme="majorHAnsi" w:cstheme="majorHAnsi"/>
                <w:b/>
                <w:u w:val="single"/>
                <w:lang w:val="en-GB"/>
              </w:rPr>
            </w:pPr>
          </w:p>
        </w:tc>
        <w:tc>
          <w:tcPr>
            <w:tcW w:w="1681" w:type="dxa"/>
            <w:tcBorders>
              <w:top w:val="single" w:sz="4" w:space="0" w:color="auto"/>
              <w:left w:val="single" w:sz="4" w:space="0" w:color="auto"/>
              <w:bottom w:val="single" w:sz="4" w:space="0" w:color="auto"/>
              <w:right w:val="single" w:sz="4" w:space="0" w:color="auto"/>
            </w:tcBorders>
            <w:vAlign w:val="center"/>
            <w:hideMark/>
          </w:tcPr>
          <w:p w14:paraId="559D0534" w14:textId="77777777" w:rsidR="00A21E6C" w:rsidRPr="00115720" w:rsidRDefault="00A21E6C" w:rsidP="00EE5F27">
            <w:pPr>
              <w:jc w:val="center"/>
              <w:rPr>
                <w:rFonts w:asciiTheme="majorHAnsi" w:hAnsiTheme="majorHAnsi" w:cstheme="majorHAnsi"/>
                <w:b/>
                <w:lang w:val="en-GB"/>
              </w:rPr>
            </w:pPr>
            <w:r w:rsidRPr="00115720">
              <w:rPr>
                <w:rFonts w:asciiTheme="majorHAnsi" w:hAnsiTheme="majorHAnsi" w:cstheme="majorHAnsi"/>
                <w:b/>
                <w:lang w:val="en-GB"/>
              </w:rPr>
              <w:t>Large Enterprises</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3DD91C2" w14:textId="77777777" w:rsidR="00A21E6C" w:rsidRPr="00115720" w:rsidRDefault="00A21E6C" w:rsidP="00EE5F27">
            <w:pPr>
              <w:jc w:val="center"/>
              <w:rPr>
                <w:rFonts w:asciiTheme="majorHAnsi" w:hAnsiTheme="majorHAnsi" w:cstheme="majorHAnsi"/>
                <w:b/>
                <w:lang w:val="en-GB"/>
              </w:rPr>
            </w:pPr>
            <w:r w:rsidRPr="00115720">
              <w:rPr>
                <w:rFonts w:asciiTheme="majorHAnsi" w:hAnsiTheme="majorHAnsi" w:cstheme="majorHAnsi"/>
                <w:b/>
                <w:lang w:val="en-GB"/>
              </w:rPr>
              <w:t>Medium Enterprises</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62D683C" w14:textId="77777777" w:rsidR="00A21E6C" w:rsidRPr="00115720" w:rsidRDefault="00A21E6C" w:rsidP="00EE5F27">
            <w:pPr>
              <w:jc w:val="center"/>
              <w:rPr>
                <w:rFonts w:asciiTheme="majorHAnsi" w:hAnsiTheme="majorHAnsi" w:cstheme="majorHAnsi"/>
                <w:b/>
                <w:lang w:val="en-GB"/>
              </w:rPr>
            </w:pPr>
            <w:r w:rsidRPr="00115720">
              <w:rPr>
                <w:rFonts w:asciiTheme="majorHAnsi" w:hAnsiTheme="majorHAnsi" w:cstheme="majorHAnsi"/>
                <w:b/>
                <w:lang w:val="en-GB"/>
              </w:rPr>
              <w:t>Small Enterprises</w:t>
            </w:r>
          </w:p>
        </w:tc>
        <w:tc>
          <w:tcPr>
            <w:tcW w:w="1932" w:type="dxa"/>
            <w:tcBorders>
              <w:top w:val="single" w:sz="4" w:space="0" w:color="auto"/>
              <w:left w:val="single" w:sz="4" w:space="0" w:color="auto"/>
              <w:bottom w:val="single" w:sz="4" w:space="0" w:color="auto"/>
              <w:right w:val="single" w:sz="4" w:space="0" w:color="auto"/>
            </w:tcBorders>
            <w:vAlign w:val="center"/>
            <w:hideMark/>
          </w:tcPr>
          <w:p w14:paraId="7704BECE" w14:textId="77777777" w:rsidR="00A21E6C" w:rsidRPr="00115720" w:rsidRDefault="008579F9" w:rsidP="00EE5F27">
            <w:pPr>
              <w:jc w:val="center"/>
              <w:rPr>
                <w:rFonts w:asciiTheme="majorHAnsi" w:hAnsiTheme="majorHAnsi" w:cstheme="majorHAnsi"/>
                <w:b/>
                <w:lang w:val="en-GB"/>
              </w:rPr>
            </w:pPr>
            <w:r w:rsidRPr="00115720">
              <w:rPr>
                <w:rFonts w:asciiTheme="majorHAnsi" w:hAnsiTheme="majorHAnsi" w:cstheme="majorHAnsi"/>
                <w:b/>
                <w:lang w:val="en-GB"/>
              </w:rPr>
              <w:t>R</w:t>
            </w:r>
            <w:r w:rsidR="00A21E6C" w:rsidRPr="00115720">
              <w:rPr>
                <w:rFonts w:asciiTheme="majorHAnsi" w:hAnsiTheme="majorHAnsi" w:cstheme="majorHAnsi"/>
                <w:b/>
                <w:lang w:val="en-GB"/>
              </w:rPr>
              <w:t>esearch organizations</w:t>
            </w:r>
          </w:p>
        </w:tc>
      </w:tr>
      <w:tr w:rsidR="008579F9" w:rsidRPr="00115720" w14:paraId="015A189B" w14:textId="77777777" w:rsidTr="00454710">
        <w:trPr>
          <w:trHeight w:val="176"/>
        </w:trPr>
        <w:tc>
          <w:tcPr>
            <w:tcW w:w="2602" w:type="dxa"/>
            <w:tcBorders>
              <w:top w:val="single" w:sz="4" w:space="0" w:color="auto"/>
              <w:left w:val="single" w:sz="4" w:space="0" w:color="auto"/>
              <w:bottom w:val="single" w:sz="4" w:space="0" w:color="auto"/>
              <w:right w:val="single" w:sz="4" w:space="0" w:color="auto"/>
            </w:tcBorders>
            <w:vAlign w:val="center"/>
            <w:hideMark/>
          </w:tcPr>
          <w:p w14:paraId="2E5A4D85" w14:textId="77777777" w:rsidR="008579F9" w:rsidRPr="00115720" w:rsidRDefault="008579F9" w:rsidP="00EE5F27">
            <w:pPr>
              <w:jc w:val="center"/>
              <w:rPr>
                <w:rFonts w:asciiTheme="majorHAnsi" w:hAnsiTheme="majorHAnsi" w:cstheme="majorHAnsi"/>
                <w:b/>
                <w:lang w:val="en-GB"/>
              </w:rPr>
            </w:pPr>
            <w:r w:rsidRPr="00115720">
              <w:rPr>
                <w:rFonts w:asciiTheme="majorHAnsi" w:hAnsiTheme="majorHAnsi" w:cstheme="majorHAnsi"/>
                <w:b/>
                <w:lang w:val="en-GB"/>
              </w:rPr>
              <w:t>Fundamental/Basic Research</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95CC5E0" w14:textId="77777777" w:rsidR="008579F9" w:rsidRPr="00115720" w:rsidRDefault="008579F9" w:rsidP="00EE5F27">
            <w:pPr>
              <w:jc w:val="center"/>
              <w:rPr>
                <w:rFonts w:asciiTheme="majorHAnsi" w:hAnsiTheme="majorHAnsi" w:cstheme="majorHAnsi"/>
                <w:lang w:val="en-GB"/>
              </w:rPr>
            </w:pPr>
            <w:r w:rsidRPr="00115720">
              <w:rPr>
                <w:rFonts w:asciiTheme="majorHAnsi" w:hAnsiTheme="majorHAnsi" w:cstheme="majorHAnsi"/>
                <w:lang w:val="en-GB"/>
              </w:rPr>
              <w:t>Up to 100%</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720050E" w14:textId="77777777" w:rsidR="008579F9" w:rsidRPr="00115720" w:rsidRDefault="008579F9" w:rsidP="00EE5F27">
            <w:pPr>
              <w:jc w:val="center"/>
              <w:rPr>
                <w:rFonts w:asciiTheme="majorHAnsi" w:hAnsiTheme="majorHAnsi" w:cstheme="majorHAnsi"/>
                <w:lang w:val="en-GB"/>
              </w:rPr>
            </w:pPr>
            <w:r w:rsidRPr="00115720">
              <w:rPr>
                <w:rFonts w:asciiTheme="majorHAnsi" w:hAnsiTheme="majorHAnsi" w:cstheme="majorHAnsi"/>
                <w:lang w:val="en-GB"/>
              </w:rPr>
              <w:t>Up to 100%</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26ECC65" w14:textId="77777777" w:rsidR="008579F9" w:rsidRPr="00115720" w:rsidRDefault="008579F9" w:rsidP="00EE5F27">
            <w:pPr>
              <w:jc w:val="center"/>
              <w:rPr>
                <w:rFonts w:asciiTheme="majorHAnsi" w:hAnsiTheme="majorHAnsi" w:cstheme="majorHAnsi"/>
                <w:lang w:val="en-GB"/>
              </w:rPr>
            </w:pPr>
            <w:r w:rsidRPr="00115720">
              <w:rPr>
                <w:rFonts w:asciiTheme="majorHAnsi" w:hAnsiTheme="majorHAnsi" w:cstheme="majorHAnsi"/>
                <w:lang w:val="en-GB"/>
              </w:rPr>
              <w:t>Up to 100%</w:t>
            </w:r>
          </w:p>
        </w:tc>
        <w:tc>
          <w:tcPr>
            <w:tcW w:w="1932" w:type="dxa"/>
            <w:tcBorders>
              <w:top w:val="single" w:sz="4" w:space="0" w:color="auto"/>
              <w:left w:val="single" w:sz="4" w:space="0" w:color="auto"/>
              <w:bottom w:val="single" w:sz="4" w:space="0" w:color="auto"/>
              <w:right w:val="single" w:sz="4" w:space="0" w:color="auto"/>
            </w:tcBorders>
            <w:vAlign w:val="center"/>
            <w:hideMark/>
          </w:tcPr>
          <w:p w14:paraId="6FA3FE27" w14:textId="77777777" w:rsidR="008579F9" w:rsidRPr="00115720" w:rsidRDefault="008579F9" w:rsidP="00EE5F27">
            <w:pPr>
              <w:jc w:val="center"/>
              <w:rPr>
                <w:rFonts w:asciiTheme="majorHAnsi" w:hAnsiTheme="majorHAnsi" w:cstheme="majorHAnsi"/>
                <w:b/>
                <w:u w:val="single"/>
                <w:lang w:val="en-GB"/>
              </w:rPr>
            </w:pPr>
            <w:r w:rsidRPr="00115720">
              <w:rPr>
                <w:rFonts w:asciiTheme="majorHAnsi" w:hAnsiTheme="majorHAnsi" w:cstheme="majorHAnsi"/>
                <w:lang w:val="en-GB"/>
              </w:rPr>
              <w:t>Up to 100%</w:t>
            </w:r>
          </w:p>
        </w:tc>
      </w:tr>
      <w:tr w:rsidR="00A21E6C" w:rsidRPr="00115720" w14:paraId="0D216768" w14:textId="77777777" w:rsidTr="00454710">
        <w:trPr>
          <w:trHeight w:val="218"/>
        </w:trPr>
        <w:tc>
          <w:tcPr>
            <w:tcW w:w="2602" w:type="dxa"/>
            <w:tcBorders>
              <w:top w:val="single" w:sz="4" w:space="0" w:color="auto"/>
              <w:left w:val="single" w:sz="4" w:space="0" w:color="auto"/>
              <w:bottom w:val="single" w:sz="4" w:space="0" w:color="auto"/>
              <w:right w:val="single" w:sz="4" w:space="0" w:color="auto"/>
            </w:tcBorders>
            <w:vAlign w:val="center"/>
            <w:hideMark/>
          </w:tcPr>
          <w:p w14:paraId="786EB537" w14:textId="77777777" w:rsidR="00A21E6C" w:rsidRPr="00115720" w:rsidRDefault="00A04273" w:rsidP="00EE5F27">
            <w:pPr>
              <w:jc w:val="center"/>
              <w:rPr>
                <w:rFonts w:asciiTheme="majorHAnsi" w:hAnsiTheme="majorHAnsi" w:cstheme="majorHAnsi"/>
                <w:b/>
                <w:lang w:val="en-GB"/>
              </w:rPr>
            </w:pPr>
            <w:r w:rsidRPr="00115720">
              <w:rPr>
                <w:rFonts w:asciiTheme="majorHAnsi" w:hAnsiTheme="majorHAnsi" w:cstheme="majorHAnsi"/>
                <w:b/>
                <w:lang w:val="en-GB"/>
              </w:rPr>
              <w:t>Industrial</w:t>
            </w:r>
            <w:r w:rsidR="00A21E6C" w:rsidRPr="00115720">
              <w:rPr>
                <w:rFonts w:asciiTheme="majorHAnsi" w:hAnsiTheme="majorHAnsi" w:cstheme="majorHAnsi"/>
                <w:b/>
                <w:lang w:val="en-GB"/>
              </w:rPr>
              <w:t xml:space="preserve"> Research</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A2B070D"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 xml:space="preserve">Up to </w:t>
            </w:r>
          </w:p>
          <w:p w14:paraId="6FBA5DB4"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 xml:space="preserve">50+15 </w:t>
            </w:r>
          </w:p>
          <w:p w14:paraId="5BA9B661"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(max 65 %)</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8C687F9"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Up to</w:t>
            </w:r>
          </w:p>
          <w:p w14:paraId="135B220B"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 xml:space="preserve">50+10+15 </w:t>
            </w:r>
          </w:p>
          <w:p w14:paraId="2A35B785" w14:textId="77777777" w:rsidR="00A21E6C" w:rsidRPr="00115720" w:rsidRDefault="00A21E6C" w:rsidP="00EE5F27">
            <w:pPr>
              <w:jc w:val="center"/>
              <w:rPr>
                <w:rFonts w:asciiTheme="majorHAnsi" w:hAnsiTheme="majorHAnsi" w:cstheme="majorHAnsi"/>
                <w:b/>
                <w:u w:val="single"/>
                <w:lang w:val="en-GB"/>
              </w:rPr>
            </w:pPr>
            <w:r w:rsidRPr="00115720">
              <w:rPr>
                <w:rFonts w:asciiTheme="majorHAnsi" w:hAnsiTheme="majorHAnsi" w:cstheme="majorHAnsi"/>
                <w:lang w:val="en-GB"/>
              </w:rPr>
              <w:t>(max 75 %)</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9CE33A5"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Up to</w:t>
            </w:r>
          </w:p>
          <w:p w14:paraId="26A021FA"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 xml:space="preserve">50+20+15 </w:t>
            </w:r>
          </w:p>
          <w:p w14:paraId="68442FE9" w14:textId="77777777" w:rsidR="00A21E6C" w:rsidRPr="00115720" w:rsidRDefault="00A21E6C" w:rsidP="00EE5F27">
            <w:pPr>
              <w:jc w:val="center"/>
              <w:rPr>
                <w:rFonts w:asciiTheme="majorHAnsi" w:hAnsiTheme="majorHAnsi" w:cstheme="majorHAnsi"/>
                <w:b/>
                <w:u w:val="single"/>
                <w:lang w:val="en-GB"/>
              </w:rPr>
            </w:pPr>
            <w:r w:rsidRPr="00115720">
              <w:rPr>
                <w:rFonts w:asciiTheme="majorHAnsi" w:hAnsiTheme="majorHAnsi" w:cstheme="majorHAnsi"/>
                <w:lang w:val="en-GB"/>
              </w:rPr>
              <w:t>(max 80 %)</w:t>
            </w:r>
          </w:p>
        </w:tc>
        <w:tc>
          <w:tcPr>
            <w:tcW w:w="1932" w:type="dxa"/>
            <w:tcBorders>
              <w:top w:val="single" w:sz="4" w:space="0" w:color="auto"/>
              <w:left w:val="single" w:sz="4" w:space="0" w:color="auto"/>
              <w:bottom w:val="single" w:sz="4" w:space="0" w:color="auto"/>
              <w:right w:val="single" w:sz="4" w:space="0" w:color="auto"/>
            </w:tcBorders>
            <w:vAlign w:val="center"/>
            <w:hideMark/>
          </w:tcPr>
          <w:p w14:paraId="1AEEF169"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Up to</w:t>
            </w:r>
          </w:p>
          <w:p w14:paraId="5BB014F8" w14:textId="77777777" w:rsidR="00A21E6C" w:rsidRPr="00115720" w:rsidRDefault="00A21E6C" w:rsidP="00EE5F27">
            <w:pPr>
              <w:jc w:val="center"/>
              <w:rPr>
                <w:rFonts w:asciiTheme="majorHAnsi" w:hAnsiTheme="majorHAnsi" w:cstheme="majorHAnsi"/>
                <w:b/>
                <w:u w:val="single"/>
                <w:lang w:val="en-GB"/>
              </w:rPr>
            </w:pPr>
            <w:r w:rsidRPr="00115720">
              <w:rPr>
                <w:rFonts w:asciiTheme="majorHAnsi" w:hAnsiTheme="majorHAnsi" w:cstheme="majorHAnsi"/>
                <w:lang w:val="en-GB"/>
              </w:rPr>
              <w:t>100 %</w:t>
            </w:r>
          </w:p>
        </w:tc>
      </w:tr>
      <w:tr w:rsidR="00A21E6C" w:rsidRPr="00115720" w14:paraId="44555167" w14:textId="77777777" w:rsidTr="00454710">
        <w:trPr>
          <w:trHeight w:val="224"/>
        </w:trPr>
        <w:tc>
          <w:tcPr>
            <w:tcW w:w="2602" w:type="dxa"/>
            <w:tcBorders>
              <w:top w:val="single" w:sz="4" w:space="0" w:color="auto"/>
              <w:left w:val="single" w:sz="4" w:space="0" w:color="auto"/>
              <w:bottom w:val="single" w:sz="4" w:space="0" w:color="auto"/>
              <w:right w:val="single" w:sz="4" w:space="0" w:color="auto"/>
            </w:tcBorders>
            <w:vAlign w:val="center"/>
            <w:hideMark/>
          </w:tcPr>
          <w:p w14:paraId="5588B72E" w14:textId="77777777" w:rsidR="00A21E6C" w:rsidRPr="00115720" w:rsidRDefault="00A21E6C" w:rsidP="00EE5F27">
            <w:pPr>
              <w:jc w:val="center"/>
              <w:rPr>
                <w:rFonts w:asciiTheme="majorHAnsi" w:hAnsiTheme="majorHAnsi" w:cstheme="majorHAnsi"/>
                <w:b/>
                <w:lang w:val="en-GB"/>
              </w:rPr>
            </w:pPr>
            <w:r w:rsidRPr="00115720">
              <w:rPr>
                <w:rFonts w:asciiTheme="majorHAnsi" w:hAnsiTheme="majorHAnsi" w:cstheme="majorHAnsi"/>
                <w:b/>
                <w:lang w:val="en-GB"/>
              </w:rPr>
              <w:t>Experimental development</w:t>
            </w:r>
          </w:p>
        </w:tc>
        <w:tc>
          <w:tcPr>
            <w:tcW w:w="1681" w:type="dxa"/>
            <w:tcBorders>
              <w:top w:val="single" w:sz="4" w:space="0" w:color="auto"/>
              <w:left w:val="single" w:sz="4" w:space="0" w:color="auto"/>
              <w:bottom w:val="single" w:sz="4" w:space="0" w:color="auto"/>
              <w:right w:val="single" w:sz="4" w:space="0" w:color="auto"/>
            </w:tcBorders>
            <w:vAlign w:val="center"/>
            <w:hideMark/>
          </w:tcPr>
          <w:p w14:paraId="78E8349A"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 xml:space="preserve">Up to </w:t>
            </w:r>
          </w:p>
          <w:p w14:paraId="7F36F06D"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 xml:space="preserve">25+15 </w:t>
            </w:r>
          </w:p>
          <w:p w14:paraId="79B288CB"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(max 40 %)</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136D60C"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Up to</w:t>
            </w:r>
          </w:p>
          <w:p w14:paraId="3FBE5F67"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 xml:space="preserve">25+10+15 </w:t>
            </w:r>
          </w:p>
          <w:p w14:paraId="055ED27B" w14:textId="77777777" w:rsidR="00A21E6C" w:rsidRPr="00115720" w:rsidRDefault="00A21E6C" w:rsidP="00EE5F27">
            <w:pPr>
              <w:jc w:val="center"/>
              <w:rPr>
                <w:rFonts w:asciiTheme="majorHAnsi" w:hAnsiTheme="majorHAnsi" w:cstheme="majorHAnsi"/>
                <w:b/>
                <w:u w:val="single"/>
                <w:lang w:val="en-GB"/>
              </w:rPr>
            </w:pPr>
            <w:r w:rsidRPr="00115720">
              <w:rPr>
                <w:rFonts w:asciiTheme="majorHAnsi" w:hAnsiTheme="majorHAnsi" w:cstheme="majorHAnsi"/>
                <w:lang w:val="en-GB"/>
              </w:rPr>
              <w:t>(max 50 %)</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1BD66EB"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Up to</w:t>
            </w:r>
          </w:p>
          <w:p w14:paraId="7A21FB9E"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 xml:space="preserve">25+20+15 </w:t>
            </w:r>
          </w:p>
          <w:p w14:paraId="04BEC9B9" w14:textId="77777777" w:rsidR="00A21E6C" w:rsidRPr="00115720" w:rsidRDefault="00A21E6C" w:rsidP="00EE5F27">
            <w:pPr>
              <w:jc w:val="center"/>
              <w:rPr>
                <w:rFonts w:asciiTheme="majorHAnsi" w:hAnsiTheme="majorHAnsi" w:cstheme="majorHAnsi"/>
                <w:b/>
                <w:u w:val="single"/>
                <w:lang w:val="en-GB"/>
              </w:rPr>
            </w:pPr>
            <w:r w:rsidRPr="00115720">
              <w:rPr>
                <w:rFonts w:asciiTheme="majorHAnsi" w:hAnsiTheme="majorHAnsi" w:cstheme="majorHAnsi"/>
                <w:lang w:val="en-GB"/>
              </w:rPr>
              <w:t>(max 60 %)</w:t>
            </w:r>
          </w:p>
        </w:tc>
        <w:tc>
          <w:tcPr>
            <w:tcW w:w="1932" w:type="dxa"/>
            <w:tcBorders>
              <w:top w:val="single" w:sz="4" w:space="0" w:color="auto"/>
              <w:left w:val="single" w:sz="4" w:space="0" w:color="auto"/>
              <w:bottom w:val="single" w:sz="4" w:space="0" w:color="auto"/>
              <w:right w:val="single" w:sz="4" w:space="0" w:color="auto"/>
            </w:tcBorders>
            <w:vAlign w:val="center"/>
            <w:hideMark/>
          </w:tcPr>
          <w:p w14:paraId="264D7249" w14:textId="77777777" w:rsidR="00A21E6C" w:rsidRPr="00115720" w:rsidRDefault="00A21E6C" w:rsidP="00EE5F27">
            <w:pPr>
              <w:jc w:val="center"/>
              <w:rPr>
                <w:rFonts w:asciiTheme="majorHAnsi" w:hAnsiTheme="majorHAnsi" w:cstheme="majorHAnsi"/>
                <w:lang w:val="en-GB"/>
              </w:rPr>
            </w:pPr>
            <w:r w:rsidRPr="00115720">
              <w:rPr>
                <w:rFonts w:asciiTheme="majorHAnsi" w:hAnsiTheme="majorHAnsi" w:cstheme="majorHAnsi"/>
                <w:lang w:val="en-GB"/>
              </w:rPr>
              <w:t>Up to</w:t>
            </w:r>
          </w:p>
          <w:p w14:paraId="04261737" w14:textId="77777777" w:rsidR="00A21E6C" w:rsidRPr="00115720" w:rsidRDefault="00A21E6C" w:rsidP="00EE5F27">
            <w:pPr>
              <w:jc w:val="center"/>
              <w:rPr>
                <w:rFonts w:asciiTheme="majorHAnsi" w:hAnsiTheme="majorHAnsi" w:cstheme="majorHAnsi"/>
                <w:b/>
                <w:u w:val="single"/>
                <w:lang w:val="en-GB"/>
              </w:rPr>
            </w:pPr>
            <w:r w:rsidRPr="00115720">
              <w:rPr>
                <w:rFonts w:asciiTheme="majorHAnsi" w:hAnsiTheme="majorHAnsi" w:cstheme="majorHAnsi"/>
                <w:lang w:val="en-GB"/>
              </w:rPr>
              <w:t>100 %</w:t>
            </w:r>
          </w:p>
        </w:tc>
      </w:tr>
    </w:tbl>
    <w:p w14:paraId="1820ADA5" w14:textId="77777777" w:rsidR="00A21E6C" w:rsidRPr="00115720" w:rsidRDefault="00A21E6C" w:rsidP="006C06AB">
      <w:pPr>
        <w:spacing w:before="120" w:after="120"/>
        <w:jc w:val="both"/>
        <w:rPr>
          <w:rFonts w:asciiTheme="majorHAnsi" w:hAnsiTheme="majorHAnsi" w:cstheme="majorHAnsi"/>
          <w:lang w:val="en"/>
        </w:rPr>
      </w:pPr>
    </w:p>
    <w:p w14:paraId="38B24286" w14:textId="77777777" w:rsidR="00EE5F27" w:rsidRPr="00115720" w:rsidRDefault="00EE5F27" w:rsidP="006C06AB">
      <w:pPr>
        <w:spacing w:before="120" w:after="120"/>
        <w:jc w:val="both"/>
        <w:rPr>
          <w:rFonts w:asciiTheme="majorHAnsi" w:eastAsia="Times New Roman" w:hAnsiTheme="majorHAnsi" w:cstheme="majorHAnsi"/>
          <w:lang w:val="en-US" w:eastAsia="pl-PL"/>
        </w:rPr>
      </w:pPr>
    </w:p>
    <w:p w14:paraId="32525392" w14:textId="661F51F6" w:rsidR="00801843" w:rsidRPr="00115720" w:rsidRDefault="00801843" w:rsidP="00E91FA9">
      <w:pPr>
        <w:pStyle w:val="Akapitzlist"/>
        <w:numPr>
          <w:ilvl w:val="1"/>
          <w:numId w:val="10"/>
        </w:numPr>
        <w:rPr>
          <w:rFonts w:asciiTheme="majorHAnsi" w:eastAsia="Times New Roman" w:hAnsiTheme="majorHAnsi" w:cstheme="majorHAnsi"/>
          <w:lang w:val="en-US" w:eastAsia="pl-PL"/>
        </w:rPr>
      </w:pPr>
      <w:r w:rsidRPr="00115720">
        <w:rPr>
          <w:rFonts w:asciiTheme="majorHAnsi" w:eastAsia="Times New Roman" w:hAnsiTheme="majorHAnsi" w:cstheme="majorHAnsi"/>
          <w:b/>
          <w:bCs/>
          <w:lang w:val="en-US" w:eastAsia="pl-PL"/>
        </w:rPr>
        <w:t xml:space="preserve">The budget of the </w:t>
      </w:r>
      <w:r w:rsidR="00045B1C">
        <w:rPr>
          <w:rFonts w:asciiTheme="majorHAnsi" w:eastAsia="Times New Roman" w:hAnsiTheme="majorHAnsi" w:cstheme="majorHAnsi"/>
          <w:b/>
          <w:bCs/>
          <w:lang w:val="en-US" w:eastAsia="pl-PL"/>
        </w:rPr>
        <w:t>SGS</w:t>
      </w:r>
      <w:r w:rsidR="00CD6870" w:rsidRPr="00115720">
        <w:rPr>
          <w:rFonts w:asciiTheme="majorHAnsi" w:eastAsia="Times New Roman" w:hAnsiTheme="majorHAnsi" w:cstheme="majorHAnsi"/>
          <w:b/>
          <w:bCs/>
          <w:lang w:val="en-US" w:eastAsia="pl-PL"/>
        </w:rPr>
        <w:t xml:space="preserve"> Call for Proposals </w:t>
      </w:r>
    </w:p>
    <w:p w14:paraId="1B330599" w14:textId="77777777" w:rsidR="00E91FA9" w:rsidRDefault="00801843" w:rsidP="00CD6870">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lastRenderedPageBreak/>
        <w:t xml:space="preserve">The total allocation earmarked for the </w:t>
      </w:r>
      <w:r w:rsidR="00045B1C">
        <w:rPr>
          <w:rFonts w:asciiTheme="majorHAnsi" w:eastAsia="Times New Roman" w:hAnsiTheme="majorHAnsi" w:cstheme="majorHAnsi"/>
          <w:lang w:val="en-US" w:eastAsia="pl-PL"/>
        </w:rPr>
        <w:t>SGS</w:t>
      </w:r>
      <w:r w:rsidR="00CD6870" w:rsidRPr="00115720">
        <w:rPr>
          <w:rFonts w:asciiTheme="majorHAnsi" w:eastAsia="Times New Roman" w:hAnsiTheme="majorHAnsi" w:cstheme="majorHAnsi"/>
          <w:lang w:val="en-US" w:eastAsia="pl-PL"/>
        </w:rPr>
        <w:t xml:space="preserve"> Call for Proposals </w:t>
      </w:r>
      <w:r w:rsidRPr="00115720">
        <w:rPr>
          <w:rFonts w:asciiTheme="majorHAnsi" w:eastAsia="Times New Roman" w:hAnsiTheme="majorHAnsi" w:cstheme="majorHAnsi"/>
          <w:lang w:val="en-US" w:eastAsia="pl-PL"/>
        </w:rPr>
        <w:t>is</w:t>
      </w:r>
      <w:r w:rsidRPr="00115720">
        <w:rPr>
          <w:rFonts w:asciiTheme="majorHAnsi" w:eastAsia="Times New Roman" w:hAnsiTheme="majorHAnsi" w:cstheme="majorHAnsi"/>
          <w:b/>
          <w:bCs/>
          <w:lang w:val="en-US" w:eastAsia="pl-PL"/>
        </w:rPr>
        <w:t xml:space="preserve"> EUR </w:t>
      </w:r>
      <w:r w:rsidR="00045B1C">
        <w:rPr>
          <w:rFonts w:asciiTheme="majorHAnsi" w:eastAsia="Times New Roman" w:hAnsiTheme="majorHAnsi" w:cstheme="majorHAnsi"/>
          <w:b/>
          <w:bCs/>
          <w:lang w:val="en-US" w:eastAsia="pl-PL"/>
        </w:rPr>
        <w:t>5 000 000</w:t>
      </w:r>
      <w:r w:rsidRPr="00115720">
        <w:rPr>
          <w:rFonts w:asciiTheme="majorHAnsi" w:eastAsia="Times New Roman" w:hAnsiTheme="majorHAnsi" w:cstheme="majorHAnsi"/>
          <w:lang w:val="en-US" w:eastAsia="pl-PL"/>
        </w:rPr>
        <w:t xml:space="preserve">, which will devoted for the co-financing of projects. </w:t>
      </w:r>
    </w:p>
    <w:p w14:paraId="051053CF" w14:textId="77777777" w:rsidR="00E91FA9" w:rsidRDefault="00CD6870" w:rsidP="00CD6870">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 xml:space="preserve">The minimum project financing amount is </w:t>
      </w:r>
      <w:r w:rsidRPr="00115720">
        <w:rPr>
          <w:rFonts w:asciiTheme="majorHAnsi" w:eastAsia="Times New Roman" w:hAnsiTheme="majorHAnsi" w:cstheme="majorHAnsi"/>
          <w:b/>
          <w:lang w:val="en-US" w:eastAsia="pl-PL"/>
        </w:rPr>
        <w:t>EUR 50 000</w:t>
      </w:r>
      <w:r w:rsidRPr="00115720">
        <w:rPr>
          <w:rFonts w:asciiTheme="majorHAnsi" w:eastAsia="Times New Roman" w:hAnsiTheme="majorHAnsi" w:cstheme="majorHAnsi"/>
          <w:lang w:val="en-US" w:eastAsia="pl-PL"/>
        </w:rPr>
        <w:t xml:space="preserve"> and the maximum is </w:t>
      </w:r>
      <w:r w:rsidRPr="00115720">
        <w:rPr>
          <w:rFonts w:asciiTheme="majorHAnsi" w:eastAsia="Times New Roman" w:hAnsiTheme="majorHAnsi" w:cstheme="majorHAnsi"/>
          <w:b/>
          <w:lang w:val="en-US" w:eastAsia="pl-PL"/>
        </w:rPr>
        <w:t xml:space="preserve">EUR </w:t>
      </w:r>
      <w:r w:rsidR="00045B1C">
        <w:rPr>
          <w:rFonts w:asciiTheme="majorHAnsi" w:eastAsia="Times New Roman" w:hAnsiTheme="majorHAnsi" w:cstheme="majorHAnsi"/>
          <w:b/>
          <w:lang w:val="en-US" w:eastAsia="pl-PL"/>
        </w:rPr>
        <w:t>2</w:t>
      </w:r>
      <w:r w:rsidRPr="00115720">
        <w:rPr>
          <w:rFonts w:asciiTheme="majorHAnsi" w:eastAsia="Times New Roman" w:hAnsiTheme="majorHAnsi" w:cstheme="majorHAnsi"/>
          <w:b/>
          <w:lang w:val="en-US" w:eastAsia="pl-PL"/>
        </w:rPr>
        <w:t>00 000</w:t>
      </w:r>
      <w:r w:rsidRPr="00115720">
        <w:rPr>
          <w:rFonts w:asciiTheme="majorHAnsi" w:eastAsia="Times New Roman" w:hAnsiTheme="majorHAnsi" w:cstheme="majorHAnsi"/>
          <w:lang w:val="en-US" w:eastAsia="pl-PL"/>
        </w:rPr>
        <w:t xml:space="preserve">. </w:t>
      </w:r>
    </w:p>
    <w:p w14:paraId="7EE0BA5F" w14:textId="56BFDF3C" w:rsidR="00E91FA9" w:rsidRPr="00256AEB" w:rsidRDefault="00CD6870" w:rsidP="00B56183">
      <w:pPr>
        <w:spacing w:before="100" w:beforeAutospacing="1" w:after="100" w:afterAutospacing="1" w:line="240" w:lineRule="auto"/>
        <w:jc w:val="both"/>
        <w:rPr>
          <w:rFonts w:asciiTheme="majorHAnsi" w:eastAsia="Times New Roman" w:hAnsiTheme="majorHAnsi" w:cstheme="majorHAnsi"/>
          <w:b/>
          <w:lang w:val="en-US" w:eastAsia="pl-PL"/>
        </w:rPr>
      </w:pPr>
      <w:r w:rsidRPr="00115720">
        <w:rPr>
          <w:rFonts w:asciiTheme="majorHAnsi" w:eastAsia="Times New Roman" w:hAnsiTheme="majorHAnsi" w:cstheme="majorHAnsi"/>
          <w:lang w:val="en-US" w:eastAsia="pl-PL"/>
        </w:rPr>
        <w:t xml:space="preserve">A foreseen duration of projects is </w:t>
      </w:r>
      <w:r w:rsidRPr="00115720">
        <w:rPr>
          <w:rFonts w:asciiTheme="majorHAnsi" w:eastAsia="Times New Roman" w:hAnsiTheme="majorHAnsi" w:cstheme="majorHAnsi"/>
          <w:b/>
          <w:lang w:val="en-US" w:eastAsia="pl-PL"/>
        </w:rPr>
        <w:t xml:space="preserve">up to </w:t>
      </w:r>
      <w:r w:rsidR="00045B1C">
        <w:rPr>
          <w:rFonts w:asciiTheme="majorHAnsi" w:eastAsia="Times New Roman" w:hAnsiTheme="majorHAnsi" w:cstheme="majorHAnsi"/>
          <w:b/>
          <w:lang w:val="en-US" w:eastAsia="pl-PL"/>
        </w:rPr>
        <w:t>2</w:t>
      </w:r>
      <w:r w:rsidR="00A92F73">
        <w:rPr>
          <w:rFonts w:asciiTheme="majorHAnsi" w:eastAsia="Times New Roman" w:hAnsiTheme="majorHAnsi" w:cstheme="majorHAnsi"/>
          <w:b/>
          <w:lang w:val="en-US" w:eastAsia="pl-PL"/>
        </w:rPr>
        <w:t>4</w:t>
      </w:r>
      <w:r w:rsidRPr="00115720">
        <w:rPr>
          <w:rFonts w:asciiTheme="majorHAnsi" w:eastAsia="Times New Roman" w:hAnsiTheme="majorHAnsi" w:cstheme="majorHAnsi"/>
          <w:b/>
          <w:lang w:val="en-US" w:eastAsia="pl-PL"/>
        </w:rPr>
        <w:t xml:space="preserve"> </w:t>
      </w:r>
      <w:r w:rsidR="00A92F73">
        <w:rPr>
          <w:rFonts w:asciiTheme="majorHAnsi" w:eastAsia="Times New Roman" w:hAnsiTheme="majorHAnsi" w:cstheme="majorHAnsi"/>
          <w:b/>
          <w:lang w:val="en-US" w:eastAsia="pl-PL"/>
        </w:rPr>
        <w:t>months</w:t>
      </w:r>
      <w:r w:rsidRPr="00115720">
        <w:rPr>
          <w:rFonts w:asciiTheme="majorHAnsi" w:eastAsia="Times New Roman" w:hAnsiTheme="majorHAnsi" w:cstheme="majorHAnsi"/>
          <w:b/>
          <w:lang w:val="en-US" w:eastAsia="pl-PL"/>
        </w:rPr>
        <w:t xml:space="preserve">. </w:t>
      </w:r>
    </w:p>
    <w:p w14:paraId="037C7D10" w14:textId="4CCF9B13" w:rsidR="00A21E6C" w:rsidRPr="00115720" w:rsidRDefault="00A21E6C" w:rsidP="00E91FA9">
      <w:pPr>
        <w:pStyle w:val="Akapitzlist"/>
        <w:numPr>
          <w:ilvl w:val="1"/>
          <w:numId w:val="10"/>
        </w:numPr>
        <w:rPr>
          <w:rFonts w:asciiTheme="majorHAnsi" w:eastAsia="Times New Roman" w:hAnsiTheme="majorHAnsi" w:cstheme="majorHAnsi"/>
          <w:lang w:val="en-US" w:eastAsia="pl-PL"/>
        </w:rPr>
      </w:pPr>
      <w:r w:rsidRPr="00115720">
        <w:rPr>
          <w:rFonts w:asciiTheme="majorHAnsi" w:eastAsia="Times New Roman" w:hAnsiTheme="majorHAnsi" w:cstheme="majorHAnsi"/>
          <w:b/>
          <w:bCs/>
          <w:lang w:val="en-US" w:eastAsia="pl-PL"/>
        </w:rPr>
        <w:t>Eligible expenditures</w:t>
      </w:r>
    </w:p>
    <w:p w14:paraId="59D6856F" w14:textId="4ED2C57D" w:rsidR="00A21E6C" w:rsidRPr="00115720" w:rsidRDefault="00A21E6C" w:rsidP="00A21E6C">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a)    </w:t>
      </w:r>
      <w:r w:rsidRPr="00115720">
        <w:rPr>
          <w:rFonts w:asciiTheme="majorHAnsi" w:eastAsia="Times New Roman" w:hAnsiTheme="majorHAnsi" w:cstheme="majorHAnsi"/>
          <w:u w:val="single"/>
          <w:lang w:val="en-US" w:eastAsia="pl-PL"/>
        </w:rPr>
        <w:t>Direct cost:</w:t>
      </w:r>
    </w:p>
    <w:p w14:paraId="15C9DD20" w14:textId="77777777" w:rsidR="004D3B74" w:rsidRPr="00115720" w:rsidRDefault="004D3B74" w:rsidP="00EE0069">
      <w:pPr>
        <w:pStyle w:val="Akapitzlist"/>
        <w:numPr>
          <w:ilvl w:val="0"/>
          <w:numId w:val="22"/>
        </w:numPr>
        <w:spacing w:before="100" w:beforeAutospacing="1" w:after="100" w:afterAutospacing="1" w:line="240" w:lineRule="auto"/>
        <w:jc w:val="both"/>
        <w:rPr>
          <w:rFonts w:asciiTheme="majorHAnsi" w:eastAsia="Times New Roman" w:hAnsiTheme="majorHAnsi" w:cstheme="majorHAnsi"/>
          <w:lang w:eastAsia="pl-PL"/>
        </w:rPr>
      </w:pPr>
      <w:r w:rsidRPr="00115720">
        <w:rPr>
          <w:rFonts w:asciiTheme="majorHAnsi" w:eastAsia="Times New Roman" w:hAnsiTheme="majorHAnsi" w:cstheme="majorHAnsi"/>
          <w:lang w:eastAsia="pl-PL"/>
        </w:rPr>
        <w:t xml:space="preserve">Staff </w:t>
      </w:r>
    </w:p>
    <w:p w14:paraId="7C34DA61" w14:textId="77777777" w:rsidR="004D3B74" w:rsidRPr="00115720" w:rsidRDefault="004D3B74" w:rsidP="00EE0069">
      <w:pPr>
        <w:pStyle w:val="Akapitzlist"/>
        <w:numPr>
          <w:ilvl w:val="0"/>
          <w:numId w:val="22"/>
        </w:numPr>
        <w:spacing w:before="100" w:beforeAutospacing="1" w:after="100" w:afterAutospacing="1" w:line="240" w:lineRule="auto"/>
        <w:jc w:val="both"/>
        <w:rPr>
          <w:rFonts w:asciiTheme="majorHAnsi" w:eastAsia="Times New Roman" w:hAnsiTheme="majorHAnsi" w:cstheme="majorHAnsi"/>
          <w:lang w:eastAsia="pl-PL"/>
        </w:rPr>
      </w:pPr>
      <w:proofErr w:type="spellStart"/>
      <w:r w:rsidRPr="00115720">
        <w:rPr>
          <w:rFonts w:asciiTheme="majorHAnsi" w:eastAsia="Times New Roman" w:hAnsiTheme="majorHAnsi" w:cstheme="majorHAnsi"/>
          <w:lang w:eastAsia="pl-PL"/>
        </w:rPr>
        <w:t>Consumables</w:t>
      </w:r>
      <w:proofErr w:type="spellEnd"/>
      <w:r w:rsidRPr="00115720">
        <w:rPr>
          <w:rFonts w:asciiTheme="majorHAnsi" w:eastAsia="Times New Roman" w:hAnsiTheme="majorHAnsi" w:cstheme="majorHAnsi"/>
          <w:lang w:eastAsia="pl-PL"/>
        </w:rPr>
        <w:t xml:space="preserve"> and </w:t>
      </w:r>
      <w:proofErr w:type="spellStart"/>
      <w:r w:rsidRPr="00115720">
        <w:rPr>
          <w:rFonts w:asciiTheme="majorHAnsi" w:eastAsia="Times New Roman" w:hAnsiTheme="majorHAnsi" w:cstheme="majorHAnsi"/>
          <w:lang w:eastAsia="pl-PL"/>
        </w:rPr>
        <w:t>supplies</w:t>
      </w:r>
      <w:proofErr w:type="spellEnd"/>
    </w:p>
    <w:p w14:paraId="12AABF91" w14:textId="77777777" w:rsidR="004D3B74" w:rsidRPr="00115720" w:rsidRDefault="004D3B74" w:rsidP="00EE0069">
      <w:pPr>
        <w:pStyle w:val="Akapitzlist"/>
        <w:numPr>
          <w:ilvl w:val="0"/>
          <w:numId w:val="22"/>
        </w:numPr>
        <w:spacing w:before="100" w:beforeAutospacing="1" w:after="100" w:afterAutospacing="1" w:line="240" w:lineRule="auto"/>
        <w:jc w:val="both"/>
        <w:rPr>
          <w:rFonts w:asciiTheme="majorHAnsi" w:eastAsia="Times New Roman" w:hAnsiTheme="majorHAnsi" w:cstheme="majorHAnsi"/>
          <w:lang w:eastAsia="pl-PL"/>
        </w:rPr>
      </w:pPr>
      <w:proofErr w:type="spellStart"/>
      <w:r w:rsidRPr="00115720">
        <w:rPr>
          <w:rFonts w:asciiTheme="majorHAnsi" w:eastAsia="Times New Roman" w:hAnsiTheme="majorHAnsi" w:cstheme="majorHAnsi"/>
          <w:lang w:eastAsia="pl-PL"/>
        </w:rPr>
        <w:t>Equipment</w:t>
      </w:r>
      <w:proofErr w:type="spellEnd"/>
    </w:p>
    <w:p w14:paraId="3B83C8C3" w14:textId="77777777" w:rsidR="004D3B74" w:rsidRPr="00115720" w:rsidRDefault="004D3B74" w:rsidP="00EE0069">
      <w:pPr>
        <w:pStyle w:val="Akapitzlist"/>
        <w:numPr>
          <w:ilvl w:val="0"/>
          <w:numId w:val="22"/>
        </w:numPr>
        <w:spacing w:before="100" w:beforeAutospacing="1" w:after="100" w:afterAutospacing="1" w:line="240" w:lineRule="auto"/>
        <w:jc w:val="both"/>
        <w:rPr>
          <w:rFonts w:asciiTheme="majorHAnsi" w:eastAsia="Times New Roman" w:hAnsiTheme="majorHAnsi" w:cstheme="majorHAnsi"/>
          <w:lang w:eastAsia="pl-PL"/>
        </w:rPr>
      </w:pPr>
      <w:r w:rsidRPr="00115720">
        <w:rPr>
          <w:rFonts w:asciiTheme="majorHAnsi" w:eastAsia="Times New Roman" w:hAnsiTheme="majorHAnsi" w:cstheme="majorHAnsi"/>
          <w:lang w:eastAsia="pl-PL"/>
        </w:rPr>
        <w:t xml:space="preserve">Travel </w:t>
      </w:r>
    </w:p>
    <w:p w14:paraId="49B9A553" w14:textId="77777777" w:rsidR="004D3B74" w:rsidRPr="00115720" w:rsidRDefault="004D3B74" w:rsidP="00EE0069">
      <w:pPr>
        <w:pStyle w:val="Akapitzlist"/>
        <w:numPr>
          <w:ilvl w:val="0"/>
          <w:numId w:val="22"/>
        </w:numPr>
        <w:spacing w:before="100" w:beforeAutospacing="1" w:after="100" w:afterAutospacing="1" w:line="240" w:lineRule="auto"/>
        <w:jc w:val="both"/>
        <w:rPr>
          <w:rFonts w:asciiTheme="majorHAnsi" w:eastAsia="Times New Roman" w:hAnsiTheme="majorHAnsi" w:cstheme="majorHAnsi"/>
          <w:lang w:eastAsia="pl-PL"/>
        </w:rPr>
      </w:pPr>
      <w:proofErr w:type="spellStart"/>
      <w:r w:rsidRPr="00115720">
        <w:rPr>
          <w:rFonts w:asciiTheme="majorHAnsi" w:eastAsia="Times New Roman" w:hAnsiTheme="majorHAnsi" w:cstheme="majorHAnsi"/>
          <w:lang w:eastAsia="pl-PL"/>
        </w:rPr>
        <w:t>Other</w:t>
      </w:r>
      <w:proofErr w:type="spellEnd"/>
      <w:r w:rsidR="00C06507" w:rsidRPr="00115720">
        <w:rPr>
          <w:rFonts w:asciiTheme="majorHAnsi" w:eastAsia="Times New Roman" w:hAnsiTheme="majorHAnsi" w:cstheme="majorHAnsi"/>
          <w:lang w:eastAsia="pl-PL"/>
        </w:rPr>
        <w:t xml:space="preserve"> </w:t>
      </w:r>
      <w:proofErr w:type="spellStart"/>
      <w:r w:rsidR="00C06507" w:rsidRPr="00115720">
        <w:rPr>
          <w:rFonts w:asciiTheme="majorHAnsi" w:eastAsia="Times New Roman" w:hAnsiTheme="majorHAnsi" w:cstheme="majorHAnsi"/>
          <w:lang w:eastAsia="pl-PL"/>
        </w:rPr>
        <w:t>direct</w:t>
      </w:r>
      <w:proofErr w:type="spellEnd"/>
      <w:r w:rsidR="00C06507" w:rsidRPr="00115720">
        <w:rPr>
          <w:rFonts w:asciiTheme="majorHAnsi" w:eastAsia="Times New Roman" w:hAnsiTheme="majorHAnsi" w:cstheme="majorHAnsi"/>
          <w:lang w:eastAsia="pl-PL"/>
        </w:rPr>
        <w:t xml:space="preserve"> </w:t>
      </w:r>
      <w:proofErr w:type="spellStart"/>
      <w:r w:rsidR="00C06507" w:rsidRPr="00115720">
        <w:rPr>
          <w:rFonts w:asciiTheme="majorHAnsi" w:eastAsia="Times New Roman" w:hAnsiTheme="majorHAnsi" w:cstheme="majorHAnsi"/>
          <w:lang w:eastAsia="pl-PL"/>
        </w:rPr>
        <w:t>costs</w:t>
      </w:r>
      <w:proofErr w:type="spellEnd"/>
    </w:p>
    <w:p w14:paraId="72083BBD" w14:textId="77777777" w:rsidR="00A21E6C" w:rsidRPr="00115720" w:rsidRDefault="004D3B74" w:rsidP="00EE0069">
      <w:pPr>
        <w:pStyle w:val="Akapitzlist"/>
        <w:numPr>
          <w:ilvl w:val="0"/>
          <w:numId w:val="22"/>
        </w:numPr>
        <w:spacing w:before="100" w:beforeAutospacing="1" w:after="100" w:afterAutospacing="1" w:line="240" w:lineRule="auto"/>
        <w:jc w:val="both"/>
        <w:rPr>
          <w:rFonts w:asciiTheme="majorHAnsi" w:eastAsia="Times New Roman" w:hAnsiTheme="majorHAnsi" w:cstheme="majorHAnsi"/>
          <w:lang w:eastAsia="pl-PL"/>
        </w:rPr>
      </w:pPr>
      <w:proofErr w:type="spellStart"/>
      <w:r w:rsidRPr="00115720">
        <w:rPr>
          <w:rFonts w:asciiTheme="majorHAnsi" w:eastAsia="Times New Roman" w:hAnsiTheme="majorHAnsi" w:cstheme="majorHAnsi"/>
          <w:lang w:eastAsia="pl-PL"/>
        </w:rPr>
        <w:t>Subcontracting</w:t>
      </w:r>
      <w:proofErr w:type="spellEnd"/>
    </w:p>
    <w:p w14:paraId="40E8B2A7" w14:textId="592CE402" w:rsidR="00E46140" w:rsidRPr="00115720" w:rsidRDefault="00A21E6C" w:rsidP="00E46140">
      <w:pPr>
        <w:spacing w:before="100" w:beforeAutospacing="1" w:after="100" w:afterAutospacing="1" w:line="240" w:lineRule="auto"/>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b)    </w:t>
      </w:r>
      <w:r w:rsidRPr="00115720">
        <w:rPr>
          <w:rFonts w:asciiTheme="majorHAnsi" w:eastAsia="Times New Roman" w:hAnsiTheme="majorHAnsi" w:cstheme="majorHAnsi"/>
          <w:u w:val="single"/>
          <w:lang w:val="en-US" w:eastAsia="pl-PL"/>
        </w:rPr>
        <w:t>Indirect cost</w:t>
      </w:r>
      <w:r w:rsidR="00256AEB">
        <w:rPr>
          <w:rFonts w:asciiTheme="majorHAnsi" w:eastAsia="Times New Roman" w:hAnsiTheme="majorHAnsi" w:cstheme="majorHAnsi"/>
          <w:lang w:val="en-US" w:eastAsia="pl-PL"/>
        </w:rPr>
        <w:t xml:space="preserve"> (overheads)</w:t>
      </w:r>
    </w:p>
    <w:p w14:paraId="3A1A8736" w14:textId="2A3415EB" w:rsidR="00A21E6C" w:rsidRDefault="00A21E6C" w:rsidP="00EE0069">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 xml:space="preserve">The description of the categories of costs listed above can be found in </w:t>
      </w:r>
      <w:r w:rsidR="00E46140" w:rsidRPr="00115720">
        <w:rPr>
          <w:rFonts w:asciiTheme="majorHAnsi" w:eastAsia="Times New Roman" w:hAnsiTheme="majorHAnsi" w:cstheme="majorHAnsi"/>
          <w:lang w:val="en-US" w:eastAsia="pl-PL"/>
        </w:rPr>
        <w:t>‘Cost Eligibility Guide’</w:t>
      </w:r>
      <w:r w:rsidR="00FD62DC" w:rsidRPr="00115720">
        <w:rPr>
          <w:rFonts w:asciiTheme="majorHAnsi" w:eastAsia="Times New Roman" w:hAnsiTheme="majorHAnsi" w:cstheme="majorHAnsi"/>
          <w:lang w:val="en-US" w:eastAsia="pl-PL"/>
        </w:rPr>
        <w:t>.</w:t>
      </w:r>
      <w:r w:rsidRPr="00115720">
        <w:rPr>
          <w:rFonts w:asciiTheme="majorHAnsi" w:eastAsia="Times New Roman" w:hAnsiTheme="majorHAnsi" w:cstheme="majorHAnsi"/>
          <w:lang w:val="en-US" w:eastAsia="pl-PL"/>
        </w:rPr>
        <w:br/>
        <w:t>The first and final dates of eligibility of each project will be stated in the project contract for that project.</w:t>
      </w:r>
      <w:r w:rsidRPr="00115720">
        <w:rPr>
          <w:rFonts w:asciiTheme="majorHAnsi" w:eastAsia="Times New Roman" w:hAnsiTheme="majorHAnsi" w:cstheme="majorHAnsi"/>
          <w:lang w:val="en-US" w:eastAsia="pl-PL"/>
        </w:rPr>
        <w:br/>
        <w:t>Expenditures incurred after 30 April 20</w:t>
      </w:r>
      <w:r w:rsidR="007701E7" w:rsidRPr="00115720">
        <w:rPr>
          <w:rFonts w:asciiTheme="majorHAnsi" w:eastAsia="Times New Roman" w:hAnsiTheme="majorHAnsi" w:cstheme="majorHAnsi"/>
          <w:lang w:val="en-US" w:eastAsia="pl-PL"/>
        </w:rPr>
        <w:t>24</w:t>
      </w:r>
      <w:r w:rsidRPr="00115720">
        <w:rPr>
          <w:rFonts w:asciiTheme="majorHAnsi" w:eastAsia="Times New Roman" w:hAnsiTheme="majorHAnsi" w:cstheme="majorHAnsi"/>
          <w:lang w:val="en-US" w:eastAsia="pl-PL"/>
        </w:rPr>
        <w:t xml:space="preserve"> shall not be eligible.</w:t>
      </w:r>
    </w:p>
    <w:p w14:paraId="2B398F25" w14:textId="77777777" w:rsidR="00256AEB" w:rsidRPr="00115720" w:rsidRDefault="00256AEB" w:rsidP="00EE0069">
      <w:pPr>
        <w:spacing w:before="100" w:beforeAutospacing="1" w:after="100" w:afterAutospacing="1" w:line="240" w:lineRule="auto"/>
        <w:jc w:val="both"/>
        <w:rPr>
          <w:rFonts w:asciiTheme="majorHAnsi" w:eastAsia="Times New Roman" w:hAnsiTheme="majorHAnsi" w:cstheme="majorHAnsi"/>
          <w:lang w:val="en-US" w:eastAsia="pl-PL"/>
        </w:rPr>
      </w:pPr>
    </w:p>
    <w:p w14:paraId="26C1F497" w14:textId="5A281FC6" w:rsidR="00A21E6C" w:rsidRPr="00115720" w:rsidRDefault="00A21E6C" w:rsidP="00E91FA9">
      <w:pPr>
        <w:pStyle w:val="Akapitzlist"/>
        <w:numPr>
          <w:ilvl w:val="1"/>
          <w:numId w:val="10"/>
        </w:numPr>
        <w:rPr>
          <w:rFonts w:asciiTheme="majorHAnsi" w:eastAsia="Times New Roman" w:hAnsiTheme="majorHAnsi" w:cstheme="majorHAnsi"/>
          <w:lang w:val="en-US" w:eastAsia="pl-PL"/>
        </w:rPr>
      </w:pPr>
      <w:r w:rsidRPr="00115720">
        <w:rPr>
          <w:rFonts w:asciiTheme="majorHAnsi" w:eastAsia="Times New Roman" w:hAnsiTheme="majorHAnsi" w:cstheme="majorHAnsi"/>
          <w:b/>
          <w:bCs/>
          <w:lang w:val="en-US" w:eastAsia="pl-PL"/>
        </w:rPr>
        <w:t>The currency used for the project proposal’s budget and the settlement of costs in the project implementation</w:t>
      </w:r>
    </w:p>
    <w:p w14:paraId="79D113C0" w14:textId="085DF7D7" w:rsidR="009F4AF8" w:rsidRPr="00115720" w:rsidRDefault="00A21E6C" w:rsidP="00A00391">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 xml:space="preserve">The currency used for completing the Project Budget, payments from the </w:t>
      </w:r>
      <w:proofErr w:type="spellStart"/>
      <w:r w:rsidRPr="00115720">
        <w:rPr>
          <w:rFonts w:asciiTheme="majorHAnsi" w:eastAsia="Times New Roman" w:hAnsiTheme="majorHAnsi" w:cstheme="majorHAnsi"/>
          <w:lang w:val="en-US" w:eastAsia="pl-PL"/>
        </w:rPr>
        <w:t>Programme</w:t>
      </w:r>
      <w:proofErr w:type="spellEnd"/>
      <w:r w:rsidRPr="00115720">
        <w:rPr>
          <w:rFonts w:asciiTheme="majorHAnsi" w:eastAsia="Times New Roman" w:hAnsiTheme="majorHAnsi" w:cstheme="majorHAnsi"/>
          <w:lang w:val="en-US" w:eastAsia="pl-PL"/>
        </w:rPr>
        <w:t xml:space="preserve"> Operator and settlements between the Project Promoter and </w:t>
      </w:r>
      <w:r w:rsidR="00B941AE">
        <w:rPr>
          <w:rFonts w:asciiTheme="majorHAnsi" w:hAnsiTheme="majorHAnsi" w:cstheme="majorHAnsi"/>
          <w:lang w:val="en-GB"/>
        </w:rPr>
        <w:t>Programme Operator</w:t>
      </w:r>
      <w:r w:rsidRPr="00115720">
        <w:rPr>
          <w:rFonts w:asciiTheme="majorHAnsi" w:eastAsia="Times New Roman" w:hAnsiTheme="majorHAnsi" w:cstheme="majorHAnsi"/>
          <w:lang w:val="en-US" w:eastAsia="pl-PL"/>
        </w:rPr>
        <w:t xml:space="preserve"> will be</w:t>
      </w:r>
      <w:r w:rsidR="00EE5F27" w:rsidRPr="00115720">
        <w:rPr>
          <w:rFonts w:asciiTheme="majorHAnsi" w:eastAsia="Times New Roman" w:hAnsiTheme="majorHAnsi" w:cstheme="majorHAnsi"/>
          <w:lang w:val="en-US" w:eastAsia="pl-PL"/>
        </w:rPr>
        <w:t xml:space="preserve"> </w:t>
      </w:r>
      <w:r w:rsidRPr="00115720">
        <w:rPr>
          <w:rFonts w:asciiTheme="majorHAnsi" w:eastAsia="Times New Roman" w:hAnsiTheme="majorHAnsi" w:cstheme="majorHAnsi"/>
          <w:lang w:val="en-US" w:eastAsia="pl-PL"/>
        </w:rPr>
        <w:t xml:space="preserve">the Polish </w:t>
      </w:r>
      <w:r w:rsidR="00570226">
        <w:rPr>
          <w:rFonts w:asciiTheme="majorHAnsi" w:eastAsia="Times New Roman" w:hAnsiTheme="majorHAnsi" w:cstheme="majorHAnsi"/>
          <w:lang w:val="en-US" w:eastAsia="pl-PL"/>
        </w:rPr>
        <w:t>Z</w:t>
      </w:r>
      <w:r w:rsidRPr="00115720">
        <w:rPr>
          <w:rFonts w:asciiTheme="majorHAnsi" w:eastAsia="Times New Roman" w:hAnsiTheme="majorHAnsi" w:cstheme="majorHAnsi"/>
          <w:lang w:val="en-US" w:eastAsia="pl-PL"/>
        </w:rPr>
        <w:t>loty (PLN). The European Central Bank’s exchange rate from the date of the call launch will be used for calculating all cost related to the project application.</w:t>
      </w:r>
      <w:r w:rsidR="00E330F2" w:rsidRPr="00115720">
        <w:rPr>
          <w:rFonts w:asciiTheme="majorHAnsi" w:eastAsia="Times New Roman" w:hAnsiTheme="majorHAnsi" w:cstheme="majorHAnsi"/>
          <w:lang w:val="en-US" w:eastAsia="pl-PL"/>
        </w:rPr>
        <w:t xml:space="preserve"> </w:t>
      </w:r>
      <w:r w:rsidR="00A00391" w:rsidRPr="00115720">
        <w:rPr>
          <w:rFonts w:asciiTheme="majorHAnsi" w:eastAsia="Times New Roman" w:hAnsiTheme="majorHAnsi" w:cstheme="majorHAnsi"/>
          <w:lang w:val="en-US" w:eastAsia="pl-PL"/>
        </w:rPr>
        <w:t xml:space="preserve">The project contract will contain the maximum amount of the project grant in </w:t>
      </w:r>
      <w:r w:rsidR="00B941AE">
        <w:rPr>
          <w:rFonts w:asciiTheme="majorHAnsi" w:eastAsia="Times New Roman" w:hAnsiTheme="majorHAnsi" w:cstheme="majorHAnsi"/>
          <w:lang w:val="en-US" w:eastAsia="pl-PL"/>
        </w:rPr>
        <w:t>E</w:t>
      </w:r>
      <w:r w:rsidR="00A00391" w:rsidRPr="00115720">
        <w:rPr>
          <w:rFonts w:asciiTheme="majorHAnsi" w:eastAsia="Times New Roman" w:hAnsiTheme="majorHAnsi" w:cstheme="majorHAnsi"/>
          <w:lang w:val="en-US" w:eastAsia="pl-PL"/>
        </w:rPr>
        <w:t>uro.</w:t>
      </w:r>
    </w:p>
    <w:p w14:paraId="64EFB737" w14:textId="222AB75B" w:rsidR="00CD0C00" w:rsidRPr="00115720" w:rsidRDefault="00CD0C00" w:rsidP="00E91FA9">
      <w:pPr>
        <w:pStyle w:val="Akapitzlist"/>
        <w:numPr>
          <w:ilvl w:val="1"/>
          <w:numId w:val="10"/>
        </w:numPr>
        <w:rPr>
          <w:rFonts w:asciiTheme="majorHAnsi" w:hAnsiTheme="majorHAnsi" w:cstheme="majorHAnsi"/>
          <w:b/>
          <w:lang w:val="en-GB"/>
        </w:rPr>
      </w:pPr>
      <w:r w:rsidRPr="00115720">
        <w:rPr>
          <w:rFonts w:asciiTheme="majorHAnsi" w:hAnsiTheme="majorHAnsi" w:cstheme="majorHAnsi"/>
          <w:b/>
          <w:lang w:val="en-GB"/>
        </w:rPr>
        <w:t xml:space="preserve">The </w:t>
      </w:r>
      <w:r w:rsidRPr="00E91FA9">
        <w:rPr>
          <w:rFonts w:asciiTheme="majorHAnsi" w:eastAsia="Times New Roman" w:hAnsiTheme="majorHAnsi" w:cstheme="majorHAnsi"/>
          <w:b/>
          <w:bCs/>
          <w:lang w:val="en-US" w:eastAsia="pl-PL"/>
        </w:rPr>
        <w:t>eligibility</w:t>
      </w:r>
      <w:r w:rsidRPr="00115720">
        <w:rPr>
          <w:rFonts w:asciiTheme="majorHAnsi" w:hAnsiTheme="majorHAnsi" w:cstheme="majorHAnsi"/>
          <w:b/>
          <w:lang w:val="en-GB"/>
        </w:rPr>
        <w:t xml:space="preserve"> criteria of the call</w:t>
      </w:r>
    </w:p>
    <w:p w14:paraId="1867A6CF" w14:textId="77777777" w:rsidR="00EF7E2E" w:rsidRPr="00EF7E2E" w:rsidRDefault="00EF7E2E" w:rsidP="00EF7E2E">
      <w:pPr>
        <w:pStyle w:val="Bezodstpw"/>
        <w:rPr>
          <w:rFonts w:asciiTheme="majorHAnsi" w:hAnsiTheme="majorHAnsi" w:cstheme="majorHAnsi"/>
          <w:lang w:val="en-GB"/>
        </w:rPr>
      </w:pPr>
      <w:r w:rsidRPr="00EF7E2E">
        <w:rPr>
          <w:rFonts w:asciiTheme="majorHAnsi" w:hAnsiTheme="majorHAnsi" w:cstheme="majorHAnsi"/>
          <w:lang w:val="en-GB"/>
        </w:rPr>
        <w:t>The following eligibility criteria apply to all proposals submitted under the call:</w:t>
      </w:r>
    </w:p>
    <w:p w14:paraId="5B77229F" w14:textId="4FD9E488" w:rsidR="00EF7E2E" w:rsidRPr="00EF7E2E" w:rsidRDefault="00EF7E2E" w:rsidP="00EF7E2E">
      <w:pPr>
        <w:pStyle w:val="Bezodstpw"/>
        <w:numPr>
          <w:ilvl w:val="0"/>
          <w:numId w:val="25"/>
        </w:numPr>
        <w:rPr>
          <w:rFonts w:asciiTheme="majorHAnsi" w:hAnsiTheme="majorHAnsi" w:cstheme="majorHAnsi"/>
          <w:lang w:val="en-GB"/>
        </w:rPr>
      </w:pPr>
      <w:r w:rsidRPr="00EF7E2E">
        <w:rPr>
          <w:rFonts w:asciiTheme="majorHAnsi" w:hAnsiTheme="majorHAnsi" w:cstheme="majorHAnsi"/>
          <w:lang w:val="en-GB"/>
        </w:rPr>
        <w:t>receipt of proposal by the Programme Operator before the deadline date and time established in the call and in compliance with</w:t>
      </w:r>
      <w:r w:rsidRPr="00EF7E2E" w:rsidDel="00390B82">
        <w:rPr>
          <w:rFonts w:asciiTheme="majorHAnsi" w:hAnsiTheme="majorHAnsi" w:cstheme="majorHAnsi"/>
          <w:lang w:val="en-GB"/>
        </w:rPr>
        <w:t xml:space="preserve"> </w:t>
      </w:r>
      <w:r w:rsidR="00516CC7">
        <w:rPr>
          <w:rFonts w:asciiTheme="majorHAnsi" w:hAnsiTheme="majorHAnsi" w:cstheme="majorHAnsi"/>
          <w:lang w:val="en-GB"/>
        </w:rPr>
        <w:t>the</w:t>
      </w:r>
      <w:r w:rsidR="00516CC7" w:rsidRPr="00EF7E2E">
        <w:rPr>
          <w:rFonts w:asciiTheme="majorHAnsi" w:hAnsiTheme="majorHAnsi" w:cstheme="majorHAnsi"/>
          <w:lang w:val="en-GB"/>
        </w:rPr>
        <w:t xml:space="preserve"> </w:t>
      </w:r>
      <w:r w:rsidR="00516CC7">
        <w:rPr>
          <w:rFonts w:asciiTheme="majorHAnsi" w:hAnsiTheme="majorHAnsi" w:cstheme="majorHAnsi"/>
          <w:lang w:val="en-GB"/>
        </w:rPr>
        <w:t>“</w:t>
      </w:r>
      <w:r w:rsidR="00516CC7" w:rsidRPr="00EF7E2E">
        <w:rPr>
          <w:rFonts w:asciiTheme="majorHAnsi" w:hAnsiTheme="majorHAnsi" w:cstheme="majorHAnsi"/>
          <w:lang w:val="en-GB"/>
        </w:rPr>
        <w:t>Guide</w:t>
      </w:r>
      <w:r w:rsidR="00516CC7">
        <w:rPr>
          <w:rFonts w:asciiTheme="majorHAnsi" w:hAnsiTheme="majorHAnsi" w:cstheme="majorHAnsi"/>
          <w:lang w:val="en-GB"/>
        </w:rPr>
        <w:t xml:space="preserve"> for Applicants SGS Call”,</w:t>
      </w:r>
      <w:r w:rsidRPr="00EF7E2E">
        <w:rPr>
          <w:rFonts w:asciiTheme="majorHAnsi" w:hAnsiTheme="majorHAnsi" w:cstheme="majorHAnsi"/>
          <w:lang w:val="en-GB"/>
        </w:rPr>
        <w:t xml:space="preserve"> p. 2.5;</w:t>
      </w:r>
    </w:p>
    <w:p w14:paraId="04781C49" w14:textId="77777777" w:rsidR="00EF7E2E" w:rsidRPr="00EF7E2E" w:rsidRDefault="00EF7E2E" w:rsidP="00EF7E2E">
      <w:pPr>
        <w:pStyle w:val="Bezodstpw"/>
        <w:numPr>
          <w:ilvl w:val="0"/>
          <w:numId w:val="25"/>
        </w:numPr>
        <w:rPr>
          <w:rFonts w:asciiTheme="majorHAnsi" w:hAnsiTheme="majorHAnsi" w:cstheme="majorHAnsi"/>
          <w:lang w:val="en-GB"/>
        </w:rPr>
      </w:pPr>
      <w:r w:rsidRPr="00EF7E2E">
        <w:rPr>
          <w:rFonts w:asciiTheme="majorHAnsi" w:hAnsiTheme="majorHAnsi" w:cstheme="majorHAnsi"/>
          <w:lang w:val="en-GB"/>
        </w:rPr>
        <w:t>fulfilment of conditions related to:</w:t>
      </w:r>
    </w:p>
    <w:p w14:paraId="0EE1CCED" w14:textId="5BF1D54C" w:rsidR="00EF7E2E" w:rsidRPr="00EF7E2E" w:rsidRDefault="00EF7E2E" w:rsidP="00EF7E2E">
      <w:pPr>
        <w:pStyle w:val="Bezodstpw"/>
        <w:numPr>
          <w:ilvl w:val="1"/>
          <w:numId w:val="26"/>
        </w:numPr>
        <w:rPr>
          <w:rFonts w:asciiTheme="majorHAnsi" w:hAnsiTheme="majorHAnsi" w:cstheme="majorHAnsi"/>
          <w:lang w:val="en-GB"/>
        </w:rPr>
      </w:pPr>
      <w:r w:rsidRPr="00EF7E2E">
        <w:rPr>
          <w:rFonts w:asciiTheme="majorHAnsi" w:hAnsiTheme="majorHAnsi" w:cstheme="majorHAnsi"/>
          <w:lang w:val="en-GB"/>
        </w:rPr>
        <w:t xml:space="preserve">Project Promoter eligibility as defined in </w:t>
      </w:r>
      <w:r w:rsidR="00516CC7">
        <w:rPr>
          <w:rFonts w:asciiTheme="majorHAnsi" w:hAnsiTheme="majorHAnsi" w:cstheme="majorHAnsi"/>
          <w:lang w:val="en-GB"/>
        </w:rPr>
        <w:t>the</w:t>
      </w:r>
      <w:r w:rsidR="00516CC7" w:rsidRPr="00EF7E2E">
        <w:rPr>
          <w:rFonts w:asciiTheme="majorHAnsi" w:hAnsiTheme="majorHAnsi" w:cstheme="majorHAnsi"/>
          <w:lang w:val="en-GB"/>
        </w:rPr>
        <w:t xml:space="preserve"> </w:t>
      </w:r>
      <w:r w:rsidR="00516CC7">
        <w:rPr>
          <w:rFonts w:asciiTheme="majorHAnsi" w:hAnsiTheme="majorHAnsi" w:cstheme="majorHAnsi"/>
          <w:lang w:val="en-GB"/>
        </w:rPr>
        <w:t>“</w:t>
      </w:r>
      <w:r w:rsidR="00516CC7" w:rsidRPr="00EF7E2E">
        <w:rPr>
          <w:rFonts w:asciiTheme="majorHAnsi" w:hAnsiTheme="majorHAnsi" w:cstheme="majorHAnsi"/>
          <w:lang w:val="en-GB"/>
        </w:rPr>
        <w:t>Guide</w:t>
      </w:r>
      <w:r w:rsidR="00516CC7">
        <w:rPr>
          <w:rFonts w:asciiTheme="majorHAnsi" w:hAnsiTheme="majorHAnsi" w:cstheme="majorHAnsi"/>
          <w:lang w:val="en-GB"/>
        </w:rPr>
        <w:t xml:space="preserve"> for Applicants SGS Call”, </w:t>
      </w:r>
      <w:r w:rsidRPr="00EF7E2E">
        <w:rPr>
          <w:rFonts w:asciiTheme="majorHAnsi" w:hAnsiTheme="majorHAnsi" w:cstheme="majorHAnsi"/>
          <w:lang w:val="en-GB"/>
        </w:rPr>
        <w:t>p. 2.2,</w:t>
      </w:r>
    </w:p>
    <w:p w14:paraId="077F609D" w14:textId="050076DB" w:rsidR="00EF7E2E" w:rsidRPr="00EF7E2E" w:rsidRDefault="00EF7E2E" w:rsidP="00EF7E2E">
      <w:pPr>
        <w:pStyle w:val="Bezodstpw"/>
        <w:numPr>
          <w:ilvl w:val="1"/>
          <w:numId w:val="26"/>
        </w:numPr>
        <w:rPr>
          <w:rFonts w:asciiTheme="majorHAnsi" w:hAnsiTheme="majorHAnsi" w:cstheme="majorHAnsi"/>
          <w:lang w:val="en-GB"/>
        </w:rPr>
      </w:pPr>
      <w:r w:rsidRPr="00EF7E2E">
        <w:rPr>
          <w:rFonts w:asciiTheme="majorHAnsi" w:hAnsiTheme="majorHAnsi" w:cstheme="majorHAnsi"/>
          <w:lang w:val="en-GB"/>
        </w:rPr>
        <w:t xml:space="preserve">minimum and maximum amount of grant assistance as defined in </w:t>
      </w:r>
      <w:r w:rsidR="00516CC7">
        <w:rPr>
          <w:rFonts w:asciiTheme="majorHAnsi" w:hAnsiTheme="majorHAnsi" w:cstheme="majorHAnsi"/>
          <w:lang w:val="en-GB"/>
        </w:rPr>
        <w:t>the</w:t>
      </w:r>
      <w:r w:rsidR="00516CC7" w:rsidRPr="00EF7E2E">
        <w:rPr>
          <w:rFonts w:asciiTheme="majorHAnsi" w:hAnsiTheme="majorHAnsi" w:cstheme="majorHAnsi"/>
          <w:lang w:val="en-GB"/>
        </w:rPr>
        <w:t xml:space="preserve"> </w:t>
      </w:r>
      <w:r w:rsidR="00516CC7">
        <w:rPr>
          <w:rFonts w:asciiTheme="majorHAnsi" w:hAnsiTheme="majorHAnsi" w:cstheme="majorHAnsi"/>
          <w:lang w:val="en-GB"/>
        </w:rPr>
        <w:t>“</w:t>
      </w:r>
      <w:r w:rsidR="00516CC7" w:rsidRPr="00EF7E2E">
        <w:rPr>
          <w:rFonts w:asciiTheme="majorHAnsi" w:hAnsiTheme="majorHAnsi" w:cstheme="majorHAnsi"/>
          <w:lang w:val="en-GB"/>
        </w:rPr>
        <w:t>Guide</w:t>
      </w:r>
      <w:r w:rsidR="00516CC7">
        <w:rPr>
          <w:rFonts w:asciiTheme="majorHAnsi" w:hAnsiTheme="majorHAnsi" w:cstheme="majorHAnsi"/>
          <w:lang w:val="en-GB"/>
        </w:rPr>
        <w:t xml:space="preserve"> for Applicants SGS Call”, </w:t>
      </w:r>
      <w:r w:rsidRPr="00EF7E2E">
        <w:rPr>
          <w:rFonts w:asciiTheme="majorHAnsi" w:hAnsiTheme="majorHAnsi" w:cstheme="majorHAnsi"/>
          <w:lang w:val="en-GB"/>
        </w:rPr>
        <w:t>p. 2.4.1,</w:t>
      </w:r>
    </w:p>
    <w:p w14:paraId="3CAA2992" w14:textId="30CB8467" w:rsidR="00EF7E2E" w:rsidRPr="00EF7E2E" w:rsidRDefault="00EF7E2E" w:rsidP="00EF7E2E">
      <w:pPr>
        <w:pStyle w:val="Bezodstpw"/>
        <w:numPr>
          <w:ilvl w:val="1"/>
          <w:numId w:val="26"/>
        </w:numPr>
        <w:rPr>
          <w:rFonts w:asciiTheme="majorHAnsi" w:hAnsiTheme="majorHAnsi" w:cstheme="majorHAnsi"/>
          <w:lang w:val="en-GB"/>
        </w:rPr>
      </w:pPr>
      <w:r w:rsidRPr="00EF7E2E">
        <w:rPr>
          <w:rFonts w:asciiTheme="majorHAnsi" w:hAnsiTheme="majorHAnsi" w:cstheme="majorHAnsi"/>
          <w:lang w:val="en-GB"/>
        </w:rPr>
        <w:t xml:space="preserve">maximum project duration and final cost eligibility date as defined in </w:t>
      </w:r>
      <w:r w:rsidR="00516CC7">
        <w:rPr>
          <w:rFonts w:asciiTheme="majorHAnsi" w:hAnsiTheme="majorHAnsi" w:cstheme="majorHAnsi"/>
          <w:lang w:val="en-GB"/>
        </w:rPr>
        <w:t>the</w:t>
      </w:r>
      <w:r w:rsidR="00516CC7" w:rsidRPr="00EF7E2E">
        <w:rPr>
          <w:rFonts w:asciiTheme="majorHAnsi" w:hAnsiTheme="majorHAnsi" w:cstheme="majorHAnsi"/>
          <w:lang w:val="en-GB"/>
        </w:rPr>
        <w:t xml:space="preserve"> </w:t>
      </w:r>
      <w:r w:rsidR="00516CC7">
        <w:rPr>
          <w:rFonts w:asciiTheme="majorHAnsi" w:hAnsiTheme="majorHAnsi" w:cstheme="majorHAnsi"/>
          <w:lang w:val="en-GB"/>
        </w:rPr>
        <w:t>“</w:t>
      </w:r>
      <w:r w:rsidR="00516CC7" w:rsidRPr="00EF7E2E">
        <w:rPr>
          <w:rFonts w:asciiTheme="majorHAnsi" w:hAnsiTheme="majorHAnsi" w:cstheme="majorHAnsi"/>
          <w:lang w:val="en-GB"/>
        </w:rPr>
        <w:t>Guide</w:t>
      </w:r>
      <w:r w:rsidR="00516CC7">
        <w:rPr>
          <w:rFonts w:asciiTheme="majorHAnsi" w:hAnsiTheme="majorHAnsi" w:cstheme="majorHAnsi"/>
          <w:lang w:val="en-GB"/>
        </w:rPr>
        <w:t xml:space="preserve"> for Applicants SGS Call”, </w:t>
      </w:r>
      <w:r w:rsidRPr="00EF7E2E">
        <w:rPr>
          <w:rFonts w:asciiTheme="majorHAnsi" w:hAnsiTheme="majorHAnsi" w:cstheme="majorHAnsi"/>
          <w:lang w:val="en-GB"/>
        </w:rPr>
        <w:t>p. 2.4.1,</w:t>
      </w:r>
    </w:p>
    <w:p w14:paraId="6709AB44" w14:textId="5C7903DA" w:rsidR="00EF7E2E" w:rsidRPr="00EF7E2E" w:rsidRDefault="00EF7E2E" w:rsidP="00EF7E2E">
      <w:pPr>
        <w:pStyle w:val="Bezodstpw"/>
        <w:numPr>
          <w:ilvl w:val="1"/>
          <w:numId w:val="26"/>
        </w:numPr>
        <w:rPr>
          <w:rFonts w:asciiTheme="majorHAnsi" w:hAnsiTheme="majorHAnsi" w:cstheme="majorHAnsi"/>
          <w:lang w:val="en-GB"/>
        </w:rPr>
      </w:pPr>
      <w:r w:rsidRPr="00EF7E2E">
        <w:rPr>
          <w:rFonts w:asciiTheme="majorHAnsi" w:hAnsiTheme="majorHAnsi" w:cstheme="majorHAnsi"/>
          <w:lang w:val="en-GB"/>
        </w:rPr>
        <w:t xml:space="preserve">types of activities as defined in </w:t>
      </w:r>
      <w:r w:rsidR="00516CC7">
        <w:rPr>
          <w:rFonts w:asciiTheme="majorHAnsi" w:hAnsiTheme="majorHAnsi" w:cstheme="majorHAnsi"/>
          <w:lang w:val="en-GB"/>
        </w:rPr>
        <w:t>the</w:t>
      </w:r>
      <w:r w:rsidR="00516CC7" w:rsidRPr="00EF7E2E">
        <w:rPr>
          <w:rFonts w:asciiTheme="majorHAnsi" w:hAnsiTheme="majorHAnsi" w:cstheme="majorHAnsi"/>
          <w:lang w:val="en-GB"/>
        </w:rPr>
        <w:t xml:space="preserve"> </w:t>
      </w:r>
      <w:r w:rsidR="00516CC7">
        <w:rPr>
          <w:rFonts w:asciiTheme="majorHAnsi" w:hAnsiTheme="majorHAnsi" w:cstheme="majorHAnsi"/>
          <w:lang w:val="en-GB"/>
        </w:rPr>
        <w:t>“</w:t>
      </w:r>
      <w:r w:rsidR="00516CC7" w:rsidRPr="00EF7E2E">
        <w:rPr>
          <w:rFonts w:asciiTheme="majorHAnsi" w:hAnsiTheme="majorHAnsi" w:cstheme="majorHAnsi"/>
          <w:lang w:val="en-GB"/>
        </w:rPr>
        <w:t>Guide</w:t>
      </w:r>
      <w:r w:rsidR="00516CC7">
        <w:rPr>
          <w:rFonts w:asciiTheme="majorHAnsi" w:hAnsiTheme="majorHAnsi" w:cstheme="majorHAnsi"/>
          <w:lang w:val="en-GB"/>
        </w:rPr>
        <w:t xml:space="preserve"> for Applicants SGS Call”, </w:t>
      </w:r>
      <w:r w:rsidRPr="00EF7E2E">
        <w:rPr>
          <w:rFonts w:asciiTheme="majorHAnsi" w:hAnsiTheme="majorHAnsi" w:cstheme="majorHAnsi"/>
          <w:lang w:val="en-GB"/>
        </w:rPr>
        <w:t>p. 2.4.1,</w:t>
      </w:r>
    </w:p>
    <w:p w14:paraId="78FC38C0" w14:textId="201F1A8A" w:rsidR="00EF7E2E" w:rsidRPr="00EF7E2E" w:rsidRDefault="00EF7E2E" w:rsidP="00EF7E2E">
      <w:pPr>
        <w:pStyle w:val="Bezodstpw"/>
        <w:numPr>
          <w:ilvl w:val="1"/>
          <w:numId w:val="26"/>
        </w:numPr>
        <w:rPr>
          <w:rFonts w:asciiTheme="majorHAnsi" w:hAnsiTheme="majorHAnsi" w:cstheme="majorHAnsi"/>
          <w:lang w:val="en-GB"/>
        </w:rPr>
      </w:pPr>
      <w:r w:rsidRPr="00EF7E2E">
        <w:rPr>
          <w:rFonts w:asciiTheme="majorHAnsi" w:hAnsiTheme="majorHAnsi" w:cstheme="majorHAnsi"/>
          <w:lang w:val="en-GB"/>
        </w:rPr>
        <w:t xml:space="preserve">currency as defined in </w:t>
      </w:r>
      <w:r w:rsidR="00516CC7">
        <w:rPr>
          <w:rFonts w:asciiTheme="majorHAnsi" w:hAnsiTheme="majorHAnsi" w:cstheme="majorHAnsi"/>
          <w:lang w:val="en-GB"/>
        </w:rPr>
        <w:t>the</w:t>
      </w:r>
      <w:r w:rsidR="00516CC7" w:rsidRPr="00EF7E2E">
        <w:rPr>
          <w:rFonts w:asciiTheme="majorHAnsi" w:hAnsiTheme="majorHAnsi" w:cstheme="majorHAnsi"/>
          <w:lang w:val="en-GB"/>
        </w:rPr>
        <w:t xml:space="preserve"> </w:t>
      </w:r>
      <w:r w:rsidR="00516CC7">
        <w:rPr>
          <w:rFonts w:asciiTheme="majorHAnsi" w:hAnsiTheme="majorHAnsi" w:cstheme="majorHAnsi"/>
          <w:lang w:val="en-GB"/>
        </w:rPr>
        <w:t>“</w:t>
      </w:r>
      <w:r w:rsidR="00516CC7" w:rsidRPr="00EF7E2E">
        <w:rPr>
          <w:rFonts w:asciiTheme="majorHAnsi" w:hAnsiTheme="majorHAnsi" w:cstheme="majorHAnsi"/>
          <w:lang w:val="en-GB"/>
        </w:rPr>
        <w:t>Guide</w:t>
      </w:r>
      <w:r w:rsidR="00516CC7">
        <w:rPr>
          <w:rFonts w:asciiTheme="majorHAnsi" w:hAnsiTheme="majorHAnsi" w:cstheme="majorHAnsi"/>
          <w:lang w:val="en-GB"/>
        </w:rPr>
        <w:t xml:space="preserve"> for Applicants SGS Call”, </w:t>
      </w:r>
      <w:r w:rsidR="005E2C81">
        <w:rPr>
          <w:rFonts w:asciiTheme="majorHAnsi" w:hAnsiTheme="majorHAnsi" w:cstheme="majorHAnsi"/>
          <w:lang w:val="en-GB"/>
        </w:rPr>
        <w:t>p. 2.4.3</w:t>
      </w:r>
      <w:r w:rsidRPr="00EF7E2E">
        <w:rPr>
          <w:rFonts w:asciiTheme="majorHAnsi" w:hAnsiTheme="majorHAnsi" w:cstheme="majorHAnsi"/>
          <w:lang w:val="en-GB"/>
        </w:rPr>
        <w:t>,</w:t>
      </w:r>
    </w:p>
    <w:p w14:paraId="7F1A10E9" w14:textId="5BF71D61" w:rsidR="00EF7E2E" w:rsidRPr="00EF7E2E" w:rsidRDefault="00EF7E2E" w:rsidP="00EF7E2E">
      <w:pPr>
        <w:pStyle w:val="Bezodstpw"/>
        <w:numPr>
          <w:ilvl w:val="1"/>
          <w:numId w:val="26"/>
        </w:numPr>
        <w:rPr>
          <w:rFonts w:asciiTheme="majorHAnsi" w:hAnsiTheme="majorHAnsi" w:cstheme="majorHAnsi"/>
          <w:lang w:val="en-GB"/>
        </w:rPr>
      </w:pPr>
      <w:r w:rsidRPr="00EF7E2E">
        <w:rPr>
          <w:rFonts w:asciiTheme="majorHAnsi" w:hAnsiTheme="majorHAnsi" w:cstheme="majorHAnsi"/>
          <w:lang w:val="en-GB"/>
        </w:rPr>
        <w:t xml:space="preserve">cost categories as defined in </w:t>
      </w:r>
      <w:r w:rsidR="00516CC7">
        <w:rPr>
          <w:rFonts w:asciiTheme="majorHAnsi" w:hAnsiTheme="majorHAnsi" w:cstheme="majorHAnsi"/>
          <w:lang w:val="en-GB"/>
        </w:rPr>
        <w:t>the</w:t>
      </w:r>
      <w:r w:rsidR="00516CC7" w:rsidRPr="00EF7E2E">
        <w:rPr>
          <w:rFonts w:asciiTheme="majorHAnsi" w:hAnsiTheme="majorHAnsi" w:cstheme="majorHAnsi"/>
          <w:lang w:val="en-GB"/>
        </w:rPr>
        <w:t xml:space="preserve"> </w:t>
      </w:r>
      <w:r w:rsidR="00516CC7">
        <w:rPr>
          <w:rFonts w:asciiTheme="majorHAnsi" w:hAnsiTheme="majorHAnsi" w:cstheme="majorHAnsi"/>
          <w:lang w:val="en-GB"/>
        </w:rPr>
        <w:t>“</w:t>
      </w:r>
      <w:r w:rsidR="00516CC7" w:rsidRPr="00EF7E2E">
        <w:rPr>
          <w:rFonts w:asciiTheme="majorHAnsi" w:hAnsiTheme="majorHAnsi" w:cstheme="majorHAnsi"/>
          <w:lang w:val="en-GB"/>
        </w:rPr>
        <w:t>Guide</w:t>
      </w:r>
      <w:r w:rsidR="00516CC7">
        <w:rPr>
          <w:rFonts w:asciiTheme="majorHAnsi" w:hAnsiTheme="majorHAnsi" w:cstheme="majorHAnsi"/>
          <w:lang w:val="en-GB"/>
        </w:rPr>
        <w:t xml:space="preserve"> for Applicants SGS Call”, </w:t>
      </w:r>
      <w:r w:rsidRPr="00EF7E2E">
        <w:rPr>
          <w:rFonts w:asciiTheme="majorHAnsi" w:hAnsiTheme="majorHAnsi" w:cstheme="majorHAnsi"/>
          <w:lang w:val="en-GB"/>
        </w:rPr>
        <w:t>p. 2.4.5,</w:t>
      </w:r>
    </w:p>
    <w:p w14:paraId="2607C1E4" w14:textId="734C04F5" w:rsidR="00EF7E2E" w:rsidRPr="00EF7E2E" w:rsidRDefault="00EF7E2E" w:rsidP="00EF7E2E">
      <w:pPr>
        <w:pStyle w:val="Bezodstpw"/>
        <w:numPr>
          <w:ilvl w:val="1"/>
          <w:numId w:val="26"/>
        </w:numPr>
        <w:rPr>
          <w:rFonts w:asciiTheme="majorHAnsi" w:hAnsiTheme="majorHAnsi" w:cstheme="majorHAnsi"/>
          <w:lang w:val="en-GB"/>
        </w:rPr>
      </w:pPr>
      <w:r w:rsidRPr="00EF7E2E">
        <w:rPr>
          <w:rFonts w:asciiTheme="majorHAnsi" w:hAnsiTheme="majorHAnsi" w:cstheme="majorHAnsi"/>
          <w:lang w:val="en-GB"/>
        </w:rPr>
        <w:t xml:space="preserve">intensity of state aid as defined in </w:t>
      </w:r>
      <w:r w:rsidR="00516CC7">
        <w:rPr>
          <w:rFonts w:asciiTheme="majorHAnsi" w:hAnsiTheme="majorHAnsi" w:cstheme="majorHAnsi"/>
          <w:lang w:val="en-GB"/>
        </w:rPr>
        <w:t>the</w:t>
      </w:r>
      <w:r w:rsidR="00516CC7" w:rsidRPr="00EF7E2E">
        <w:rPr>
          <w:rFonts w:asciiTheme="majorHAnsi" w:hAnsiTheme="majorHAnsi" w:cstheme="majorHAnsi"/>
          <w:lang w:val="en-GB"/>
        </w:rPr>
        <w:t xml:space="preserve"> </w:t>
      </w:r>
      <w:r w:rsidR="00516CC7">
        <w:rPr>
          <w:rFonts w:asciiTheme="majorHAnsi" w:hAnsiTheme="majorHAnsi" w:cstheme="majorHAnsi"/>
          <w:lang w:val="en-GB"/>
        </w:rPr>
        <w:t>“</w:t>
      </w:r>
      <w:r w:rsidR="00516CC7" w:rsidRPr="00EF7E2E">
        <w:rPr>
          <w:rFonts w:asciiTheme="majorHAnsi" w:hAnsiTheme="majorHAnsi" w:cstheme="majorHAnsi"/>
          <w:lang w:val="en-GB"/>
        </w:rPr>
        <w:t>Guide</w:t>
      </w:r>
      <w:r w:rsidR="00516CC7">
        <w:rPr>
          <w:rFonts w:asciiTheme="majorHAnsi" w:hAnsiTheme="majorHAnsi" w:cstheme="majorHAnsi"/>
          <w:lang w:val="en-GB"/>
        </w:rPr>
        <w:t xml:space="preserve"> for Applicants SGS Call”, </w:t>
      </w:r>
      <w:r w:rsidRPr="00EF7E2E">
        <w:rPr>
          <w:rFonts w:asciiTheme="majorHAnsi" w:hAnsiTheme="majorHAnsi" w:cstheme="majorHAnsi"/>
          <w:lang w:val="en-GB"/>
        </w:rPr>
        <w:t>p. 2.4.6;</w:t>
      </w:r>
    </w:p>
    <w:p w14:paraId="12A61C6D" w14:textId="680BA74F" w:rsidR="00EF7E2E" w:rsidRPr="00EF7E2E" w:rsidRDefault="00EF7E2E" w:rsidP="00EF7E2E">
      <w:pPr>
        <w:pStyle w:val="Bezodstpw"/>
        <w:numPr>
          <w:ilvl w:val="1"/>
          <w:numId w:val="26"/>
        </w:numPr>
        <w:rPr>
          <w:rFonts w:asciiTheme="majorHAnsi" w:hAnsiTheme="majorHAnsi" w:cstheme="majorHAnsi"/>
          <w:lang w:val="en-GB"/>
        </w:rPr>
      </w:pPr>
      <w:r w:rsidRPr="00EF7E2E">
        <w:rPr>
          <w:rFonts w:asciiTheme="majorHAnsi" w:hAnsiTheme="majorHAnsi" w:cstheme="majorHAnsi"/>
          <w:lang w:val="en-GB"/>
        </w:rPr>
        <w:lastRenderedPageBreak/>
        <w:t xml:space="preserve">featuring as Principal Investigator in no more than one proposal, as defined in </w:t>
      </w:r>
      <w:r w:rsidR="00516CC7">
        <w:rPr>
          <w:rFonts w:asciiTheme="majorHAnsi" w:hAnsiTheme="majorHAnsi" w:cstheme="majorHAnsi"/>
          <w:lang w:val="en-GB"/>
        </w:rPr>
        <w:t>the</w:t>
      </w:r>
      <w:r w:rsidR="00516CC7" w:rsidRPr="00EF7E2E">
        <w:rPr>
          <w:rFonts w:asciiTheme="majorHAnsi" w:hAnsiTheme="majorHAnsi" w:cstheme="majorHAnsi"/>
          <w:lang w:val="en-GB"/>
        </w:rPr>
        <w:t xml:space="preserve"> </w:t>
      </w:r>
      <w:r w:rsidR="00516CC7">
        <w:rPr>
          <w:rFonts w:asciiTheme="majorHAnsi" w:hAnsiTheme="majorHAnsi" w:cstheme="majorHAnsi"/>
          <w:lang w:val="en-GB"/>
        </w:rPr>
        <w:t>“</w:t>
      </w:r>
      <w:r w:rsidR="00516CC7" w:rsidRPr="00EF7E2E">
        <w:rPr>
          <w:rFonts w:asciiTheme="majorHAnsi" w:hAnsiTheme="majorHAnsi" w:cstheme="majorHAnsi"/>
          <w:lang w:val="en-GB"/>
        </w:rPr>
        <w:t>Guide</w:t>
      </w:r>
      <w:r w:rsidR="00516CC7">
        <w:rPr>
          <w:rFonts w:asciiTheme="majorHAnsi" w:hAnsiTheme="majorHAnsi" w:cstheme="majorHAnsi"/>
          <w:lang w:val="en-GB"/>
        </w:rPr>
        <w:t xml:space="preserve"> for Applicants SGS Call”, </w:t>
      </w:r>
      <w:r w:rsidRPr="00EF7E2E">
        <w:rPr>
          <w:rFonts w:asciiTheme="majorHAnsi" w:hAnsiTheme="majorHAnsi" w:cstheme="majorHAnsi"/>
          <w:lang w:val="en-GB"/>
        </w:rPr>
        <w:t>p. 2.3</w:t>
      </w:r>
    </w:p>
    <w:p w14:paraId="099D37D9" w14:textId="77777777" w:rsidR="00EF7E2E" w:rsidRPr="00EF7E2E" w:rsidRDefault="00EF7E2E" w:rsidP="00EF7E2E">
      <w:pPr>
        <w:pStyle w:val="Bezodstpw"/>
        <w:numPr>
          <w:ilvl w:val="0"/>
          <w:numId w:val="25"/>
        </w:numPr>
        <w:rPr>
          <w:rFonts w:asciiTheme="majorHAnsi" w:hAnsiTheme="majorHAnsi" w:cstheme="majorHAnsi"/>
          <w:lang w:val="en-GB"/>
        </w:rPr>
      </w:pPr>
      <w:r w:rsidRPr="00EF7E2E">
        <w:rPr>
          <w:rFonts w:asciiTheme="majorHAnsi" w:hAnsiTheme="majorHAnsi" w:cstheme="majorHAnsi"/>
          <w:lang w:val="en-GB"/>
        </w:rPr>
        <w:t>confirmation that Project Promoter:</w:t>
      </w:r>
    </w:p>
    <w:p w14:paraId="6F7446C9" w14:textId="77777777" w:rsidR="00EF7E2E" w:rsidRPr="00EF7E2E" w:rsidRDefault="00EF7E2E" w:rsidP="00EF7E2E">
      <w:pPr>
        <w:pStyle w:val="Bezodstpw"/>
        <w:numPr>
          <w:ilvl w:val="1"/>
          <w:numId w:val="27"/>
        </w:numPr>
        <w:rPr>
          <w:rFonts w:asciiTheme="majorHAnsi" w:hAnsiTheme="majorHAnsi" w:cstheme="majorHAnsi"/>
          <w:lang w:val="en-GB"/>
        </w:rPr>
      </w:pPr>
      <w:r w:rsidRPr="00EF7E2E">
        <w:rPr>
          <w:rFonts w:asciiTheme="majorHAnsi" w:hAnsiTheme="majorHAnsi" w:cstheme="majorHAnsi"/>
          <w:lang w:val="en-GB"/>
        </w:rPr>
        <w:t>complies with the principle of equal opportunities and non-discrimination, including accessibility for people with disabilities and the principle of equality between women and men,</w:t>
      </w:r>
    </w:p>
    <w:p w14:paraId="5ACC8DBF" w14:textId="7EA0D51C" w:rsidR="00EF7E2E" w:rsidRPr="00EF7E2E" w:rsidRDefault="00EF7E2E" w:rsidP="00EF7E2E">
      <w:pPr>
        <w:pStyle w:val="Bezodstpw"/>
        <w:numPr>
          <w:ilvl w:val="1"/>
          <w:numId w:val="27"/>
        </w:numPr>
        <w:rPr>
          <w:rFonts w:asciiTheme="majorHAnsi" w:hAnsiTheme="majorHAnsi" w:cstheme="majorHAnsi"/>
          <w:lang w:val="en-GB"/>
        </w:rPr>
      </w:pPr>
      <w:r w:rsidRPr="00EF7E2E">
        <w:rPr>
          <w:rFonts w:asciiTheme="majorHAnsi" w:hAnsiTheme="majorHAnsi" w:cstheme="majorHAnsi"/>
          <w:lang w:val="en-GB"/>
        </w:rPr>
        <w:t xml:space="preserve">is not excluded from the possibility of receiving funding as defined in </w:t>
      </w:r>
      <w:r w:rsidR="00516CC7">
        <w:rPr>
          <w:rFonts w:asciiTheme="majorHAnsi" w:hAnsiTheme="majorHAnsi" w:cstheme="majorHAnsi"/>
          <w:lang w:val="en-GB"/>
        </w:rPr>
        <w:t>the</w:t>
      </w:r>
      <w:r w:rsidR="00516CC7" w:rsidRPr="00EF7E2E">
        <w:rPr>
          <w:rFonts w:asciiTheme="majorHAnsi" w:hAnsiTheme="majorHAnsi" w:cstheme="majorHAnsi"/>
          <w:lang w:val="en-GB"/>
        </w:rPr>
        <w:t xml:space="preserve"> </w:t>
      </w:r>
      <w:r w:rsidR="00516CC7">
        <w:rPr>
          <w:rFonts w:asciiTheme="majorHAnsi" w:hAnsiTheme="majorHAnsi" w:cstheme="majorHAnsi"/>
          <w:lang w:val="en-GB"/>
        </w:rPr>
        <w:t>“</w:t>
      </w:r>
      <w:r w:rsidR="00516CC7" w:rsidRPr="00EF7E2E">
        <w:rPr>
          <w:rFonts w:asciiTheme="majorHAnsi" w:hAnsiTheme="majorHAnsi" w:cstheme="majorHAnsi"/>
          <w:lang w:val="en-GB"/>
        </w:rPr>
        <w:t>Guide</w:t>
      </w:r>
      <w:r w:rsidR="00516CC7">
        <w:rPr>
          <w:rFonts w:asciiTheme="majorHAnsi" w:hAnsiTheme="majorHAnsi" w:cstheme="majorHAnsi"/>
          <w:lang w:val="en-GB"/>
        </w:rPr>
        <w:t xml:space="preserve"> for Applicants SGS Call”, </w:t>
      </w:r>
      <w:r w:rsidRPr="00EF7E2E">
        <w:rPr>
          <w:rFonts w:asciiTheme="majorHAnsi" w:hAnsiTheme="majorHAnsi" w:cstheme="majorHAnsi"/>
          <w:lang w:val="en-GB"/>
        </w:rPr>
        <w:t>p. 2.1;</w:t>
      </w:r>
    </w:p>
    <w:p w14:paraId="7466B49F" w14:textId="77777777" w:rsidR="00EF7E2E" w:rsidRPr="00EF7E2E" w:rsidRDefault="00EF7E2E" w:rsidP="00EF7E2E">
      <w:pPr>
        <w:pStyle w:val="Bezodstpw"/>
        <w:numPr>
          <w:ilvl w:val="0"/>
          <w:numId w:val="25"/>
        </w:numPr>
        <w:rPr>
          <w:rFonts w:asciiTheme="majorHAnsi" w:hAnsiTheme="majorHAnsi" w:cstheme="majorHAnsi"/>
          <w:lang w:val="en-GB"/>
        </w:rPr>
      </w:pPr>
      <w:r w:rsidRPr="00EF7E2E">
        <w:rPr>
          <w:rFonts w:asciiTheme="majorHAnsi" w:hAnsiTheme="majorHAnsi" w:cstheme="majorHAnsi"/>
          <w:lang w:val="en-GB"/>
        </w:rPr>
        <w:t xml:space="preserve">completeness of the proposal as required in the ‘Proposal Manual’; </w:t>
      </w:r>
    </w:p>
    <w:p w14:paraId="12D41115" w14:textId="5E366677" w:rsidR="00BC35D4" w:rsidRPr="002D1520" w:rsidRDefault="00EF7E2E" w:rsidP="00256AEB">
      <w:pPr>
        <w:pStyle w:val="Bezodstpw"/>
        <w:numPr>
          <w:ilvl w:val="0"/>
          <w:numId w:val="25"/>
        </w:numPr>
        <w:rPr>
          <w:rFonts w:asciiTheme="majorHAnsi" w:hAnsiTheme="majorHAnsi" w:cstheme="majorHAnsi"/>
          <w:lang w:val="en-GB"/>
        </w:rPr>
      </w:pPr>
      <w:r w:rsidRPr="00EF7E2E">
        <w:rPr>
          <w:rFonts w:asciiTheme="majorHAnsi" w:hAnsiTheme="majorHAnsi" w:cstheme="majorHAnsi"/>
          <w:lang w:val="en-GB"/>
        </w:rPr>
        <w:t xml:space="preserve">accordance with the scope of the call as stipulated </w:t>
      </w:r>
      <w:r>
        <w:rPr>
          <w:rFonts w:asciiTheme="majorHAnsi" w:hAnsiTheme="majorHAnsi" w:cstheme="majorHAnsi"/>
          <w:lang w:val="en-GB"/>
        </w:rPr>
        <w:t>in point 2.4.2 of the</w:t>
      </w:r>
      <w:r w:rsidRPr="00EF7E2E">
        <w:rPr>
          <w:rFonts w:asciiTheme="majorHAnsi" w:hAnsiTheme="majorHAnsi" w:cstheme="majorHAnsi"/>
          <w:lang w:val="en-GB"/>
        </w:rPr>
        <w:t xml:space="preserve"> </w:t>
      </w:r>
      <w:r>
        <w:rPr>
          <w:rFonts w:asciiTheme="majorHAnsi" w:hAnsiTheme="majorHAnsi" w:cstheme="majorHAnsi"/>
          <w:lang w:val="en-GB"/>
        </w:rPr>
        <w:t>“</w:t>
      </w:r>
      <w:r w:rsidRPr="00EF7E2E">
        <w:rPr>
          <w:rFonts w:asciiTheme="majorHAnsi" w:hAnsiTheme="majorHAnsi" w:cstheme="majorHAnsi"/>
          <w:lang w:val="en-GB"/>
        </w:rPr>
        <w:t>Guide</w:t>
      </w:r>
      <w:r>
        <w:rPr>
          <w:rFonts w:asciiTheme="majorHAnsi" w:hAnsiTheme="majorHAnsi" w:cstheme="majorHAnsi"/>
          <w:lang w:val="en-GB"/>
        </w:rPr>
        <w:t xml:space="preserve"> for Applicants</w:t>
      </w:r>
      <w:r w:rsidR="00516CC7">
        <w:rPr>
          <w:rFonts w:asciiTheme="majorHAnsi" w:hAnsiTheme="majorHAnsi" w:cstheme="majorHAnsi"/>
          <w:lang w:val="en-GB"/>
        </w:rPr>
        <w:t xml:space="preserve"> SGS Call</w:t>
      </w:r>
      <w:r>
        <w:rPr>
          <w:rFonts w:asciiTheme="majorHAnsi" w:hAnsiTheme="majorHAnsi" w:cstheme="majorHAnsi"/>
          <w:lang w:val="en-GB"/>
        </w:rPr>
        <w:t>”</w:t>
      </w:r>
      <w:r w:rsidRPr="00EF7E2E">
        <w:rPr>
          <w:rFonts w:asciiTheme="majorHAnsi" w:hAnsiTheme="majorHAnsi" w:cstheme="majorHAnsi"/>
          <w:lang w:val="en-GB"/>
        </w:rPr>
        <w:t xml:space="preserve"> - </w:t>
      </w:r>
      <w:r w:rsidRPr="002D1520">
        <w:rPr>
          <w:rFonts w:asciiTheme="majorHAnsi" w:hAnsiTheme="majorHAnsi" w:cstheme="majorHAnsi"/>
          <w:lang w:val="en-GB"/>
        </w:rPr>
        <w:t>the content of the proposal must fall within the fields of science and technology selected for the call; a proposal will only be deemed ineligible on grounds of 'scope' in clear-cut cases.</w:t>
      </w:r>
    </w:p>
    <w:p w14:paraId="6805DA24" w14:textId="77777777" w:rsidR="00256AEB" w:rsidRPr="002D1520" w:rsidRDefault="00256AEB" w:rsidP="00256AEB">
      <w:pPr>
        <w:pStyle w:val="Bezodstpw"/>
        <w:ind w:left="720"/>
        <w:rPr>
          <w:rFonts w:asciiTheme="majorHAnsi" w:hAnsiTheme="majorHAnsi" w:cstheme="majorHAnsi"/>
          <w:lang w:val="en-GB"/>
        </w:rPr>
      </w:pPr>
    </w:p>
    <w:p w14:paraId="6CA0014F" w14:textId="3F2C4328" w:rsidR="004D3B74" w:rsidRPr="002D1520" w:rsidRDefault="00A21E6C" w:rsidP="00E91FA9">
      <w:pPr>
        <w:pStyle w:val="Akapitzlist"/>
        <w:numPr>
          <w:ilvl w:val="1"/>
          <w:numId w:val="10"/>
        </w:numPr>
        <w:rPr>
          <w:rFonts w:asciiTheme="majorHAnsi" w:eastAsia="Times New Roman" w:hAnsiTheme="majorHAnsi" w:cstheme="majorHAnsi"/>
          <w:lang w:val="en-US" w:eastAsia="pl-PL"/>
        </w:rPr>
      </w:pPr>
      <w:r w:rsidRPr="002D1520">
        <w:rPr>
          <w:rFonts w:asciiTheme="majorHAnsi" w:hAnsiTheme="majorHAnsi" w:cstheme="majorHAnsi"/>
          <w:b/>
          <w:lang w:val="en-GB"/>
        </w:rPr>
        <w:t>Evaluation</w:t>
      </w:r>
      <w:r w:rsidRPr="002D1520">
        <w:rPr>
          <w:rFonts w:asciiTheme="majorHAnsi" w:eastAsia="Times New Roman" w:hAnsiTheme="majorHAnsi" w:cstheme="majorHAnsi"/>
          <w:b/>
          <w:bCs/>
          <w:lang w:val="en-US" w:eastAsia="pl-PL"/>
        </w:rPr>
        <w:t xml:space="preserve"> process and selection criteria</w:t>
      </w:r>
    </w:p>
    <w:p w14:paraId="515F13C2" w14:textId="77777777" w:rsidR="004D3B74" w:rsidRPr="00115720" w:rsidRDefault="00A21E6C" w:rsidP="00A21E6C">
      <w:pPr>
        <w:spacing w:before="100" w:beforeAutospacing="1" w:after="100" w:afterAutospacing="1" w:line="240" w:lineRule="auto"/>
        <w:jc w:val="both"/>
        <w:rPr>
          <w:rFonts w:asciiTheme="majorHAnsi" w:eastAsia="Times New Roman" w:hAnsiTheme="majorHAnsi" w:cstheme="majorHAnsi"/>
          <w:lang w:val="en-US" w:eastAsia="pl-PL"/>
        </w:rPr>
      </w:pPr>
      <w:r w:rsidRPr="002D1520">
        <w:rPr>
          <w:rFonts w:asciiTheme="majorHAnsi" w:eastAsia="Times New Roman" w:hAnsiTheme="majorHAnsi" w:cstheme="majorHAnsi"/>
          <w:lang w:val="en-US" w:eastAsia="pl-PL"/>
        </w:rPr>
        <w:t xml:space="preserve">Evaluation consists of formal </w:t>
      </w:r>
      <w:r w:rsidR="00FF3D54" w:rsidRPr="002D1520">
        <w:rPr>
          <w:rFonts w:asciiTheme="majorHAnsi" w:hAnsiTheme="majorHAnsi" w:cstheme="majorHAnsi"/>
          <w:lang w:val="en-US"/>
        </w:rPr>
        <w:t>(</w:t>
      </w:r>
      <w:r w:rsidR="004D3B74" w:rsidRPr="002D1520">
        <w:rPr>
          <w:rFonts w:asciiTheme="majorHAnsi" w:hAnsiTheme="majorHAnsi" w:cstheme="majorHAnsi"/>
          <w:lang w:val="en-US"/>
        </w:rPr>
        <w:t>administrative</w:t>
      </w:r>
      <w:r w:rsidR="00FF3D54" w:rsidRPr="002D1520">
        <w:rPr>
          <w:rFonts w:asciiTheme="majorHAnsi" w:hAnsiTheme="majorHAnsi" w:cstheme="majorHAnsi"/>
          <w:lang w:val="en-US"/>
        </w:rPr>
        <w:t>) assessment</w:t>
      </w:r>
      <w:r w:rsidR="00FF3D54" w:rsidRPr="002D1520">
        <w:rPr>
          <w:rFonts w:asciiTheme="majorHAnsi" w:eastAsia="Times New Roman" w:hAnsiTheme="majorHAnsi" w:cstheme="majorHAnsi"/>
          <w:lang w:val="en-US" w:eastAsia="pl-PL"/>
        </w:rPr>
        <w:t xml:space="preserve"> </w:t>
      </w:r>
      <w:r w:rsidRPr="002D1520">
        <w:rPr>
          <w:rFonts w:asciiTheme="majorHAnsi" w:eastAsia="Times New Roman" w:hAnsiTheme="majorHAnsi" w:cstheme="majorHAnsi"/>
          <w:lang w:val="en-US" w:eastAsia="pl-PL"/>
        </w:rPr>
        <w:t xml:space="preserve">and </w:t>
      </w:r>
      <w:r w:rsidR="00FF3D54" w:rsidRPr="002D1520">
        <w:rPr>
          <w:rFonts w:asciiTheme="majorHAnsi" w:hAnsiTheme="majorHAnsi" w:cstheme="majorHAnsi"/>
          <w:lang w:val="en-US"/>
        </w:rPr>
        <w:t>scientific peer</w:t>
      </w:r>
      <w:r w:rsidR="004D3B74" w:rsidRPr="002D1520">
        <w:rPr>
          <w:rFonts w:asciiTheme="majorHAnsi" w:hAnsiTheme="majorHAnsi" w:cstheme="majorHAnsi"/>
          <w:lang w:val="en-US"/>
        </w:rPr>
        <w:t>-</w:t>
      </w:r>
      <w:r w:rsidR="00FF3D54" w:rsidRPr="002D1520">
        <w:rPr>
          <w:rFonts w:asciiTheme="majorHAnsi" w:hAnsiTheme="majorHAnsi" w:cstheme="majorHAnsi"/>
          <w:lang w:val="en-US"/>
        </w:rPr>
        <w:t>review</w:t>
      </w:r>
      <w:r w:rsidRPr="002D1520">
        <w:rPr>
          <w:rFonts w:asciiTheme="majorHAnsi" w:eastAsia="Times New Roman" w:hAnsiTheme="majorHAnsi" w:cstheme="majorHAnsi"/>
          <w:lang w:val="en-US" w:eastAsia="pl-PL"/>
        </w:rPr>
        <w:t xml:space="preserve">. Only the proposals that meet the formal criteria will be subject to </w:t>
      </w:r>
      <w:r w:rsidR="00FF3D54" w:rsidRPr="002D1520">
        <w:rPr>
          <w:rFonts w:asciiTheme="majorHAnsi" w:eastAsia="Times New Roman" w:hAnsiTheme="majorHAnsi" w:cstheme="majorHAnsi"/>
          <w:lang w:val="en-US" w:eastAsia="pl-PL"/>
        </w:rPr>
        <w:t>scientific</w:t>
      </w:r>
      <w:r w:rsidR="00FF3D54" w:rsidRPr="00115720">
        <w:rPr>
          <w:rFonts w:asciiTheme="majorHAnsi" w:eastAsia="Times New Roman" w:hAnsiTheme="majorHAnsi" w:cstheme="majorHAnsi"/>
          <w:lang w:val="en-US" w:eastAsia="pl-PL"/>
        </w:rPr>
        <w:t xml:space="preserve"> peer</w:t>
      </w:r>
      <w:r w:rsidR="004D3B74" w:rsidRPr="00115720">
        <w:rPr>
          <w:rFonts w:asciiTheme="majorHAnsi" w:eastAsia="Times New Roman" w:hAnsiTheme="majorHAnsi" w:cstheme="majorHAnsi"/>
          <w:lang w:val="en-US" w:eastAsia="pl-PL"/>
        </w:rPr>
        <w:t>-</w:t>
      </w:r>
      <w:r w:rsidR="00FF3D54" w:rsidRPr="00115720">
        <w:rPr>
          <w:rFonts w:asciiTheme="majorHAnsi" w:eastAsia="Times New Roman" w:hAnsiTheme="majorHAnsi" w:cstheme="majorHAnsi"/>
          <w:lang w:val="en-US" w:eastAsia="pl-PL"/>
        </w:rPr>
        <w:t>review</w:t>
      </w:r>
      <w:r w:rsidRPr="00115720">
        <w:rPr>
          <w:rFonts w:asciiTheme="majorHAnsi" w:eastAsia="Times New Roman" w:hAnsiTheme="majorHAnsi" w:cstheme="majorHAnsi"/>
          <w:lang w:val="en-US" w:eastAsia="pl-PL"/>
        </w:rPr>
        <w:t>.</w:t>
      </w:r>
    </w:p>
    <w:p w14:paraId="4785CE38" w14:textId="77777777" w:rsidR="00A21E6C" w:rsidRPr="00115720" w:rsidRDefault="00A21E6C" w:rsidP="00A21E6C">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 xml:space="preserve">The formal appraisal is carried out by </w:t>
      </w:r>
      <w:r w:rsidR="004D3B74" w:rsidRPr="00115720">
        <w:rPr>
          <w:rFonts w:asciiTheme="majorHAnsi" w:eastAsia="Times New Roman" w:hAnsiTheme="majorHAnsi" w:cstheme="majorHAnsi"/>
          <w:lang w:val="en-US" w:eastAsia="pl-PL"/>
        </w:rPr>
        <w:t xml:space="preserve">the </w:t>
      </w:r>
      <w:proofErr w:type="spellStart"/>
      <w:r w:rsidRPr="00115720">
        <w:rPr>
          <w:rFonts w:asciiTheme="majorHAnsi" w:eastAsia="Times New Roman" w:hAnsiTheme="majorHAnsi" w:cstheme="majorHAnsi"/>
          <w:lang w:val="en-US" w:eastAsia="pl-PL"/>
        </w:rPr>
        <w:t>Programme</w:t>
      </w:r>
      <w:proofErr w:type="spellEnd"/>
      <w:r w:rsidRPr="00115720">
        <w:rPr>
          <w:rFonts w:asciiTheme="majorHAnsi" w:eastAsia="Times New Roman" w:hAnsiTheme="majorHAnsi" w:cstheme="majorHAnsi"/>
          <w:lang w:val="en-US" w:eastAsia="pl-PL"/>
        </w:rPr>
        <w:t xml:space="preserve"> Operator. The </w:t>
      </w:r>
      <w:r w:rsidR="00FF3D54" w:rsidRPr="00115720">
        <w:rPr>
          <w:rFonts w:asciiTheme="majorHAnsi" w:eastAsia="Times New Roman" w:hAnsiTheme="majorHAnsi" w:cstheme="majorHAnsi"/>
          <w:lang w:val="en-US" w:eastAsia="pl-PL"/>
        </w:rPr>
        <w:t>scientific</w:t>
      </w:r>
      <w:r w:rsidR="004D3B74" w:rsidRPr="00115720">
        <w:rPr>
          <w:rFonts w:asciiTheme="majorHAnsi" w:eastAsia="Times New Roman" w:hAnsiTheme="majorHAnsi" w:cstheme="majorHAnsi"/>
          <w:lang w:val="en-US" w:eastAsia="pl-PL"/>
        </w:rPr>
        <w:t>-</w:t>
      </w:r>
      <w:r w:rsidR="00FF3D54" w:rsidRPr="00115720">
        <w:rPr>
          <w:rFonts w:asciiTheme="majorHAnsi" w:eastAsia="Times New Roman" w:hAnsiTheme="majorHAnsi" w:cstheme="majorHAnsi"/>
          <w:lang w:val="en-US" w:eastAsia="pl-PL"/>
        </w:rPr>
        <w:t xml:space="preserve">peer review </w:t>
      </w:r>
      <w:r w:rsidRPr="00115720">
        <w:rPr>
          <w:rFonts w:asciiTheme="majorHAnsi" w:eastAsia="Times New Roman" w:hAnsiTheme="majorHAnsi" w:cstheme="majorHAnsi"/>
          <w:lang w:val="en-US" w:eastAsia="pl-PL"/>
        </w:rPr>
        <w:t>is carried out by international experts and consists of 2 stages:</w:t>
      </w:r>
    </w:p>
    <w:p w14:paraId="734524E4" w14:textId="77777777" w:rsidR="00A21E6C" w:rsidRPr="00115720" w:rsidRDefault="00A21E6C" w:rsidP="00A21E6C">
      <w:pPr>
        <w:numPr>
          <w:ilvl w:val="0"/>
          <w:numId w:val="8"/>
        </w:numPr>
        <w:spacing w:before="100" w:beforeAutospacing="1" w:after="100" w:afterAutospacing="1" w:line="240" w:lineRule="auto"/>
        <w:jc w:val="both"/>
        <w:rPr>
          <w:rFonts w:asciiTheme="majorHAnsi" w:eastAsia="Times New Roman" w:hAnsiTheme="majorHAnsi" w:cstheme="majorHAnsi"/>
          <w:lang w:eastAsia="pl-PL"/>
        </w:rPr>
      </w:pPr>
      <w:proofErr w:type="spellStart"/>
      <w:r w:rsidRPr="00115720">
        <w:rPr>
          <w:rFonts w:asciiTheme="majorHAnsi" w:eastAsia="Times New Roman" w:hAnsiTheme="majorHAnsi" w:cstheme="majorHAnsi"/>
          <w:lang w:eastAsia="pl-PL"/>
        </w:rPr>
        <w:t>Individual</w:t>
      </w:r>
      <w:proofErr w:type="spellEnd"/>
      <w:r w:rsidRPr="00115720">
        <w:rPr>
          <w:rFonts w:asciiTheme="majorHAnsi" w:eastAsia="Times New Roman" w:hAnsiTheme="majorHAnsi" w:cstheme="majorHAnsi"/>
          <w:lang w:eastAsia="pl-PL"/>
        </w:rPr>
        <w:t xml:space="preserve"> </w:t>
      </w:r>
      <w:proofErr w:type="spellStart"/>
      <w:r w:rsidRPr="00115720">
        <w:rPr>
          <w:rFonts w:asciiTheme="majorHAnsi" w:eastAsia="Times New Roman" w:hAnsiTheme="majorHAnsi" w:cstheme="majorHAnsi"/>
          <w:lang w:eastAsia="pl-PL"/>
        </w:rPr>
        <w:t>assessment</w:t>
      </w:r>
      <w:proofErr w:type="spellEnd"/>
      <w:r w:rsidRPr="00115720">
        <w:rPr>
          <w:rFonts w:asciiTheme="majorHAnsi" w:eastAsia="Times New Roman" w:hAnsiTheme="majorHAnsi" w:cstheme="majorHAnsi"/>
          <w:lang w:eastAsia="pl-PL"/>
        </w:rPr>
        <w:t xml:space="preserve"> by </w:t>
      </w:r>
      <w:proofErr w:type="spellStart"/>
      <w:r w:rsidRPr="00115720">
        <w:rPr>
          <w:rFonts w:asciiTheme="majorHAnsi" w:eastAsia="Times New Roman" w:hAnsiTheme="majorHAnsi" w:cstheme="majorHAnsi"/>
          <w:lang w:eastAsia="pl-PL"/>
        </w:rPr>
        <w:t>experts</w:t>
      </w:r>
      <w:proofErr w:type="spellEnd"/>
    </w:p>
    <w:p w14:paraId="3EA523E8" w14:textId="77777777" w:rsidR="00A21E6C" w:rsidRPr="00115720" w:rsidRDefault="00A21E6C" w:rsidP="00A21E6C">
      <w:pPr>
        <w:numPr>
          <w:ilvl w:val="0"/>
          <w:numId w:val="8"/>
        </w:numPr>
        <w:spacing w:before="100" w:beforeAutospacing="1" w:after="100" w:afterAutospacing="1" w:line="240" w:lineRule="auto"/>
        <w:jc w:val="both"/>
        <w:rPr>
          <w:rFonts w:asciiTheme="majorHAnsi" w:eastAsia="Times New Roman" w:hAnsiTheme="majorHAnsi" w:cstheme="majorHAnsi"/>
          <w:lang w:eastAsia="pl-PL"/>
        </w:rPr>
      </w:pPr>
      <w:proofErr w:type="spellStart"/>
      <w:r w:rsidRPr="00115720">
        <w:rPr>
          <w:rFonts w:asciiTheme="majorHAnsi" w:eastAsia="Times New Roman" w:hAnsiTheme="majorHAnsi" w:cstheme="majorHAnsi"/>
          <w:lang w:eastAsia="pl-PL"/>
        </w:rPr>
        <w:t>Consensus</w:t>
      </w:r>
      <w:proofErr w:type="spellEnd"/>
      <w:r w:rsidRPr="00115720">
        <w:rPr>
          <w:rFonts w:asciiTheme="majorHAnsi" w:eastAsia="Times New Roman" w:hAnsiTheme="majorHAnsi" w:cstheme="majorHAnsi"/>
          <w:lang w:eastAsia="pl-PL"/>
        </w:rPr>
        <w:t xml:space="preserve"> </w:t>
      </w:r>
      <w:proofErr w:type="spellStart"/>
      <w:r w:rsidRPr="00115720">
        <w:rPr>
          <w:rFonts w:asciiTheme="majorHAnsi" w:eastAsia="Times New Roman" w:hAnsiTheme="majorHAnsi" w:cstheme="majorHAnsi"/>
          <w:lang w:eastAsia="pl-PL"/>
        </w:rPr>
        <w:t>assessment</w:t>
      </w:r>
      <w:proofErr w:type="spellEnd"/>
      <w:r w:rsidRPr="00115720">
        <w:rPr>
          <w:rFonts w:asciiTheme="majorHAnsi" w:eastAsia="Times New Roman" w:hAnsiTheme="majorHAnsi" w:cstheme="majorHAnsi"/>
          <w:lang w:eastAsia="pl-PL"/>
        </w:rPr>
        <w:t xml:space="preserve"> by </w:t>
      </w:r>
      <w:proofErr w:type="spellStart"/>
      <w:r w:rsidRPr="00115720">
        <w:rPr>
          <w:rFonts w:asciiTheme="majorHAnsi" w:eastAsia="Times New Roman" w:hAnsiTheme="majorHAnsi" w:cstheme="majorHAnsi"/>
          <w:lang w:eastAsia="pl-PL"/>
        </w:rPr>
        <w:t>experts</w:t>
      </w:r>
      <w:proofErr w:type="spellEnd"/>
      <w:r w:rsidRPr="00115720">
        <w:rPr>
          <w:rFonts w:asciiTheme="majorHAnsi" w:eastAsia="Times New Roman" w:hAnsiTheme="majorHAnsi" w:cstheme="majorHAnsi"/>
          <w:lang w:eastAsia="pl-PL"/>
        </w:rPr>
        <w:t>.</w:t>
      </w:r>
    </w:p>
    <w:p w14:paraId="605F5678" w14:textId="77777777" w:rsidR="00917F13" w:rsidRPr="00115720" w:rsidRDefault="00917F13" w:rsidP="00917F13">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 xml:space="preserve">Following the eligibility check and depending on the number and topics of proposals received, the </w:t>
      </w:r>
      <w:proofErr w:type="spellStart"/>
      <w:r w:rsidRPr="00115720">
        <w:rPr>
          <w:rFonts w:asciiTheme="majorHAnsi" w:eastAsia="Times New Roman" w:hAnsiTheme="majorHAnsi" w:cstheme="majorHAnsi"/>
          <w:lang w:val="en-US" w:eastAsia="pl-PL"/>
        </w:rPr>
        <w:t>Programme</w:t>
      </w:r>
      <w:proofErr w:type="spellEnd"/>
      <w:r w:rsidRPr="00115720">
        <w:rPr>
          <w:rFonts w:asciiTheme="majorHAnsi" w:eastAsia="Times New Roman" w:hAnsiTheme="majorHAnsi" w:cstheme="majorHAnsi"/>
          <w:lang w:val="en-US" w:eastAsia="pl-PL"/>
        </w:rPr>
        <w:t xml:space="preserve"> Operator in consultation with the </w:t>
      </w:r>
      <w:proofErr w:type="spellStart"/>
      <w:r w:rsidRPr="00115720">
        <w:rPr>
          <w:rFonts w:asciiTheme="majorHAnsi" w:eastAsia="Times New Roman" w:hAnsiTheme="majorHAnsi" w:cstheme="majorHAnsi"/>
          <w:lang w:val="en-US" w:eastAsia="pl-PL"/>
        </w:rPr>
        <w:t>Programme</w:t>
      </w:r>
      <w:proofErr w:type="spellEnd"/>
      <w:r w:rsidRPr="00115720">
        <w:rPr>
          <w:rFonts w:asciiTheme="majorHAnsi" w:eastAsia="Times New Roman" w:hAnsiTheme="majorHAnsi" w:cstheme="majorHAnsi"/>
          <w:lang w:val="en-US" w:eastAsia="pl-PL"/>
        </w:rPr>
        <w:t xml:space="preserve"> Committee and Donor Program Partner, decides whether it is appropriate to include a panel review within the selection procedure.</w:t>
      </w:r>
    </w:p>
    <w:p w14:paraId="4485159B" w14:textId="77777777" w:rsidR="00A21E6C" w:rsidRPr="00115720" w:rsidRDefault="00A21E6C" w:rsidP="00A21E6C">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br/>
        <w:t>The proposal can receive a total number of 25 points in the evaluation procedure. To be recommended for funding, the proposal must receive at least 15 points and pass all the thresholds according to the values presented in the table below.</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66"/>
        <w:gridCol w:w="1083"/>
        <w:gridCol w:w="713"/>
      </w:tblGrid>
      <w:tr w:rsidR="00A21E6C" w:rsidRPr="00115720" w14:paraId="69633B05" w14:textId="77777777" w:rsidTr="00B56183">
        <w:trPr>
          <w:tblHeader/>
          <w:tblCellSpacing w:w="7" w:type="dxa"/>
        </w:trPr>
        <w:tc>
          <w:tcPr>
            <w:tcW w:w="0" w:type="auto"/>
            <w:vAlign w:val="center"/>
            <w:hideMark/>
          </w:tcPr>
          <w:p w14:paraId="409AB73F" w14:textId="77777777" w:rsidR="00A21E6C" w:rsidRPr="00115720" w:rsidRDefault="00A21E6C" w:rsidP="00810E8B">
            <w:pPr>
              <w:spacing w:after="0" w:line="240" w:lineRule="auto"/>
              <w:jc w:val="center"/>
              <w:rPr>
                <w:rFonts w:asciiTheme="majorHAnsi" w:eastAsia="Times New Roman" w:hAnsiTheme="majorHAnsi" w:cstheme="majorHAnsi"/>
                <w:b/>
                <w:bCs/>
                <w:lang w:eastAsia="pl-PL"/>
              </w:rPr>
            </w:pPr>
            <w:proofErr w:type="spellStart"/>
            <w:r w:rsidRPr="00115720">
              <w:rPr>
                <w:rFonts w:asciiTheme="majorHAnsi" w:eastAsia="Times New Roman" w:hAnsiTheme="majorHAnsi" w:cstheme="majorHAnsi"/>
                <w:b/>
                <w:bCs/>
                <w:lang w:eastAsia="pl-PL"/>
              </w:rPr>
              <w:t>Criteria</w:t>
            </w:r>
            <w:proofErr w:type="spellEnd"/>
          </w:p>
        </w:tc>
        <w:tc>
          <w:tcPr>
            <w:tcW w:w="0" w:type="auto"/>
            <w:vAlign w:val="center"/>
            <w:hideMark/>
          </w:tcPr>
          <w:p w14:paraId="0A74C0DC" w14:textId="77777777" w:rsidR="00A21E6C" w:rsidRPr="00115720" w:rsidRDefault="00A21E6C" w:rsidP="00810E8B">
            <w:pPr>
              <w:spacing w:after="0" w:line="240" w:lineRule="auto"/>
              <w:jc w:val="center"/>
              <w:rPr>
                <w:rFonts w:asciiTheme="majorHAnsi" w:eastAsia="Times New Roman" w:hAnsiTheme="majorHAnsi" w:cstheme="majorHAnsi"/>
                <w:b/>
                <w:bCs/>
                <w:lang w:eastAsia="pl-PL"/>
              </w:rPr>
            </w:pPr>
            <w:proofErr w:type="spellStart"/>
            <w:r w:rsidRPr="00115720">
              <w:rPr>
                <w:rFonts w:asciiTheme="majorHAnsi" w:eastAsia="Times New Roman" w:hAnsiTheme="majorHAnsi" w:cstheme="majorHAnsi"/>
                <w:b/>
                <w:bCs/>
                <w:lang w:eastAsia="pl-PL"/>
              </w:rPr>
              <w:t>Thresholds</w:t>
            </w:r>
            <w:proofErr w:type="spellEnd"/>
            <w:r w:rsidRPr="00115720">
              <w:rPr>
                <w:rFonts w:asciiTheme="majorHAnsi" w:eastAsia="Times New Roman" w:hAnsiTheme="majorHAnsi" w:cstheme="majorHAnsi"/>
                <w:b/>
                <w:bCs/>
                <w:lang w:eastAsia="pl-PL"/>
              </w:rPr>
              <w:t> </w:t>
            </w:r>
          </w:p>
        </w:tc>
        <w:tc>
          <w:tcPr>
            <w:tcW w:w="0" w:type="auto"/>
            <w:vAlign w:val="center"/>
            <w:hideMark/>
          </w:tcPr>
          <w:p w14:paraId="3C176AA6" w14:textId="4A9A9687" w:rsidR="00A21E6C" w:rsidRPr="00115720" w:rsidRDefault="00A21E6C" w:rsidP="00B56183">
            <w:pPr>
              <w:spacing w:after="0" w:line="240" w:lineRule="auto"/>
              <w:rPr>
                <w:rFonts w:asciiTheme="majorHAnsi" w:eastAsia="Times New Roman" w:hAnsiTheme="majorHAnsi" w:cstheme="majorHAnsi"/>
                <w:b/>
                <w:bCs/>
                <w:lang w:eastAsia="pl-PL"/>
              </w:rPr>
            </w:pPr>
            <w:proofErr w:type="spellStart"/>
            <w:r w:rsidRPr="00115720">
              <w:rPr>
                <w:rFonts w:asciiTheme="majorHAnsi" w:eastAsia="Times New Roman" w:hAnsiTheme="majorHAnsi" w:cstheme="majorHAnsi"/>
                <w:b/>
                <w:bCs/>
                <w:lang w:eastAsia="pl-PL"/>
              </w:rPr>
              <w:t>Weight</w:t>
            </w:r>
            <w:proofErr w:type="spellEnd"/>
          </w:p>
        </w:tc>
      </w:tr>
      <w:tr w:rsidR="00630061" w:rsidRPr="00115720" w14:paraId="433EAD72" w14:textId="77777777" w:rsidTr="00810E8B">
        <w:trPr>
          <w:tblCellSpacing w:w="7" w:type="dxa"/>
        </w:trPr>
        <w:tc>
          <w:tcPr>
            <w:tcW w:w="0" w:type="auto"/>
            <w:hideMark/>
          </w:tcPr>
          <w:p w14:paraId="1EDC0B0E" w14:textId="77777777" w:rsidR="00630061" w:rsidRPr="00115720" w:rsidRDefault="00630061" w:rsidP="00630061">
            <w:pPr>
              <w:spacing w:after="0" w:line="240" w:lineRule="auto"/>
              <w:rPr>
                <w:rFonts w:asciiTheme="majorHAnsi" w:eastAsia="Times New Roman" w:hAnsiTheme="majorHAnsi" w:cstheme="majorHAnsi"/>
                <w:highlight w:val="yellow"/>
                <w:lang w:val="en-US" w:eastAsia="pl-PL"/>
              </w:rPr>
            </w:pPr>
            <w:r w:rsidRPr="00115720">
              <w:rPr>
                <w:rFonts w:asciiTheme="majorHAnsi" w:hAnsiTheme="majorHAnsi" w:cstheme="majorHAnsi"/>
                <w:lang w:val="en-US"/>
              </w:rPr>
              <w:t xml:space="preserve">1. </w:t>
            </w:r>
            <w:r w:rsidR="002E3F72" w:rsidRPr="00115720">
              <w:rPr>
                <w:rFonts w:asciiTheme="majorHAnsi" w:hAnsiTheme="majorHAnsi" w:cstheme="majorHAnsi"/>
                <w:lang w:val="en-US"/>
              </w:rPr>
              <w:t xml:space="preserve">Relevance in relation to the objective and priorities of the research </w:t>
            </w:r>
            <w:proofErr w:type="spellStart"/>
            <w:r w:rsidR="002E3F72" w:rsidRPr="00115720">
              <w:rPr>
                <w:rFonts w:asciiTheme="majorHAnsi" w:hAnsiTheme="majorHAnsi" w:cstheme="majorHAnsi"/>
                <w:lang w:val="en-US"/>
              </w:rPr>
              <w:t>programme</w:t>
            </w:r>
            <w:proofErr w:type="spellEnd"/>
          </w:p>
        </w:tc>
        <w:tc>
          <w:tcPr>
            <w:tcW w:w="0" w:type="auto"/>
            <w:hideMark/>
          </w:tcPr>
          <w:p w14:paraId="7AA0E290" w14:textId="77777777" w:rsidR="00630061" w:rsidRPr="00115720" w:rsidRDefault="00630061" w:rsidP="00630061">
            <w:pPr>
              <w:spacing w:after="0" w:line="240" w:lineRule="auto"/>
              <w:rPr>
                <w:rFonts w:asciiTheme="majorHAnsi" w:eastAsia="Times New Roman" w:hAnsiTheme="majorHAnsi" w:cstheme="majorHAnsi"/>
                <w:highlight w:val="yellow"/>
                <w:lang w:eastAsia="pl-PL"/>
              </w:rPr>
            </w:pPr>
            <w:r w:rsidRPr="00115720">
              <w:rPr>
                <w:rFonts w:asciiTheme="majorHAnsi" w:hAnsiTheme="majorHAnsi" w:cstheme="majorHAnsi"/>
                <w:b/>
              </w:rPr>
              <w:t>YES</w:t>
            </w:r>
          </w:p>
        </w:tc>
        <w:tc>
          <w:tcPr>
            <w:tcW w:w="0" w:type="auto"/>
            <w:hideMark/>
          </w:tcPr>
          <w:p w14:paraId="09209D49" w14:textId="77777777" w:rsidR="00630061" w:rsidRPr="00115720" w:rsidRDefault="00630061" w:rsidP="00630061">
            <w:pPr>
              <w:spacing w:after="0" w:line="240" w:lineRule="auto"/>
              <w:rPr>
                <w:rFonts w:asciiTheme="majorHAnsi" w:eastAsia="Times New Roman" w:hAnsiTheme="majorHAnsi" w:cstheme="majorHAnsi"/>
                <w:highlight w:val="yellow"/>
                <w:lang w:eastAsia="pl-PL"/>
              </w:rPr>
            </w:pPr>
            <w:r w:rsidRPr="00115720">
              <w:rPr>
                <w:rFonts w:asciiTheme="majorHAnsi" w:hAnsiTheme="majorHAnsi" w:cstheme="majorHAnsi"/>
                <w:b/>
              </w:rPr>
              <w:t>N/A</w:t>
            </w:r>
          </w:p>
        </w:tc>
      </w:tr>
      <w:tr w:rsidR="00630061" w:rsidRPr="00115720" w14:paraId="6D3F3018" w14:textId="77777777" w:rsidTr="00810E8B">
        <w:trPr>
          <w:tblCellSpacing w:w="7" w:type="dxa"/>
        </w:trPr>
        <w:tc>
          <w:tcPr>
            <w:tcW w:w="0" w:type="auto"/>
            <w:hideMark/>
          </w:tcPr>
          <w:p w14:paraId="5690C388" w14:textId="77777777" w:rsidR="00630061" w:rsidRPr="00115720" w:rsidRDefault="00630061" w:rsidP="00630061">
            <w:pPr>
              <w:spacing w:after="0" w:line="240" w:lineRule="auto"/>
              <w:rPr>
                <w:rFonts w:asciiTheme="majorHAnsi" w:eastAsia="Times New Roman" w:hAnsiTheme="majorHAnsi" w:cstheme="majorHAnsi"/>
                <w:highlight w:val="yellow"/>
                <w:lang w:val="en-US" w:eastAsia="pl-PL"/>
              </w:rPr>
            </w:pPr>
            <w:r w:rsidRPr="00115720">
              <w:rPr>
                <w:rFonts w:asciiTheme="majorHAnsi" w:hAnsiTheme="majorHAnsi" w:cstheme="majorHAnsi"/>
                <w:lang w:val="en-US"/>
              </w:rPr>
              <w:t xml:space="preserve">2. </w:t>
            </w:r>
            <w:r w:rsidR="002E3F72" w:rsidRPr="00115720">
              <w:rPr>
                <w:rFonts w:asciiTheme="majorHAnsi" w:hAnsiTheme="majorHAnsi" w:cstheme="majorHAnsi"/>
                <w:lang w:val="en-US"/>
              </w:rPr>
              <w:t>Scientific and/or technical excellence</w:t>
            </w:r>
          </w:p>
        </w:tc>
        <w:tc>
          <w:tcPr>
            <w:tcW w:w="0" w:type="auto"/>
            <w:hideMark/>
          </w:tcPr>
          <w:p w14:paraId="0AAA1F70" w14:textId="77777777" w:rsidR="00630061" w:rsidRPr="00115720" w:rsidRDefault="00630061" w:rsidP="00630061">
            <w:pPr>
              <w:spacing w:after="0" w:line="240" w:lineRule="auto"/>
              <w:rPr>
                <w:rFonts w:asciiTheme="majorHAnsi" w:eastAsia="Times New Roman" w:hAnsiTheme="majorHAnsi" w:cstheme="majorHAnsi"/>
                <w:highlight w:val="yellow"/>
                <w:lang w:eastAsia="pl-PL"/>
              </w:rPr>
            </w:pPr>
            <w:r w:rsidRPr="00115720">
              <w:rPr>
                <w:rFonts w:asciiTheme="majorHAnsi" w:hAnsiTheme="majorHAnsi" w:cstheme="majorHAnsi"/>
                <w:b/>
              </w:rPr>
              <w:t>3/5</w:t>
            </w:r>
          </w:p>
        </w:tc>
        <w:tc>
          <w:tcPr>
            <w:tcW w:w="0" w:type="auto"/>
            <w:hideMark/>
          </w:tcPr>
          <w:p w14:paraId="3B84B5CC" w14:textId="77777777" w:rsidR="00630061" w:rsidRPr="00115720" w:rsidRDefault="00630061" w:rsidP="00630061">
            <w:pPr>
              <w:spacing w:after="0" w:line="240" w:lineRule="auto"/>
              <w:rPr>
                <w:rFonts w:asciiTheme="majorHAnsi" w:eastAsia="Times New Roman" w:hAnsiTheme="majorHAnsi" w:cstheme="majorHAnsi"/>
                <w:highlight w:val="yellow"/>
                <w:lang w:eastAsia="pl-PL"/>
              </w:rPr>
            </w:pPr>
            <w:r w:rsidRPr="00115720">
              <w:rPr>
                <w:rFonts w:asciiTheme="majorHAnsi" w:hAnsiTheme="majorHAnsi" w:cstheme="majorHAnsi"/>
                <w:b/>
              </w:rPr>
              <w:t>x3</w:t>
            </w:r>
          </w:p>
        </w:tc>
      </w:tr>
      <w:tr w:rsidR="00630061" w:rsidRPr="00115720" w14:paraId="32411B95" w14:textId="77777777" w:rsidTr="00810E8B">
        <w:trPr>
          <w:tblCellSpacing w:w="7" w:type="dxa"/>
        </w:trPr>
        <w:tc>
          <w:tcPr>
            <w:tcW w:w="0" w:type="auto"/>
          </w:tcPr>
          <w:p w14:paraId="2C24F285" w14:textId="77777777" w:rsidR="00630061" w:rsidRPr="00115720" w:rsidRDefault="00630061" w:rsidP="00630061">
            <w:pPr>
              <w:spacing w:after="0" w:line="240" w:lineRule="auto"/>
              <w:rPr>
                <w:rFonts w:asciiTheme="majorHAnsi" w:eastAsia="Times New Roman" w:hAnsiTheme="majorHAnsi" w:cstheme="majorHAnsi"/>
                <w:lang w:val="en-US" w:eastAsia="pl-PL"/>
              </w:rPr>
            </w:pPr>
            <w:r w:rsidRPr="00115720">
              <w:rPr>
                <w:rFonts w:asciiTheme="majorHAnsi" w:hAnsiTheme="majorHAnsi" w:cstheme="majorHAnsi"/>
                <w:lang w:val="en-US"/>
              </w:rPr>
              <w:t xml:space="preserve">3. </w:t>
            </w:r>
            <w:r w:rsidR="002E3F72" w:rsidRPr="00115720">
              <w:rPr>
                <w:rFonts w:asciiTheme="majorHAnsi" w:hAnsiTheme="majorHAnsi" w:cstheme="majorHAnsi"/>
                <w:lang w:val="en-US"/>
              </w:rPr>
              <w:t>Quality and efficiency of the implementation and management, including quality and implementation capacity of the applicants and contribution to capacity and competence building</w:t>
            </w:r>
          </w:p>
        </w:tc>
        <w:tc>
          <w:tcPr>
            <w:tcW w:w="0" w:type="auto"/>
          </w:tcPr>
          <w:p w14:paraId="20789E14" w14:textId="77777777" w:rsidR="00630061" w:rsidRPr="00115720" w:rsidRDefault="00630061" w:rsidP="00630061">
            <w:pPr>
              <w:spacing w:after="0" w:line="240" w:lineRule="auto"/>
              <w:rPr>
                <w:rFonts w:asciiTheme="majorHAnsi" w:eastAsia="Times New Roman" w:hAnsiTheme="majorHAnsi" w:cstheme="majorHAnsi"/>
                <w:b/>
                <w:bCs/>
                <w:highlight w:val="yellow"/>
                <w:lang w:val="en-US" w:eastAsia="pl-PL"/>
              </w:rPr>
            </w:pPr>
            <w:r w:rsidRPr="00115720">
              <w:rPr>
                <w:rFonts w:asciiTheme="majorHAnsi" w:hAnsiTheme="majorHAnsi" w:cstheme="majorHAnsi"/>
                <w:b/>
              </w:rPr>
              <w:t>3/5</w:t>
            </w:r>
          </w:p>
        </w:tc>
        <w:tc>
          <w:tcPr>
            <w:tcW w:w="0" w:type="auto"/>
          </w:tcPr>
          <w:p w14:paraId="4E551CDD" w14:textId="77777777" w:rsidR="00630061" w:rsidRPr="00115720" w:rsidRDefault="00630061" w:rsidP="00630061">
            <w:pPr>
              <w:spacing w:after="0" w:line="240" w:lineRule="auto"/>
              <w:rPr>
                <w:rFonts w:asciiTheme="majorHAnsi" w:eastAsia="Times New Roman" w:hAnsiTheme="majorHAnsi" w:cstheme="majorHAnsi"/>
                <w:highlight w:val="yellow"/>
                <w:lang w:val="en-US" w:eastAsia="pl-PL"/>
              </w:rPr>
            </w:pPr>
            <w:r w:rsidRPr="00115720">
              <w:rPr>
                <w:rFonts w:asciiTheme="majorHAnsi" w:hAnsiTheme="majorHAnsi" w:cstheme="majorHAnsi"/>
                <w:b/>
              </w:rPr>
              <w:t>x1</w:t>
            </w:r>
          </w:p>
        </w:tc>
      </w:tr>
      <w:tr w:rsidR="00630061" w:rsidRPr="00115720" w14:paraId="7D6BC4C1" w14:textId="77777777" w:rsidTr="00810E8B">
        <w:trPr>
          <w:tblCellSpacing w:w="7" w:type="dxa"/>
        </w:trPr>
        <w:tc>
          <w:tcPr>
            <w:tcW w:w="0" w:type="auto"/>
            <w:hideMark/>
          </w:tcPr>
          <w:p w14:paraId="06CC000B" w14:textId="77777777" w:rsidR="00630061" w:rsidRPr="00115720" w:rsidRDefault="00630061" w:rsidP="00630061">
            <w:pPr>
              <w:spacing w:after="0" w:line="240" w:lineRule="auto"/>
              <w:rPr>
                <w:rFonts w:asciiTheme="majorHAnsi" w:eastAsia="Times New Roman" w:hAnsiTheme="majorHAnsi" w:cstheme="majorHAnsi"/>
                <w:lang w:val="en-GB" w:eastAsia="pl-PL"/>
              </w:rPr>
            </w:pPr>
            <w:r w:rsidRPr="00115720">
              <w:rPr>
                <w:rFonts w:asciiTheme="majorHAnsi" w:hAnsiTheme="majorHAnsi" w:cstheme="majorHAnsi"/>
                <w:lang w:val="en-GB"/>
              </w:rPr>
              <w:t xml:space="preserve">4. </w:t>
            </w:r>
            <w:r w:rsidR="002E3F72" w:rsidRPr="00115720">
              <w:rPr>
                <w:rFonts w:asciiTheme="majorHAnsi" w:hAnsiTheme="majorHAnsi" w:cstheme="majorHAnsi"/>
                <w:lang w:val="en-GB"/>
              </w:rPr>
              <w:t>The potential impact through the development, dissemination and use of project results</w:t>
            </w:r>
          </w:p>
        </w:tc>
        <w:tc>
          <w:tcPr>
            <w:tcW w:w="0" w:type="auto"/>
            <w:hideMark/>
          </w:tcPr>
          <w:p w14:paraId="5B2A6276" w14:textId="77777777" w:rsidR="00630061" w:rsidRPr="00115720" w:rsidRDefault="00630061" w:rsidP="00630061">
            <w:pPr>
              <w:spacing w:after="0" w:line="240" w:lineRule="auto"/>
              <w:rPr>
                <w:rFonts w:asciiTheme="majorHAnsi" w:eastAsia="Times New Roman" w:hAnsiTheme="majorHAnsi" w:cstheme="majorHAnsi"/>
                <w:highlight w:val="yellow"/>
                <w:lang w:val="en-US" w:eastAsia="pl-PL"/>
              </w:rPr>
            </w:pPr>
            <w:r w:rsidRPr="00115720">
              <w:rPr>
                <w:rFonts w:asciiTheme="majorHAnsi" w:hAnsiTheme="majorHAnsi" w:cstheme="majorHAnsi"/>
                <w:b/>
              </w:rPr>
              <w:t>3/5</w:t>
            </w:r>
          </w:p>
        </w:tc>
        <w:tc>
          <w:tcPr>
            <w:tcW w:w="0" w:type="auto"/>
            <w:hideMark/>
          </w:tcPr>
          <w:p w14:paraId="0410391D" w14:textId="77777777" w:rsidR="00630061" w:rsidRPr="00115720" w:rsidRDefault="00630061" w:rsidP="00630061">
            <w:pPr>
              <w:spacing w:after="0" w:line="240" w:lineRule="auto"/>
              <w:rPr>
                <w:rFonts w:asciiTheme="majorHAnsi" w:eastAsia="Times New Roman" w:hAnsiTheme="majorHAnsi" w:cstheme="majorHAnsi"/>
                <w:highlight w:val="yellow"/>
                <w:lang w:val="en-US" w:eastAsia="pl-PL"/>
              </w:rPr>
            </w:pPr>
            <w:r w:rsidRPr="00115720">
              <w:rPr>
                <w:rFonts w:asciiTheme="majorHAnsi" w:hAnsiTheme="majorHAnsi" w:cstheme="majorHAnsi"/>
                <w:b/>
              </w:rPr>
              <w:t>x1</w:t>
            </w:r>
          </w:p>
        </w:tc>
      </w:tr>
    </w:tbl>
    <w:p w14:paraId="2A681B4C" w14:textId="77777777" w:rsidR="004D3B74" w:rsidRPr="00115720" w:rsidRDefault="00A21E6C" w:rsidP="00630061">
      <w:pPr>
        <w:pStyle w:val="Bezodstpw"/>
        <w:jc w:val="both"/>
        <w:rPr>
          <w:rFonts w:asciiTheme="majorHAnsi" w:eastAsia="Times New Roman" w:hAnsiTheme="majorHAnsi" w:cstheme="majorHAnsi"/>
          <w:lang w:val="en-US" w:eastAsia="pl-PL"/>
        </w:rPr>
      </w:pPr>
      <w:r w:rsidRPr="00115720">
        <w:rPr>
          <w:rFonts w:asciiTheme="majorHAnsi" w:eastAsia="Times New Roman" w:hAnsiTheme="majorHAnsi" w:cstheme="majorHAnsi"/>
          <w:highlight w:val="yellow"/>
          <w:lang w:val="en-US" w:eastAsia="pl-PL"/>
        </w:rPr>
        <w:br/>
      </w:r>
      <w:r w:rsidRPr="00115720">
        <w:rPr>
          <w:rFonts w:asciiTheme="majorHAnsi" w:eastAsia="Times New Roman" w:hAnsiTheme="majorHAnsi" w:cstheme="majorHAnsi"/>
          <w:lang w:val="en-US" w:eastAsia="pl-PL"/>
        </w:rPr>
        <w:t xml:space="preserve">The </w:t>
      </w:r>
      <w:r w:rsidR="004D3B74" w:rsidRPr="00115720">
        <w:rPr>
          <w:rFonts w:asciiTheme="majorHAnsi" w:eastAsia="Times New Roman" w:hAnsiTheme="majorHAnsi" w:cstheme="majorHAnsi"/>
          <w:lang w:val="en-US" w:eastAsia="pl-PL"/>
        </w:rPr>
        <w:t xml:space="preserve">preparation of </w:t>
      </w:r>
      <w:r w:rsidRPr="00115720">
        <w:rPr>
          <w:rFonts w:asciiTheme="majorHAnsi" w:eastAsia="Times New Roman" w:hAnsiTheme="majorHAnsi" w:cstheme="majorHAnsi"/>
          <w:lang w:val="en-US" w:eastAsia="pl-PL"/>
        </w:rPr>
        <w:t>final ranking list</w:t>
      </w:r>
      <w:r w:rsidR="00C06507" w:rsidRPr="00115720">
        <w:rPr>
          <w:rFonts w:asciiTheme="majorHAnsi" w:eastAsia="Times New Roman" w:hAnsiTheme="majorHAnsi" w:cstheme="majorHAnsi"/>
          <w:lang w:val="en-US" w:eastAsia="pl-PL"/>
        </w:rPr>
        <w:t>s</w:t>
      </w:r>
      <w:r w:rsidRPr="00115720">
        <w:rPr>
          <w:rFonts w:asciiTheme="majorHAnsi" w:eastAsia="Times New Roman" w:hAnsiTheme="majorHAnsi" w:cstheme="majorHAnsi"/>
          <w:lang w:val="en-US" w:eastAsia="pl-PL"/>
        </w:rPr>
        <w:t xml:space="preserve"> and recommendation of the proposals for funding </w:t>
      </w:r>
      <w:r w:rsidR="004D3B74" w:rsidRPr="00115720">
        <w:rPr>
          <w:rFonts w:asciiTheme="majorHAnsi" w:eastAsia="Times New Roman" w:hAnsiTheme="majorHAnsi" w:cstheme="majorHAnsi"/>
          <w:lang w:val="en-US" w:eastAsia="pl-PL"/>
        </w:rPr>
        <w:t>are</w:t>
      </w:r>
      <w:r w:rsidRPr="00115720">
        <w:rPr>
          <w:rFonts w:asciiTheme="majorHAnsi" w:eastAsia="Times New Roman" w:hAnsiTheme="majorHAnsi" w:cstheme="majorHAnsi"/>
          <w:lang w:val="en-US" w:eastAsia="pl-PL"/>
        </w:rPr>
        <w:t xml:space="preserve"> the task</w:t>
      </w:r>
      <w:r w:rsidR="004D3B74" w:rsidRPr="00115720">
        <w:rPr>
          <w:rFonts w:asciiTheme="majorHAnsi" w:eastAsia="Times New Roman" w:hAnsiTheme="majorHAnsi" w:cstheme="majorHAnsi"/>
          <w:lang w:val="en-US" w:eastAsia="pl-PL"/>
        </w:rPr>
        <w:t>s</w:t>
      </w:r>
      <w:r w:rsidRPr="00115720">
        <w:rPr>
          <w:rFonts w:asciiTheme="majorHAnsi" w:eastAsia="Times New Roman" w:hAnsiTheme="majorHAnsi" w:cstheme="majorHAnsi"/>
          <w:lang w:val="en-US" w:eastAsia="pl-PL"/>
        </w:rPr>
        <w:t xml:space="preserve"> of the </w:t>
      </w:r>
      <w:proofErr w:type="spellStart"/>
      <w:r w:rsidRPr="00115720">
        <w:rPr>
          <w:rFonts w:asciiTheme="majorHAnsi" w:eastAsia="Times New Roman" w:hAnsiTheme="majorHAnsi" w:cstheme="majorHAnsi"/>
          <w:lang w:val="en-US" w:eastAsia="pl-PL"/>
        </w:rPr>
        <w:t>Programme</w:t>
      </w:r>
      <w:proofErr w:type="spellEnd"/>
      <w:r w:rsidRPr="00115720">
        <w:rPr>
          <w:rFonts w:asciiTheme="majorHAnsi" w:eastAsia="Times New Roman" w:hAnsiTheme="majorHAnsi" w:cstheme="majorHAnsi"/>
          <w:lang w:val="en-US" w:eastAsia="pl-PL"/>
        </w:rPr>
        <w:t xml:space="preserve"> Committee. The Director of the </w:t>
      </w:r>
      <w:proofErr w:type="spellStart"/>
      <w:r w:rsidR="004D3B74" w:rsidRPr="00115720">
        <w:rPr>
          <w:rFonts w:asciiTheme="majorHAnsi" w:eastAsia="Times New Roman" w:hAnsiTheme="majorHAnsi" w:cstheme="majorHAnsi"/>
          <w:lang w:val="en-US" w:eastAsia="pl-PL"/>
        </w:rPr>
        <w:t>Programme</w:t>
      </w:r>
      <w:proofErr w:type="spellEnd"/>
      <w:r w:rsidR="004D3B74" w:rsidRPr="00115720">
        <w:rPr>
          <w:rFonts w:asciiTheme="majorHAnsi" w:eastAsia="Times New Roman" w:hAnsiTheme="majorHAnsi" w:cstheme="majorHAnsi"/>
          <w:lang w:val="en-US" w:eastAsia="pl-PL"/>
        </w:rPr>
        <w:t xml:space="preserve"> Op</w:t>
      </w:r>
      <w:r w:rsidR="00EE0069" w:rsidRPr="00115720">
        <w:rPr>
          <w:rFonts w:asciiTheme="majorHAnsi" w:eastAsia="Times New Roman" w:hAnsiTheme="majorHAnsi" w:cstheme="majorHAnsi"/>
          <w:lang w:val="en-US" w:eastAsia="pl-PL"/>
        </w:rPr>
        <w:t>e</w:t>
      </w:r>
      <w:r w:rsidR="004D3B74" w:rsidRPr="00115720">
        <w:rPr>
          <w:rFonts w:asciiTheme="majorHAnsi" w:eastAsia="Times New Roman" w:hAnsiTheme="majorHAnsi" w:cstheme="majorHAnsi"/>
          <w:lang w:val="en-US" w:eastAsia="pl-PL"/>
        </w:rPr>
        <w:t>rator</w:t>
      </w:r>
      <w:r w:rsidRPr="00115720">
        <w:rPr>
          <w:rFonts w:asciiTheme="majorHAnsi" w:eastAsia="Times New Roman" w:hAnsiTheme="majorHAnsi" w:cstheme="majorHAnsi"/>
          <w:lang w:val="en-US" w:eastAsia="pl-PL"/>
        </w:rPr>
        <w:t xml:space="preserve"> issues funding decisions for the proposals recommended for financing by the </w:t>
      </w:r>
      <w:proofErr w:type="spellStart"/>
      <w:r w:rsidRPr="00115720">
        <w:rPr>
          <w:rFonts w:asciiTheme="majorHAnsi" w:eastAsia="Times New Roman" w:hAnsiTheme="majorHAnsi" w:cstheme="majorHAnsi"/>
          <w:lang w:val="en-US" w:eastAsia="pl-PL"/>
        </w:rPr>
        <w:t>Programme</w:t>
      </w:r>
      <w:proofErr w:type="spellEnd"/>
      <w:r w:rsidRPr="00115720">
        <w:rPr>
          <w:rFonts w:asciiTheme="majorHAnsi" w:eastAsia="Times New Roman" w:hAnsiTheme="majorHAnsi" w:cstheme="majorHAnsi"/>
          <w:lang w:val="en-US" w:eastAsia="pl-PL"/>
        </w:rPr>
        <w:t xml:space="preserve"> Committee.</w:t>
      </w:r>
    </w:p>
    <w:p w14:paraId="76EBFDC2" w14:textId="5B1B7C3B" w:rsidR="00A21E6C" w:rsidRDefault="00A21E6C" w:rsidP="00630061">
      <w:pPr>
        <w:pStyle w:val="Bezodstpw"/>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 xml:space="preserve">More detailed information on evaluation procedure is presented in the document </w:t>
      </w:r>
      <w:r w:rsidR="00630061" w:rsidRPr="00115720">
        <w:rPr>
          <w:rFonts w:asciiTheme="majorHAnsi" w:eastAsia="Times New Roman" w:hAnsiTheme="majorHAnsi" w:cstheme="majorHAnsi"/>
          <w:lang w:val="en-US" w:eastAsia="pl-PL"/>
        </w:rPr>
        <w:t xml:space="preserve">‘Guide for Evaluators’. </w:t>
      </w:r>
    </w:p>
    <w:p w14:paraId="4879D6BF" w14:textId="77777777" w:rsidR="00037D2D" w:rsidRPr="00115720" w:rsidRDefault="00037D2D" w:rsidP="00630061">
      <w:pPr>
        <w:pStyle w:val="Bezodstpw"/>
        <w:jc w:val="both"/>
        <w:rPr>
          <w:rFonts w:asciiTheme="majorHAnsi" w:eastAsia="Times New Roman" w:hAnsiTheme="majorHAnsi" w:cstheme="majorHAnsi"/>
          <w:highlight w:val="yellow"/>
          <w:lang w:val="en-US" w:eastAsia="pl-PL"/>
        </w:rPr>
      </w:pPr>
    </w:p>
    <w:p w14:paraId="567302CC" w14:textId="42A550D9" w:rsidR="004D3B74" w:rsidRPr="00115720" w:rsidRDefault="00BD3CD8" w:rsidP="00037D2D">
      <w:pPr>
        <w:pStyle w:val="Akapitzlist"/>
        <w:numPr>
          <w:ilvl w:val="1"/>
          <w:numId w:val="10"/>
        </w:numPr>
        <w:rPr>
          <w:rFonts w:asciiTheme="majorHAnsi" w:hAnsiTheme="majorHAnsi" w:cstheme="majorHAnsi"/>
          <w:lang w:val="en-US"/>
        </w:rPr>
      </w:pPr>
      <w:r w:rsidRPr="00115720">
        <w:rPr>
          <w:rFonts w:asciiTheme="majorHAnsi" w:eastAsia="Times New Roman" w:hAnsiTheme="majorHAnsi" w:cstheme="majorHAnsi"/>
          <w:b/>
          <w:bCs/>
          <w:lang w:val="en-US" w:eastAsia="pl-PL"/>
        </w:rPr>
        <w:lastRenderedPageBreak/>
        <w:t xml:space="preserve">Payment </w:t>
      </w:r>
      <w:r w:rsidR="00A21E6C" w:rsidRPr="00037D2D">
        <w:rPr>
          <w:rFonts w:asciiTheme="majorHAnsi" w:hAnsiTheme="majorHAnsi" w:cstheme="majorHAnsi"/>
          <w:b/>
          <w:lang w:val="en-GB"/>
        </w:rPr>
        <w:t>system</w:t>
      </w:r>
    </w:p>
    <w:p w14:paraId="153F27C0" w14:textId="77777777" w:rsidR="00C06507" w:rsidRPr="00115720" w:rsidRDefault="00C06507" w:rsidP="00C06507">
      <w:pPr>
        <w:pStyle w:val="Bezodstpw"/>
        <w:spacing w:line="276" w:lineRule="auto"/>
        <w:jc w:val="both"/>
        <w:rPr>
          <w:rFonts w:asciiTheme="majorHAnsi" w:hAnsiTheme="majorHAnsi" w:cstheme="majorHAnsi"/>
          <w:lang w:val="en-US"/>
        </w:rPr>
      </w:pPr>
      <w:r w:rsidRPr="00115720">
        <w:rPr>
          <w:rFonts w:asciiTheme="majorHAnsi" w:hAnsiTheme="majorHAnsi" w:cstheme="majorHAnsi"/>
          <w:lang w:val="en-US"/>
        </w:rPr>
        <w:t xml:space="preserve">Payments towards the projects are executed in the form of advance payments. The first advance instalment of maximum 30% of the total grant amount will be transferred within 30 days from the signature of the project contract to the Project Promoter through Bank </w:t>
      </w:r>
      <w:proofErr w:type="spellStart"/>
      <w:r w:rsidRPr="00115720">
        <w:rPr>
          <w:rFonts w:asciiTheme="majorHAnsi" w:hAnsiTheme="majorHAnsi" w:cstheme="majorHAnsi"/>
          <w:lang w:val="en-US"/>
        </w:rPr>
        <w:t>Gospodarstwa</w:t>
      </w:r>
      <w:proofErr w:type="spellEnd"/>
      <w:r w:rsidRPr="00115720">
        <w:rPr>
          <w:rFonts w:asciiTheme="majorHAnsi" w:hAnsiTheme="majorHAnsi" w:cstheme="majorHAnsi"/>
          <w:lang w:val="en-US"/>
        </w:rPr>
        <w:t xml:space="preserve"> </w:t>
      </w:r>
      <w:proofErr w:type="spellStart"/>
      <w:r w:rsidRPr="00115720">
        <w:rPr>
          <w:rFonts w:asciiTheme="majorHAnsi" w:hAnsiTheme="majorHAnsi" w:cstheme="majorHAnsi"/>
          <w:lang w:val="en-US"/>
        </w:rPr>
        <w:t>Krajowego</w:t>
      </w:r>
      <w:proofErr w:type="spellEnd"/>
      <w:r w:rsidRPr="00115720">
        <w:rPr>
          <w:rFonts w:asciiTheme="majorHAnsi" w:hAnsiTheme="majorHAnsi" w:cstheme="majorHAnsi"/>
          <w:lang w:val="en-US"/>
        </w:rPr>
        <w:t xml:space="preserve"> (BGK). The </w:t>
      </w:r>
      <w:proofErr w:type="spellStart"/>
      <w:r w:rsidRPr="00115720">
        <w:rPr>
          <w:rFonts w:asciiTheme="majorHAnsi" w:hAnsiTheme="majorHAnsi" w:cstheme="majorHAnsi"/>
          <w:lang w:val="en-US"/>
        </w:rPr>
        <w:t>Programme</w:t>
      </w:r>
      <w:proofErr w:type="spellEnd"/>
      <w:r w:rsidRPr="00115720">
        <w:rPr>
          <w:rFonts w:asciiTheme="majorHAnsi" w:hAnsiTheme="majorHAnsi" w:cstheme="majorHAnsi"/>
          <w:lang w:val="en-US"/>
        </w:rPr>
        <w:t xml:space="preserve"> Operator places a payment order</w:t>
      </w:r>
      <w:r w:rsidR="00365AD3" w:rsidRPr="00115720">
        <w:rPr>
          <w:rFonts w:asciiTheme="majorHAnsi" w:hAnsiTheme="majorHAnsi" w:cstheme="majorHAnsi"/>
          <w:lang w:val="en-US"/>
        </w:rPr>
        <w:t>.</w:t>
      </w:r>
      <w:r w:rsidRPr="00115720">
        <w:rPr>
          <w:rFonts w:asciiTheme="majorHAnsi" w:hAnsiTheme="majorHAnsi" w:cstheme="majorHAnsi"/>
          <w:lang w:val="en-US"/>
        </w:rPr>
        <w:t xml:space="preserve"> Further advance instalment(s) will be transferred to the project in accordance with an individual schedule of payments and upon approval of the payment request(s), as stipulated in the project contract. These further instalments may be paid when at least 70% of the previous advance instalment(s) has been reported as incurred and not later than 15 days after the </w:t>
      </w:r>
      <w:proofErr w:type="spellStart"/>
      <w:r w:rsidRPr="00115720">
        <w:rPr>
          <w:rFonts w:asciiTheme="majorHAnsi" w:hAnsiTheme="majorHAnsi" w:cstheme="majorHAnsi"/>
          <w:lang w:val="en-US"/>
        </w:rPr>
        <w:t>Programme</w:t>
      </w:r>
      <w:proofErr w:type="spellEnd"/>
      <w:r w:rsidRPr="00115720">
        <w:rPr>
          <w:rFonts w:asciiTheme="majorHAnsi" w:hAnsiTheme="majorHAnsi" w:cstheme="majorHAnsi"/>
          <w:lang w:val="en-US"/>
        </w:rPr>
        <w:t xml:space="preserve"> Operator’s approval of payment requests. </w:t>
      </w:r>
    </w:p>
    <w:p w14:paraId="32E4A9D9" w14:textId="4448A22B" w:rsidR="00BB22EF" w:rsidRDefault="00C06507" w:rsidP="00C06507">
      <w:pPr>
        <w:pStyle w:val="Bezodstpw"/>
        <w:spacing w:line="276" w:lineRule="auto"/>
        <w:jc w:val="both"/>
        <w:rPr>
          <w:rFonts w:asciiTheme="majorHAnsi" w:hAnsiTheme="majorHAnsi" w:cstheme="majorHAnsi"/>
          <w:lang w:val="en-US"/>
        </w:rPr>
      </w:pPr>
      <w:r w:rsidRPr="00115720">
        <w:rPr>
          <w:rFonts w:asciiTheme="majorHAnsi" w:hAnsiTheme="majorHAnsi" w:cstheme="majorHAnsi"/>
          <w:lang w:val="en-US"/>
        </w:rPr>
        <w:t>In case of justified doubts as to the proper performance of the project and in exceptional cases, e.g. unclear financial status, previous irregularities, warning signals /suspicion of financial abuse, a payment model in the form of reimbursement of incurred expenditure may apply to a project, after the analysis (the analysis concerns in particular the situation of the Project Promot</w:t>
      </w:r>
      <w:r w:rsidR="00980AF2">
        <w:rPr>
          <w:rFonts w:asciiTheme="majorHAnsi" w:hAnsiTheme="majorHAnsi" w:cstheme="majorHAnsi"/>
          <w:lang w:val="en-US"/>
        </w:rPr>
        <w:t>e</w:t>
      </w:r>
      <w:r w:rsidRPr="00115720">
        <w:rPr>
          <w:rFonts w:asciiTheme="majorHAnsi" w:hAnsiTheme="majorHAnsi" w:cstheme="majorHAnsi"/>
          <w:lang w:val="en-US"/>
        </w:rPr>
        <w:t>r as well as scientific and financial progress of the project).</w:t>
      </w:r>
      <w:r w:rsidR="00BB22EF" w:rsidRPr="00115720">
        <w:rPr>
          <w:rFonts w:asciiTheme="majorHAnsi" w:hAnsiTheme="majorHAnsi" w:cstheme="majorHAnsi"/>
          <w:lang w:val="en-US"/>
        </w:rPr>
        <w:t xml:space="preserve"> </w:t>
      </w:r>
    </w:p>
    <w:p w14:paraId="318212A8" w14:textId="77777777" w:rsidR="00037D2D" w:rsidRPr="00115720" w:rsidRDefault="00037D2D" w:rsidP="00C06507">
      <w:pPr>
        <w:pStyle w:val="Bezodstpw"/>
        <w:spacing w:line="276" w:lineRule="auto"/>
        <w:jc w:val="both"/>
        <w:rPr>
          <w:rFonts w:asciiTheme="majorHAnsi" w:hAnsiTheme="majorHAnsi" w:cstheme="majorHAnsi"/>
          <w:lang w:val="en-US"/>
        </w:rPr>
      </w:pPr>
    </w:p>
    <w:p w14:paraId="0954AD0C" w14:textId="5EB797D5" w:rsidR="00A21E6C" w:rsidRPr="00115720" w:rsidRDefault="00A21E6C" w:rsidP="00037D2D">
      <w:pPr>
        <w:pStyle w:val="Akapitzlist"/>
        <w:numPr>
          <w:ilvl w:val="1"/>
          <w:numId w:val="10"/>
        </w:numPr>
        <w:rPr>
          <w:rFonts w:asciiTheme="majorHAnsi" w:eastAsia="Times New Roman" w:hAnsiTheme="majorHAnsi" w:cstheme="majorHAnsi"/>
          <w:lang w:val="en-US" w:eastAsia="pl-PL"/>
        </w:rPr>
      </w:pPr>
      <w:r w:rsidRPr="00115720">
        <w:rPr>
          <w:rFonts w:asciiTheme="majorHAnsi" w:eastAsia="Times New Roman" w:hAnsiTheme="majorHAnsi" w:cstheme="majorHAnsi"/>
          <w:b/>
          <w:bCs/>
          <w:lang w:val="en-US" w:eastAsia="pl-PL"/>
        </w:rPr>
        <w:t>Submission of proposals</w:t>
      </w:r>
    </w:p>
    <w:p w14:paraId="107F5637" w14:textId="44161881" w:rsidR="00945F9F" w:rsidRPr="00115720" w:rsidRDefault="00945F9F" w:rsidP="00945F9F">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 xml:space="preserve">Applications from Project Promoters for financial support under the </w:t>
      </w:r>
      <w:r w:rsidR="00980AF2">
        <w:rPr>
          <w:rFonts w:asciiTheme="majorHAnsi" w:eastAsia="Times New Roman" w:hAnsiTheme="majorHAnsi" w:cstheme="majorHAnsi"/>
          <w:lang w:val="en-US" w:eastAsia="pl-PL"/>
        </w:rPr>
        <w:t>SGS</w:t>
      </w:r>
      <w:r w:rsidRPr="00115720">
        <w:rPr>
          <w:rFonts w:asciiTheme="majorHAnsi" w:eastAsia="Times New Roman" w:hAnsiTheme="majorHAnsi" w:cstheme="majorHAnsi"/>
          <w:lang w:val="en-US" w:eastAsia="pl-PL"/>
        </w:rPr>
        <w:t xml:space="preserve"> Call are made in the form of project proposals submitted to the </w:t>
      </w:r>
      <w:proofErr w:type="spellStart"/>
      <w:r w:rsidRPr="00115720">
        <w:rPr>
          <w:rFonts w:asciiTheme="majorHAnsi" w:eastAsia="Times New Roman" w:hAnsiTheme="majorHAnsi" w:cstheme="majorHAnsi"/>
          <w:lang w:val="en-US" w:eastAsia="pl-PL"/>
        </w:rPr>
        <w:t>Programme</w:t>
      </w:r>
      <w:proofErr w:type="spellEnd"/>
      <w:r w:rsidRPr="00115720">
        <w:rPr>
          <w:rFonts w:asciiTheme="majorHAnsi" w:eastAsia="Times New Roman" w:hAnsiTheme="majorHAnsi" w:cstheme="majorHAnsi"/>
          <w:lang w:val="en-US" w:eastAsia="pl-PL"/>
        </w:rPr>
        <w:t xml:space="preserve"> Operator.</w:t>
      </w:r>
    </w:p>
    <w:p w14:paraId="730430AF" w14:textId="6CD950B7" w:rsidR="00945F9F" w:rsidRDefault="00945F9F" w:rsidP="00945F9F">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 xml:space="preserve">Proposals shall be submitted electronically in English through the </w:t>
      </w:r>
      <w:proofErr w:type="spellStart"/>
      <w:r w:rsidRPr="00115720">
        <w:rPr>
          <w:rFonts w:asciiTheme="majorHAnsi" w:eastAsia="Times New Roman" w:hAnsiTheme="majorHAnsi" w:cstheme="majorHAnsi"/>
          <w:lang w:val="en-US" w:eastAsia="pl-PL"/>
        </w:rPr>
        <w:t>Programme</w:t>
      </w:r>
      <w:proofErr w:type="spellEnd"/>
      <w:r w:rsidRPr="00115720">
        <w:rPr>
          <w:rFonts w:asciiTheme="majorHAnsi" w:eastAsia="Times New Roman" w:hAnsiTheme="majorHAnsi" w:cstheme="majorHAnsi"/>
          <w:lang w:val="en-US" w:eastAsia="pl-PL"/>
        </w:rPr>
        <w:t xml:space="preserve"> Operator’s Electronic Proposal Submission Service (EPSS), available under the following address: </w:t>
      </w:r>
      <w:hyperlink r:id="rId8" w:history="1">
        <w:r w:rsidR="001F4E93" w:rsidRPr="00BA3053">
          <w:rPr>
            <w:rStyle w:val="Hipercze"/>
            <w:rFonts w:asciiTheme="majorHAnsi" w:eastAsia="Times New Roman" w:hAnsiTheme="majorHAnsi" w:cstheme="majorHAnsi"/>
            <w:lang w:val="en-US" w:eastAsia="pl-PL"/>
          </w:rPr>
          <w:t>https://lsi.ncbr.gov.pl/</w:t>
        </w:r>
      </w:hyperlink>
      <w:r w:rsidR="001F4E93">
        <w:rPr>
          <w:rFonts w:asciiTheme="majorHAnsi" w:eastAsia="Times New Roman" w:hAnsiTheme="majorHAnsi" w:cstheme="majorHAnsi"/>
          <w:lang w:val="en-US" w:eastAsia="pl-PL"/>
        </w:rPr>
        <w:t>.</w:t>
      </w:r>
    </w:p>
    <w:p w14:paraId="762EDFD9" w14:textId="112B390B" w:rsidR="001F4E93" w:rsidRPr="00115720" w:rsidRDefault="001F4E93" w:rsidP="00945F9F">
      <w:pPr>
        <w:spacing w:before="100" w:beforeAutospacing="1" w:after="100" w:afterAutospacing="1" w:line="240" w:lineRule="auto"/>
        <w:jc w:val="both"/>
        <w:rPr>
          <w:rFonts w:asciiTheme="majorHAnsi" w:eastAsia="Times New Roman" w:hAnsiTheme="majorHAnsi" w:cstheme="majorHAnsi"/>
          <w:lang w:val="en-US" w:eastAsia="pl-PL"/>
        </w:rPr>
      </w:pPr>
      <w:r w:rsidRPr="001F4E93">
        <w:rPr>
          <w:rFonts w:asciiTheme="majorHAnsi" w:eastAsia="Times New Roman" w:hAnsiTheme="majorHAnsi" w:cstheme="majorHAnsi"/>
          <w:lang w:val="en-GB" w:eastAsia="pl-PL"/>
        </w:rPr>
        <w:t>Each project proposal must feature one and not more than one Principal Investigator, who must be a female researcher.</w:t>
      </w:r>
    </w:p>
    <w:p w14:paraId="02CC8BE2" w14:textId="77777777" w:rsidR="00945F9F" w:rsidRPr="00115720" w:rsidRDefault="00945F9F" w:rsidP="00945F9F">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The Project Promoter can edit and validate the proposal until the closing date of the call. Only proposals that have been completed fully and correctly may be submitted.</w:t>
      </w:r>
    </w:p>
    <w:p w14:paraId="22A1E363" w14:textId="78DCC237" w:rsidR="001F4E93" w:rsidRPr="001F4E93" w:rsidRDefault="00365AD3" w:rsidP="001F4E93">
      <w:pPr>
        <w:spacing w:before="100" w:beforeAutospacing="1" w:after="100" w:afterAutospacing="1" w:line="240" w:lineRule="auto"/>
        <w:rPr>
          <w:rFonts w:asciiTheme="majorHAnsi" w:eastAsia="Times New Roman" w:hAnsiTheme="majorHAnsi" w:cstheme="majorHAnsi"/>
          <w:lang w:val="en-GB" w:eastAsia="pl-PL"/>
        </w:rPr>
      </w:pPr>
      <w:r w:rsidRPr="00115720">
        <w:rPr>
          <w:rFonts w:asciiTheme="majorHAnsi" w:eastAsia="Times New Roman" w:hAnsiTheme="majorHAnsi" w:cstheme="majorHAnsi"/>
          <w:lang w:val="en-US" w:eastAsia="pl-PL"/>
        </w:rPr>
        <w:t xml:space="preserve">Proposals shall be submitted no later than 16:00 (CET) before the relevant submission deadline. </w:t>
      </w:r>
    </w:p>
    <w:p w14:paraId="7C1F1C90" w14:textId="3D541B0D" w:rsidR="00365AD3" w:rsidRPr="00037D2D" w:rsidRDefault="001F4E93" w:rsidP="00037D2D">
      <w:pPr>
        <w:spacing w:before="100" w:beforeAutospacing="1" w:after="100" w:afterAutospacing="1" w:line="240" w:lineRule="auto"/>
        <w:rPr>
          <w:rFonts w:asciiTheme="majorHAnsi" w:eastAsia="Times New Roman" w:hAnsiTheme="majorHAnsi" w:cstheme="majorHAnsi"/>
          <w:lang w:val="en-GB" w:eastAsia="pl-PL"/>
        </w:rPr>
      </w:pPr>
      <w:r w:rsidRPr="001F4E93">
        <w:rPr>
          <w:rFonts w:asciiTheme="majorHAnsi" w:eastAsia="Times New Roman" w:hAnsiTheme="majorHAnsi" w:cstheme="majorHAnsi"/>
          <w:lang w:val="en-GB" w:eastAsia="pl-PL"/>
        </w:rPr>
        <w:t>Only the duly authorised representative of the Project Promoter is authorised to submit a proposal.</w:t>
      </w:r>
    </w:p>
    <w:p w14:paraId="67E41AA9" w14:textId="03AEECEA" w:rsidR="009B0736" w:rsidRPr="00115720" w:rsidRDefault="00945F9F" w:rsidP="00945F9F">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Detailed description of the application form and the instruction on how to submit the proposal are presented in ‘Proposal Manual’. Please be informed that the disclosure of any consultant involved in the preparation of the project application is required.</w:t>
      </w:r>
    </w:p>
    <w:p w14:paraId="34DFA71A" w14:textId="2C61B6BF" w:rsidR="00B57E5D" w:rsidRPr="00115720" w:rsidRDefault="00B57E5D" w:rsidP="00037D2D">
      <w:pPr>
        <w:pStyle w:val="Akapitzlist"/>
        <w:numPr>
          <w:ilvl w:val="1"/>
          <w:numId w:val="10"/>
        </w:numPr>
        <w:rPr>
          <w:rFonts w:asciiTheme="majorHAnsi" w:eastAsia="Times New Roman" w:hAnsiTheme="majorHAnsi" w:cstheme="majorHAnsi"/>
          <w:lang w:val="en-US" w:eastAsia="pl-PL"/>
        </w:rPr>
      </w:pPr>
      <w:r w:rsidRPr="00115720">
        <w:rPr>
          <w:rFonts w:asciiTheme="majorHAnsi" w:eastAsia="Times New Roman" w:hAnsiTheme="majorHAnsi" w:cstheme="majorHAnsi"/>
          <w:b/>
          <w:bCs/>
          <w:lang w:val="en-US" w:eastAsia="pl-PL"/>
        </w:rPr>
        <w:t xml:space="preserve">Duration of the </w:t>
      </w:r>
      <w:r w:rsidR="00980AF2">
        <w:rPr>
          <w:rFonts w:asciiTheme="majorHAnsi" w:eastAsia="Times New Roman" w:hAnsiTheme="majorHAnsi" w:cstheme="majorHAnsi"/>
          <w:b/>
          <w:bCs/>
          <w:lang w:val="en-US" w:eastAsia="pl-PL"/>
        </w:rPr>
        <w:t>SGS</w:t>
      </w:r>
      <w:r w:rsidRPr="00115720">
        <w:rPr>
          <w:rFonts w:asciiTheme="majorHAnsi" w:eastAsia="Times New Roman" w:hAnsiTheme="majorHAnsi" w:cstheme="majorHAnsi"/>
          <w:b/>
          <w:bCs/>
          <w:lang w:val="en-US" w:eastAsia="pl-PL"/>
        </w:rPr>
        <w:t xml:space="preserve"> Call for Proposals</w:t>
      </w:r>
    </w:p>
    <w:p w14:paraId="031A64E5" w14:textId="1CD97F1E" w:rsidR="00B57E5D" w:rsidRPr="00115720" w:rsidRDefault="00B57E5D" w:rsidP="00B57E5D">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 xml:space="preserve">The on-line submission system will be available for applicants as of </w:t>
      </w:r>
      <w:r w:rsidR="00945F9F" w:rsidRPr="00256AEB">
        <w:rPr>
          <w:rFonts w:asciiTheme="majorHAnsi" w:eastAsia="Times New Roman" w:hAnsiTheme="majorHAnsi" w:cstheme="majorHAnsi"/>
          <w:b/>
          <w:lang w:val="en-US" w:eastAsia="pl-PL"/>
        </w:rPr>
        <w:t>2</w:t>
      </w:r>
      <w:r w:rsidR="00EA66FD" w:rsidRPr="00256AEB">
        <w:rPr>
          <w:rFonts w:asciiTheme="majorHAnsi" w:eastAsia="Times New Roman" w:hAnsiTheme="majorHAnsi" w:cstheme="majorHAnsi"/>
          <w:b/>
          <w:lang w:val="en-US" w:eastAsia="pl-PL"/>
        </w:rPr>
        <w:t>8</w:t>
      </w:r>
      <w:r w:rsidRPr="00256AEB">
        <w:rPr>
          <w:rFonts w:asciiTheme="majorHAnsi" w:eastAsia="Times New Roman" w:hAnsiTheme="majorHAnsi" w:cstheme="majorHAnsi"/>
          <w:b/>
          <w:lang w:val="en-US" w:eastAsia="pl-PL"/>
        </w:rPr>
        <w:t xml:space="preserve"> September 20</w:t>
      </w:r>
      <w:r w:rsidR="00980AF2" w:rsidRPr="00256AEB">
        <w:rPr>
          <w:rFonts w:asciiTheme="majorHAnsi" w:eastAsia="Times New Roman" w:hAnsiTheme="majorHAnsi" w:cstheme="majorHAnsi"/>
          <w:b/>
          <w:lang w:val="en-US" w:eastAsia="pl-PL"/>
        </w:rPr>
        <w:t>20</w:t>
      </w:r>
      <w:r w:rsidRPr="00115720">
        <w:rPr>
          <w:rFonts w:asciiTheme="majorHAnsi" w:eastAsia="Times New Roman" w:hAnsiTheme="majorHAnsi" w:cstheme="majorHAnsi"/>
          <w:lang w:val="en-US" w:eastAsia="pl-PL"/>
        </w:rPr>
        <w:t>.</w:t>
      </w:r>
      <w:r w:rsidRPr="00115720">
        <w:rPr>
          <w:rFonts w:asciiTheme="majorHAnsi" w:eastAsia="Times New Roman" w:hAnsiTheme="majorHAnsi" w:cstheme="majorHAnsi"/>
          <w:lang w:val="en-US" w:eastAsia="pl-PL"/>
        </w:rPr>
        <w:br/>
        <w:t xml:space="preserve">The deadline for submission of proposals is </w:t>
      </w:r>
      <w:r w:rsidR="00945F9F" w:rsidRPr="00256AEB">
        <w:rPr>
          <w:rFonts w:asciiTheme="majorHAnsi" w:eastAsia="Times New Roman" w:hAnsiTheme="majorHAnsi" w:cstheme="majorHAnsi"/>
          <w:b/>
          <w:lang w:val="en-US" w:eastAsia="pl-PL"/>
        </w:rPr>
        <w:t>1</w:t>
      </w:r>
      <w:r w:rsidR="00980AF2" w:rsidRPr="00256AEB">
        <w:rPr>
          <w:rFonts w:asciiTheme="majorHAnsi" w:eastAsia="Times New Roman" w:hAnsiTheme="majorHAnsi" w:cstheme="majorHAnsi"/>
          <w:b/>
          <w:lang w:val="en-US" w:eastAsia="pl-PL"/>
        </w:rPr>
        <w:t>1</w:t>
      </w:r>
      <w:r w:rsidR="00945F9F" w:rsidRPr="00256AEB">
        <w:rPr>
          <w:rFonts w:asciiTheme="majorHAnsi" w:eastAsia="Times New Roman" w:hAnsiTheme="majorHAnsi" w:cstheme="majorHAnsi"/>
          <w:b/>
          <w:lang w:val="en-US" w:eastAsia="pl-PL"/>
        </w:rPr>
        <w:t xml:space="preserve"> </w:t>
      </w:r>
      <w:r w:rsidRPr="00256AEB">
        <w:rPr>
          <w:rFonts w:asciiTheme="majorHAnsi" w:eastAsia="Times New Roman" w:hAnsiTheme="majorHAnsi" w:cstheme="majorHAnsi"/>
          <w:b/>
          <w:lang w:val="en-US" w:eastAsia="pl-PL"/>
        </w:rPr>
        <w:t>December</w:t>
      </w:r>
      <w:r w:rsidR="00945F9F" w:rsidRPr="00256AEB">
        <w:rPr>
          <w:rFonts w:asciiTheme="majorHAnsi" w:eastAsia="Times New Roman" w:hAnsiTheme="majorHAnsi" w:cstheme="majorHAnsi"/>
          <w:b/>
          <w:lang w:val="en-US" w:eastAsia="pl-PL"/>
        </w:rPr>
        <w:t xml:space="preserve"> 20</w:t>
      </w:r>
      <w:r w:rsidR="00980AF2" w:rsidRPr="00256AEB">
        <w:rPr>
          <w:rFonts w:asciiTheme="majorHAnsi" w:eastAsia="Times New Roman" w:hAnsiTheme="majorHAnsi" w:cstheme="majorHAnsi"/>
          <w:b/>
          <w:lang w:val="en-US" w:eastAsia="pl-PL"/>
        </w:rPr>
        <w:t>20</w:t>
      </w:r>
      <w:r w:rsidR="00945F9F" w:rsidRPr="00256AEB">
        <w:rPr>
          <w:rFonts w:asciiTheme="majorHAnsi" w:eastAsia="Times New Roman" w:hAnsiTheme="majorHAnsi" w:cstheme="majorHAnsi"/>
          <w:b/>
          <w:lang w:val="en-US" w:eastAsia="pl-PL"/>
        </w:rPr>
        <w:t xml:space="preserve"> 16:00 CET</w:t>
      </w:r>
      <w:r w:rsidRPr="00115720">
        <w:rPr>
          <w:rFonts w:asciiTheme="majorHAnsi" w:eastAsia="Times New Roman" w:hAnsiTheme="majorHAnsi" w:cstheme="majorHAnsi"/>
          <w:lang w:val="en-US" w:eastAsia="pl-PL"/>
        </w:rPr>
        <w:t>.</w:t>
      </w:r>
    </w:p>
    <w:p w14:paraId="269D4D81" w14:textId="5BBDBC03" w:rsidR="00956222" w:rsidRPr="00037D2D" w:rsidRDefault="00956222" w:rsidP="00037D2D">
      <w:pPr>
        <w:pStyle w:val="Akapitzlist"/>
        <w:numPr>
          <w:ilvl w:val="1"/>
          <w:numId w:val="10"/>
        </w:numPr>
        <w:rPr>
          <w:rFonts w:asciiTheme="majorHAnsi" w:eastAsia="Times New Roman" w:hAnsiTheme="majorHAnsi" w:cstheme="majorHAnsi"/>
          <w:lang w:val="en-GB" w:eastAsia="pl-PL"/>
        </w:rPr>
      </w:pPr>
      <w:r w:rsidRPr="00115720">
        <w:rPr>
          <w:rFonts w:asciiTheme="majorHAnsi" w:eastAsia="Times New Roman" w:hAnsiTheme="majorHAnsi" w:cstheme="majorHAnsi"/>
          <w:b/>
          <w:bCs/>
          <w:lang w:val="en-GB" w:eastAsia="pl-PL"/>
        </w:rPr>
        <w:t>Call documents</w:t>
      </w:r>
    </w:p>
    <w:p w14:paraId="18E2A79E" w14:textId="77777777" w:rsidR="00037D2D" w:rsidRPr="00115720" w:rsidRDefault="00037D2D" w:rsidP="00037D2D">
      <w:pPr>
        <w:pStyle w:val="Akapitzlist"/>
        <w:ind w:left="1500"/>
        <w:rPr>
          <w:rFonts w:asciiTheme="majorHAnsi" w:eastAsia="Times New Roman" w:hAnsiTheme="majorHAnsi" w:cstheme="majorHAnsi"/>
          <w:lang w:val="en-GB" w:eastAsia="pl-PL"/>
        </w:rPr>
      </w:pPr>
    </w:p>
    <w:p w14:paraId="216EDF6F" w14:textId="77777777" w:rsidR="002F6294" w:rsidRPr="00115720" w:rsidRDefault="002F6294" w:rsidP="00E14C52">
      <w:pPr>
        <w:pStyle w:val="Akapitzlist"/>
        <w:numPr>
          <w:ilvl w:val="0"/>
          <w:numId w:val="23"/>
        </w:numPr>
        <w:spacing w:after="0"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Guide for Applicants</w:t>
      </w:r>
    </w:p>
    <w:p w14:paraId="357E591A" w14:textId="77777777" w:rsidR="00C763F8" w:rsidRPr="00115720" w:rsidRDefault="00C763F8" w:rsidP="00E14C52">
      <w:pPr>
        <w:pStyle w:val="Akapitzlist"/>
        <w:numPr>
          <w:ilvl w:val="0"/>
          <w:numId w:val="23"/>
        </w:numPr>
        <w:spacing w:after="0"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 xml:space="preserve">Cost eligibility guide </w:t>
      </w:r>
    </w:p>
    <w:p w14:paraId="4B2D01A0" w14:textId="77777777" w:rsidR="002F6294" w:rsidRPr="00115720" w:rsidRDefault="002F6294" w:rsidP="00E14C52">
      <w:pPr>
        <w:pStyle w:val="Akapitzlist"/>
        <w:numPr>
          <w:ilvl w:val="0"/>
          <w:numId w:val="23"/>
        </w:numPr>
        <w:spacing w:after="0"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 xml:space="preserve">Guide for Evaluators </w:t>
      </w:r>
    </w:p>
    <w:p w14:paraId="18A44665" w14:textId="77777777" w:rsidR="00945F9F" w:rsidRPr="00115720" w:rsidRDefault="00945F9F" w:rsidP="00E14C52">
      <w:pPr>
        <w:pStyle w:val="Akapitzlist"/>
        <w:numPr>
          <w:ilvl w:val="0"/>
          <w:numId w:val="23"/>
        </w:numPr>
        <w:spacing w:after="0" w:line="240" w:lineRule="auto"/>
        <w:jc w:val="both"/>
        <w:rPr>
          <w:rFonts w:asciiTheme="majorHAnsi" w:hAnsiTheme="majorHAnsi" w:cstheme="majorHAnsi"/>
          <w:lang w:val="en-US"/>
        </w:rPr>
      </w:pPr>
      <w:r w:rsidRPr="00115720">
        <w:rPr>
          <w:rFonts w:asciiTheme="majorHAnsi" w:hAnsiTheme="majorHAnsi" w:cstheme="majorHAnsi"/>
          <w:lang w:val="en-US"/>
        </w:rPr>
        <w:t>Proposal Manual</w:t>
      </w:r>
    </w:p>
    <w:p w14:paraId="712D606A" w14:textId="77777777" w:rsidR="00E14C52" w:rsidRPr="00115720" w:rsidRDefault="00E14C52" w:rsidP="00E14C52">
      <w:pPr>
        <w:pStyle w:val="Akapitzlist"/>
        <w:numPr>
          <w:ilvl w:val="0"/>
          <w:numId w:val="23"/>
        </w:numPr>
        <w:spacing w:after="0" w:line="240" w:lineRule="auto"/>
        <w:jc w:val="both"/>
        <w:rPr>
          <w:rFonts w:asciiTheme="majorHAnsi" w:hAnsiTheme="majorHAnsi" w:cstheme="majorHAnsi"/>
          <w:lang w:val="en-US"/>
        </w:rPr>
      </w:pPr>
      <w:r w:rsidRPr="00115720">
        <w:rPr>
          <w:rFonts w:asciiTheme="majorHAnsi" w:hAnsiTheme="majorHAnsi" w:cstheme="majorHAnsi"/>
          <w:lang w:val="en-US"/>
        </w:rPr>
        <w:lastRenderedPageBreak/>
        <w:t>Proposal Manual Annexes:</w:t>
      </w:r>
    </w:p>
    <w:p w14:paraId="74D8A689" w14:textId="78E0AEF3" w:rsidR="00F53F12" w:rsidRPr="00115720" w:rsidRDefault="00F53F12" w:rsidP="0042228B">
      <w:pPr>
        <w:pStyle w:val="Akapitzlist"/>
        <w:numPr>
          <w:ilvl w:val="1"/>
          <w:numId w:val="23"/>
        </w:numPr>
        <w:spacing w:after="0" w:line="240" w:lineRule="auto"/>
        <w:jc w:val="both"/>
        <w:rPr>
          <w:rFonts w:asciiTheme="majorHAnsi" w:hAnsiTheme="majorHAnsi" w:cstheme="majorHAnsi"/>
          <w:lang w:val="en-US"/>
        </w:rPr>
      </w:pPr>
      <w:r w:rsidRPr="00115720">
        <w:rPr>
          <w:rFonts w:asciiTheme="majorHAnsi" w:hAnsiTheme="majorHAnsi" w:cstheme="majorHAnsi"/>
          <w:lang w:val="en-US"/>
        </w:rPr>
        <w:t xml:space="preserve">Annex 1 – ‘Project proposal form – </w:t>
      </w:r>
      <w:r w:rsidR="0042228B" w:rsidRPr="0042228B">
        <w:rPr>
          <w:rFonts w:asciiTheme="majorHAnsi" w:hAnsiTheme="majorHAnsi" w:cstheme="majorHAnsi"/>
          <w:lang w:val="en-US"/>
        </w:rPr>
        <w:t xml:space="preserve">Relevance </w:t>
      </w:r>
      <w:r w:rsidRPr="00115720">
        <w:rPr>
          <w:rFonts w:asciiTheme="majorHAnsi" w:hAnsiTheme="majorHAnsi" w:cstheme="majorHAnsi"/>
          <w:lang w:val="en-US"/>
        </w:rPr>
        <w:t>and Excellence’ template</w:t>
      </w:r>
    </w:p>
    <w:p w14:paraId="3679C27E" w14:textId="77777777" w:rsidR="00F53F12" w:rsidRPr="00115720" w:rsidRDefault="00F53F12" w:rsidP="00E14C52">
      <w:pPr>
        <w:pStyle w:val="Akapitzlist"/>
        <w:numPr>
          <w:ilvl w:val="1"/>
          <w:numId w:val="23"/>
        </w:numPr>
        <w:spacing w:after="0" w:line="240" w:lineRule="auto"/>
        <w:jc w:val="both"/>
        <w:rPr>
          <w:rFonts w:asciiTheme="majorHAnsi" w:hAnsiTheme="majorHAnsi" w:cstheme="majorHAnsi"/>
          <w:lang w:val="en-US"/>
        </w:rPr>
      </w:pPr>
      <w:r w:rsidRPr="00115720">
        <w:rPr>
          <w:rFonts w:asciiTheme="majorHAnsi" w:hAnsiTheme="majorHAnsi" w:cstheme="majorHAnsi"/>
          <w:lang w:val="en-US"/>
        </w:rPr>
        <w:t>Annex 2 – ‘Project proposal form – Implementation and Management’ template</w:t>
      </w:r>
    </w:p>
    <w:p w14:paraId="782724D3" w14:textId="77777777" w:rsidR="00F53F12" w:rsidRPr="00115720" w:rsidRDefault="00F53F12" w:rsidP="00E14C52">
      <w:pPr>
        <w:pStyle w:val="Akapitzlist"/>
        <w:numPr>
          <w:ilvl w:val="1"/>
          <w:numId w:val="23"/>
        </w:numPr>
        <w:spacing w:after="0" w:line="240" w:lineRule="auto"/>
        <w:jc w:val="both"/>
        <w:rPr>
          <w:rFonts w:asciiTheme="majorHAnsi" w:hAnsiTheme="majorHAnsi" w:cstheme="majorHAnsi"/>
          <w:lang w:val="en-US"/>
        </w:rPr>
      </w:pPr>
      <w:r w:rsidRPr="00115720">
        <w:rPr>
          <w:rFonts w:asciiTheme="majorHAnsi" w:hAnsiTheme="majorHAnsi" w:cstheme="majorHAnsi"/>
          <w:lang w:val="en-US"/>
        </w:rPr>
        <w:t>Annex 3 –  ‘Project proposal form – Impact’ template</w:t>
      </w:r>
    </w:p>
    <w:p w14:paraId="10BCB6AE" w14:textId="77777777" w:rsidR="00F53F12" w:rsidRPr="00115720" w:rsidRDefault="00F53F12" w:rsidP="00E14C52">
      <w:pPr>
        <w:pStyle w:val="Akapitzlist"/>
        <w:numPr>
          <w:ilvl w:val="1"/>
          <w:numId w:val="23"/>
        </w:numPr>
        <w:spacing w:after="0" w:line="240" w:lineRule="auto"/>
        <w:jc w:val="both"/>
        <w:rPr>
          <w:rFonts w:asciiTheme="majorHAnsi" w:hAnsiTheme="majorHAnsi" w:cstheme="majorHAnsi"/>
          <w:lang w:val="en-US"/>
        </w:rPr>
      </w:pPr>
      <w:r w:rsidRPr="00115720">
        <w:rPr>
          <w:rFonts w:asciiTheme="majorHAnsi" w:hAnsiTheme="majorHAnsi" w:cstheme="majorHAnsi"/>
          <w:lang w:val="en-US"/>
        </w:rPr>
        <w:t>Annex 4 – ‘Project proposal form – Ethical and gender balance issues’ template</w:t>
      </w:r>
    </w:p>
    <w:p w14:paraId="32B8E6C9" w14:textId="77777777" w:rsidR="00F53F12" w:rsidRPr="00115720" w:rsidRDefault="00F53F12" w:rsidP="00E14C52">
      <w:pPr>
        <w:pStyle w:val="Akapitzlist"/>
        <w:numPr>
          <w:ilvl w:val="1"/>
          <w:numId w:val="23"/>
        </w:numPr>
        <w:spacing w:after="0" w:line="240" w:lineRule="auto"/>
        <w:jc w:val="both"/>
        <w:rPr>
          <w:rFonts w:asciiTheme="majorHAnsi" w:hAnsiTheme="majorHAnsi" w:cstheme="majorHAnsi"/>
          <w:lang w:val="en-US"/>
        </w:rPr>
      </w:pPr>
      <w:r w:rsidRPr="00115720">
        <w:rPr>
          <w:rFonts w:asciiTheme="majorHAnsi" w:hAnsiTheme="majorHAnsi" w:cstheme="majorHAnsi"/>
          <w:lang w:val="en-US"/>
        </w:rPr>
        <w:t>Annex 5 – ‘Ethics Issues Table Checklist’</w:t>
      </w:r>
    </w:p>
    <w:p w14:paraId="7A7A81FC" w14:textId="77777777" w:rsidR="00F53F12" w:rsidRPr="00115720" w:rsidRDefault="00F53F12" w:rsidP="00E14C52">
      <w:pPr>
        <w:pStyle w:val="Akapitzlist"/>
        <w:numPr>
          <w:ilvl w:val="1"/>
          <w:numId w:val="23"/>
        </w:numPr>
        <w:spacing w:after="0" w:line="240" w:lineRule="auto"/>
        <w:jc w:val="both"/>
        <w:rPr>
          <w:rFonts w:asciiTheme="majorHAnsi" w:hAnsiTheme="majorHAnsi" w:cstheme="majorHAnsi"/>
          <w:lang w:val="en-US"/>
        </w:rPr>
      </w:pPr>
      <w:r w:rsidRPr="00115720">
        <w:rPr>
          <w:rFonts w:asciiTheme="majorHAnsi" w:hAnsiTheme="majorHAnsi" w:cstheme="majorHAnsi"/>
          <w:lang w:val="en-US"/>
        </w:rPr>
        <w:t>Annex 6 –  CV template</w:t>
      </w:r>
    </w:p>
    <w:p w14:paraId="48D9A000" w14:textId="5EA48DAC" w:rsidR="00F53F12" w:rsidRPr="00C004AA" w:rsidRDefault="00F53F12" w:rsidP="005A69A4">
      <w:pPr>
        <w:pStyle w:val="Akapitzlist"/>
        <w:numPr>
          <w:ilvl w:val="1"/>
          <w:numId w:val="23"/>
        </w:numPr>
        <w:spacing w:after="0" w:line="240" w:lineRule="auto"/>
        <w:jc w:val="both"/>
        <w:rPr>
          <w:rFonts w:asciiTheme="majorHAnsi" w:hAnsiTheme="majorHAnsi" w:cstheme="majorHAnsi"/>
          <w:lang w:val="en-US"/>
        </w:rPr>
      </w:pPr>
      <w:r w:rsidRPr="00115720">
        <w:rPr>
          <w:rFonts w:asciiTheme="majorHAnsi" w:hAnsiTheme="majorHAnsi" w:cstheme="majorHAnsi"/>
          <w:lang w:val="en-US"/>
        </w:rPr>
        <w:t xml:space="preserve">Annex 7 – </w:t>
      </w:r>
      <w:r w:rsidR="00BE142E" w:rsidRPr="005A69A4">
        <w:rPr>
          <w:rFonts w:asciiTheme="majorHAnsi" w:hAnsiTheme="majorHAnsi" w:cstheme="majorHAnsi"/>
          <w:lang w:val="en-US"/>
        </w:rPr>
        <w:t xml:space="preserve">Classification (OECD , NABS, PKD, IEA, List of National smart specializations, Legal status list) </w:t>
      </w:r>
    </w:p>
    <w:p w14:paraId="0EE19ABD" w14:textId="62D93D90" w:rsidR="00BE142E" w:rsidRPr="00BE142E" w:rsidRDefault="00F53F12" w:rsidP="00BE142E">
      <w:pPr>
        <w:pStyle w:val="Akapitzlist"/>
        <w:numPr>
          <w:ilvl w:val="1"/>
          <w:numId w:val="23"/>
        </w:numPr>
        <w:rPr>
          <w:rFonts w:asciiTheme="majorHAnsi" w:hAnsiTheme="majorHAnsi" w:cstheme="majorHAnsi"/>
          <w:lang w:val="en-US"/>
        </w:rPr>
      </w:pPr>
      <w:r w:rsidRPr="00BE142E">
        <w:rPr>
          <w:rFonts w:asciiTheme="majorHAnsi" w:hAnsiTheme="majorHAnsi" w:cstheme="majorHAnsi"/>
          <w:lang w:val="en-US"/>
        </w:rPr>
        <w:t xml:space="preserve">Annex </w:t>
      </w:r>
      <w:r w:rsidR="00BE142E" w:rsidRPr="00BE142E">
        <w:rPr>
          <w:rFonts w:asciiTheme="majorHAnsi" w:hAnsiTheme="majorHAnsi" w:cstheme="majorHAnsi"/>
          <w:lang w:val="en-US"/>
        </w:rPr>
        <w:t>8a</w:t>
      </w:r>
      <w:r w:rsidRPr="00BE142E">
        <w:rPr>
          <w:rFonts w:asciiTheme="majorHAnsi" w:hAnsiTheme="majorHAnsi" w:cstheme="majorHAnsi"/>
          <w:lang w:val="en-US"/>
        </w:rPr>
        <w:t xml:space="preserve"> – Evaluation survey template</w:t>
      </w:r>
      <w:r w:rsidR="00BE142E" w:rsidRPr="00BE142E">
        <w:rPr>
          <w:rFonts w:asciiTheme="majorHAnsi" w:hAnsiTheme="majorHAnsi" w:cstheme="majorHAnsi"/>
          <w:lang w:val="en-US"/>
        </w:rPr>
        <w:t xml:space="preserve"> (research </w:t>
      </w:r>
      <w:r w:rsidR="00BE142E" w:rsidRPr="005A69A4">
        <w:rPr>
          <w:rFonts w:asciiTheme="majorHAnsi" w:hAnsiTheme="majorHAnsi" w:cstheme="majorHAnsi"/>
          <w:lang w:val="en-GB"/>
        </w:rPr>
        <w:t>organisation</w:t>
      </w:r>
      <w:r w:rsidR="00BE142E" w:rsidRPr="00BE142E">
        <w:rPr>
          <w:rFonts w:asciiTheme="majorHAnsi" w:hAnsiTheme="majorHAnsi" w:cstheme="majorHAnsi"/>
          <w:lang w:val="en-US"/>
        </w:rPr>
        <w:t>)</w:t>
      </w:r>
    </w:p>
    <w:p w14:paraId="6DE0816B" w14:textId="72699909" w:rsidR="00BE142E" w:rsidRPr="00BE142E" w:rsidRDefault="00BE142E" w:rsidP="00BE142E">
      <w:pPr>
        <w:pStyle w:val="Akapitzlist"/>
        <w:numPr>
          <w:ilvl w:val="1"/>
          <w:numId w:val="23"/>
        </w:numPr>
        <w:rPr>
          <w:rFonts w:asciiTheme="majorHAnsi" w:hAnsiTheme="majorHAnsi" w:cstheme="majorHAnsi"/>
          <w:lang w:val="en-US"/>
        </w:rPr>
      </w:pPr>
      <w:r w:rsidRPr="00BE142E">
        <w:rPr>
          <w:rFonts w:asciiTheme="majorHAnsi" w:hAnsiTheme="majorHAnsi" w:cstheme="majorHAnsi"/>
          <w:lang w:val="en-US"/>
        </w:rPr>
        <w:t>Annex 8</w:t>
      </w:r>
      <w:r>
        <w:rPr>
          <w:rFonts w:asciiTheme="majorHAnsi" w:hAnsiTheme="majorHAnsi" w:cstheme="majorHAnsi"/>
          <w:lang w:val="en-US"/>
        </w:rPr>
        <w:t>b</w:t>
      </w:r>
      <w:r w:rsidRPr="00BE142E">
        <w:rPr>
          <w:rFonts w:asciiTheme="majorHAnsi" w:hAnsiTheme="majorHAnsi" w:cstheme="majorHAnsi"/>
          <w:lang w:val="en-US"/>
        </w:rPr>
        <w:t xml:space="preserve"> – Evaluation survey template (enterprise)</w:t>
      </w:r>
    </w:p>
    <w:p w14:paraId="28DD9C15" w14:textId="431BA0AB" w:rsidR="00945F9F" w:rsidRDefault="00F53F12" w:rsidP="00E14C52">
      <w:pPr>
        <w:pStyle w:val="Akapitzlist"/>
        <w:numPr>
          <w:ilvl w:val="1"/>
          <w:numId w:val="23"/>
        </w:numPr>
        <w:spacing w:after="0" w:line="240" w:lineRule="auto"/>
        <w:jc w:val="both"/>
        <w:rPr>
          <w:rFonts w:asciiTheme="majorHAnsi" w:hAnsiTheme="majorHAnsi" w:cstheme="majorHAnsi"/>
          <w:lang w:val="en-US"/>
        </w:rPr>
      </w:pPr>
      <w:r w:rsidRPr="00115720">
        <w:rPr>
          <w:rFonts w:asciiTheme="majorHAnsi" w:hAnsiTheme="majorHAnsi" w:cstheme="majorHAnsi"/>
          <w:lang w:val="en-US"/>
        </w:rPr>
        <w:t xml:space="preserve">Annex </w:t>
      </w:r>
      <w:r w:rsidR="00BE142E">
        <w:rPr>
          <w:rFonts w:asciiTheme="majorHAnsi" w:hAnsiTheme="majorHAnsi" w:cstheme="majorHAnsi"/>
          <w:lang w:val="en-US"/>
        </w:rPr>
        <w:t xml:space="preserve">9 </w:t>
      </w:r>
      <w:r w:rsidRPr="00115720">
        <w:rPr>
          <w:rFonts w:asciiTheme="majorHAnsi" w:hAnsiTheme="majorHAnsi" w:cstheme="majorHAnsi"/>
          <w:lang w:val="en-US"/>
        </w:rPr>
        <w:t>- Financial standing template</w:t>
      </w:r>
    </w:p>
    <w:p w14:paraId="2033E8E9" w14:textId="23D88676" w:rsidR="00BE142E" w:rsidRPr="002157E2" w:rsidRDefault="00BE142E" w:rsidP="00BE142E">
      <w:pPr>
        <w:pStyle w:val="Akapitzlist"/>
        <w:numPr>
          <w:ilvl w:val="1"/>
          <w:numId w:val="23"/>
        </w:numPr>
        <w:spacing w:after="0" w:line="240" w:lineRule="auto"/>
        <w:jc w:val="both"/>
        <w:rPr>
          <w:rFonts w:asciiTheme="majorHAnsi" w:hAnsiTheme="majorHAnsi" w:cstheme="majorHAnsi"/>
        </w:rPr>
      </w:pPr>
      <w:proofErr w:type="spellStart"/>
      <w:r w:rsidRPr="005A69A4">
        <w:rPr>
          <w:rFonts w:asciiTheme="majorHAnsi" w:hAnsiTheme="majorHAnsi" w:cstheme="majorHAnsi"/>
        </w:rPr>
        <w:t>Annex</w:t>
      </w:r>
      <w:proofErr w:type="spellEnd"/>
      <w:r w:rsidRPr="005A69A4">
        <w:rPr>
          <w:rFonts w:asciiTheme="majorHAnsi" w:hAnsiTheme="majorHAnsi" w:cstheme="majorHAnsi"/>
        </w:rPr>
        <w:t xml:space="preserve"> 10 – Oświadczenie woli dotyczące składania dokumentów/oświadczeń za pośrednictwem systemu informatycznego / </w:t>
      </w:r>
      <w:proofErr w:type="spellStart"/>
      <w:r w:rsidRPr="002157E2">
        <w:rPr>
          <w:rFonts w:asciiTheme="majorHAnsi" w:hAnsiTheme="majorHAnsi" w:cstheme="majorHAnsi"/>
        </w:rPr>
        <w:t>Declaration</w:t>
      </w:r>
      <w:proofErr w:type="spellEnd"/>
      <w:r w:rsidRPr="002157E2">
        <w:rPr>
          <w:rFonts w:asciiTheme="majorHAnsi" w:hAnsiTheme="majorHAnsi" w:cstheme="majorHAnsi"/>
        </w:rPr>
        <w:t xml:space="preserve"> of </w:t>
      </w:r>
      <w:proofErr w:type="spellStart"/>
      <w:r w:rsidRPr="002157E2">
        <w:rPr>
          <w:rFonts w:asciiTheme="majorHAnsi" w:hAnsiTheme="majorHAnsi" w:cstheme="majorHAnsi"/>
        </w:rPr>
        <w:t>submission</w:t>
      </w:r>
      <w:proofErr w:type="spellEnd"/>
      <w:r w:rsidRPr="002157E2">
        <w:rPr>
          <w:rFonts w:asciiTheme="majorHAnsi" w:hAnsiTheme="majorHAnsi" w:cstheme="majorHAnsi"/>
        </w:rPr>
        <w:t xml:space="preserve"> of </w:t>
      </w:r>
      <w:proofErr w:type="spellStart"/>
      <w:r w:rsidRPr="002157E2">
        <w:rPr>
          <w:rFonts w:asciiTheme="majorHAnsi" w:hAnsiTheme="majorHAnsi" w:cstheme="majorHAnsi"/>
        </w:rPr>
        <w:t>documents</w:t>
      </w:r>
      <w:proofErr w:type="spellEnd"/>
      <w:r w:rsidRPr="002157E2">
        <w:rPr>
          <w:rFonts w:asciiTheme="majorHAnsi" w:hAnsiTheme="majorHAnsi" w:cstheme="majorHAnsi"/>
        </w:rPr>
        <w:t>/</w:t>
      </w:r>
      <w:proofErr w:type="spellStart"/>
      <w:r w:rsidRPr="002157E2">
        <w:rPr>
          <w:rFonts w:asciiTheme="majorHAnsi" w:hAnsiTheme="majorHAnsi" w:cstheme="majorHAnsi"/>
        </w:rPr>
        <w:t>statement</w:t>
      </w:r>
      <w:proofErr w:type="spellEnd"/>
      <w:r w:rsidRPr="002157E2">
        <w:rPr>
          <w:rFonts w:asciiTheme="majorHAnsi" w:hAnsiTheme="majorHAnsi" w:cstheme="majorHAnsi"/>
        </w:rPr>
        <w:t xml:space="preserve"> </w:t>
      </w:r>
      <w:proofErr w:type="spellStart"/>
      <w:r w:rsidRPr="002157E2">
        <w:rPr>
          <w:rFonts w:asciiTheme="majorHAnsi" w:hAnsiTheme="majorHAnsi" w:cstheme="majorHAnsi"/>
        </w:rPr>
        <w:t>through</w:t>
      </w:r>
      <w:proofErr w:type="spellEnd"/>
      <w:r w:rsidRPr="002157E2">
        <w:rPr>
          <w:rFonts w:asciiTheme="majorHAnsi" w:hAnsiTheme="majorHAnsi" w:cstheme="majorHAnsi"/>
        </w:rPr>
        <w:t xml:space="preserve"> the online system</w:t>
      </w:r>
    </w:p>
    <w:p w14:paraId="15574CD5" w14:textId="4EE2CEBF" w:rsidR="001F4E93" w:rsidRPr="00115720" w:rsidRDefault="001F4E93" w:rsidP="00981128">
      <w:pPr>
        <w:pStyle w:val="Akapitzlist"/>
        <w:numPr>
          <w:ilvl w:val="0"/>
          <w:numId w:val="23"/>
        </w:numPr>
        <w:spacing w:after="0" w:line="240" w:lineRule="auto"/>
        <w:jc w:val="both"/>
        <w:rPr>
          <w:rFonts w:asciiTheme="majorHAnsi" w:hAnsiTheme="majorHAnsi" w:cstheme="majorHAnsi"/>
          <w:lang w:val="en-US"/>
        </w:rPr>
      </w:pPr>
      <w:r w:rsidRPr="00B56183">
        <w:rPr>
          <w:rFonts w:asciiTheme="majorHAnsi" w:hAnsiTheme="majorHAnsi" w:cstheme="majorHAnsi"/>
          <w:lang w:val="en-GB"/>
        </w:rPr>
        <w:t>List of necessary information, declarations and documents required at the stage of issuing funding decision and the stage of signing of the project contract</w:t>
      </w:r>
      <w:r w:rsidR="00616915">
        <w:rPr>
          <w:rFonts w:asciiTheme="majorHAnsi" w:hAnsiTheme="majorHAnsi" w:cstheme="majorHAnsi"/>
          <w:lang w:val="en-GB"/>
        </w:rPr>
        <w:t>.</w:t>
      </w:r>
    </w:p>
    <w:p w14:paraId="2E957E53" w14:textId="6D5F20B2" w:rsidR="00256AEB" w:rsidRDefault="00616915" w:rsidP="00D47CBE">
      <w:pPr>
        <w:pStyle w:val="Akapitzlist"/>
        <w:numPr>
          <w:ilvl w:val="0"/>
          <w:numId w:val="23"/>
        </w:numPr>
        <w:spacing w:after="0" w:line="240" w:lineRule="auto"/>
        <w:jc w:val="both"/>
        <w:rPr>
          <w:rFonts w:asciiTheme="majorHAnsi" w:hAnsiTheme="majorHAnsi" w:cstheme="majorHAnsi"/>
          <w:lang w:val="en-US"/>
        </w:rPr>
      </w:pPr>
      <w:r w:rsidRPr="00115720">
        <w:rPr>
          <w:rFonts w:asciiTheme="majorHAnsi" w:hAnsiTheme="majorHAnsi" w:cstheme="majorHAnsi"/>
          <w:lang w:val="en-US"/>
        </w:rPr>
        <w:t>Project contract template</w:t>
      </w:r>
      <w:r>
        <w:rPr>
          <w:rFonts w:asciiTheme="majorHAnsi" w:hAnsiTheme="majorHAnsi" w:cstheme="majorHAnsi"/>
          <w:lang w:val="en-US"/>
        </w:rPr>
        <w:t>.</w:t>
      </w:r>
    </w:p>
    <w:p w14:paraId="75763CFB" w14:textId="77777777" w:rsidR="00D47CBE" w:rsidRPr="00D47CBE" w:rsidRDefault="00D47CBE" w:rsidP="00D47CBE">
      <w:pPr>
        <w:pStyle w:val="Akapitzlist"/>
        <w:spacing w:after="0" w:line="240" w:lineRule="auto"/>
        <w:jc w:val="both"/>
        <w:rPr>
          <w:rFonts w:asciiTheme="majorHAnsi" w:hAnsiTheme="majorHAnsi" w:cstheme="majorHAnsi"/>
          <w:lang w:val="en-US"/>
        </w:rPr>
      </w:pPr>
      <w:bookmarkStart w:id="0" w:name="_GoBack"/>
      <w:bookmarkEnd w:id="0"/>
    </w:p>
    <w:p w14:paraId="5FDCFAEF" w14:textId="4F292576" w:rsidR="00956222" w:rsidRPr="00037D2D" w:rsidRDefault="00956222" w:rsidP="00037D2D">
      <w:pPr>
        <w:pStyle w:val="Akapitzlist"/>
        <w:numPr>
          <w:ilvl w:val="1"/>
          <w:numId w:val="10"/>
        </w:numPr>
        <w:rPr>
          <w:rFonts w:asciiTheme="majorHAnsi" w:eastAsia="Times New Roman" w:hAnsiTheme="majorHAnsi" w:cstheme="majorHAnsi"/>
          <w:lang w:val="en-US" w:eastAsia="pl-PL"/>
        </w:rPr>
      </w:pPr>
      <w:r w:rsidRPr="00037D2D">
        <w:rPr>
          <w:rFonts w:asciiTheme="majorHAnsi" w:eastAsia="Times New Roman" w:hAnsiTheme="majorHAnsi" w:cstheme="majorHAnsi"/>
          <w:b/>
          <w:bCs/>
          <w:lang w:val="en-GB" w:eastAsia="pl-PL"/>
        </w:rPr>
        <w:t>Legal</w:t>
      </w:r>
      <w:r w:rsidRPr="00115720">
        <w:rPr>
          <w:rFonts w:asciiTheme="majorHAnsi" w:eastAsia="Times New Roman" w:hAnsiTheme="majorHAnsi" w:cstheme="majorHAnsi"/>
          <w:b/>
          <w:bCs/>
          <w:lang w:val="en-US" w:eastAsia="pl-PL"/>
        </w:rPr>
        <w:t xml:space="preserve"> acts</w:t>
      </w:r>
    </w:p>
    <w:p w14:paraId="788F00D2" w14:textId="77777777" w:rsidR="00037D2D" w:rsidRPr="00115720" w:rsidRDefault="00037D2D" w:rsidP="00037D2D">
      <w:pPr>
        <w:pStyle w:val="Akapitzlist"/>
        <w:ind w:left="1500"/>
        <w:rPr>
          <w:rFonts w:asciiTheme="majorHAnsi" w:eastAsia="Times New Roman" w:hAnsiTheme="majorHAnsi" w:cstheme="majorHAnsi"/>
          <w:lang w:val="en-US" w:eastAsia="pl-PL"/>
        </w:rPr>
      </w:pPr>
    </w:p>
    <w:p w14:paraId="3B9381FC" w14:textId="70F2E513" w:rsidR="00E14C52" w:rsidRPr="00115720" w:rsidRDefault="00E14C52" w:rsidP="00E14C52">
      <w:pPr>
        <w:pStyle w:val="Akapitzlist"/>
        <w:numPr>
          <w:ilvl w:val="0"/>
          <w:numId w:val="24"/>
        </w:numPr>
        <w:spacing w:before="100" w:beforeAutospacing="1" w:after="100" w:afterAutospacing="1" w:line="240" w:lineRule="auto"/>
        <w:jc w:val="both"/>
        <w:rPr>
          <w:rFonts w:asciiTheme="majorHAnsi" w:eastAsia="Times New Roman" w:hAnsiTheme="majorHAnsi" w:cstheme="majorHAnsi"/>
          <w:lang w:val="en-US" w:bidi="en-US"/>
        </w:rPr>
      </w:pPr>
      <w:r w:rsidRPr="00115720">
        <w:rPr>
          <w:rFonts w:asciiTheme="majorHAnsi" w:eastAsia="Times New Roman" w:hAnsiTheme="majorHAnsi" w:cstheme="majorHAnsi"/>
          <w:lang w:val="en-US" w:bidi="en-US"/>
        </w:rPr>
        <w:t>Regulation on the implementation of the Norwegian Financial Mechanisms 2014-2021, hereinafter referred to as ‘Regulation’;</w:t>
      </w:r>
    </w:p>
    <w:p w14:paraId="24EE6E40" w14:textId="77777777" w:rsidR="00E14C52" w:rsidRPr="00115720" w:rsidRDefault="00E14C52" w:rsidP="00E14C52">
      <w:pPr>
        <w:pStyle w:val="Akapitzlist"/>
        <w:numPr>
          <w:ilvl w:val="0"/>
          <w:numId w:val="24"/>
        </w:numPr>
        <w:spacing w:before="100" w:beforeAutospacing="1" w:after="100" w:afterAutospacing="1" w:line="240" w:lineRule="auto"/>
        <w:jc w:val="both"/>
        <w:rPr>
          <w:rFonts w:asciiTheme="majorHAnsi" w:eastAsia="Times New Roman" w:hAnsiTheme="majorHAnsi" w:cstheme="majorHAnsi"/>
          <w:lang w:val="en-US" w:bidi="en-US"/>
        </w:rPr>
      </w:pPr>
      <w:r w:rsidRPr="00115720">
        <w:rPr>
          <w:rFonts w:asciiTheme="majorHAnsi" w:eastAsia="Times New Roman" w:hAnsiTheme="majorHAnsi" w:cstheme="majorHAnsi"/>
          <w:lang w:val="en-US" w:bidi="en-US"/>
        </w:rPr>
        <w:t xml:space="preserve">Guideline for Research </w:t>
      </w:r>
      <w:proofErr w:type="spellStart"/>
      <w:r w:rsidRPr="00115720">
        <w:rPr>
          <w:rFonts w:asciiTheme="majorHAnsi" w:eastAsia="Times New Roman" w:hAnsiTheme="majorHAnsi" w:cstheme="majorHAnsi"/>
          <w:lang w:val="en-US" w:bidi="en-US"/>
        </w:rPr>
        <w:t>Programmes</w:t>
      </w:r>
      <w:proofErr w:type="spellEnd"/>
      <w:r w:rsidRPr="00115720">
        <w:rPr>
          <w:rFonts w:asciiTheme="majorHAnsi" w:eastAsia="Times New Roman" w:hAnsiTheme="majorHAnsi" w:cstheme="majorHAnsi"/>
          <w:lang w:val="en-US" w:bidi="en-US"/>
        </w:rPr>
        <w:t xml:space="preserve"> – rules for the establishment and implementation of </w:t>
      </w:r>
      <w:proofErr w:type="spellStart"/>
      <w:r w:rsidRPr="00115720">
        <w:rPr>
          <w:rFonts w:asciiTheme="majorHAnsi" w:eastAsia="Times New Roman" w:hAnsiTheme="majorHAnsi" w:cstheme="majorHAnsi"/>
          <w:lang w:val="en-US" w:bidi="en-US"/>
        </w:rPr>
        <w:t>programmes</w:t>
      </w:r>
      <w:proofErr w:type="spellEnd"/>
      <w:r w:rsidRPr="00115720">
        <w:rPr>
          <w:rFonts w:asciiTheme="majorHAnsi" w:eastAsia="Times New Roman" w:hAnsiTheme="majorHAnsi" w:cstheme="majorHAnsi"/>
          <w:lang w:val="en-US" w:bidi="en-US"/>
        </w:rPr>
        <w:t xml:space="preserve"> falling under the </w:t>
      </w:r>
      <w:proofErr w:type="spellStart"/>
      <w:r w:rsidRPr="00115720">
        <w:rPr>
          <w:rFonts w:asciiTheme="majorHAnsi" w:eastAsia="Times New Roman" w:hAnsiTheme="majorHAnsi" w:cstheme="majorHAnsi"/>
          <w:lang w:val="en-US" w:bidi="en-US"/>
        </w:rPr>
        <w:t>Programme</w:t>
      </w:r>
      <w:proofErr w:type="spellEnd"/>
      <w:r w:rsidRPr="00115720">
        <w:rPr>
          <w:rFonts w:asciiTheme="majorHAnsi" w:eastAsia="Times New Roman" w:hAnsiTheme="majorHAnsi" w:cstheme="majorHAnsi"/>
          <w:lang w:val="en-US" w:bidi="en-US"/>
        </w:rPr>
        <w:t xml:space="preserve"> Area “Research”, in frame of the ‘Regulation’;</w:t>
      </w:r>
    </w:p>
    <w:p w14:paraId="6A084E96" w14:textId="77777777" w:rsidR="00E14C52" w:rsidRPr="00115720" w:rsidRDefault="00E14C52" w:rsidP="00E14C52">
      <w:pPr>
        <w:pStyle w:val="Akapitzlist"/>
        <w:numPr>
          <w:ilvl w:val="0"/>
          <w:numId w:val="24"/>
        </w:numPr>
        <w:spacing w:before="100" w:beforeAutospacing="1" w:after="100" w:afterAutospacing="1" w:line="240" w:lineRule="auto"/>
        <w:jc w:val="both"/>
        <w:rPr>
          <w:rFonts w:asciiTheme="majorHAnsi" w:eastAsia="Times New Roman" w:hAnsiTheme="majorHAnsi" w:cstheme="majorHAnsi"/>
          <w:lang w:val="en-US" w:bidi="en-US"/>
        </w:rPr>
      </w:pPr>
      <w:proofErr w:type="spellStart"/>
      <w:r w:rsidRPr="00115720">
        <w:rPr>
          <w:rFonts w:asciiTheme="majorHAnsi" w:eastAsia="Times New Roman" w:hAnsiTheme="majorHAnsi" w:cstheme="majorHAnsi"/>
          <w:lang w:val="en-US" w:bidi="en-US"/>
        </w:rPr>
        <w:t>Programme</w:t>
      </w:r>
      <w:proofErr w:type="spellEnd"/>
      <w:r w:rsidRPr="00115720">
        <w:rPr>
          <w:rFonts w:asciiTheme="majorHAnsi" w:eastAsia="Times New Roman" w:hAnsiTheme="majorHAnsi" w:cstheme="majorHAnsi"/>
          <w:lang w:val="en-US" w:bidi="en-US"/>
        </w:rPr>
        <w:t xml:space="preserve"> Agreement between the Financial Mechanism Committee and  Norwegian Ministry of Foreign Affairs and the Ministry of Investment and Economic Development of the Republic of Poland for the financing of the </w:t>
      </w:r>
      <w:proofErr w:type="spellStart"/>
      <w:r w:rsidRPr="00115720">
        <w:rPr>
          <w:rFonts w:asciiTheme="majorHAnsi" w:eastAsia="Times New Roman" w:hAnsiTheme="majorHAnsi" w:cstheme="majorHAnsi"/>
          <w:lang w:val="en-US" w:bidi="en-US"/>
        </w:rPr>
        <w:t>Programme</w:t>
      </w:r>
      <w:proofErr w:type="spellEnd"/>
      <w:r w:rsidRPr="00115720">
        <w:rPr>
          <w:rFonts w:asciiTheme="majorHAnsi" w:eastAsia="Times New Roman" w:hAnsiTheme="majorHAnsi" w:cstheme="majorHAnsi"/>
          <w:lang w:val="en-US" w:bidi="en-US"/>
        </w:rPr>
        <w:t xml:space="preserve"> “Applied Research”;</w:t>
      </w:r>
    </w:p>
    <w:p w14:paraId="5BBBB951" w14:textId="314B04C9" w:rsidR="00E14C52" w:rsidRPr="00115720" w:rsidRDefault="00E14C52" w:rsidP="00E14C52">
      <w:pPr>
        <w:pStyle w:val="Akapitzlist"/>
        <w:numPr>
          <w:ilvl w:val="0"/>
          <w:numId w:val="24"/>
        </w:numPr>
        <w:spacing w:before="100" w:beforeAutospacing="1" w:after="100" w:afterAutospacing="1" w:line="240" w:lineRule="auto"/>
        <w:jc w:val="both"/>
        <w:rPr>
          <w:rFonts w:asciiTheme="majorHAnsi" w:eastAsia="Times New Roman" w:hAnsiTheme="majorHAnsi" w:cstheme="majorHAnsi"/>
          <w:lang w:val="en-US" w:bidi="en-US"/>
        </w:rPr>
      </w:pPr>
      <w:r w:rsidRPr="00115720">
        <w:rPr>
          <w:rFonts w:asciiTheme="majorHAnsi" w:eastAsia="Times New Roman" w:hAnsiTheme="majorHAnsi" w:cstheme="majorHAnsi"/>
          <w:lang w:val="en-US" w:bidi="en-US"/>
        </w:rPr>
        <w:t xml:space="preserve">Act of 30 April 2010 on the National Centre for Research and Development (Journal of Laws item </w:t>
      </w:r>
      <w:r w:rsidR="00616915" w:rsidRPr="00B56183">
        <w:rPr>
          <w:rFonts w:asciiTheme="majorHAnsi" w:eastAsia="Times New Roman" w:hAnsiTheme="majorHAnsi" w:cstheme="majorHAnsi"/>
          <w:lang w:val="en-GB" w:bidi="en-US"/>
        </w:rPr>
        <w:t>1770, 2019</w:t>
      </w:r>
      <w:r w:rsidRPr="00115720">
        <w:rPr>
          <w:rFonts w:asciiTheme="majorHAnsi" w:eastAsia="Times New Roman" w:hAnsiTheme="majorHAnsi" w:cstheme="majorHAnsi"/>
          <w:lang w:val="en-US" w:bidi="en-US"/>
        </w:rPr>
        <w:t xml:space="preserve">); </w:t>
      </w:r>
    </w:p>
    <w:p w14:paraId="4BC136AF" w14:textId="260368AA" w:rsidR="00E14C52" w:rsidRPr="00115720" w:rsidRDefault="00E14C52" w:rsidP="00E14C52">
      <w:pPr>
        <w:pStyle w:val="Akapitzlist"/>
        <w:numPr>
          <w:ilvl w:val="0"/>
          <w:numId w:val="24"/>
        </w:numPr>
        <w:spacing w:before="100" w:beforeAutospacing="1" w:after="100" w:afterAutospacing="1" w:line="240" w:lineRule="auto"/>
        <w:jc w:val="both"/>
        <w:rPr>
          <w:rFonts w:asciiTheme="majorHAnsi" w:eastAsia="Times New Roman" w:hAnsiTheme="majorHAnsi" w:cstheme="majorHAnsi"/>
          <w:lang w:val="en-US" w:bidi="en-US"/>
        </w:rPr>
      </w:pPr>
      <w:r w:rsidRPr="00115720">
        <w:rPr>
          <w:rFonts w:asciiTheme="majorHAnsi" w:eastAsia="Times New Roman" w:hAnsiTheme="majorHAnsi" w:cstheme="majorHAnsi"/>
          <w:lang w:val="en-US" w:bidi="en-US"/>
        </w:rPr>
        <w:t xml:space="preserve">Act of 20 July 2018 on the Law of Higher Education and Science, (Journal of Laws item </w:t>
      </w:r>
      <w:r w:rsidR="00616915" w:rsidRPr="00B56183">
        <w:rPr>
          <w:rFonts w:asciiTheme="majorHAnsi" w:eastAsia="Times New Roman" w:hAnsiTheme="majorHAnsi" w:cstheme="majorHAnsi"/>
          <w:lang w:val="en-GB" w:bidi="en-US"/>
        </w:rPr>
        <w:t>85, 2020</w:t>
      </w:r>
      <w:r w:rsidRPr="00115720">
        <w:rPr>
          <w:rFonts w:asciiTheme="majorHAnsi" w:eastAsia="Times New Roman" w:hAnsiTheme="majorHAnsi" w:cstheme="majorHAnsi"/>
          <w:lang w:val="en-US" w:bidi="en-US"/>
        </w:rPr>
        <w:t>);</w:t>
      </w:r>
    </w:p>
    <w:p w14:paraId="4E5BC4BF" w14:textId="77777777" w:rsidR="00E14C52" w:rsidRPr="00115720" w:rsidRDefault="00E14C52" w:rsidP="00E14C52">
      <w:pPr>
        <w:pStyle w:val="Akapitzlist"/>
        <w:numPr>
          <w:ilvl w:val="0"/>
          <w:numId w:val="24"/>
        </w:numPr>
        <w:spacing w:before="100" w:beforeAutospacing="1" w:after="100" w:afterAutospacing="1" w:line="240" w:lineRule="auto"/>
        <w:jc w:val="both"/>
        <w:rPr>
          <w:rFonts w:asciiTheme="majorHAnsi" w:eastAsia="Times New Roman" w:hAnsiTheme="majorHAnsi" w:cstheme="majorHAnsi"/>
          <w:lang w:val="en-US" w:bidi="en-US"/>
        </w:rPr>
      </w:pPr>
      <w:r w:rsidRPr="00115720">
        <w:rPr>
          <w:rFonts w:asciiTheme="majorHAnsi" w:eastAsia="Times New Roman" w:hAnsiTheme="majorHAnsi" w:cstheme="majorHAnsi"/>
          <w:lang w:val="en-US" w:bidi="en-US"/>
        </w:rPr>
        <w:t xml:space="preserve">Regulation of the Minister of Science and Higher Education of 17 September 2010 on the detailed mode of performance of tasks of the National Centre for Research and Development (Journal of Laws No 178 item 1200); </w:t>
      </w:r>
    </w:p>
    <w:p w14:paraId="31979FD1" w14:textId="57978132" w:rsidR="00E14C52" w:rsidRPr="002D1520" w:rsidRDefault="00E14C52" w:rsidP="00E14C52">
      <w:pPr>
        <w:pStyle w:val="Akapitzlist"/>
        <w:numPr>
          <w:ilvl w:val="0"/>
          <w:numId w:val="24"/>
        </w:numPr>
        <w:spacing w:before="100" w:beforeAutospacing="1" w:after="100" w:afterAutospacing="1" w:line="240" w:lineRule="auto"/>
        <w:jc w:val="both"/>
        <w:rPr>
          <w:rFonts w:asciiTheme="majorHAnsi" w:eastAsia="Times New Roman" w:hAnsiTheme="majorHAnsi" w:cstheme="majorHAnsi"/>
          <w:lang w:val="en-US" w:bidi="en-US"/>
        </w:rPr>
      </w:pPr>
      <w:r w:rsidRPr="00115720">
        <w:rPr>
          <w:rFonts w:asciiTheme="majorHAnsi" w:eastAsia="Times New Roman" w:hAnsiTheme="majorHAnsi" w:cstheme="majorHAnsi"/>
          <w:lang w:val="en-US" w:bidi="en-US"/>
        </w:rPr>
        <w:t xml:space="preserve">Regulation of the Minister of Science and Higher Education of  </w:t>
      </w:r>
      <w:r w:rsidR="002E3F1F">
        <w:rPr>
          <w:rFonts w:asciiTheme="majorHAnsi" w:eastAsia="Times New Roman" w:hAnsiTheme="majorHAnsi" w:cstheme="majorHAnsi"/>
          <w:lang w:val="en-US" w:bidi="en-US"/>
        </w:rPr>
        <w:t>19</w:t>
      </w:r>
      <w:r w:rsidRPr="00115720">
        <w:rPr>
          <w:rFonts w:asciiTheme="majorHAnsi" w:eastAsia="Times New Roman" w:hAnsiTheme="majorHAnsi" w:cstheme="majorHAnsi"/>
          <w:lang w:val="en-US" w:bidi="en-US"/>
        </w:rPr>
        <w:t xml:space="preserve"> </w:t>
      </w:r>
      <w:r w:rsidR="00282E35">
        <w:rPr>
          <w:rFonts w:asciiTheme="majorHAnsi" w:eastAsia="Times New Roman" w:hAnsiTheme="majorHAnsi" w:cstheme="majorHAnsi"/>
          <w:lang w:val="en-US" w:bidi="en-US"/>
        </w:rPr>
        <w:t>August</w:t>
      </w:r>
      <w:r w:rsidRPr="00115720">
        <w:rPr>
          <w:rFonts w:asciiTheme="majorHAnsi" w:eastAsia="Times New Roman" w:hAnsiTheme="majorHAnsi" w:cstheme="majorHAnsi"/>
          <w:lang w:val="en-US" w:bidi="en-US"/>
        </w:rPr>
        <w:t xml:space="preserve"> 20</w:t>
      </w:r>
      <w:r w:rsidR="00282E35">
        <w:rPr>
          <w:rFonts w:asciiTheme="majorHAnsi" w:eastAsia="Times New Roman" w:hAnsiTheme="majorHAnsi" w:cstheme="majorHAnsi"/>
          <w:lang w:val="en-US" w:bidi="en-US"/>
        </w:rPr>
        <w:t>20</w:t>
      </w:r>
      <w:r w:rsidRPr="00115720">
        <w:rPr>
          <w:rFonts w:asciiTheme="majorHAnsi" w:eastAsia="Times New Roman" w:hAnsiTheme="majorHAnsi" w:cstheme="majorHAnsi"/>
          <w:lang w:val="en-US" w:bidi="en-US"/>
        </w:rPr>
        <w:t xml:space="preserve"> on </w:t>
      </w:r>
      <w:r w:rsidR="00282E35">
        <w:rPr>
          <w:rFonts w:asciiTheme="majorHAnsi" w:eastAsia="Times New Roman" w:hAnsiTheme="majorHAnsi" w:cstheme="majorHAnsi"/>
          <w:lang w:val="en-US" w:bidi="en-US"/>
        </w:rPr>
        <w:t xml:space="preserve"> </w:t>
      </w:r>
      <w:r w:rsidRPr="00115720">
        <w:rPr>
          <w:rFonts w:asciiTheme="majorHAnsi" w:eastAsia="Times New Roman" w:hAnsiTheme="majorHAnsi" w:cstheme="majorHAnsi"/>
          <w:lang w:val="en-US" w:bidi="en-US"/>
        </w:rPr>
        <w:t xml:space="preserve">granting </w:t>
      </w:r>
      <w:r w:rsidRPr="002D1520">
        <w:rPr>
          <w:rFonts w:asciiTheme="majorHAnsi" w:eastAsia="Times New Roman" w:hAnsiTheme="majorHAnsi" w:cstheme="majorHAnsi"/>
          <w:lang w:val="en-US" w:bidi="en-US"/>
        </w:rPr>
        <w:t xml:space="preserve">state </w:t>
      </w:r>
      <w:proofErr w:type="spellStart"/>
      <w:r w:rsidRPr="002D1520">
        <w:rPr>
          <w:rFonts w:asciiTheme="majorHAnsi" w:eastAsia="Times New Roman" w:hAnsiTheme="majorHAnsi" w:cstheme="majorHAnsi"/>
          <w:lang w:val="en-US" w:bidi="en-US"/>
        </w:rPr>
        <w:t>aidthrough</w:t>
      </w:r>
      <w:proofErr w:type="spellEnd"/>
      <w:r w:rsidRPr="002D1520">
        <w:rPr>
          <w:rFonts w:asciiTheme="majorHAnsi" w:eastAsia="Times New Roman" w:hAnsiTheme="majorHAnsi" w:cstheme="majorHAnsi"/>
          <w:lang w:val="en-US" w:bidi="en-US"/>
        </w:rPr>
        <w:t xml:space="preserve"> the National Centre for Research and Development (Journal of Laws item </w:t>
      </w:r>
      <w:r w:rsidR="00282E35">
        <w:rPr>
          <w:rFonts w:asciiTheme="majorHAnsi" w:eastAsia="Times New Roman" w:hAnsiTheme="majorHAnsi" w:cstheme="majorHAnsi"/>
          <w:lang w:val="en-US" w:bidi="en-US"/>
        </w:rPr>
        <w:t>1456</w:t>
      </w:r>
      <w:r w:rsidRPr="002D1520">
        <w:rPr>
          <w:rFonts w:asciiTheme="majorHAnsi" w:eastAsia="Times New Roman" w:hAnsiTheme="majorHAnsi" w:cstheme="majorHAnsi"/>
          <w:lang w:val="en-US" w:bidi="en-US"/>
        </w:rPr>
        <w:t>, 20</w:t>
      </w:r>
      <w:r w:rsidR="00282E35">
        <w:rPr>
          <w:rFonts w:asciiTheme="majorHAnsi" w:eastAsia="Times New Roman" w:hAnsiTheme="majorHAnsi" w:cstheme="majorHAnsi"/>
          <w:lang w:val="en-US" w:bidi="en-US"/>
        </w:rPr>
        <w:t>20</w:t>
      </w:r>
      <w:r w:rsidRPr="002D1520">
        <w:rPr>
          <w:rFonts w:asciiTheme="majorHAnsi" w:eastAsia="Times New Roman" w:hAnsiTheme="majorHAnsi" w:cstheme="majorHAnsi"/>
          <w:lang w:val="en-US" w:bidi="en-US"/>
        </w:rPr>
        <w:t>)</w:t>
      </w:r>
      <w:r w:rsidR="00A00391" w:rsidRPr="002D1520">
        <w:rPr>
          <w:rFonts w:asciiTheme="majorHAnsi" w:eastAsia="Times New Roman" w:hAnsiTheme="majorHAnsi" w:cstheme="majorHAnsi"/>
          <w:lang w:val="en-US" w:bidi="en-US"/>
        </w:rPr>
        <w:t>.</w:t>
      </w:r>
    </w:p>
    <w:p w14:paraId="37F4508F" w14:textId="77777777" w:rsidR="00037D2D" w:rsidRPr="002D1520" w:rsidRDefault="00037D2D" w:rsidP="00037D2D">
      <w:pPr>
        <w:pStyle w:val="Akapitzlist"/>
        <w:spacing w:before="100" w:beforeAutospacing="1" w:after="100" w:afterAutospacing="1" w:line="240" w:lineRule="auto"/>
        <w:jc w:val="both"/>
        <w:rPr>
          <w:rFonts w:asciiTheme="majorHAnsi" w:eastAsia="Times New Roman" w:hAnsiTheme="majorHAnsi" w:cstheme="majorHAnsi"/>
          <w:lang w:val="en-US" w:bidi="en-US"/>
        </w:rPr>
      </w:pPr>
    </w:p>
    <w:p w14:paraId="05D956FD" w14:textId="260F4000" w:rsidR="00956222" w:rsidRPr="002D1520" w:rsidRDefault="00956222" w:rsidP="002D1520">
      <w:pPr>
        <w:pStyle w:val="Akapitzlist"/>
        <w:numPr>
          <w:ilvl w:val="1"/>
          <w:numId w:val="10"/>
        </w:numPr>
        <w:ind w:left="0" w:firstLine="851"/>
        <w:rPr>
          <w:rFonts w:asciiTheme="majorHAnsi" w:eastAsia="Times New Roman" w:hAnsiTheme="majorHAnsi" w:cstheme="majorHAnsi"/>
          <w:lang w:val="en-US" w:eastAsia="pl-PL"/>
        </w:rPr>
      </w:pPr>
      <w:r w:rsidRPr="002D1520">
        <w:rPr>
          <w:rFonts w:asciiTheme="majorHAnsi" w:eastAsia="Times New Roman" w:hAnsiTheme="majorHAnsi" w:cstheme="majorHAnsi"/>
          <w:b/>
          <w:bCs/>
          <w:lang w:val="en-US" w:eastAsia="pl-PL"/>
        </w:rPr>
        <w:t xml:space="preserve">Question and queries to the </w:t>
      </w:r>
      <w:proofErr w:type="spellStart"/>
      <w:r w:rsidRPr="002D1520">
        <w:rPr>
          <w:rFonts w:asciiTheme="majorHAnsi" w:eastAsia="Times New Roman" w:hAnsiTheme="majorHAnsi" w:cstheme="majorHAnsi"/>
          <w:b/>
          <w:bCs/>
          <w:lang w:val="en-US" w:eastAsia="pl-PL"/>
        </w:rPr>
        <w:t>Programme</w:t>
      </w:r>
      <w:proofErr w:type="spellEnd"/>
      <w:r w:rsidRPr="002D1520">
        <w:rPr>
          <w:rFonts w:asciiTheme="majorHAnsi" w:eastAsia="Times New Roman" w:hAnsiTheme="majorHAnsi" w:cstheme="majorHAnsi"/>
          <w:b/>
          <w:bCs/>
          <w:lang w:val="en-US" w:eastAsia="pl-PL"/>
        </w:rPr>
        <w:t xml:space="preserve"> Operator</w:t>
      </w:r>
      <w:r w:rsidRPr="002D1520">
        <w:rPr>
          <w:rFonts w:asciiTheme="majorHAnsi" w:eastAsia="Times New Roman" w:hAnsiTheme="majorHAnsi" w:cstheme="majorHAnsi"/>
          <w:lang w:val="en-US" w:eastAsia="pl-PL"/>
        </w:rPr>
        <w:br/>
      </w:r>
      <w:r w:rsidRPr="002D1520">
        <w:rPr>
          <w:rFonts w:asciiTheme="majorHAnsi" w:eastAsia="Times New Roman" w:hAnsiTheme="majorHAnsi" w:cstheme="majorHAnsi"/>
          <w:lang w:val="en-US" w:eastAsia="pl-PL"/>
        </w:rPr>
        <w:br/>
        <w:t>For additional information, please contact:</w:t>
      </w:r>
    </w:p>
    <w:p w14:paraId="7DEAD96F" w14:textId="77777777" w:rsidR="00956222" w:rsidRPr="00115720" w:rsidRDefault="00956222" w:rsidP="00956222">
      <w:pPr>
        <w:numPr>
          <w:ilvl w:val="0"/>
          <w:numId w:val="11"/>
        </w:numPr>
        <w:spacing w:before="100" w:beforeAutospacing="1" w:after="100" w:afterAutospacing="1" w:line="240" w:lineRule="auto"/>
        <w:jc w:val="both"/>
        <w:rPr>
          <w:rFonts w:asciiTheme="majorHAnsi" w:eastAsia="Times New Roman" w:hAnsiTheme="majorHAnsi" w:cstheme="majorHAnsi"/>
          <w:lang w:eastAsia="pl-PL"/>
        </w:rPr>
      </w:pPr>
      <w:r w:rsidRPr="002D1520">
        <w:rPr>
          <w:rFonts w:asciiTheme="majorHAnsi" w:eastAsia="Times New Roman" w:hAnsiTheme="majorHAnsi" w:cstheme="majorHAnsi"/>
          <w:lang w:eastAsia="pl-PL"/>
        </w:rPr>
        <w:t xml:space="preserve">Maciej Jędrzejek - </w:t>
      </w:r>
      <w:proofErr w:type="spellStart"/>
      <w:r w:rsidRPr="002D1520">
        <w:rPr>
          <w:rFonts w:asciiTheme="majorHAnsi" w:eastAsia="Times New Roman" w:hAnsiTheme="majorHAnsi" w:cstheme="majorHAnsi"/>
          <w:lang w:eastAsia="pl-PL"/>
        </w:rPr>
        <w:t>office</w:t>
      </w:r>
      <w:proofErr w:type="spellEnd"/>
      <w:r w:rsidRPr="002D1520">
        <w:rPr>
          <w:rFonts w:asciiTheme="majorHAnsi" w:eastAsia="Times New Roman" w:hAnsiTheme="majorHAnsi" w:cstheme="majorHAnsi"/>
          <w:lang w:eastAsia="pl-PL"/>
        </w:rPr>
        <w:t>: +48 22 39 07 160</w:t>
      </w:r>
    </w:p>
    <w:p w14:paraId="35A47A00" w14:textId="77777777" w:rsidR="00956222" w:rsidRPr="00115720" w:rsidRDefault="00956222" w:rsidP="00956222">
      <w:pPr>
        <w:numPr>
          <w:ilvl w:val="0"/>
          <w:numId w:val="11"/>
        </w:numPr>
        <w:spacing w:before="100" w:beforeAutospacing="1" w:after="100" w:afterAutospacing="1" w:line="240" w:lineRule="auto"/>
        <w:jc w:val="both"/>
        <w:rPr>
          <w:rFonts w:asciiTheme="majorHAnsi" w:eastAsia="Times New Roman" w:hAnsiTheme="majorHAnsi" w:cstheme="majorHAnsi"/>
          <w:lang w:eastAsia="pl-PL"/>
        </w:rPr>
      </w:pPr>
      <w:r w:rsidRPr="00115720">
        <w:rPr>
          <w:rFonts w:asciiTheme="majorHAnsi" w:eastAsia="Times New Roman" w:hAnsiTheme="majorHAnsi" w:cstheme="majorHAnsi"/>
          <w:lang w:eastAsia="pl-PL"/>
        </w:rPr>
        <w:t xml:space="preserve">Konrad Kosecki - </w:t>
      </w:r>
      <w:proofErr w:type="spellStart"/>
      <w:r w:rsidRPr="00115720">
        <w:rPr>
          <w:rFonts w:asciiTheme="majorHAnsi" w:eastAsia="Times New Roman" w:hAnsiTheme="majorHAnsi" w:cstheme="majorHAnsi"/>
          <w:lang w:eastAsia="pl-PL"/>
        </w:rPr>
        <w:t>office</w:t>
      </w:r>
      <w:proofErr w:type="spellEnd"/>
      <w:r w:rsidRPr="00115720">
        <w:rPr>
          <w:rFonts w:asciiTheme="majorHAnsi" w:eastAsia="Times New Roman" w:hAnsiTheme="majorHAnsi" w:cstheme="majorHAnsi"/>
          <w:lang w:eastAsia="pl-PL"/>
        </w:rPr>
        <w:t>: +48 22 39 07 </w:t>
      </w:r>
      <w:r w:rsidRPr="00115720">
        <w:rPr>
          <w:rFonts w:asciiTheme="majorHAnsi" w:eastAsia="Times New Roman" w:hAnsiTheme="majorHAnsi" w:cstheme="majorHAnsi"/>
          <w:color w:val="000000"/>
          <w:lang w:eastAsia="pl-PL"/>
        </w:rPr>
        <w:t>460</w:t>
      </w:r>
    </w:p>
    <w:p w14:paraId="01E92373" w14:textId="77777777" w:rsidR="00956222" w:rsidRPr="00115720" w:rsidRDefault="00956222" w:rsidP="00956222">
      <w:pPr>
        <w:numPr>
          <w:ilvl w:val="0"/>
          <w:numId w:val="11"/>
        </w:numPr>
        <w:spacing w:before="100" w:beforeAutospacing="1" w:after="100" w:afterAutospacing="1" w:line="240" w:lineRule="auto"/>
        <w:jc w:val="both"/>
        <w:rPr>
          <w:rFonts w:asciiTheme="majorHAnsi" w:eastAsia="Times New Roman" w:hAnsiTheme="majorHAnsi" w:cstheme="majorHAnsi"/>
          <w:lang w:eastAsia="pl-PL"/>
        </w:rPr>
      </w:pPr>
      <w:r w:rsidRPr="00115720">
        <w:rPr>
          <w:rFonts w:asciiTheme="majorHAnsi" w:eastAsia="Times New Roman" w:hAnsiTheme="majorHAnsi" w:cstheme="majorHAnsi"/>
          <w:lang w:eastAsia="pl-PL"/>
        </w:rPr>
        <w:t xml:space="preserve">Krystyna Maciejko - </w:t>
      </w:r>
      <w:proofErr w:type="spellStart"/>
      <w:r w:rsidRPr="00115720">
        <w:rPr>
          <w:rFonts w:asciiTheme="majorHAnsi" w:eastAsia="Times New Roman" w:hAnsiTheme="majorHAnsi" w:cstheme="majorHAnsi"/>
          <w:lang w:eastAsia="pl-PL"/>
        </w:rPr>
        <w:t>office</w:t>
      </w:r>
      <w:proofErr w:type="spellEnd"/>
      <w:r w:rsidRPr="00115720">
        <w:rPr>
          <w:rFonts w:asciiTheme="majorHAnsi" w:eastAsia="Times New Roman" w:hAnsiTheme="majorHAnsi" w:cstheme="majorHAnsi"/>
          <w:lang w:eastAsia="pl-PL"/>
        </w:rPr>
        <w:t>: +48 22 39 07 </w:t>
      </w:r>
      <w:r w:rsidRPr="00115720">
        <w:rPr>
          <w:rFonts w:asciiTheme="majorHAnsi" w:eastAsia="Times New Roman" w:hAnsiTheme="majorHAnsi" w:cstheme="majorHAnsi"/>
          <w:color w:val="000000"/>
          <w:lang w:eastAsia="pl-PL"/>
        </w:rPr>
        <w:t>489</w:t>
      </w:r>
    </w:p>
    <w:p w14:paraId="6801B742" w14:textId="77777777" w:rsidR="00956222" w:rsidRPr="00115720" w:rsidRDefault="00956222" w:rsidP="00956222">
      <w:pPr>
        <w:numPr>
          <w:ilvl w:val="0"/>
          <w:numId w:val="11"/>
        </w:numPr>
        <w:spacing w:before="100" w:beforeAutospacing="1" w:after="100" w:afterAutospacing="1" w:line="240" w:lineRule="auto"/>
        <w:jc w:val="both"/>
        <w:rPr>
          <w:rFonts w:asciiTheme="majorHAnsi" w:eastAsia="Times New Roman" w:hAnsiTheme="majorHAnsi" w:cstheme="majorHAnsi"/>
          <w:lang w:eastAsia="pl-PL"/>
        </w:rPr>
      </w:pPr>
      <w:r w:rsidRPr="00115720">
        <w:rPr>
          <w:rFonts w:asciiTheme="majorHAnsi" w:eastAsia="Times New Roman" w:hAnsiTheme="majorHAnsi" w:cstheme="majorHAnsi"/>
          <w:lang w:eastAsia="pl-PL"/>
        </w:rPr>
        <w:t xml:space="preserve">Hanna Sroczyńska - </w:t>
      </w:r>
      <w:proofErr w:type="spellStart"/>
      <w:r w:rsidRPr="00115720">
        <w:rPr>
          <w:rFonts w:asciiTheme="majorHAnsi" w:eastAsia="Times New Roman" w:hAnsiTheme="majorHAnsi" w:cstheme="majorHAnsi"/>
          <w:lang w:eastAsia="pl-PL"/>
        </w:rPr>
        <w:t>office</w:t>
      </w:r>
      <w:proofErr w:type="spellEnd"/>
      <w:r w:rsidRPr="00115720">
        <w:rPr>
          <w:rFonts w:asciiTheme="majorHAnsi" w:eastAsia="Times New Roman" w:hAnsiTheme="majorHAnsi" w:cstheme="majorHAnsi"/>
          <w:lang w:eastAsia="pl-PL"/>
        </w:rPr>
        <w:t>: +48 22 39 07 </w:t>
      </w:r>
      <w:r w:rsidRPr="00115720">
        <w:rPr>
          <w:rFonts w:asciiTheme="majorHAnsi" w:eastAsia="Times New Roman" w:hAnsiTheme="majorHAnsi" w:cstheme="majorHAnsi"/>
          <w:color w:val="000000"/>
          <w:lang w:eastAsia="pl-PL"/>
        </w:rPr>
        <w:t>198</w:t>
      </w:r>
    </w:p>
    <w:p w14:paraId="24E05FEF" w14:textId="6BD30CD5" w:rsidR="00956222" w:rsidRPr="00B56183" w:rsidRDefault="00956222" w:rsidP="00956222">
      <w:pPr>
        <w:numPr>
          <w:ilvl w:val="0"/>
          <w:numId w:val="11"/>
        </w:numPr>
        <w:spacing w:before="100" w:beforeAutospacing="1" w:after="100" w:afterAutospacing="1" w:line="240" w:lineRule="auto"/>
        <w:jc w:val="both"/>
        <w:rPr>
          <w:rFonts w:asciiTheme="majorHAnsi" w:eastAsia="Times New Roman" w:hAnsiTheme="majorHAnsi" w:cstheme="majorHAnsi"/>
          <w:lang w:eastAsia="pl-PL"/>
        </w:rPr>
      </w:pPr>
      <w:r w:rsidRPr="00115720">
        <w:rPr>
          <w:rFonts w:asciiTheme="majorHAnsi" w:eastAsia="Times New Roman" w:hAnsiTheme="majorHAnsi" w:cstheme="majorHAnsi"/>
          <w:lang w:eastAsia="pl-PL"/>
        </w:rPr>
        <w:t xml:space="preserve">Ewelina Wildner - </w:t>
      </w:r>
      <w:proofErr w:type="spellStart"/>
      <w:r w:rsidRPr="00115720">
        <w:rPr>
          <w:rFonts w:asciiTheme="majorHAnsi" w:eastAsia="Times New Roman" w:hAnsiTheme="majorHAnsi" w:cstheme="majorHAnsi"/>
          <w:lang w:eastAsia="pl-PL"/>
        </w:rPr>
        <w:t>office</w:t>
      </w:r>
      <w:proofErr w:type="spellEnd"/>
      <w:r w:rsidRPr="00115720">
        <w:rPr>
          <w:rFonts w:asciiTheme="majorHAnsi" w:eastAsia="Times New Roman" w:hAnsiTheme="majorHAnsi" w:cstheme="majorHAnsi"/>
          <w:lang w:eastAsia="pl-PL"/>
        </w:rPr>
        <w:t>: +48 22 39 07</w:t>
      </w:r>
      <w:r w:rsidR="00616915">
        <w:rPr>
          <w:rFonts w:asciiTheme="majorHAnsi" w:eastAsia="Times New Roman" w:hAnsiTheme="majorHAnsi" w:cstheme="majorHAnsi"/>
          <w:lang w:eastAsia="pl-PL"/>
        </w:rPr>
        <w:t> </w:t>
      </w:r>
      <w:r w:rsidRPr="00115720">
        <w:rPr>
          <w:rFonts w:asciiTheme="majorHAnsi" w:eastAsia="Times New Roman" w:hAnsiTheme="majorHAnsi" w:cstheme="majorHAnsi"/>
          <w:color w:val="000000"/>
          <w:lang w:eastAsia="pl-PL"/>
        </w:rPr>
        <w:t>123</w:t>
      </w:r>
    </w:p>
    <w:p w14:paraId="2C1613A9" w14:textId="16E48FE8" w:rsidR="00616915" w:rsidRPr="00115720" w:rsidRDefault="00616915" w:rsidP="00956222">
      <w:pPr>
        <w:numPr>
          <w:ilvl w:val="0"/>
          <w:numId w:val="11"/>
        </w:numPr>
        <w:spacing w:before="100" w:beforeAutospacing="1" w:after="100" w:afterAutospacing="1" w:line="240" w:lineRule="auto"/>
        <w:jc w:val="both"/>
        <w:rPr>
          <w:rFonts w:asciiTheme="majorHAnsi" w:eastAsia="Times New Roman" w:hAnsiTheme="majorHAnsi" w:cstheme="majorHAnsi"/>
          <w:lang w:eastAsia="pl-PL"/>
        </w:rPr>
      </w:pPr>
      <w:r>
        <w:rPr>
          <w:rFonts w:asciiTheme="majorHAnsi" w:eastAsia="Times New Roman" w:hAnsiTheme="majorHAnsi" w:cstheme="majorHAnsi"/>
          <w:color w:val="000000"/>
          <w:lang w:eastAsia="pl-PL"/>
        </w:rPr>
        <w:t xml:space="preserve">Maciej Zdanowicz – </w:t>
      </w:r>
      <w:proofErr w:type="spellStart"/>
      <w:r>
        <w:rPr>
          <w:rFonts w:asciiTheme="majorHAnsi" w:eastAsia="Times New Roman" w:hAnsiTheme="majorHAnsi" w:cstheme="majorHAnsi"/>
          <w:color w:val="000000"/>
          <w:lang w:eastAsia="pl-PL"/>
        </w:rPr>
        <w:t>office</w:t>
      </w:r>
      <w:proofErr w:type="spellEnd"/>
      <w:r>
        <w:rPr>
          <w:rFonts w:asciiTheme="majorHAnsi" w:eastAsia="Times New Roman" w:hAnsiTheme="majorHAnsi" w:cstheme="majorHAnsi"/>
          <w:color w:val="000000"/>
          <w:lang w:eastAsia="pl-PL"/>
        </w:rPr>
        <w:t xml:space="preserve"> +48 </w:t>
      </w:r>
      <w:r w:rsidRPr="00616915">
        <w:rPr>
          <w:rFonts w:asciiTheme="majorHAnsi" w:eastAsia="Times New Roman" w:hAnsiTheme="majorHAnsi" w:cstheme="majorHAnsi"/>
          <w:color w:val="000000"/>
          <w:lang w:eastAsia="pl-PL"/>
        </w:rPr>
        <w:t>22 39 07 233</w:t>
      </w:r>
    </w:p>
    <w:p w14:paraId="4ECD0F18" w14:textId="1AA047BC" w:rsidR="00956222" w:rsidRPr="00115720" w:rsidRDefault="00956222" w:rsidP="00956222">
      <w:pPr>
        <w:spacing w:before="100" w:beforeAutospacing="1" w:after="100" w:afterAutospacing="1" w:line="240" w:lineRule="auto"/>
        <w:jc w:val="both"/>
        <w:rPr>
          <w:rFonts w:asciiTheme="majorHAnsi" w:eastAsia="Times New Roman" w:hAnsiTheme="majorHAnsi" w:cstheme="majorHAnsi"/>
          <w:lang w:val="en-US" w:eastAsia="pl-PL"/>
        </w:rPr>
      </w:pPr>
      <w:r w:rsidRPr="00115720">
        <w:rPr>
          <w:rFonts w:asciiTheme="majorHAnsi" w:eastAsia="Times New Roman" w:hAnsiTheme="majorHAnsi" w:cstheme="majorHAnsi"/>
          <w:lang w:val="en-US" w:eastAsia="pl-PL"/>
        </w:rPr>
        <w:t xml:space="preserve">The following e-mail address should be used when contacting the NCBR on the matters concerning the </w:t>
      </w:r>
      <w:r w:rsidR="00980AF2">
        <w:rPr>
          <w:rFonts w:asciiTheme="majorHAnsi" w:eastAsia="Times New Roman" w:hAnsiTheme="majorHAnsi" w:cstheme="majorHAnsi"/>
          <w:lang w:val="en-US" w:eastAsia="pl-PL"/>
        </w:rPr>
        <w:t>SGS</w:t>
      </w:r>
      <w:r w:rsidR="00DC4D47" w:rsidRPr="00115720">
        <w:rPr>
          <w:rFonts w:asciiTheme="majorHAnsi" w:eastAsia="Times New Roman" w:hAnsiTheme="majorHAnsi" w:cstheme="majorHAnsi"/>
          <w:lang w:val="en-US" w:eastAsia="pl-PL"/>
        </w:rPr>
        <w:t xml:space="preserve"> Call for Proposals</w:t>
      </w:r>
      <w:r w:rsidRPr="00115720">
        <w:rPr>
          <w:rFonts w:asciiTheme="majorHAnsi" w:eastAsia="Times New Roman" w:hAnsiTheme="majorHAnsi" w:cstheme="majorHAnsi"/>
          <w:lang w:val="en-US" w:eastAsia="pl-PL"/>
        </w:rPr>
        <w:t xml:space="preserve">: </w:t>
      </w:r>
      <w:hyperlink r:id="rId9" w:history="1">
        <w:r w:rsidRPr="00115720">
          <w:rPr>
            <w:rFonts w:asciiTheme="majorHAnsi" w:eastAsia="Times New Roman" w:hAnsiTheme="majorHAnsi" w:cstheme="majorHAnsi"/>
            <w:color w:val="0000FF"/>
            <w:u w:val="single"/>
            <w:lang w:val="en-US" w:eastAsia="pl-PL"/>
          </w:rPr>
          <w:t>norwaygrants-at-ncbr.gov.pl</w:t>
        </w:r>
      </w:hyperlink>
      <w:r w:rsidRPr="00115720">
        <w:rPr>
          <w:rFonts w:asciiTheme="majorHAnsi" w:eastAsia="Times New Roman" w:hAnsiTheme="majorHAnsi" w:cstheme="majorHAnsi"/>
          <w:lang w:val="en-US" w:eastAsia="pl-PL"/>
        </w:rPr>
        <w:t>.</w:t>
      </w:r>
    </w:p>
    <w:p w14:paraId="2BC8D932" w14:textId="77777777" w:rsidR="0088651A" w:rsidRPr="00115720" w:rsidRDefault="0088651A" w:rsidP="00A078EB">
      <w:pPr>
        <w:rPr>
          <w:rFonts w:asciiTheme="majorHAnsi" w:hAnsiTheme="majorHAnsi" w:cstheme="majorHAnsi"/>
          <w:lang w:val="en-US"/>
        </w:rPr>
      </w:pPr>
    </w:p>
    <w:sectPr w:rsidR="0088651A" w:rsidRPr="001157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8F5C8" w14:textId="77777777" w:rsidR="00F75281" w:rsidRDefault="00F75281" w:rsidP="00294BA4">
      <w:pPr>
        <w:spacing w:after="0" w:line="240" w:lineRule="auto"/>
      </w:pPr>
      <w:r>
        <w:separator/>
      </w:r>
    </w:p>
  </w:endnote>
  <w:endnote w:type="continuationSeparator" w:id="0">
    <w:p w14:paraId="758BBABE" w14:textId="77777777" w:rsidR="00F75281" w:rsidRDefault="00F75281" w:rsidP="0029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F4ADF" w14:textId="77777777" w:rsidR="00F75281" w:rsidRDefault="00F75281" w:rsidP="00294BA4">
      <w:pPr>
        <w:spacing w:after="0" w:line="240" w:lineRule="auto"/>
      </w:pPr>
      <w:r>
        <w:separator/>
      </w:r>
    </w:p>
  </w:footnote>
  <w:footnote w:type="continuationSeparator" w:id="0">
    <w:p w14:paraId="6B5D0EEF" w14:textId="77777777" w:rsidR="00F75281" w:rsidRDefault="00F75281" w:rsidP="00294BA4">
      <w:pPr>
        <w:spacing w:after="0" w:line="240" w:lineRule="auto"/>
      </w:pPr>
      <w:r>
        <w:continuationSeparator/>
      </w:r>
    </w:p>
  </w:footnote>
  <w:footnote w:id="1">
    <w:p w14:paraId="2AAC104F" w14:textId="22283AB7" w:rsidR="00294BA4" w:rsidRPr="00F24A4C" w:rsidRDefault="00294BA4">
      <w:pPr>
        <w:pStyle w:val="Tekstprzypisudolnego"/>
        <w:rPr>
          <w:lang w:val="en-GB"/>
        </w:rPr>
      </w:pPr>
      <w:r>
        <w:rPr>
          <w:rStyle w:val="Odwoanieprzypisudolnego"/>
        </w:rPr>
        <w:footnoteRef/>
      </w:r>
      <w:r w:rsidRPr="00F24A4C">
        <w:rPr>
          <w:lang w:val="en-GB"/>
        </w:rPr>
        <w:t xml:space="preserve"> </w:t>
      </w:r>
      <w:r w:rsidRPr="00F24A4C">
        <w:rPr>
          <w:rFonts w:asciiTheme="majorHAnsi" w:hAnsiTheme="majorHAnsi" w:cstheme="majorHAnsi"/>
          <w:lang w:val="en-US"/>
        </w:rPr>
        <w:t xml:space="preserve">understood as a  </w:t>
      </w:r>
      <w:r w:rsidRPr="00F24A4C">
        <w:rPr>
          <w:rFonts w:asciiTheme="majorHAnsi" w:hAnsiTheme="majorHAnsi" w:cstheme="majorHAnsi"/>
          <w:lang w:val="en-GB"/>
        </w:rPr>
        <w:t>legal entity under the Polish law, i.e. an entity that is capable of having and amend legal rights and obligations within Polish legal system, such as to enter into contracts, sue, and be sued, excluding natural persons.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5D89"/>
    <w:multiLevelType w:val="hybridMultilevel"/>
    <w:tmpl w:val="43D6B4C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 w15:restartNumberingAfterBreak="0">
    <w:nsid w:val="073413BD"/>
    <w:multiLevelType w:val="multilevel"/>
    <w:tmpl w:val="FCA2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E03C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B006B3"/>
    <w:multiLevelType w:val="multilevel"/>
    <w:tmpl w:val="7116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F5FF0"/>
    <w:multiLevelType w:val="hybridMultilevel"/>
    <w:tmpl w:val="A094F270"/>
    <w:lvl w:ilvl="0" w:tplc="BD201210">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A757B5"/>
    <w:multiLevelType w:val="multilevel"/>
    <w:tmpl w:val="E99C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417AF"/>
    <w:multiLevelType w:val="hybridMultilevel"/>
    <w:tmpl w:val="051C8464"/>
    <w:lvl w:ilvl="0" w:tplc="8D60002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A21E1C"/>
    <w:multiLevelType w:val="multilevel"/>
    <w:tmpl w:val="4770205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463E9B"/>
    <w:multiLevelType w:val="multilevel"/>
    <w:tmpl w:val="1D5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26B92"/>
    <w:multiLevelType w:val="hybridMultilevel"/>
    <w:tmpl w:val="3B909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825D70"/>
    <w:multiLevelType w:val="multilevel"/>
    <w:tmpl w:val="B6D8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06662"/>
    <w:multiLevelType w:val="hybridMultilevel"/>
    <w:tmpl w:val="130E6200"/>
    <w:lvl w:ilvl="0" w:tplc="BD201210">
      <w:numFmt w:val="bullet"/>
      <w:lvlText w:val="•"/>
      <w:lvlJc w:val="left"/>
      <w:pPr>
        <w:ind w:left="1425" w:hanging="705"/>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8B27B35"/>
    <w:multiLevelType w:val="multilevel"/>
    <w:tmpl w:val="F4B4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B071C"/>
    <w:multiLevelType w:val="multilevel"/>
    <w:tmpl w:val="D93A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9169C"/>
    <w:multiLevelType w:val="multilevel"/>
    <w:tmpl w:val="F448F8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b/>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E5996"/>
    <w:multiLevelType w:val="multilevel"/>
    <w:tmpl w:val="1488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95009"/>
    <w:multiLevelType w:val="multilevel"/>
    <w:tmpl w:val="5D3E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F051F"/>
    <w:multiLevelType w:val="hybridMultilevel"/>
    <w:tmpl w:val="6624CAB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DE108B"/>
    <w:multiLevelType w:val="hybridMultilevel"/>
    <w:tmpl w:val="8A904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E4908DC"/>
    <w:multiLevelType w:val="hybridMultilevel"/>
    <w:tmpl w:val="FED6F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34381D"/>
    <w:multiLevelType w:val="hybridMultilevel"/>
    <w:tmpl w:val="D2049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8FD36F6"/>
    <w:multiLevelType w:val="multilevel"/>
    <w:tmpl w:val="5D3E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620CAC"/>
    <w:multiLevelType w:val="multilevel"/>
    <w:tmpl w:val="94A4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9E1FFC"/>
    <w:multiLevelType w:val="hybridMultilevel"/>
    <w:tmpl w:val="C37616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1301CD1"/>
    <w:multiLevelType w:val="hybridMultilevel"/>
    <w:tmpl w:val="8C341C7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4E42559"/>
    <w:multiLevelType w:val="hybridMultilevel"/>
    <w:tmpl w:val="31840394"/>
    <w:lvl w:ilvl="0" w:tplc="BD201210">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88E3382"/>
    <w:multiLevelType w:val="hybridMultilevel"/>
    <w:tmpl w:val="5A387D2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D2B302E"/>
    <w:multiLevelType w:val="hybridMultilevel"/>
    <w:tmpl w:val="431602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
  </w:num>
  <w:num w:numId="5">
    <w:abstractNumId w:val="15"/>
  </w:num>
  <w:num w:numId="6">
    <w:abstractNumId w:val="5"/>
  </w:num>
  <w:num w:numId="7">
    <w:abstractNumId w:val="16"/>
  </w:num>
  <w:num w:numId="8">
    <w:abstractNumId w:val="12"/>
  </w:num>
  <w:num w:numId="9">
    <w:abstractNumId w:val="10"/>
  </w:num>
  <w:num w:numId="10">
    <w:abstractNumId w:val="14"/>
  </w:num>
  <w:num w:numId="11">
    <w:abstractNumId w:val="22"/>
  </w:num>
  <w:num w:numId="12">
    <w:abstractNumId w:val="6"/>
  </w:num>
  <w:num w:numId="13">
    <w:abstractNumId w:val="2"/>
  </w:num>
  <w:num w:numId="14">
    <w:abstractNumId w:val="9"/>
  </w:num>
  <w:num w:numId="15">
    <w:abstractNumId w:val="18"/>
  </w:num>
  <w:num w:numId="16">
    <w:abstractNumId w:val="23"/>
  </w:num>
  <w:num w:numId="17">
    <w:abstractNumId w:val="25"/>
  </w:num>
  <w:num w:numId="18">
    <w:abstractNumId w:val="4"/>
  </w:num>
  <w:num w:numId="19">
    <w:abstractNumId w:val="11"/>
  </w:num>
  <w:num w:numId="20">
    <w:abstractNumId w:val="19"/>
  </w:num>
  <w:num w:numId="21">
    <w:abstractNumId w:val="0"/>
  </w:num>
  <w:num w:numId="22">
    <w:abstractNumId w:val="21"/>
  </w:num>
  <w:num w:numId="23">
    <w:abstractNumId w:val="20"/>
  </w:num>
  <w:num w:numId="24">
    <w:abstractNumId w:val="27"/>
  </w:num>
  <w:num w:numId="25">
    <w:abstractNumId w:val="17"/>
  </w:num>
  <w:num w:numId="26">
    <w:abstractNumId w:val="26"/>
  </w:num>
  <w:num w:numId="27">
    <w:abstractNumId w:val="2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EE"/>
    <w:rsid w:val="00037D2D"/>
    <w:rsid w:val="00045B1C"/>
    <w:rsid w:val="00072238"/>
    <w:rsid w:val="00087B7E"/>
    <w:rsid w:val="000A0457"/>
    <w:rsid w:val="000A66A1"/>
    <w:rsid w:val="00101560"/>
    <w:rsid w:val="00105013"/>
    <w:rsid w:val="00115720"/>
    <w:rsid w:val="00135A56"/>
    <w:rsid w:val="00160043"/>
    <w:rsid w:val="001A2B84"/>
    <w:rsid w:val="001E0C0B"/>
    <w:rsid w:val="001F3353"/>
    <w:rsid w:val="001F4E93"/>
    <w:rsid w:val="002157E2"/>
    <w:rsid w:val="00220F0E"/>
    <w:rsid w:val="00225702"/>
    <w:rsid w:val="00230775"/>
    <w:rsid w:val="00256AEB"/>
    <w:rsid w:val="00265915"/>
    <w:rsid w:val="00282E35"/>
    <w:rsid w:val="00294BA4"/>
    <w:rsid w:val="002A156E"/>
    <w:rsid w:val="002B1276"/>
    <w:rsid w:val="002B49AA"/>
    <w:rsid w:val="002C38A0"/>
    <w:rsid w:val="002C786D"/>
    <w:rsid w:val="002D1520"/>
    <w:rsid w:val="002E2A06"/>
    <w:rsid w:val="002E3B3E"/>
    <w:rsid w:val="002E3F1F"/>
    <w:rsid w:val="002E3F72"/>
    <w:rsid w:val="002F6294"/>
    <w:rsid w:val="00323186"/>
    <w:rsid w:val="0032765B"/>
    <w:rsid w:val="00341CF6"/>
    <w:rsid w:val="00357769"/>
    <w:rsid w:val="00365AD3"/>
    <w:rsid w:val="0039117A"/>
    <w:rsid w:val="003B54C3"/>
    <w:rsid w:val="003D28D0"/>
    <w:rsid w:val="003F0075"/>
    <w:rsid w:val="003F3EF6"/>
    <w:rsid w:val="00410E93"/>
    <w:rsid w:val="0042228B"/>
    <w:rsid w:val="00450FC1"/>
    <w:rsid w:val="00454710"/>
    <w:rsid w:val="00476D1C"/>
    <w:rsid w:val="00491210"/>
    <w:rsid w:val="004B54E5"/>
    <w:rsid w:val="004C2D90"/>
    <w:rsid w:val="004C508E"/>
    <w:rsid w:val="004D3B74"/>
    <w:rsid w:val="004E2A78"/>
    <w:rsid w:val="00516CC7"/>
    <w:rsid w:val="00570226"/>
    <w:rsid w:val="005A69A4"/>
    <w:rsid w:val="005C4DDA"/>
    <w:rsid w:val="005C4DFB"/>
    <w:rsid w:val="005E2C81"/>
    <w:rsid w:val="005E2DC8"/>
    <w:rsid w:val="005F59EE"/>
    <w:rsid w:val="0061236D"/>
    <w:rsid w:val="00616915"/>
    <w:rsid w:val="00627A72"/>
    <w:rsid w:val="00627F3F"/>
    <w:rsid w:val="00630061"/>
    <w:rsid w:val="00632555"/>
    <w:rsid w:val="00654CDB"/>
    <w:rsid w:val="00675AD2"/>
    <w:rsid w:val="006C06AB"/>
    <w:rsid w:val="006C1E3A"/>
    <w:rsid w:val="006F3EF4"/>
    <w:rsid w:val="00722004"/>
    <w:rsid w:val="00731D9A"/>
    <w:rsid w:val="00734A9E"/>
    <w:rsid w:val="007432FB"/>
    <w:rsid w:val="00753EE7"/>
    <w:rsid w:val="007545CE"/>
    <w:rsid w:val="00760619"/>
    <w:rsid w:val="007701E7"/>
    <w:rsid w:val="007E3423"/>
    <w:rsid w:val="007E568B"/>
    <w:rsid w:val="00800E60"/>
    <w:rsid w:val="00801843"/>
    <w:rsid w:val="00810E8B"/>
    <w:rsid w:val="00820971"/>
    <w:rsid w:val="00854259"/>
    <w:rsid w:val="008579F9"/>
    <w:rsid w:val="0088651A"/>
    <w:rsid w:val="00887CC6"/>
    <w:rsid w:val="008A3DA4"/>
    <w:rsid w:val="008A68B8"/>
    <w:rsid w:val="008E7541"/>
    <w:rsid w:val="00917F13"/>
    <w:rsid w:val="00945F9F"/>
    <w:rsid w:val="00956222"/>
    <w:rsid w:val="009621DC"/>
    <w:rsid w:val="00980AF2"/>
    <w:rsid w:val="00981128"/>
    <w:rsid w:val="009A0A05"/>
    <w:rsid w:val="009A2161"/>
    <w:rsid w:val="009B0736"/>
    <w:rsid w:val="009C5195"/>
    <w:rsid w:val="009D320F"/>
    <w:rsid w:val="009F4AF8"/>
    <w:rsid w:val="00A00391"/>
    <w:rsid w:val="00A04273"/>
    <w:rsid w:val="00A078EB"/>
    <w:rsid w:val="00A21E6C"/>
    <w:rsid w:val="00A42CCC"/>
    <w:rsid w:val="00A7050A"/>
    <w:rsid w:val="00A918C2"/>
    <w:rsid w:val="00A92F73"/>
    <w:rsid w:val="00A96740"/>
    <w:rsid w:val="00A9767C"/>
    <w:rsid w:val="00AD7858"/>
    <w:rsid w:val="00B143A1"/>
    <w:rsid w:val="00B162C1"/>
    <w:rsid w:val="00B17C62"/>
    <w:rsid w:val="00B36A4A"/>
    <w:rsid w:val="00B56183"/>
    <w:rsid w:val="00B57E5D"/>
    <w:rsid w:val="00B941AE"/>
    <w:rsid w:val="00BB22EF"/>
    <w:rsid w:val="00BB2328"/>
    <w:rsid w:val="00BC35D4"/>
    <w:rsid w:val="00BD3CD8"/>
    <w:rsid w:val="00BE142E"/>
    <w:rsid w:val="00BF5E6F"/>
    <w:rsid w:val="00C004AA"/>
    <w:rsid w:val="00C06507"/>
    <w:rsid w:val="00C763F8"/>
    <w:rsid w:val="00C84C3B"/>
    <w:rsid w:val="00C910CF"/>
    <w:rsid w:val="00CD0C00"/>
    <w:rsid w:val="00CD6870"/>
    <w:rsid w:val="00D02882"/>
    <w:rsid w:val="00D47CBE"/>
    <w:rsid w:val="00DC433C"/>
    <w:rsid w:val="00DC4D47"/>
    <w:rsid w:val="00DD0A20"/>
    <w:rsid w:val="00E11ADB"/>
    <w:rsid w:val="00E14C52"/>
    <w:rsid w:val="00E320CA"/>
    <w:rsid w:val="00E32D52"/>
    <w:rsid w:val="00E330F2"/>
    <w:rsid w:val="00E46140"/>
    <w:rsid w:val="00E46EDA"/>
    <w:rsid w:val="00E6307D"/>
    <w:rsid w:val="00E63EFB"/>
    <w:rsid w:val="00E91FA9"/>
    <w:rsid w:val="00EA66FD"/>
    <w:rsid w:val="00EC0910"/>
    <w:rsid w:val="00ED32D1"/>
    <w:rsid w:val="00EE0069"/>
    <w:rsid w:val="00EE5F27"/>
    <w:rsid w:val="00EF7E2E"/>
    <w:rsid w:val="00F14E72"/>
    <w:rsid w:val="00F17DEE"/>
    <w:rsid w:val="00F24A4C"/>
    <w:rsid w:val="00F31859"/>
    <w:rsid w:val="00F53F12"/>
    <w:rsid w:val="00F566BF"/>
    <w:rsid w:val="00F75281"/>
    <w:rsid w:val="00F95515"/>
    <w:rsid w:val="00F96A26"/>
    <w:rsid w:val="00FB46AD"/>
    <w:rsid w:val="00FC0628"/>
    <w:rsid w:val="00FD62DC"/>
    <w:rsid w:val="00FE0B9D"/>
    <w:rsid w:val="00FE2DBB"/>
    <w:rsid w:val="00FF0ECD"/>
    <w:rsid w:val="00FF3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8978"/>
  <w15:docId w15:val="{FDC3B7CC-E6A9-4F75-95ED-D90AF39F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3">
    <w:name w:val="heading 3"/>
    <w:basedOn w:val="Normalny"/>
    <w:next w:val="Normalny"/>
    <w:link w:val="Nagwek3Znak"/>
    <w:uiPriority w:val="9"/>
    <w:unhideWhenUsed/>
    <w:qFormat/>
    <w:rsid w:val="00A9767C"/>
    <w:pPr>
      <w:keepNext/>
      <w:keepLines/>
      <w:spacing w:before="40" w:after="0"/>
      <w:outlineLvl w:val="2"/>
    </w:pPr>
    <w:rPr>
      <w:rFonts w:ascii="Calibri Light" w:eastAsia="Times New Roman" w:hAnsi="Calibri Light"/>
      <w:color w:val="1F4D78"/>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F59EE"/>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5F59EE"/>
    <w:rPr>
      <w:b/>
      <w:bCs/>
    </w:rPr>
  </w:style>
  <w:style w:type="character" w:styleId="Hipercze">
    <w:name w:val="Hyperlink"/>
    <w:uiPriority w:val="99"/>
    <w:unhideWhenUsed/>
    <w:rsid w:val="005F59EE"/>
    <w:rPr>
      <w:color w:val="0000FF"/>
      <w:u w:val="single"/>
    </w:rPr>
  </w:style>
  <w:style w:type="character" w:styleId="Uwydatnienie">
    <w:name w:val="Emphasis"/>
    <w:uiPriority w:val="20"/>
    <w:qFormat/>
    <w:rsid w:val="005F59EE"/>
    <w:rPr>
      <w:i/>
      <w:iCs/>
    </w:rPr>
  </w:style>
  <w:style w:type="paragraph" w:customStyle="1" w:styleId="Default">
    <w:name w:val="Default"/>
    <w:rsid w:val="00410E93"/>
    <w:pPr>
      <w:autoSpaceDE w:val="0"/>
      <w:autoSpaceDN w:val="0"/>
      <w:adjustRightInd w:val="0"/>
    </w:pPr>
    <w:rPr>
      <w:rFonts w:ascii="Verdana" w:hAnsi="Verdana" w:cs="Verdana"/>
      <w:color w:val="000000"/>
      <w:sz w:val="24"/>
      <w:szCs w:val="24"/>
      <w:lang w:eastAsia="en-US"/>
    </w:rPr>
  </w:style>
  <w:style w:type="paragraph" w:styleId="Akapitzlist">
    <w:name w:val="List Paragraph"/>
    <w:basedOn w:val="Normalny"/>
    <w:uiPriority w:val="99"/>
    <w:qFormat/>
    <w:rsid w:val="00FC0628"/>
    <w:pPr>
      <w:ind w:left="720"/>
      <w:contextualSpacing/>
    </w:pPr>
  </w:style>
  <w:style w:type="character" w:styleId="Odwoaniedokomentarza">
    <w:name w:val="annotation reference"/>
    <w:semiHidden/>
    <w:unhideWhenUsed/>
    <w:rsid w:val="00A078EB"/>
    <w:rPr>
      <w:sz w:val="16"/>
      <w:szCs w:val="16"/>
    </w:rPr>
  </w:style>
  <w:style w:type="paragraph" w:styleId="Tekstkomentarza">
    <w:name w:val="annotation text"/>
    <w:basedOn w:val="Normalny"/>
    <w:link w:val="TekstkomentarzaZnak"/>
    <w:uiPriority w:val="99"/>
    <w:semiHidden/>
    <w:unhideWhenUsed/>
    <w:rsid w:val="00A078EB"/>
    <w:pPr>
      <w:spacing w:before="200" w:after="200" w:line="240" w:lineRule="auto"/>
    </w:pPr>
    <w:rPr>
      <w:rFonts w:eastAsia="Times New Roman"/>
      <w:sz w:val="20"/>
      <w:szCs w:val="20"/>
      <w:lang w:val="en-US"/>
    </w:rPr>
  </w:style>
  <w:style w:type="character" w:customStyle="1" w:styleId="TekstkomentarzaZnak">
    <w:name w:val="Tekst komentarza Znak"/>
    <w:link w:val="Tekstkomentarza"/>
    <w:uiPriority w:val="99"/>
    <w:semiHidden/>
    <w:rsid w:val="00A078EB"/>
    <w:rPr>
      <w:rFonts w:ascii="Calibri" w:eastAsia="Times New Roman" w:hAnsi="Calibri" w:cs="Times New Roman"/>
      <w:sz w:val="20"/>
      <w:szCs w:val="20"/>
      <w:lang w:val="en-US"/>
    </w:rPr>
  </w:style>
  <w:style w:type="paragraph" w:styleId="Bezodstpw">
    <w:name w:val="No Spacing"/>
    <w:link w:val="BezodstpwZnak"/>
    <w:uiPriority w:val="1"/>
    <w:qFormat/>
    <w:rsid w:val="00A078EB"/>
    <w:rPr>
      <w:sz w:val="22"/>
      <w:szCs w:val="22"/>
      <w:lang w:eastAsia="en-US"/>
    </w:rPr>
  </w:style>
  <w:style w:type="paragraph" w:styleId="Tekstdymka">
    <w:name w:val="Balloon Text"/>
    <w:basedOn w:val="Normalny"/>
    <w:link w:val="TekstdymkaZnak"/>
    <w:uiPriority w:val="99"/>
    <w:semiHidden/>
    <w:unhideWhenUsed/>
    <w:rsid w:val="00A078E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078EB"/>
    <w:rPr>
      <w:rFonts w:ascii="Segoe UI" w:hAnsi="Segoe UI" w:cs="Segoe UI"/>
      <w:sz w:val="18"/>
      <w:szCs w:val="18"/>
    </w:rPr>
  </w:style>
  <w:style w:type="character" w:customStyle="1" w:styleId="Nagwek3Znak">
    <w:name w:val="Nagłówek 3 Znak"/>
    <w:link w:val="Nagwek3"/>
    <w:uiPriority w:val="9"/>
    <w:rsid w:val="00A9767C"/>
    <w:rPr>
      <w:rFonts w:ascii="Calibri Light" w:eastAsia="Times New Roman" w:hAnsi="Calibri Light" w:cs="Times New Roman"/>
      <w:color w:val="1F4D78"/>
      <w:sz w:val="24"/>
      <w:szCs w:val="24"/>
    </w:rPr>
  </w:style>
  <w:style w:type="paragraph" w:customStyle="1" w:styleId="FNRNormal">
    <w:name w:val="FNR Normal"/>
    <w:qFormat/>
    <w:rsid w:val="00A9767C"/>
    <w:pPr>
      <w:spacing w:before="200" w:after="120" w:line="276" w:lineRule="auto"/>
      <w:jc w:val="both"/>
    </w:pPr>
    <w:rPr>
      <w:rFonts w:ascii="Arial" w:eastAsia="Times New Roman" w:hAnsi="Arial" w:cs="Arial"/>
      <w:szCs w:val="22"/>
      <w:lang w:val="en-GB" w:eastAsia="en-US" w:bidi="en-US"/>
    </w:rPr>
  </w:style>
  <w:style w:type="paragraph" w:styleId="Tematkomentarza">
    <w:name w:val="annotation subject"/>
    <w:basedOn w:val="Tekstkomentarza"/>
    <w:next w:val="Tekstkomentarza"/>
    <w:link w:val="TematkomentarzaZnak"/>
    <w:uiPriority w:val="99"/>
    <w:semiHidden/>
    <w:unhideWhenUsed/>
    <w:rsid w:val="006C06AB"/>
    <w:pPr>
      <w:widowControl w:val="0"/>
      <w:spacing w:before="0" w:after="0"/>
    </w:pPr>
    <w:rPr>
      <w:rFonts w:ascii="Arial" w:hAnsi="Arial"/>
      <w:b/>
      <w:bCs/>
      <w:kern w:val="28"/>
      <w:lang w:val="en-GB"/>
    </w:rPr>
  </w:style>
  <w:style w:type="character" w:customStyle="1" w:styleId="TematkomentarzaZnak">
    <w:name w:val="Temat komentarza Znak"/>
    <w:link w:val="Tematkomentarza"/>
    <w:uiPriority w:val="99"/>
    <w:semiHidden/>
    <w:rsid w:val="006C06AB"/>
    <w:rPr>
      <w:rFonts w:ascii="Arial" w:eastAsia="Times New Roman" w:hAnsi="Arial" w:cs="Times New Roman"/>
      <w:b/>
      <w:bCs/>
      <w:kern w:val="28"/>
      <w:sz w:val="20"/>
      <w:szCs w:val="20"/>
      <w:lang w:val="en-GB"/>
    </w:rPr>
  </w:style>
  <w:style w:type="character" w:customStyle="1" w:styleId="alt-edited">
    <w:name w:val="alt-edited"/>
    <w:basedOn w:val="Domylnaczcionkaakapitu"/>
    <w:rsid w:val="006C06AB"/>
  </w:style>
  <w:style w:type="character" w:customStyle="1" w:styleId="BezodstpwZnak">
    <w:name w:val="Bez odstępów Znak"/>
    <w:link w:val="Bezodstpw"/>
    <w:uiPriority w:val="1"/>
    <w:rsid w:val="009A2161"/>
    <w:rPr>
      <w:sz w:val="22"/>
      <w:szCs w:val="22"/>
      <w:lang w:eastAsia="en-US"/>
    </w:rPr>
  </w:style>
  <w:style w:type="paragraph" w:styleId="Tekstprzypisudolnego">
    <w:name w:val="footnote text"/>
    <w:basedOn w:val="Normalny"/>
    <w:link w:val="TekstprzypisudolnegoZnak"/>
    <w:uiPriority w:val="99"/>
    <w:semiHidden/>
    <w:unhideWhenUsed/>
    <w:rsid w:val="00294BA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94BA4"/>
    <w:rPr>
      <w:lang w:eastAsia="en-US"/>
    </w:rPr>
  </w:style>
  <w:style w:type="character" w:styleId="Odwoanieprzypisudolnego">
    <w:name w:val="footnote reference"/>
    <w:basedOn w:val="Domylnaczcionkaakapitu"/>
    <w:uiPriority w:val="99"/>
    <w:semiHidden/>
    <w:unhideWhenUsed/>
    <w:rsid w:val="00294BA4"/>
    <w:rPr>
      <w:vertAlign w:val="superscript"/>
    </w:rPr>
  </w:style>
  <w:style w:type="table" w:styleId="Tabela-Siatka">
    <w:name w:val="Table Grid"/>
    <w:basedOn w:val="Standardowy"/>
    <w:uiPriority w:val="39"/>
    <w:rsid w:val="006F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6647">
      <w:bodyDiv w:val="1"/>
      <w:marLeft w:val="0"/>
      <w:marRight w:val="0"/>
      <w:marTop w:val="0"/>
      <w:marBottom w:val="0"/>
      <w:divBdr>
        <w:top w:val="none" w:sz="0" w:space="0" w:color="auto"/>
        <w:left w:val="none" w:sz="0" w:space="0" w:color="auto"/>
        <w:bottom w:val="none" w:sz="0" w:space="0" w:color="auto"/>
        <w:right w:val="none" w:sz="0" w:space="0" w:color="auto"/>
      </w:divBdr>
      <w:divsChild>
        <w:div w:id="1809785232">
          <w:marLeft w:val="0"/>
          <w:marRight w:val="0"/>
          <w:marTop w:val="0"/>
          <w:marBottom w:val="0"/>
          <w:divBdr>
            <w:top w:val="none" w:sz="0" w:space="0" w:color="auto"/>
            <w:left w:val="none" w:sz="0" w:space="0" w:color="auto"/>
            <w:bottom w:val="none" w:sz="0" w:space="0" w:color="auto"/>
            <w:right w:val="none" w:sz="0" w:space="0" w:color="auto"/>
          </w:divBdr>
        </w:div>
      </w:divsChild>
    </w:div>
    <w:div w:id="2081517301">
      <w:bodyDiv w:val="1"/>
      <w:marLeft w:val="0"/>
      <w:marRight w:val="0"/>
      <w:marTop w:val="0"/>
      <w:marBottom w:val="0"/>
      <w:divBdr>
        <w:top w:val="none" w:sz="0" w:space="0" w:color="auto"/>
        <w:left w:val="none" w:sz="0" w:space="0" w:color="auto"/>
        <w:bottom w:val="none" w:sz="0" w:space="0" w:color="auto"/>
        <w:right w:val="none" w:sz="0" w:space="0" w:color="auto"/>
      </w:divBdr>
      <w:divsChild>
        <w:div w:id="36198473">
          <w:marLeft w:val="0"/>
          <w:marRight w:val="0"/>
          <w:marTop w:val="0"/>
          <w:marBottom w:val="0"/>
          <w:divBdr>
            <w:top w:val="none" w:sz="0" w:space="0" w:color="auto"/>
            <w:left w:val="none" w:sz="0" w:space="0" w:color="auto"/>
            <w:bottom w:val="none" w:sz="0" w:space="0" w:color="auto"/>
            <w:right w:val="none" w:sz="0" w:space="0" w:color="auto"/>
          </w:divBdr>
        </w:div>
        <w:div w:id="110052955">
          <w:marLeft w:val="0"/>
          <w:marRight w:val="0"/>
          <w:marTop w:val="0"/>
          <w:marBottom w:val="0"/>
          <w:divBdr>
            <w:top w:val="none" w:sz="0" w:space="0" w:color="auto"/>
            <w:left w:val="none" w:sz="0" w:space="0" w:color="auto"/>
            <w:bottom w:val="none" w:sz="0" w:space="0" w:color="auto"/>
            <w:right w:val="none" w:sz="0" w:space="0" w:color="auto"/>
          </w:divBdr>
        </w:div>
        <w:div w:id="123355555">
          <w:marLeft w:val="0"/>
          <w:marRight w:val="0"/>
          <w:marTop w:val="0"/>
          <w:marBottom w:val="0"/>
          <w:divBdr>
            <w:top w:val="none" w:sz="0" w:space="0" w:color="auto"/>
            <w:left w:val="none" w:sz="0" w:space="0" w:color="auto"/>
            <w:bottom w:val="none" w:sz="0" w:space="0" w:color="auto"/>
            <w:right w:val="none" w:sz="0" w:space="0" w:color="auto"/>
          </w:divBdr>
        </w:div>
        <w:div w:id="128015878">
          <w:marLeft w:val="0"/>
          <w:marRight w:val="0"/>
          <w:marTop w:val="0"/>
          <w:marBottom w:val="0"/>
          <w:divBdr>
            <w:top w:val="none" w:sz="0" w:space="0" w:color="auto"/>
            <w:left w:val="none" w:sz="0" w:space="0" w:color="auto"/>
            <w:bottom w:val="none" w:sz="0" w:space="0" w:color="auto"/>
            <w:right w:val="none" w:sz="0" w:space="0" w:color="auto"/>
          </w:divBdr>
        </w:div>
        <w:div w:id="142816553">
          <w:marLeft w:val="0"/>
          <w:marRight w:val="0"/>
          <w:marTop w:val="0"/>
          <w:marBottom w:val="0"/>
          <w:divBdr>
            <w:top w:val="none" w:sz="0" w:space="0" w:color="auto"/>
            <w:left w:val="none" w:sz="0" w:space="0" w:color="auto"/>
            <w:bottom w:val="none" w:sz="0" w:space="0" w:color="auto"/>
            <w:right w:val="none" w:sz="0" w:space="0" w:color="auto"/>
          </w:divBdr>
        </w:div>
        <w:div w:id="309093981">
          <w:marLeft w:val="0"/>
          <w:marRight w:val="0"/>
          <w:marTop w:val="0"/>
          <w:marBottom w:val="0"/>
          <w:divBdr>
            <w:top w:val="none" w:sz="0" w:space="0" w:color="auto"/>
            <w:left w:val="none" w:sz="0" w:space="0" w:color="auto"/>
            <w:bottom w:val="none" w:sz="0" w:space="0" w:color="auto"/>
            <w:right w:val="none" w:sz="0" w:space="0" w:color="auto"/>
          </w:divBdr>
        </w:div>
        <w:div w:id="367612173">
          <w:marLeft w:val="0"/>
          <w:marRight w:val="0"/>
          <w:marTop w:val="0"/>
          <w:marBottom w:val="0"/>
          <w:divBdr>
            <w:top w:val="none" w:sz="0" w:space="0" w:color="auto"/>
            <w:left w:val="none" w:sz="0" w:space="0" w:color="auto"/>
            <w:bottom w:val="none" w:sz="0" w:space="0" w:color="auto"/>
            <w:right w:val="none" w:sz="0" w:space="0" w:color="auto"/>
          </w:divBdr>
        </w:div>
        <w:div w:id="371925018">
          <w:marLeft w:val="0"/>
          <w:marRight w:val="0"/>
          <w:marTop w:val="0"/>
          <w:marBottom w:val="0"/>
          <w:divBdr>
            <w:top w:val="none" w:sz="0" w:space="0" w:color="auto"/>
            <w:left w:val="none" w:sz="0" w:space="0" w:color="auto"/>
            <w:bottom w:val="none" w:sz="0" w:space="0" w:color="auto"/>
            <w:right w:val="none" w:sz="0" w:space="0" w:color="auto"/>
          </w:divBdr>
        </w:div>
        <w:div w:id="492834923">
          <w:marLeft w:val="0"/>
          <w:marRight w:val="0"/>
          <w:marTop w:val="0"/>
          <w:marBottom w:val="0"/>
          <w:divBdr>
            <w:top w:val="none" w:sz="0" w:space="0" w:color="auto"/>
            <w:left w:val="none" w:sz="0" w:space="0" w:color="auto"/>
            <w:bottom w:val="none" w:sz="0" w:space="0" w:color="auto"/>
            <w:right w:val="none" w:sz="0" w:space="0" w:color="auto"/>
          </w:divBdr>
        </w:div>
        <w:div w:id="502209761">
          <w:marLeft w:val="0"/>
          <w:marRight w:val="0"/>
          <w:marTop w:val="0"/>
          <w:marBottom w:val="0"/>
          <w:divBdr>
            <w:top w:val="none" w:sz="0" w:space="0" w:color="auto"/>
            <w:left w:val="none" w:sz="0" w:space="0" w:color="auto"/>
            <w:bottom w:val="none" w:sz="0" w:space="0" w:color="auto"/>
            <w:right w:val="none" w:sz="0" w:space="0" w:color="auto"/>
          </w:divBdr>
        </w:div>
        <w:div w:id="639309590">
          <w:marLeft w:val="0"/>
          <w:marRight w:val="0"/>
          <w:marTop w:val="0"/>
          <w:marBottom w:val="0"/>
          <w:divBdr>
            <w:top w:val="none" w:sz="0" w:space="0" w:color="auto"/>
            <w:left w:val="none" w:sz="0" w:space="0" w:color="auto"/>
            <w:bottom w:val="none" w:sz="0" w:space="0" w:color="auto"/>
            <w:right w:val="none" w:sz="0" w:space="0" w:color="auto"/>
          </w:divBdr>
        </w:div>
        <w:div w:id="677391506">
          <w:marLeft w:val="0"/>
          <w:marRight w:val="0"/>
          <w:marTop w:val="0"/>
          <w:marBottom w:val="0"/>
          <w:divBdr>
            <w:top w:val="none" w:sz="0" w:space="0" w:color="auto"/>
            <w:left w:val="none" w:sz="0" w:space="0" w:color="auto"/>
            <w:bottom w:val="none" w:sz="0" w:space="0" w:color="auto"/>
            <w:right w:val="none" w:sz="0" w:space="0" w:color="auto"/>
          </w:divBdr>
        </w:div>
        <w:div w:id="830483202">
          <w:marLeft w:val="0"/>
          <w:marRight w:val="0"/>
          <w:marTop w:val="0"/>
          <w:marBottom w:val="0"/>
          <w:divBdr>
            <w:top w:val="none" w:sz="0" w:space="0" w:color="auto"/>
            <w:left w:val="none" w:sz="0" w:space="0" w:color="auto"/>
            <w:bottom w:val="none" w:sz="0" w:space="0" w:color="auto"/>
            <w:right w:val="none" w:sz="0" w:space="0" w:color="auto"/>
          </w:divBdr>
        </w:div>
        <w:div w:id="881941816">
          <w:marLeft w:val="0"/>
          <w:marRight w:val="0"/>
          <w:marTop w:val="0"/>
          <w:marBottom w:val="0"/>
          <w:divBdr>
            <w:top w:val="none" w:sz="0" w:space="0" w:color="auto"/>
            <w:left w:val="none" w:sz="0" w:space="0" w:color="auto"/>
            <w:bottom w:val="none" w:sz="0" w:space="0" w:color="auto"/>
            <w:right w:val="none" w:sz="0" w:space="0" w:color="auto"/>
          </w:divBdr>
        </w:div>
        <w:div w:id="897319316">
          <w:marLeft w:val="0"/>
          <w:marRight w:val="0"/>
          <w:marTop w:val="0"/>
          <w:marBottom w:val="0"/>
          <w:divBdr>
            <w:top w:val="none" w:sz="0" w:space="0" w:color="auto"/>
            <w:left w:val="none" w:sz="0" w:space="0" w:color="auto"/>
            <w:bottom w:val="none" w:sz="0" w:space="0" w:color="auto"/>
            <w:right w:val="none" w:sz="0" w:space="0" w:color="auto"/>
          </w:divBdr>
        </w:div>
        <w:div w:id="899706869">
          <w:marLeft w:val="0"/>
          <w:marRight w:val="0"/>
          <w:marTop w:val="0"/>
          <w:marBottom w:val="0"/>
          <w:divBdr>
            <w:top w:val="none" w:sz="0" w:space="0" w:color="auto"/>
            <w:left w:val="none" w:sz="0" w:space="0" w:color="auto"/>
            <w:bottom w:val="none" w:sz="0" w:space="0" w:color="auto"/>
            <w:right w:val="none" w:sz="0" w:space="0" w:color="auto"/>
          </w:divBdr>
        </w:div>
        <w:div w:id="1055737487">
          <w:marLeft w:val="0"/>
          <w:marRight w:val="0"/>
          <w:marTop w:val="0"/>
          <w:marBottom w:val="0"/>
          <w:divBdr>
            <w:top w:val="none" w:sz="0" w:space="0" w:color="auto"/>
            <w:left w:val="none" w:sz="0" w:space="0" w:color="auto"/>
            <w:bottom w:val="none" w:sz="0" w:space="0" w:color="auto"/>
            <w:right w:val="none" w:sz="0" w:space="0" w:color="auto"/>
          </w:divBdr>
        </w:div>
        <w:div w:id="1102065862">
          <w:marLeft w:val="0"/>
          <w:marRight w:val="0"/>
          <w:marTop w:val="0"/>
          <w:marBottom w:val="0"/>
          <w:divBdr>
            <w:top w:val="none" w:sz="0" w:space="0" w:color="auto"/>
            <w:left w:val="none" w:sz="0" w:space="0" w:color="auto"/>
            <w:bottom w:val="none" w:sz="0" w:space="0" w:color="auto"/>
            <w:right w:val="none" w:sz="0" w:space="0" w:color="auto"/>
          </w:divBdr>
        </w:div>
        <w:div w:id="1103719579">
          <w:marLeft w:val="0"/>
          <w:marRight w:val="0"/>
          <w:marTop w:val="0"/>
          <w:marBottom w:val="0"/>
          <w:divBdr>
            <w:top w:val="none" w:sz="0" w:space="0" w:color="auto"/>
            <w:left w:val="none" w:sz="0" w:space="0" w:color="auto"/>
            <w:bottom w:val="none" w:sz="0" w:space="0" w:color="auto"/>
            <w:right w:val="none" w:sz="0" w:space="0" w:color="auto"/>
          </w:divBdr>
        </w:div>
        <w:div w:id="1148009236">
          <w:marLeft w:val="0"/>
          <w:marRight w:val="0"/>
          <w:marTop w:val="0"/>
          <w:marBottom w:val="0"/>
          <w:divBdr>
            <w:top w:val="none" w:sz="0" w:space="0" w:color="auto"/>
            <w:left w:val="none" w:sz="0" w:space="0" w:color="auto"/>
            <w:bottom w:val="none" w:sz="0" w:space="0" w:color="auto"/>
            <w:right w:val="none" w:sz="0" w:space="0" w:color="auto"/>
          </w:divBdr>
        </w:div>
        <w:div w:id="1209146273">
          <w:marLeft w:val="0"/>
          <w:marRight w:val="0"/>
          <w:marTop w:val="0"/>
          <w:marBottom w:val="0"/>
          <w:divBdr>
            <w:top w:val="none" w:sz="0" w:space="0" w:color="auto"/>
            <w:left w:val="none" w:sz="0" w:space="0" w:color="auto"/>
            <w:bottom w:val="none" w:sz="0" w:space="0" w:color="auto"/>
            <w:right w:val="none" w:sz="0" w:space="0" w:color="auto"/>
          </w:divBdr>
        </w:div>
        <w:div w:id="1464081984">
          <w:marLeft w:val="0"/>
          <w:marRight w:val="0"/>
          <w:marTop w:val="0"/>
          <w:marBottom w:val="0"/>
          <w:divBdr>
            <w:top w:val="none" w:sz="0" w:space="0" w:color="auto"/>
            <w:left w:val="none" w:sz="0" w:space="0" w:color="auto"/>
            <w:bottom w:val="none" w:sz="0" w:space="0" w:color="auto"/>
            <w:right w:val="none" w:sz="0" w:space="0" w:color="auto"/>
          </w:divBdr>
        </w:div>
        <w:div w:id="1686438564">
          <w:marLeft w:val="0"/>
          <w:marRight w:val="0"/>
          <w:marTop w:val="0"/>
          <w:marBottom w:val="0"/>
          <w:divBdr>
            <w:top w:val="none" w:sz="0" w:space="0" w:color="auto"/>
            <w:left w:val="none" w:sz="0" w:space="0" w:color="auto"/>
            <w:bottom w:val="none" w:sz="0" w:space="0" w:color="auto"/>
            <w:right w:val="none" w:sz="0" w:space="0" w:color="auto"/>
          </w:divBdr>
        </w:div>
        <w:div w:id="1686908174">
          <w:marLeft w:val="0"/>
          <w:marRight w:val="0"/>
          <w:marTop w:val="0"/>
          <w:marBottom w:val="0"/>
          <w:divBdr>
            <w:top w:val="none" w:sz="0" w:space="0" w:color="auto"/>
            <w:left w:val="none" w:sz="0" w:space="0" w:color="auto"/>
            <w:bottom w:val="none" w:sz="0" w:space="0" w:color="auto"/>
            <w:right w:val="none" w:sz="0" w:space="0" w:color="auto"/>
          </w:divBdr>
        </w:div>
        <w:div w:id="1772554962">
          <w:marLeft w:val="0"/>
          <w:marRight w:val="0"/>
          <w:marTop w:val="0"/>
          <w:marBottom w:val="0"/>
          <w:divBdr>
            <w:top w:val="none" w:sz="0" w:space="0" w:color="auto"/>
            <w:left w:val="none" w:sz="0" w:space="0" w:color="auto"/>
            <w:bottom w:val="none" w:sz="0" w:space="0" w:color="auto"/>
            <w:right w:val="none" w:sz="0" w:space="0" w:color="auto"/>
          </w:divBdr>
        </w:div>
        <w:div w:id="1862429765">
          <w:marLeft w:val="0"/>
          <w:marRight w:val="0"/>
          <w:marTop w:val="0"/>
          <w:marBottom w:val="0"/>
          <w:divBdr>
            <w:top w:val="none" w:sz="0" w:space="0" w:color="auto"/>
            <w:left w:val="none" w:sz="0" w:space="0" w:color="auto"/>
            <w:bottom w:val="none" w:sz="0" w:space="0" w:color="auto"/>
            <w:right w:val="none" w:sz="0" w:space="0" w:color="auto"/>
          </w:divBdr>
        </w:div>
        <w:div w:id="2060205202">
          <w:marLeft w:val="0"/>
          <w:marRight w:val="0"/>
          <w:marTop w:val="0"/>
          <w:marBottom w:val="0"/>
          <w:divBdr>
            <w:top w:val="none" w:sz="0" w:space="0" w:color="auto"/>
            <w:left w:val="none" w:sz="0" w:space="0" w:color="auto"/>
            <w:bottom w:val="none" w:sz="0" w:space="0" w:color="auto"/>
            <w:right w:val="none" w:sz="0" w:space="0" w:color="auto"/>
          </w:divBdr>
        </w:div>
        <w:div w:id="2098332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i.ncbr.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linkTo_UnCryptMailto('ocknvq,pqtycaitcpvuBpedt0iqx0r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34EC1-C4B6-4F2A-A20C-768E01AC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2434</Words>
  <Characters>14604</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17004</CharactersWithSpaces>
  <SharedDoc>false</SharedDoc>
  <HLinks>
    <vt:vector size="6" baseType="variant">
      <vt:variant>
        <vt:i4>458804</vt:i4>
      </vt:variant>
      <vt:variant>
        <vt:i4>0</vt:i4>
      </vt:variant>
      <vt:variant>
        <vt:i4>0</vt:i4>
      </vt:variant>
      <vt:variant>
        <vt:i4>5</vt:i4>
      </vt:variant>
      <vt:variant>
        <vt:lpwstr>javascript:linkTo_UnCryptMailto('ocknvq,pqtycaitcpvuBpedt0iqx0rn');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Wildner</dc:creator>
  <cp:keywords/>
  <cp:lastModifiedBy>Krystyna Maciejko</cp:lastModifiedBy>
  <cp:revision>5</cp:revision>
  <cp:lastPrinted>2019-03-28T13:34:00Z</cp:lastPrinted>
  <dcterms:created xsi:type="dcterms:W3CDTF">2020-09-25T11:55:00Z</dcterms:created>
  <dcterms:modified xsi:type="dcterms:W3CDTF">2020-09-28T08:59:00Z</dcterms:modified>
</cp:coreProperties>
</file>