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801B" w14:textId="25D018FB" w:rsidR="00F626B8" w:rsidRPr="00E316CD" w:rsidRDefault="00F626B8" w:rsidP="00F626B8">
      <w:pPr>
        <w:tabs>
          <w:tab w:val="left" w:pos="2055"/>
          <w:tab w:val="center" w:pos="4536"/>
        </w:tabs>
        <w:spacing w:before="100" w:beforeAutospacing="1" w:after="0" w:line="360" w:lineRule="auto"/>
        <w:ind w:right="57"/>
        <w:jc w:val="both"/>
        <w:rPr>
          <w:rFonts w:ascii="Times New Roman" w:hAnsi="Times New Roman"/>
          <w:b/>
          <w:sz w:val="24"/>
          <w:szCs w:val="24"/>
        </w:rPr>
      </w:pPr>
      <w:r w:rsidRPr="00E316CD">
        <w:rPr>
          <w:rFonts w:ascii="Times New Roman" w:hAnsi="Times New Roman"/>
          <w:b/>
          <w:sz w:val="24"/>
          <w:szCs w:val="24"/>
        </w:rPr>
        <w:t>Pouczenie</w:t>
      </w:r>
      <w:r>
        <w:rPr>
          <w:rFonts w:ascii="Times New Roman" w:hAnsi="Times New Roman"/>
          <w:b/>
          <w:sz w:val="24"/>
          <w:szCs w:val="24"/>
        </w:rPr>
        <w:t xml:space="preserve"> dot. aktu oskarżenia</w:t>
      </w:r>
    </w:p>
    <w:p w14:paraId="1AEA3D6A"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Art. 343 k.p.k. Skazanie bez rozprawy</w:t>
      </w:r>
    </w:p>
    <w:p w14:paraId="2742C86D"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80FCAEC"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 xml:space="preserve">Jeżeli nie ma zastosowania </w:t>
      </w:r>
      <w:hyperlink r:id="rId4" w:anchor="/document/16798683?unitId=art(46)" w:history="1">
        <w:r w:rsidRPr="00E316CD">
          <w:rPr>
            <w:rFonts w:ascii="Times New Roman" w:eastAsia="Times New Roman" w:hAnsi="Times New Roman"/>
            <w:color w:val="1B7AB8"/>
            <w:sz w:val="24"/>
            <w:szCs w:val="24"/>
            <w:u w:val="single"/>
            <w:lang w:eastAsia="pl-PL"/>
          </w:rPr>
          <w:t>art. 46</w:t>
        </w:r>
      </w:hyperlink>
      <w:r w:rsidRPr="00E316CD">
        <w:rPr>
          <w:rFonts w:ascii="Times New Roman" w:eastAsia="Times New Roman" w:hAnsi="Times New Roman"/>
          <w:color w:val="333333"/>
          <w:sz w:val="24"/>
          <w:szCs w:val="24"/>
          <w:lang w:eastAsia="pl-PL"/>
        </w:rPr>
        <w:t xml:space="preserve"> Kodeksu karnego, sąd może uzależnić uwzględnienie wniosku, o którym mowa w art. 335, od naprawienia szkody w całości albo w części lub od zadośćuczynienia za doznaną krzywdę. Przepis art. 341 § 3 stosuje się odpowiednio.</w:t>
      </w:r>
    </w:p>
    <w:p w14:paraId="20E8AAF5"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18F35013"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Uwzględnienie wniosku jest możliwe tylko wówczas, jeżeli nie sprzeciwi się temu pokrzywdzony, należycie powiadomiony o terminie posiedzenia.</w:t>
      </w:r>
    </w:p>
    <w:p w14:paraId="49539EED"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2804C284"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3. </w:t>
      </w:r>
      <w:r w:rsidRPr="00E316CD">
        <w:rPr>
          <w:rFonts w:ascii="Times New Roman" w:eastAsia="Times New Roman" w:hAnsi="Times New Roman"/>
          <w:color w:val="333333"/>
          <w:sz w:val="24"/>
          <w:szCs w:val="24"/>
          <w:lang w:eastAsia="pl-PL"/>
        </w:rPr>
        <w:t>Sąd może uzależnić uwzględnienie wniosku od dokonania w nim przez prokuratora wskazanej przez siebie zmiany, zaakceptowanej przez oskarżonego.</w:t>
      </w:r>
    </w:p>
    <w:p w14:paraId="59A70251"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7710B863"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4. </w:t>
      </w:r>
      <w:r w:rsidRPr="00E316CD">
        <w:rPr>
          <w:rFonts w:ascii="Times New Roman" w:eastAsia="Times New Roman" w:hAnsi="Times New Roman"/>
          <w:color w:val="333333"/>
          <w:sz w:val="24"/>
          <w:szCs w:val="24"/>
          <w:lang w:eastAsia="pl-PL"/>
        </w:rPr>
        <w:t>Postępowania dowodowego nie prowadzi się.</w:t>
      </w:r>
    </w:p>
    <w:p w14:paraId="577E9B6F"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2F1DD9B3"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5. </w:t>
      </w:r>
      <w:r w:rsidRPr="00E316CD">
        <w:rPr>
          <w:rFonts w:ascii="Times New Roman" w:eastAsia="Times New Roman" w:hAnsi="Times New Roman"/>
          <w:color w:val="333333"/>
          <w:sz w:val="24"/>
          <w:szCs w:val="24"/>
          <w:lang w:eastAsia="pl-PL"/>
        </w:rPr>
        <w:t>Prokurator, oskarżony i pokrzywdzony mają prawo wziąć udział w posiedzeniu. Zawiadamiając pokrzywdzonego o posiedzeniu poucza się go o możliwości zakończenia postępowania bez przeprowadzenia rozprawy oraz wcześniejszego złożenia oświadczenia, o którym mowa w art. 54 § 1. Udział podmiotów wskazanych w zdaniu pierwszym w posiedzeniu jest obowiązkowy, jeżeli prezes sądu lub sąd tak zarządzi.</w:t>
      </w:r>
    </w:p>
    <w:p w14:paraId="273582D8"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AE951A4"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5a. </w:t>
      </w:r>
      <w:r w:rsidRPr="00E316CD">
        <w:rPr>
          <w:rFonts w:ascii="Times New Roman" w:eastAsia="Times New Roman" w:hAnsi="Times New Roman"/>
          <w:color w:val="333333"/>
          <w:sz w:val="24"/>
          <w:szCs w:val="24"/>
          <w:lang w:eastAsia="pl-PL"/>
        </w:rPr>
        <w:t>Przed uwzględnieniem wniosku, o którym mowa w art. 335, sąd poucza obecnego oskarżonego o treści art. 447 § 5.</w:t>
      </w:r>
    </w:p>
    <w:p w14:paraId="73EDCAC1"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04884793"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6. </w:t>
      </w:r>
      <w:r w:rsidRPr="00E316CD">
        <w:rPr>
          <w:rFonts w:ascii="Times New Roman" w:eastAsia="Times New Roman" w:hAnsi="Times New Roman"/>
          <w:color w:val="333333"/>
          <w:sz w:val="24"/>
          <w:szCs w:val="24"/>
          <w:lang w:eastAsia="pl-PL"/>
        </w:rPr>
        <w:t>Sąd, uwzględniając wniosek, skazuje oskarżonego wyrokiem.</w:t>
      </w:r>
    </w:p>
    <w:p w14:paraId="7B2E96CF"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55C7D2F"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7. </w:t>
      </w:r>
      <w:r w:rsidRPr="00E316CD">
        <w:rPr>
          <w:rFonts w:ascii="Times New Roman" w:eastAsia="Times New Roman" w:hAnsi="Times New Roman"/>
          <w:color w:val="333333"/>
          <w:sz w:val="24"/>
          <w:szCs w:val="24"/>
          <w:lang w:eastAsia="pl-PL"/>
        </w:rPr>
        <w:t>Jeżeli sąd uzna, że nie zachodzą podstawy do uwzględnienia wniosku, o którym mowa w art. 335 § 1, zwraca sprawę prokuratorowi. W razie nieuwzględnienia wniosku wskazanego w art. 335 § 2 sprawa podlega rozpoznaniu na zasadach ogólnych, a prokurator, w terminie 7 dni od dnia posiedzenia, dokonuje czynności określonych w art. 333 § 1 i 2.</w:t>
      </w:r>
    </w:p>
    <w:p w14:paraId="083B42D4"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647F6ED1" w14:textId="77777777" w:rsidR="00F626B8" w:rsidRPr="00E316CD" w:rsidRDefault="00F626B8" w:rsidP="00F626B8">
      <w:pPr>
        <w:shd w:val="clear" w:color="auto" w:fill="FFFFFF"/>
        <w:suppressAutoHyphens w:val="0"/>
        <w:autoSpaceDN/>
        <w:jc w:val="both"/>
        <w:rPr>
          <w:rFonts w:ascii="Times New Roman" w:eastAsia="Times New Roman" w:hAnsi="Times New Roman"/>
          <w:b/>
          <w:color w:val="333333"/>
          <w:sz w:val="24"/>
          <w:szCs w:val="24"/>
          <w:lang w:eastAsia="pl-PL"/>
        </w:rPr>
      </w:pPr>
      <w:r w:rsidRPr="00E316CD">
        <w:rPr>
          <w:rFonts w:ascii="Times New Roman" w:eastAsia="Times New Roman" w:hAnsi="Times New Roman"/>
          <w:b/>
          <w:color w:val="333333"/>
          <w:sz w:val="24"/>
          <w:szCs w:val="24"/>
          <w:lang w:eastAsia="pl-PL"/>
        </w:rPr>
        <w:t>Art. 343a k.p.k. Rozpatrzenie wniosku o wydanie wyroku skazującego bez przeprowadzenia postępowania dowodowego</w:t>
      </w:r>
    </w:p>
    <w:p w14:paraId="07CB43C9" w14:textId="77777777" w:rsidR="00F626B8" w:rsidRPr="00E316CD" w:rsidRDefault="00F626B8" w:rsidP="00F626B8">
      <w:pPr>
        <w:shd w:val="clear" w:color="auto" w:fill="FFFFFF"/>
        <w:suppressAutoHyphens w:val="0"/>
        <w:autoSpaceDN/>
        <w:jc w:val="both"/>
        <w:rPr>
          <w:rFonts w:ascii="Times New Roman" w:eastAsia="Times New Roman" w:hAnsi="Times New Roman"/>
          <w:b/>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W wypadku złożenia przez oskarżonego wniosku, o którym mowa w art. 338a, o terminie posiedzenia zawiadamia się strony i pokrzywdzonego, przesyłając im odpis wniosku.</w:t>
      </w:r>
    </w:p>
    <w:p w14:paraId="1BF4332A"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Sąd może uwzględnić wniosek, jeżeli okoliczności popełnienia przestępstwa i wina nie budzą wątpliwości, a postawa oskarżonego wskazuje, że cele postępowania zostaną osiągnięte. Uwzględnienie wniosku jest możliwe tylko wówczas, gdy nie sprzeciwi się temu prokurator. Przepis art. 343 stosuje się odpowiednio.</w:t>
      </w:r>
    </w:p>
    <w:p w14:paraId="025B8E21"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0D68407D"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3. </w:t>
      </w:r>
      <w:r w:rsidRPr="00E316CD">
        <w:rPr>
          <w:rFonts w:ascii="Times New Roman" w:eastAsia="Times New Roman" w:hAnsi="Times New Roman"/>
          <w:color w:val="333333"/>
          <w:sz w:val="24"/>
          <w:szCs w:val="24"/>
          <w:lang w:eastAsia="pl-PL"/>
        </w:rPr>
        <w:t>W razie złożenia kolejnego wniosku podlega on rozpoznaniu na rozprawie.</w:t>
      </w:r>
    </w:p>
    <w:p w14:paraId="737EAD3D"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5DC8E5FC" w14:textId="77777777" w:rsidR="00F626B8" w:rsidRPr="00E316CD" w:rsidRDefault="00F626B8" w:rsidP="00F626B8">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color w:val="333333"/>
          <w:sz w:val="24"/>
          <w:szCs w:val="24"/>
          <w:lang w:eastAsia="pl-PL"/>
        </w:rPr>
        <w:t>Art. 378a k.p.k.</w:t>
      </w:r>
      <w:r w:rsidRPr="00E316CD">
        <w:rPr>
          <w:rFonts w:ascii="Times New Roman" w:eastAsia="Times New Roman" w:hAnsi="Times New Roman"/>
          <w:b/>
          <w:bCs/>
          <w:color w:val="333333"/>
          <w:sz w:val="24"/>
          <w:szCs w:val="24"/>
          <w:lang w:eastAsia="pl-PL"/>
        </w:rPr>
        <w:t xml:space="preserve"> Przeprowadzenie postępowania dowodowego pod nieobecność oskarżonego lub obrońcy</w:t>
      </w:r>
    </w:p>
    <w:p w14:paraId="7F2BD2E1" w14:textId="77777777" w:rsidR="00F626B8" w:rsidRPr="00E316CD" w:rsidRDefault="00F626B8" w:rsidP="00F626B8">
      <w:pPr>
        <w:shd w:val="clear" w:color="auto" w:fill="FFFFFF"/>
        <w:suppressAutoHyphens w:val="0"/>
        <w:autoSpaceDN/>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 xml:space="preserve">Jeżeli oskarżony lub obrońca nie stawił się na rozprawę, będąc zawiadomiony o jej terminie, sąd, w szczególnie uzasadnionych wypadkach, może przeprowadzić postępowanie dowodowe podczas jego nieobecności, chociażby usprawiedliwił należycie niestawiennictwo, </w:t>
      </w:r>
      <w:r w:rsidRPr="00E316CD">
        <w:rPr>
          <w:rFonts w:ascii="Times New Roman" w:eastAsia="Times New Roman" w:hAnsi="Times New Roman"/>
          <w:color w:val="333333"/>
          <w:sz w:val="24"/>
          <w:szCs w:val="24"/>
          <w:lang w:eastAsia="pl-PL"/>
        </w:rPr>
        <w:lastRenderedPageBreak/>
        <w:t>a w szczególności przesłuchać świadków, którzy stawili się na rozprawę, nawet jeżeli oskarżony nie złożył jeszcze wyjaśnień.</w:t>
      </w:r>
    </w:p>
    <w:p w14:paraId="4F45F5E0" w14:textId="77777777" w:rsidR="00F626B8" w:rsidRPr="00E316CD" w:rsidRDefault="00F626B8" w:rsidP="00F626B8">
      <w:pPr>
        <w:shd w:val="clear" w:color="auto" w:fill="FFFFFF"/>
        <w:suppressAutoHyphens w:val="0"/>
        <w:autoSpaceDN/>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W wypadku, o którym mowa w § 1, oskarżonego lub obrońcę należy wezwać lub zawiadomić o nowym terminie rozprawy, jeżeli termin ten nie był im znany. Przy doręczeniu wezwania lub zawiadomienia należy również doręczyć pouczenie, o którym mowa w § 7.</w:t>
      </w:r>
    </w:p>
    <w:p w14:paraId="49F68132"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3. </w:t>
      </w:r>
      <w:r w:rsidRPr="00E316CD">
        <w:rPr>
          <w:rFonts w:ascii="Times New Roman" w:eastAsia="Times New Roman" w:hAnsi="Times New Roman"/>
          <w:color w:val="333333"/>
          <w:sz w:val="24"/>
          <w:szCs w:val="24"/>
          <w:lang w:eastAsia="pl-PL"/>
        </w:rPr>
        <w:t>Jeżeli sąd przeprowadził postępowanie dowodowe podczas nieobecności oskarżonego lub obrońcy w wypadku, o którym mowa w § 1, oskarżony lub obrońca może najpóźniej na kolejnym terminie rozprawy, o którym był należycie zawiadomiony przy jednoczesnym braku procesowych przeszkód do jego stawiennictwa, złożyć wniosek o uzupełniające przeprowadzenie dowodu przeprowadzonego podczas jego nieobecności. Prawo do złożenia wniosku nie przysługuje, jeżeli okaże się, że nieobecność oskarżonego lub obrońcy na terminie rozprawy, na którym przeprowadzono postępowanie dowodowe na podstawie § 1, była nieusprawiedliwiona.</w:t>
      </w:r>
    </w:p>
    <w:p w14:paraId="10C72772"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340F071"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4. </w:t>
      </w:r>
      <w:r w:rsidRPr="00E316CD">
        <w:rPr>
          <w:rFonts w:ascii="Times New Roman" w:eastAsia="Times New Roman" w:hAnsi="Times New Roman"/>
          <w:color w:val="333333"/>
          <w:sz w:val="24"/>
          <w:szCs w:val="24"/>
          <w:lang w:eastAsia="pl-PL"/>
        </w:rPr>
        <w:t>W razie niezłożenia wniosku w terminie, o którym mowa w § 3 zdanie pierwsze, prawo do jego złożenia wygasa i w dalszym postępowaniu nie jest dopuszczalne podnoszenie zarzutu naruszenia gwarancji procesowych, w szczególności prawa do obrony, wskutek przeprowadzenia tego dowodu podczas nieobecności oskarżonego lub obrońcy.</w:t>
      </w:r>
    </w:p>
    <w:p w14:paraId="2D550973"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325857EC"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5. </w:t>
      </w:r>
      <w:r w:rsidRPr="00E316CD">
        <w:rPr>
          <w:rFonts w:ascii="Times New Roman" w:eastAsia="Times New Roman" w:hAnsi="Times New Roman"/>
          <w:color w:val="333333"/>
          <w:sz w:val="24"/>
          <w:szCs w:val="24"/>
          <w:lang w:eastAsia="pl-PL"/>
        </w:rPr>
        <w:t>We wniosku o uzupełniające przeprowadzenie dowodu oskarżony lub obrońca ma obowiązek wykazać, że sposób przeprowadzenia dowodu podczas jego nieobecności naruszał gwarancje procesowe, w szczególności prawo do obrony.</w:t>
      </w:r>
    </w:p>
    <w:p w14:paraId="0231B5BB"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81574DD"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6. </w:t>
      </w:r>
      <w:r w:rsidRPr="00E316CD">
        <w:rPr>
          <w:rFonts w:ascii="Times New Roman" w:eastAsia="Times New Roman" w:hAnsi="Times New Roman"/>
          <w:color w:val="333333"/>
          <w:sz w:val="24"/>
          <w:szCs w:val="24"/>
          <w:lang w:eastAsia="pl-PL"/>
        </w:rPr>
        <w:t>W razie uwzględnienia wniosku o uzupełniające przeprowadzenie dowodu sąd przeprowadza dowód uzupełniająco, jedynie w zakresie, w którym wykazano naruszenie gwarancji procesowych, w szczególności prawa do obrony.</w:t>
      </w:r>
    </w:p>
    <w:p w14:paraId="7A312963"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B0DA969"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7. </w:t>
      </w:r>
      <w:r w:rsidRPr="00E316CD">
        <w:rPr>
          <w:rFonts w:ascii="Times New Roman" w:eastAsia="Times New Roman" w:hAnsi="Times New Roman"/>
          <w:color w:val="333333"/>
          <w:sz w:val="24"/>
          <w:szCs w:val="24"/>
          <w:lang w:eastAsia="pl-PL"/>
        </w:rPr>
        <w:t>Jeżeli oskarżony lub obrońca stawi się na termin rozprawy, o którym mowa w § 3 zdanie pierwsze, przewodniczący poucza go o możliwości złożenia wniosku o uzupełniające przeprowadzenie dowodu przeprowadzonego podczas jego nieobecności oraz o treści przepisów § 4 i 5, a także umożliwia mu wypowiedzenie się co do tej kwestii.</w:t>
      </w:r>
    </w:p>
    <w:p w14:paraId="6628F117"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color w:val="333333"/>
          <w:sz w:val="24"/>
          <w:szCs w:val="24"/>
          <w:lang w:eastAsia="pl-PL"/>
        </w:rPr>
      </w:pPr>
    </w:p>
    <w:p w14:paraId="4BB5F84A" w14:textId="77777777" w:rsidR="00F626B8" w:rsidRPr="00E316CD" w:rsidRDefault="00F626B8" w:rsidP="00F626B8">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color w:val="333333"/>
          <w:sz w:val="24"/>
          <w:szCs w:val="24"/>
          <w:lang w:eastAsia="pl-PL"/>
        </w:rPr>
        <w:t>Art. 54 k.p.k.</w:t>
      </w:r>
      <w:r w:rsidRPr="00E316CD">
        <w:rPr>
          <w:rFonts w:ascii="Times New Roman" w:eastAsia="Times New Roman" w:hAnsi="Times New Roman"/>
          <w:color w:val="333333"/>
          <w:sz w:val="24"/>
          <w:szCs w:val="24"/>
          <w:lang w:eastAsia="pl-PL"/>
        </w:rPr>
        <w:t xml:space="preserve"> </w:t>
      </w:r>
      <w:r w:rsidRPr="00E316CD">
        <w:rPr>
          <w:rFonts w:ascii="Times New Roman" w:eastAsia="Times New Roman" w:hAnsi="Times New Roman"/>
          <w:b/>
          <w:color w:val="333333"/>
          <w:sz w:val="24"/>
          <w:szCs w:val="24"/>
          <w:lang w:eastAsia="pl-PL"/>
        </w:rPr>
        <w:t>Oskarżyciel posiłkowy</w:t>
      </w:r>
    </w:p>
    <w:p w14:paraId="1F030F2B" w14:textId="77777777" w:rsidR="00F626B8" w:rsidRPr="00E316CD" w:rsidRDefault="00F626B8" w:rsidP="00F626B8">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lang w:eastAsia="pl-PL"/>
        </w:rPr>
        <w:t>Jeżeli akt oskarżenia wniósł oskarżyciel publiczny, pokrzywdzony może aż do czasu rozpoczęcia przewodu sądowego na rozprawie głównej złożyć oświadczenie, że będzie działał w charakterze oskarżyciela posiłkowego.</w:t>
      </w:r>
    </w:p>
    <w:p w14:paraId="5369A7C2"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color w:val="333333"/>
          <w:sz w:val="24"/>
          <w:szCs w:val="24"/>
          <w:lang w:eastAsia="pl-PL"/>
        </w:rPr>
      </w:pPr>
      <w:r w:rsidRPr="00E316CD">
        <w:rPr>
          <w:rFonts w:ascii="Times New Roman" w:eastAsia="Times New Roman" w:hAnsi="Times New Roman"/>
          <w:b/>
          <w:bCs/>
          <w:color w:val="333333"/>
          <w:sz w:val="24"/>
          <w:szCs w:val="24"/>
          <w:lang w:eastAsia="pl-PL"/>
        </w:rPr>
        <w:t xml:space="preserve">§  2. </w:t>
      </w:r>
      <w:r w:rsidRPr="00E316CD">
        <w:rPr>
          <w:rFonts w:ascii="Times New Roman" w:eastAsia="Times New Roman" w:hAnsi="Times New Roman"/>
          <w:color w:val="333333"/>
          <w:sz w:val="24"/>
          <w:szCs w:val="24"/>
          <w:lang w:eastAsia="pl-PL"/>
        </w:rPr>
        <w:t>Cofnięcie aktu oskarżenia przez oskarżyciela publicznego nie pozbawia uprawnień oskarżyciela posiłkowego. Pokrzywdzony, który uprzednio nie korzystał z uprawnień oskarżyciela posiłkowego, może w terminie 14 dni od powiadomienia go o cofnięciu przez oskarżyciela publicznego aktu oskarżenia oświadczyć, że przystępuje do postępowania jako oskarżyciel posiłkowy.</w:t>
      </w:r>
    </w:p>
    <w:p w14:paraId="17558DBA" w14:textId="77777777" w:rsidR="00F626B8" w:rsidRPr="00E316CD" w:rsidRDefault="00F626B8" w:rsidP="00F626B8">
      <w:pPr>
        <w:shd w:val="clear" w:color="auto" w:fill="FFFFFF"/>
        <w:suppressAutoHyphens w:val="0"/>
        <w:autoSpaceDN/>
        <w:spacing w:after="0"/>
        <w:jc w:val="both"/>
        <w:rPr>
          <w:rFonts w:ascii="Times New Roman" w:eastAsia="Times New Roman" w:hAnsi="Times New Roman"/>
          <w:b/>
          <w:bCs/>
          <w:color w:val="333333"/>
          <w:sz w:val="24"/>
          <w:szCs w:val="24"/>
          <w:lang w:eastAsia="pl-PL"/>
        </w:rPr>
      </w:pPr>
    </w:p>
    <w:p w14:paraId="482AE0A7" w14:textId="77777777" w:rsidR="00F626B8" w:rsidRPr="00E316CD" w:rsidRDefault="00F626B8" w:rsidP="00F626B8">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color w:val="333333"/>
          <w:sz w:val="24"/>
          <w:szCs w:val="24"/>
          <w:lang w:eastAsia="pl-PL"/>
        </w:rPr>
        <w:t>Art. 49</w:t>
      </w:r>
      <w:r w:rsidRPr="00E316CD">
        <w:rPr>
          <w:rFonts w:ascii="Times New Roman" w:eastAsia="Times New Roman" w:hAnsi="Times New Roman"/>
          <w:color w:val="333333"/>
          <w:sz w:val="24"/>
          <w:szCs w:val="24"/>
          <w:lang w:eastAsia="pl-PL"/>
        </w:rPr>
        <w:t xml:space="preserve"> </w:t>
      </w:r>
      <w:r w:rsidRPr="00E316CD">
        <w:rPr>
          <w:rFonts w:ascii="Times New Roman" w:eastAsia="Times New Roman" w:hAnsi="Times New Roman"/>
          <w:b/>
          <w:color w:val="333333"/>
          <w:sz w:val="24"/>
          <w:szCs w:val="24"/>
          <w:lang w:eastAsia="pl-PL"/>
        </w:rPr>
        <w:t>k.p.k. Termin do złożenia wniosku o orzeczenie obowiązku naprawienia szkody</w:t>
      </w:r>
    </w:p>
    <w:p w14:paraId="57B1EEE3" w14:textId="55941C79" w:rsidR="00C859A6" w:rsidRPr="003B3850" w:rsidRDefault="00F626B8" w:rsidP="003B3850">
      <w:pPr>
        <w:shd w:val="clear" w:color="auto" w:fill="FFFFFF"/>
        <w:suppressAutoHyphens w:val="0"/>
        <w:autoSpaceDN/>
        <w:jc w:val="both"/>
        <w:rPr>
          <w:rFonts w:ascii="Times New Roman" w:eastAsia="Times New Roman" w:hAnsi="Times New Roman"/>
          <w:b/>
          <w:bCs/>
          <w:color w:val="333333"/>
          <w:sz w:val="24"/>
          <w:szCs w:val="24"/>
          <w:lang w:eastAsia="pl-PL"/>
        </w:rPr>
      </w:pPr>
      <w:r w:rsidRPr="00E316CD">
        <w:rPr>
          <w:rFonts w:ascii="Times New Roman" w:eastAsia="Times New Roman" w:hAnsi="Times New Roman"/>
          <w:b/>
          <w:bCs/>
          <w:color w:val="333333"/>
          <w:sz w:val="24"/>
          <w:szCs w:val="24"/>
          <w:lang w:eastAsia="pl-PL"/>
        </w:rPr>
        <w:t xml:space="preserve">§  1. </w:t>
      </w:r>
      <w:r w:rsidRPr="00E316CD">
        <w:rPr>
          <w:rFonts w:ascii="Times New Roman" w:eastAsia="Times New Roman" w:hAnsi="Times New Roman"/>
          <w:color w:val="333333"/>
          <w:sz w:val="24"/>
          <w:szCs w:val="24"/>
          <w:shd w:val="clear" w:color="auto" w:fill="FFFFFF"/>
          <w:lang w:eastAsia="pl-PL"/>
        </w:rPr>
        <w:t xml:space="preserve">Pokrzywdzony, a także prokurator, może aż do zamknięcia przewodu sądowego na rozprawie głównej złożyć wniosek, o którym mowa w </w:t>
      </w:r>
      <w:hyperlink r:id="rId5" w:anchor="/document/16798683?unitId=art(46)par(1)" w:history="1">
        <w:r w:rsidRPr="00E316CD">
          <w:rPr>
            <w:rFonts w:ascii="Times New Roman" w:eastAsia="Times New Roman" w:hAnsi="Times New Roman"/>
            <w:color w:val="1B7AB8"/>
            <w:sz w:val="24"/>
            <w:szCs w:val="24"/>
            <w:u w:val="single"/>
            <w:shd w:val="clear" w:color="auto" w:fill="FFFFFF"/>
            <w:lang w:eastAsia="pl-PL"/>
          </w:rPr>
          <w:t>art. 46 § 1</w:t>
        </w:r>
      </w:hyperlink>
      <w:r w:rsidRPr="00E316CD">
        <w:rPr>
          <w:rFonts w:ascii="Times New Roman" w:eastAsia="Times New Roman" w:hAnsi="Times New Roman"/>
          <w:color w:val="333333"/>
          <w:sz w:val="24"/>
          <w:szCs w:val="24"/>
          <w:shd w:val="clear" w:color="auto" w:fill="FFFFFF"/>
          <w:lang w:eastAsia="pl-PL"/>
        </w:rPr>
        <w:t xml:space="preserve"> Kodeksu karnego.</w:t>
      </w:r>
    </w:p>
    <w:sectPr w:rsidR="00C859A6" w:rsidRPr="003B38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B8"/>
    <w:rsid w:val="003B3850"/>
    <w:rsid w:val="00610745"/>
    <w:rsid w:val="009A744E"/>
    <w:rsid w:val="00C859A6"/>
    <w:rsid w:val="00E03B2D"/>
    <w:rsid w:val="00F626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266BE"/>
  <w15:chartTrackingRefBased/>
  <w15:docId w15:val="{3976E9C6-9D56-4715-BA82-643DFC7C6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26B8"/>
    <w:pPr>
      <w:suppressAutoHyphens/>
      <w:autoSpaceDN w:val="0"/>
      <w:spacing w:line="240"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F626B8"/>
    <w:pPr>
      <w:keepNext/>
      <w:keepLines/>
      <w:suppressAutoHyphens w:val="0"/>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F626B8"/>
    <w:pPr>
      <w:keepNext/>
      <w:keepLines/>
      <w:suppressAutoHyphens w:val="0"/>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F626B8"/>
    <w:pPr>
      <w:keepNext/>
      <w:keepLines/>
      <w:suppressAutoHyphens w:val="0"/>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F626B8"/>
    <w:pPr>
      <w:keepNext/>
      <w:keepLines/>
      <w:suppressAutoHyphens w:val="0"/>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F626B8"/>
    <w:pPr>
      <w:keepNext/>
      <w:keepLines/>
      <w:suppressAutoHyphens w:val="0"/>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F626B8"/>
    <w:pPr>
      <w:keepNext/>
      <w:keepLines/>
      <w:suppressAutoHyphens w:val="0"/>
      <w:autoSpaceDN/>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F626B8"/>
    <w:pPr>
      <w:keepNext/>
      <w:keepLines/>
      <w:suppressAutoHyphens w:val="0"/>
      <w:autoSpaceDN/>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F626B8"/>
    <w:pPr>
      <w:keepNext/>
      <w:keepLines/>
      <w:suppressAutoHyphens w:val="0"/>
      <w:autoSpaceDN/>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F626B8"/>
    <w:pPr>
      <w:keepNext/>
      <w:keepLines/>
      <w:suppressAutoHyphens w:val="0"/>
      <w:autoSpaceDN/>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626B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626B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626B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626B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626B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626B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626B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626B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626B8"/>
    <w:rPr>
      <w:rFonts w:eastAsiaTheme="majorEastAsia" w:cstheme="majorBidi"/>
      <w:color w:val="272727" w:themeColor="text1" w:themeTint="D8"/>
    </w:rPr>
  </w:style>
  <w:style w:type="paragraph" w:styleId="Tytu">
    <w:name w:val="Title"/>
    <w:basedOn w:val="Normalny"/>
    <w:next w:val="Normalny"/>
    <w:link w:val="TytuZnak"/>
    <w:uiPriority w:val="10"/>
    <w:qFormat/>
    <w:rsid w:val="00F626B8"/>
    <w:pPr>
      <w:suppressAutoHyphens w:val="0"/>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F626B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626B8"/>
    <w:pPr>
      <w:numPr>
        <w:ilvl w:val="1"/>
      </w:numPr>
      <w:suppressAutoHyphens w:val="0"/>
      <w:autoSpaceDN/>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F626B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626B8"/>
    <w:pPr>
      <w:suppressAutoHyphens w:val="0"/>
      <w:autoSpaceDN/>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F626B8"/>
    <w:rPr>
      <w:i/>
      <w:iCs/>
      <w:color w:val="404040" w:themeColor="text1" w:themeTint="BF"/>
    </w:rPr>
  </w:style>
  <w:style w:type="paragraph" w:styleId="Akapitzlist">
    <w:name w:val="List Paragraph"/>
    <w:basedOn w:val="Normalny"/>
    <w:uiPriority w:val="34"/>
    <w:qFormat/>
    <w:rsid w:val="00F626B8"/>
    <w:pPr>
      <w:suppressAutoHyphens w:val="0"/>
      <w:autoSpaceDN/>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F626B8"/>
    <w:rPr>
      <w:i/>
      <w:iCs/>
      <w:color w:val="0F4761" w:themeColor="accent1" w:themeShade="BF"/>
    </w:rPr>
  </w:style>
  <w:style w:type="paragraph" w:styleId="Cytatintensywny">
    <w:name w:val="Intense Quote"/>
    <w:basedOn w:val="Normalny"/>
    <w:next w:val="Normalny"/>
    <w:link w:val="CytatintensywnyZnak"/>
    <w:uiPriority w:val="30"/>
    <w:qFormat/>
    <w:rsid w:val="00F626B8"/>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F626B8"/>
    <w:rPr>
      <w:i/>
      <w:iCs/>
      <w:color w:val="0F4761" w:themeColor="accent1" w:themeShade="BF"/>
    </w:rPr>
  </w:style>
  <w:style w:type="character" w:styleId="Odwoanieintensywne">
    <w:name w:val="Intense Reference"/>
    <w:basedOn w:val="Domylnaczcionkaakapitu"/>
    <w:uiPriority w:val="32"/>
    <w:qFormat/>
    <w:rsid w:val="00F626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xintranet.ad.prokuratura.gov.pl/" TargetMode="External"/><Relationship Id="rId4" Type="http://schemas.openxmlformats.org/officeDocument/2006/relationships/hyperlink" Target="http://lexintranet.ad.prokuratur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4980</Characters>
  <Application>Microsoft Office Word</Application>
  <DocSecurity>0</DocSecurity>
  <Lines>41</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Kiełek-Łopińska Marzena (PO Warszawa-Praga)</dc:creator>
  <cp:keywords/>
  <dc:description/>
  <cp:lastModifiedBy>Kiełek-Łopińska Marzena (PO Warszawa-Praga)</cp:lastModifiedBy>
  <cp:revision>2</cp:revision>
  <dcterms:created xsi:type="dcterms:W3CDTF">2026-09-23T12:46:00Z</dcterms:created>
  <dcterms:modified xsi:type="dcterms:W3CDTF">2026-09-23T13:15:00Z</dcterms:modified>
</cp:coreProperties>
</file>