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FDCE" w14:textId="0E968FCF" w:rsidR="00902EF8" w:rsidRPr="00A8264F" w:rsidRDefault="00902EF8" w:rsidP="00902EF8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A8264F">
        <w:rPr>
          <w:rFonts w:ascii="Open Sans" w:hAnsi="Open Sans" w:cs="Open Sans"/>
          <w:b/>
          <w:bCs/>
          <w:sz w:val="20"/>
          <w:szCs w:val="20"/>
        </w:rPr>
        <w:t xml:space="preserve">Załącznik nr 3 do Regulaminu wyboru projektów pomocy technicznej w ramach programu Fundusze Europejskie </w:t>
      </w:r>
      <w:r w:rsidR="00D1645D" w:rsidRPr="00A8264F">
        <w:rPr>
          <w:rFonts w:ascii="Open Sans" w:hAnsi="Open Sans" w:cs="Open Sans"/>
          <w:b/>
          <w:bCs/>
          <w:sz w:val="20"/>
          <w:szCs w:val="20"/>
        </w:rPr>
        <w:t xml:space="preserve">na Infrastrukturę, Klimat, Środowisko </w:t>
      </w:r>
      <w:r w:rsidRPr="00A8264F">
        <w:rPr>
          <w:rFonts w:ascii="Open Sans" w:hAnsi="Open Sans" w:cs="Open Sans"/>
          <w:b/>
          <w:bCs/>
          <w:sz w:val="20"/>
          <w:szCs w:val="20"/>
        </w:rPr>
        <w:t>2021-2027 (dalej: program) – Szczegółowe katalogi definiujące kwalifikowalne koszty bezpośrednie i pośrednie.</w:t>
      </w:r>
    </w:p>
    <w:p w14:paraId="7165F16D" w14:textId="0E0201D1" w:rsidR="00902EF8" w:rsidRPr="00A8264F" w:rsidRDefault="00902EF8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Załącznik ma zastosowanie</w:t>
      </w:r>
      <w:r w:rsidR="00A91631" w:rsidRPr="00A8264F">
        <w:rPr>
          <w:rFonts w:ascii="Open Sans" w:hAnsi="Open Sans" w:cs="Open Sans"/>
          <w:sz w:val="20"/>
          <w:szCs w:val="20"/>
        </w:rPr>
        <w:t xml:space="preserve"> </w:t>
      </w:r>
      <w:r w:rsidR="00E26AFC">
        <w:rPr>
          <w:rFonts w:ascii="Open Sans" w:hAnsi="Open Sans" w:cs="Open Sans"/>
          <w:sz w:val="20"/>
          <w:szCs w:val="20"/>
        </w:rPr>
        <w:t>wyłącznie do projektów</w:t>
      </w:r>
      <w:r w:rsidR="00E26AFC" w:rsidRPr="00A8264F">
        <w:rPr>
          <w:rFonts w:ascii="Open Sans" w:hAnsi="Open Sans" w:cs="Open Sans"/>
          <w:sz w:val="20"/>
          <w:szCs w:val="20"/>
        </w:rPr>
        <w:t xml:space="preserve"> pomocy technicznej</w:t>
      </w:r>
      <w:r w:rsidR="00E26AFC">
        <w:rPr>
          <w:rFonts w:ascii="Open Sans" w:hAnsi="Open Sans" w:cs="Open Sans"/>
          <w:sz w:val="20"/>
          <w:szCs w:val="20"/>
        </w:rPr>
        <w:t>, w ramach których finansowane są wynagrodzenia pracowników instytucji zaangażowanych we wdrażani</w:t>
      </w:r>
      <w:r w:rsidR="006D0BE0">
        <w:rPr>
          <w:rFonts w:ascii="Open Sans" w:hAnsi="Open Sans" w:cs="Open Sans"/>
          <w:sz w:val="20"/>
          <w:szCs w:val="20"/>
        </w:rPr>
        <w:t>e</w:t>
      </w:r>
      <w:r w:rsidR="00E26AFC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26AFC">
        <w:rPr>
          <w:rFonts w:ascii="Open Sans" w:hAnsi="Open Sans" w:cs="Open Sans"/>
          <w:sz w:val="20"/>
          <w:szCs w:val="20"/>
        </w:rPr>
        <w:t>FEnIKS</w:t>
      </w:r>
      <w:proofErr w:type="spellEnd"/>
      <w:r w:rsidR="00A91631" w:rsidRPr="00A8264F">
        <w:rPr>
          <w:rFonts w:ascii="Open Sans" w:hAnsi="Open Sans" w:cs="Open Sans"/>
          <w:sz w:val="20"/>
          <w:szCs w:val="20"/>
        </w:rPr>
        <w:t xml:space="preserve"> w związku z </w:t>
      </w:r>
      <w:r w:rsidR="00234AF3" w:rsidRPr="00A8264F">
        <w:rPr>
          <w:rFonts w:ascii="Open Sans" w:hAnsi="Open Sans" w:cs="Open Sans"/>
          <w:sz w:val="20"/>
          <w:szCs w:val="20"/>
        </w:rPr>
        <w:t>obowiązkiem</w:t>
      </w:r>
      <w:r w:rsidR="00A91631" w:rsidRPr="00A8264F">
        <w:rPr>
          <w:rFonts w:ascii="Open Sans" w:hAnsi="Open Sans" w:cs="Open Sans"/>
          <w:sz w:val="20"/>
          <w:szCs w:val="20"/>
        </w:rPr>
        <w:t xml:space="preserve"> stosowania uproszczon</w:t>
      </w:r>
      <w:r w:rsidR="00234AF3" w:rsidRPr="00A8264F">
        <w:rPr>
          <w:rFonts w:ascii="Open Sans" w:hAnsi="Open Sans" w:cs="Open Sans"/>
          <w:sz w:val="20"/>
          <w:szCs w:val="20"/>
        </w:rPr>
        <w:t>ej</w:t>
      </w:r>
      <w:r w:rsidR="00A91631" w:rsidRPr="00A8264F">
        <w:rPr>
          <w:rFonts w:ascii="Open Sans" w:hAnsi="Open Sans" w:cs="Open Sans"/>
          <w:sz w:val="20"/>
          <w:szCs w:val="20"/>
        </w:rPr>
        <w:t xml:space="preserve"> </w:t>
      </w:r>
      <w:r w:rsidRPr="00A8264F">
        <w:rPr>
          <w:rFonts w:ascii="Open Sans" w:hAnsi="Open Sans" w:cs="Open Sans"/>
          <w:sz w:val="20"/>
          <w:szCs w:val="20"/>
        </w:rPr>
        <w:t>metod</w:t>
      </w:r>
      <w:r w:rsidR="00234AF3" w:rsidRPr="00A8264F">
        <w:rPr>
          <w:rFonts w:ascii="Open Sans" w:hAnsi="Open Sans" w:cs="Open Sans"/>
          <w:sz w:val="20"/>
          <w:szCs w:val="20"/>
        </w:rPr>
        <w:t>y</w:t>
      </w:r>
      <w:r w:rsidRPr="00A8264F">
        <w:rPr>
          <w:rFonts w:ascii="Open Sans" w:hAnsi="Open Sans" w:cs="Open Sans"/>
          <w:sz w:val="20"/>
          <w:szCs w:val="20"/>
        </w:rPr>
        <w:t xml:space="preserve"> rozliczania wydatków zgodnie art. 54 rozporządzenia ogólnego</w:t>
      </w:r>
      <w:r w:rsidR="00A22FF3" w:rsidRPr="00A8264F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A8264F">
        <w:rPr>
          <w:rFonts w:ascii="Open Sans" w:hAnsi="Open Sans" w:cs="Open Sans"/>
          <w:sz w:val="20"/>
          <w:szCs w:val="20"/>
        </w:rPr>
        <w:t xml:space="preserve"> – stawka ryczałtowa na pokrycie kosztów pośrednich projektu w wysokości</w:t>
      </w:r>
      <w:r w:rsidR="0050628F">
        <w:rPr>
          <w:rFonts w:ascii="Open Sans" w:hAnsi="Open Sans" w:cs="Open Sans"/>
          <w:sz w:val="20"/>
          <w:szCs w:val="20"/>
        </w:rPr>
        <w:t xml:space="preserve"> </w:t>
      </w:r>
      <w:r w:rsidRPr="00A8264F">
        <w:rPr>
          <w:rFonts w:ascii="Open Sans" w:hAnsi="Open Sans" w:cs="Open Sans"/>
          <w:sz w:val="20"/>
          <w:szCs w:val="20"/>
        </w:rPr>
        <w:t xml:space="preserve">15% kwalifikowalnych bezpośrednich kosztów personelu. </w:t>
      </w:r>
    </w:p>
    <w:p w14:paraId="41C9083E" w14:textId="4117B44B" w:rsidR="00902EF8" w:rsidRPr="00A8264F" w:rsidRDefault="00902EF8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Wszystkie wydatki rozliczane</w:t>
      </w:r>
      <w:r w:rsidR="0089215E" w:rsidRPr="00A8264F">
        <w:rPr>
          <w:rFonts w:ascii="Open Sans" w:hAnsi="Open Sans" w:cs="Open Sans"/>
          <w:sz w:val="20"/>
          <w:szCs w:val="20"/>
        </w:rPr>
        <w:t xml:space="preserve"> w ramach projektu</w:t>
      </w:r>
      <w:r w:rsidRPr="00A8264F">
        <w:rPr>
          <w:rFonts w:ascii="Open Sans" w:hAnsi="Open Sans" w:cs="Open Sans"/>
          <w:sz w:val="20"/>
          <w:szCs w:val="20"/>
        </w:rPr>
        <w:t xml:space="preserve"> muszą spełniać zasady kwalifikowalności </w:t>
      </w:r>
      <w:r w:rsidR="000D6667" w:rsidRPr="00A8264F">
        <w:rPr>
          <w:rFonts w:ascii="Open Sans" w:hAnsi="Open Sans" w:cs="Open Sans"/>
          <w:sz w:val="20"/>
          <w:szCs w:val="20"/>
        </w:rPr>
        <w:br/>
      </w:r>
      <w:r w:rsidRPr="00A8264F">
        <w:rPr>
          <w:rFonts w:ascii="Open Sans" w:hAnsi="Open Sans" w:cs="Open Sans"/>
          <w:sz w:val="20"/>
          <w:szCs w:val="20"/>
        </w:rPr>
        <w:t xml:space="preserve">w ramach programu i wpisywać się w obszary wsparcia określone dla Priorytetu </w:t>
      </w:r>
      <w:r w:rsidR="00D1645D" w:rsidRPr="00A8264F">
        <w:rPr>
          <w:rFonts w:ascii="Open Sans" w:hAnsi="Open Sans" w:cs="Open Sans"/>
          <w:sz w:val="20"/>
          <w:szCs w:val="20"/>
        </w:rPr>
        <w:t>8</w:t>
      </w:r>
      <w:r w:rsidRPr="00A8264F">
        <w:rPr>
          <w:rFonts w:ascii="Open Sans" w:hAnsi="Open Sans" w:cs="Open Sans"/>
          <w:sz w:val="20"/>
          <w:szCs w:val="20"/>
        </w:rPr>
        <w:t xml:space="preserve"> </w:t>
      </w:r>
      <w:r w:rsidR="000D6667" w:rsidRPr="00A8264F">
        <w:rPr>
          <w:rFonts w:ascii="Open Sans" w:hAnsi="Open Sans" w:cs="Open Sans"/>
          <w:sz w:val="20"/>
          <w:szCs w:val="20"/>
        </w:rPr>
        <w:br/>
      </w:r>
      <w:r w:rsidRPr="00A8264F">
        <w:rPr>
          <w:rFonts w:ascii="Open Sans" w:hAnsi="Open Sans" w:cs="Open Sans"/>
          <w:sz w:val="20"/>
          <w:szCs w:val="20"/>
        </w:rPr>
        <w:t xml:space="preserve">w Szczegółowym Opisie Priorytetów programu oraz w cele programu. </w:t>
      </w:r>
    </w:p>
    <w:p w14:paraId="243D1910" w14:textId="48F9EFC5" w:rsidR="00902EF8" w:rsidRPr="00A8264F" w:rsidRDefault="0089215E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W związku z realizacją projektu finansowanego</w:t>
      </w:r>
      <w:r w:rsidR="00902EF8" w:rsidRPr="00A8264F">
        <w:rPr>
          <w:rFonts w:ascii="Open Sans" w:hAnsi="Open Sans" w:cs="Open Sans"/>
          <w:sz w:val="20"/>
          <w:szCs w:val="20"/>
        </w:rPr>
        <w:t xml:space="preserve"> ze środków programu, w których stosowane są uproszczone metody rozliczania wydatków zgodnie art. 54 (b) rozporządzenia ogólnego, beneficjenci zobowiązują się do przestrzegania zasad wymienionych poniżej:</w:t>
      </w:r>
    </w:p>
    <w:p w14:paraId="70F24AA9" w14:textId="5D771103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pośrednie są rozliczane za pomocą stawki ryczałtowej 15% naliczanej od wydatków ponoszonych na wynagrodzenia rozliczane w ramach kosztów bezpośrednich.</w:t>
      </w:r>
    </w:p>
    <w:p w14:paraId="6C64C357" w14:textId="26D8DAAA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Ryczałt 15% nie może być zmieniony w okresie realizacji projektu.</w:t>
      </w:r>
    </w:p>
    <w:p w14:paraId="4943EC5C" w14:textId="68496095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Ryczałt 15% jest naliczany od wydatków faktycznie poniesionych na wynagrodzenia bezpośrednie i jest rozliczany przy każdym wniosku o płatność.</w:t>
      </w:r>
    </w:p>
    <w:p w14:paraId="5A5DE61C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bezpośrednie rozliczane są na podstawie kosztów rzeczywistych.</w:t>
      </w:r>
    </w:p>
    <w:p w14:paraId="39D7F121" w14:textId="77777777" w:rsidR="00902EF8" w:rsidRPr="00A8264F" w:rsidRDefault="00902EF8" w:rsidP="00902EF8">
      <w:pPr>
        <w:pStyle w:val="Akapitzlist"/>
        <w:ind w:left="360"/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pośrednie nie mogą zostać rozliczone na podstawie kosztów rzeczywistych (rzeczywiście poniesionych).</w:t>
      </w:r>
    </w:p>
    <w:p w14:paraId="536DC8C7" w14:textId="620B1024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Minimalny poziom kwalifikowalności stanowiska pracy umożliwiający jego rozliczanie po kosztach rzeczywistych wynosi 25%. Stanowisko, na którym wykonywane są zadania kwalifikowalne w proporcji mniejszej niż 25% jest traktowane jako stanowisko wspierające i rozliczane za pomocą ryczałtu stosowanego do kwalifikowalnych kosztów pośrednich.</w:t>
      </w:r>
    </w:p>
    <w:p w14:paraId="68289490" w14:textId="799DE069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Poziomy kwalifikowalności stanowisk pracy umożliwiające rozliczanie wynagrodzeń po kosztach rzeczywistych w ramach kosztów bezpośrednich wynoszą: 25%, 50%, 75%, 90% i</w:t>
      </w:r>
      <w:r w:rsidR="00234AF3" w:rsidRPr="00A8264F">
        <w:rPr>
          <w:rFonts w:ascii="Open Sans" w:hAnsi="Open Sans" w:cs="Open Sans"/>
          <w:sz w:val="20"/>
          <w:szCs w:val="20"/>
        </w:rPr>
        <w:t> </w:t>
      </w:r>
      <w:r w:rsidRPr="00A8264F">
        <w:rPr>
          <w:rFonts w:ascii="Open Sans" w:hAnsi="Open Sans" w:cs="Open Sans"/>
          <w:sz w:val="20"/>
          <w:szCs w:val="20"/>
        </w:rPr>
        <w:t xml:space="preserve">100%. Podstawowe zasady realizacji projektów (w tym rozliczania wydatków na podstawie kosztów rzeczywistych) zostały określone w </w:t>
      </w:r>
      <w:r w:rsidRPr="00A8264F">
        <w:rPr>
          <w:rFonts w:ascii="Open Sans" w:hAnsi="Open Sans" w:cs="Open Sans"/>
          <w:b/>
          <w:bCs/>
          <w:sz w:val="20"/>
          <w:szCs w:val="20"/>
        </w:rPr>
        <w:t>załączniku nr 4 do Regulaminu</w:t>
      </w:r>
      <w:r w:rsidRPr="00A8264F">
        <w:rPr>
          <w:rFonts w:ascii="Open Sans" w:hAnsi="Open Sans" w:cs="Open Sans"/>
          <w:sz w:val="20"/>
          <w:szCs w:val="20"/>
        </w:rPr>
        <w:t>.</w:t>
      </w:r>
    </w:p>
    <w:p w14:paraId="44D8CD2C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Poprzez koszty pośrednie rozumiane są koszty, które nie są lub nie mogą być bezpośrednio powiązane z projektem lub nie mają bezpośredniego wpływu na realizację programu. Koszty takie obejmują w szczególności koszty administracyjne.</w:t>
      </w:r>
    </w:p>
    <w:p w14:paraId="75EC8CC8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 xml:space="preserve">Szczegółowy katalog kwalifikowalnych kosztów bezpośrednich został określony w tabeli 1. </w:t>
      </w:r>
    </w:p>
    <w:p w14:paraId="697DB81F" w14:textId="1FE1E735" w:rsidR="00E918AA" w:rsidRPr="00A8264F" w:rsidRDefault="00902EF8" w:rsidP="007D0C6B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Szczegółowy katalog kwalifikowalnych kosztów pośrednich został określony w tabeli 2.</w:t>
      </w:r>
    </w:p>
    <w:p w14:paraId="5D89A7A8" w14:textId="77777777" w:rsidR="00505878" w:rsidRDefault="00505878" w:rsidP="00505878">
      <w:pPr>
        <w:jc w:val="both"/>
        <w:rPr>
          <w:rFonts w:ascii="Open Sans" w:hAnsi="Open Sans" w:cs="Open Sans"/>
          <w:sz w:val="20"/>
          <w:szCs w:val="20"/>
        </w:rPr>
      </w:pPr>
    </w:p>
    <w:p w14:paraId="043A1386" w14:textId="77777777" w:rsidR="00CA062A" w:rsidRDefault="00CA062A" w:rsidP="00505878">
      <w:pPr>
        <w:jc w:val="both"/>
        <w:rPr>
          <w:rFonts w:ascii="Open Sans" w:hAnsi="Open Sans" w:cs="Open Sans"/>
          <w:sz w:val="20"/>
          <w:szCs w:val="20"/>
        </w:rPr>
      </w:pPr>
    </w:p>
    <w:p w14:paraId="03496433" w14:textId="77777777" w:rsidR="00CA062A" w:rsidRPr="00A8264F" w:rsidRDefault="00CA062A" w:rsidP="00505878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:rsidRPr="00CA062A" w14:paraId="44C7E2E9" w14:textId="77777777" w:rsidTr="00E25AFA">
        <w:tc>
          <w:tcPr>
            <w:tcW w:w="9062" w:type="dxa"/>
            <w:shd w:val="clear" w:color="auto" w:fill="D0CECE" w:themeFill="background2" w:themeFillShade="E6"/>
          </w:tcPr>
          <w:p w14:paraId="6B29FC7B" w14:textId="2B861F89" w:rsidR="00E25AFA" w:rsidRPr="00A8264F" w:rsidRDefault="00E25AFA" w:rsidP="00E25AFA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b/>
                <w:bCs/>
                <w:sz w:val="20"/>
                <w:szCs w:val="20"/>
              </w:rPr>
              <w:t>Tabela 1: Kwalifikowalne koszty bezpośrednie</w:t>
            </w:r>
          </w:p>
        </w:tc>
      </w:tr>
      <w:tr w:rsidR="00E25AFA" w:rsidRPr="00CA062A" w14:paraId="416DA2F7" w14:textId="77777777" w:rsidTr="00E25AFA">
        <w:tc>
          <w:tcPr>
            <w:tcW w:w="9062" w:type="dxa"/>
          </w:tcPr>
          <w:p w14:paraId="1ECECE40" w14:textId="4F7FAA42" w:rsidR="00E25AFA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STANOWISK MERYTORYCZNYCH bezpośrednio obsługujących procesy związane z programowaniem, wdrażaniem, koordynacją, monitorowaniem, ewaluacją, kontrolą, audytem, informacją i promocją programu, a także procesy związane z obsługą kadrowo-księgową projektu pomocy technicznej, w tym</w:t>
            </w:r>
            <w:r w:rsidR="00505878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2"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44E61DA" w14:textId="4869FA9E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zasadnicze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FF8B87B" w14:textId="24C0678D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Dodatkowe wynagrodzenie roczne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0B8C009" w14:textId="04515222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chorobowe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EFEAAA6" w14:textId="3EC8A7E3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 czas urlopu wypoczynkowego, szkoleniowego, okolicznościowego oraz ekwiwalent za urlop wypoczynkowy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7182BCDD" w14:textId="32DD7885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 pracę w godzinach nadliczbowych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4C5FD521" w14:textId="756563F9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osoby zatrudnionej za pośrednictwem agencji pracy tymczasowej, zgodnie z ustawą o zatrudnianiu pracowników tymczasowych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B82F627" w14:textId="296545D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Wypłaty z funduszu nagród, nagrody, premie i inne dodatki wynikające 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z powszechnie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obowiązujących przepisów prawa lub regulaminów instytucji</w:t>
            </w:r>
            <w:r w:rsidR="00505878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73B93EB2" w14:textId="3C81FE82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funkcyjny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E8702C5" w14:textId="620D8AE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stażowy (również za czas niezdolności do pracy wskutek choroby)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0D884635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za stopień służbowy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3E83FD7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specjalny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F8F437A" w14:textId="561C711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zadaniowy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019576C" w14:textId="533732A9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Składki na ubezpieczenia społeczne, zdrowotne płacone przez pracownika 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i pracodawcę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6538B53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Składka na Fundusz Pracy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64CB319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Składka na Fundusz Gwarantowanych Świadczeń Pracowniczych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55FA129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Składki na Pracownicze Plany Kapitałowe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2CDD7C7" w14:textId="5EC67D12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Składki opłacane przez pracodawcę w Pracowniczych Programach Emerytalnych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6295C41" w14:textId="77D9F70C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Kompleksowa organizacja spotkań (stacjonarnie/hybrydowo/online), w tym usługi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cateringowe, wynajęcie </w:t>
            </w:r>
            <w:proofErr w:type="spellStart"/>
            <w:r w:rsidRPr="00A8264F">
              <w:rPr>
                <w:rFonts w:ascii="Open Sans" w:hAnsi="Open Sans" w:cs="Open Sans"/>
                <w:sz w:val="20"/>
                <w:szCs w:val="20"/>
              </w:rPr>
              <w:t>sal</w:t>
            </w:r>
            <w:proofErr w:type="spellEnd"/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, sprzętu multimedialnego, nagłośnienia, </w:t>
            </w:r>
            <w:r w:rsidR="001D4269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(ang.) streaming,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odpowiednie oprogramowanie i sprzęt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3377276" w14:textId="3310523A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Koszty organizacji i udziału w różnych formach szkoleniowych oraz zakup, najem, opracowanie,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druk, powielanie, publikacja i dystrybucja materiałów dydaktycznych, opłaty za uzyskanie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certyfikatów i ich utrzymanie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31905E7" w14:textId="062E2000" w:rsidR="00CA062A" w:rsidRPr="00A8264F" w:rsidRDefault="009D1514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Koszty o</w:t>
            </w:r>
            <w:r w:rsidR="00CA062A">
              <w:rPr>
                <w:rFonts w:ascii="Open Sans" w:hAnsi="Open Sans" w:cs="Open Sans"/>
                <w:sz w:val="20"/>
                <w:szCs w:val="20"/>
              </w:rPr>
              <w:t>rganizacj</w:t>
            </w:r>
            <w:r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062A">
              <w:rPr>
                <w:rFonts w:ascii="Open Sans" w:hAnsi="Open Sans" w:cs="Open Sans"/>
                <w:sz w:val="20"/>
                <w:szCs w:val="20"/>
              </w:rPr>
              <w:t xml:space="preserve"> szkoleń dla beneficjentów. </w:t>
            </w:r>
          </w:p>
          <w:p w14:paraId="18E4F490" w14:textId="7777777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Opracowanie ekspertyz, analiz, studiów, koncepcji itp.</w:t>
            </w:r>
          </w:p>
          <w:p w14:paraId="140851A1" w14:textId="142F5A9B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Koszty zakupu usługi wsparcia eksperckiego i doradztwa specjalistycznego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EBF4928" w14:textId="77B3B67C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Ewaluacje oraz badania społeczne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BFDC04D" w14:textId="446CAC81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 zbiorów i baz danych na potrzeby sporządzania badań, ewaluacji, ekspertyz, opinii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7C17D1B" w14:textId="1822BBA4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Nabycie praw autorskich do materiałów wytworzonych w formie tradycyjnej lub elektronicznej w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trakcie realizacji projektu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8DB56CA" w14:textId="07852FD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Przygotowanie dokumentacji projektowej (w tym doradztwo, weryfikacja dokumentacji)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A0CECE8" w14:textId="1B88F37F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Kompleksowa organizacja konkursów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5945961" w14:textId="6FF1FEF0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lastRenderedPageBreak/>
              <w:t>Usługi zlecone w ramach zadań IZ/IP/IW, w szczególności outsourcing kontroli na miejscu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realizacji projektów oraz outsourcing audytów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D7A6A7A" w14:textId="79C07699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Przygotowanie specyfikacji przetargowej i przeprowadzenie przetargu</w:t>
            </w:r>
            <w:r w:rsidR="00630F31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4"/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6250A65" w14:textId="3BEDF4B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Wydatki dotyczące ogłoszeń oraz publikacji w mediach prasowych i elektronicznych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15EDAE9" w14:textId="4445918F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Współpraca z mediami (np. realizacja programów, audycji telewizyjnych i radiowych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oraz udział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w nich, publikacje prasowe, konferencje prasowe, itp.)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44C406F" w14:textId="604B4FE9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Wydatki związane z organizacją i obsługą akcji i imprez 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5874DC7" w14:textId="32E0DF0E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 wyposażenia pomocniczego niezbędnego do przeprowadzenia akcji</w:t>
            </w:r>
            <w:r w:rsidR="001D4269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1E12132" w14:textId="0F0FE11C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Zakup, opracowanie, druk, powielanie i dystrybucja publikacji oraz materiałów informacyjnych 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8D7E75A" w14:textId="5A587867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Przeprowadzenie badań opinii publicznej i badań działań informacyjno- promocyjnych,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monitoring mediów oraz mediów społecznościowych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0BA4B08" w14:textId="772ED2C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Budowa, modyfikacja, rozwój i utrzymanie portali, stron internetowych i mediów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społecznościowych (w tym zakup certyfikatów bezpieczeństwa) w celu informowania 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promowania programu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5E5FC50" w14:textId="174CC50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Promocja portali oraz stron internetowych, prowadzenie działań informacyjno-promocyjnych w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mediach społecznościowych, zakup domen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AB6A6A3" w14:textId="0E4F67C6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Uruchomienie i utrzymanie infolinii i serwisów informacyjnych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A626DB4" w14:textId="40761D50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Prezentacja i promocja przykładów najlepszych praktyk i najlepszych projektów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5C8B845" w14:textId="1A656F9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Utworzenie intranetowych lub ekstranetowych systemów wymiany informacji między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uczestnikami systemu (np. Baza Wiedzy)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358D199" w14:textId="15E74750" w:rsidR="00E25AFA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Budowa utrzymanie i rozwój dedykowanych systemów informatycznych służących do obsługi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wnioskodawców/projektów</w:t>
            </w:r>
            <w:r w:rsidR="00700EFF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700EFF" w:rsidRPr="00A8264F">
              <w:rPr>
                <w:rFonts w:ascii="Open Sans" w:hAnsi="Open Sans" w:cs="Open Sans"/>
                <w:sz w:val="20"/>
                <w:szCs w:val="20"/>
              </w:rPr>
              <w:t>FEnIKS</w:t>
            </w:r>
            <w:proofErr w:type="spellEnd"/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10AE88F8" w14:textId="08F99727" w:rsidR="00E25AFA" w:rsidRPr="00A8264F" w:rsidRDefault="00E25AFA" w:rsidP="007D0C6B">
      <w:pPr>
        <w:jc w:val="both"/>
        <w:rPr>
          <w:rFonts w:ascii="Open Sans" w:hAnsi="Open Sans" w:cs="Open Sans"/>
          <w:sz w:val="20"/>
          <w:szCs w:val="20"/>
        </w:rPr>
      </w:pPr>
    </w:p>
    <w:p w14:paraId="3CD84250" w14:textId="77777777" w:rsidR="00630F31" w:rsidRPr="00A8264F" w:rsidRDefault="00630F31" w:rsidP="007D0C6B">
      <w:pPr>
        <w:jc w:val="both"/>
        <w:rPr>
          <w:rFonts w:ascii="Open Sans" w:hAnsi="Open Sans" w:cs="Open Sans"/>
          <w:sz w:val="20"/>
          <w:szCs w:val="20"/>
        </w:rPr>
      </w:pPr>
    </w:p>
    <w:p w14:paraId="5A7AF6FE" w14:textId="77777777" w:rsidR="00CA062A" w:rsidRDefault="00CA062A" w:rsidP="007D0C6B">
      <w:pPr>
        <w:jc w:val="both"/>
        <w:rPr>
          <w:sz w:val="24"/>
          <w:szCs w:val="24"/>
        </w:rPr>
      </w:pPr>
    </w:p>
    <w:p w14:paraId="6D7310D1" w14:textId="77777777" w:rsidR="00A8264F" w:rsidRDefault="00A8264F" w:rsidP="007D0C6B">
      <w:pPr>
        <w:jc w:val="both"/>
        <w:rPr>
          <w:sz w:val="24"/>
          <w:szCs w:val="24"/>
        </w:rPr>
      </w:pPr>
    </w:p>
    <w:p w14:paraId="19685DAC" w14:textId="77777777" w:rsidR="006B62FE" w:rsidRDefault="006B62FE" w:rsidP="007D0C6B">
      <w:pPr>
        <w:jc w:val="both"/>
        <w:rPr>
          <w:sz w:val="24"/>
          <w:szCs w:val="24"/>
        </w:rPr>
      </w:pPr>
    </w:p>
    <w:p w14:paraId="1D665361" w14:textId="77777777" w:rsidR="006B62FE" w:rsidRDefault="006B62FE" w:rsidP="007D0C6B">
      <w:pPr>
        <w:jc w:val="both"/>
        <w:rPr>
          <w:sz w:val="24"/>
          <w:szCs w:val="24"/>
        </w:rPr>
      </w:pPr>
    </w:p>
    <w:p w14:paraId="51E1B340" w14:textId="77777777" w:rsidR="006B62FE" w:rsidRDefault="006B62FE" w:rsidP="007D0C6B">
      <w:pPr>
        <w:jc w:val="both"/>
        <w:rPr>
          <w:sz w:val="24"/>
          <w:szCs w:val="24"/>
        </w:rPr>
      </w:pPr>
    </w:p>
    <w:p w14:paraId="296170C8" w14:textId="77777777" w:rsidR="006B62FE" w:rsidRDefault="006B62FE" w:rsidP="007D0C6B">
      <w:pPr>
        <w:jc w:val="both"/>
        <w:rPr>
          <w:sz w:val="24"/>
          <w:szCs w:val="24"/>
        </w:rPr>
      </w:pPr>
    </w:p>
    <w:p w14:paraId="621DED98" w14:textId="77777777" w:rsidR="006B62FE" w:rsidRDefault="006B62FE" w:rsidP="007D0C6B">
      <w:pPr>
        <w:jc w:val="both"/>
        <w:rPr>
          <w:sz w:val="24"/>
          <w:szCs w:val="24"/>
        </w:rPr>
      </w:pPr>
    </w:p>
    <w:p w14:paraId="720552EA" w14:textId="77777777" w:rsidR="006B62FE" w:rsidRDefault="006B62FE" w:rsidP="007D0C6B">
      <w:pPr>
        <w:jc w:val="both"/>
        <w:rPr>
          <w:sz w:val="24"/>
          <w:szCs w:val="24"/>
        </w:rPr>
      </w:pPr>
    </w:p>
    <w:p w14:paraId="61CCE2B5" w14:textId="77777777" w:rsidR="006B62FE" w:rsidRDefault="006B62FE" w:rsidP="007D0C6B">
      <w:pPr>
        <w:jc w:val="both"/>
        <w:rPr>
          <w:sz w:val="24"/>
          <w:szCs w:val="24"/>
        </w:rPr>
      </w:pPr>
    </w:p>
    <w:p w14:paraId="5CF48D47" w14:textId="77777777" w:rsidR="006B62FE" w:rsidRDefault="006B62FE" w:rsidP="007D0C6B">
      <w:pPr>
        <w:jc w:val="both"/>
        <w:rPr>
          <w:sz w:val="24"/>
          <w:szCs w:val="24"/>
        </w:rPr>
      </w:pPr>
    </w:p>
    <w:p w14:paraId="4CB30D34" w14:textId="77777777" w:rsidR="006B62FE" w:rsidRDefault="006B62FE" w:rsidP="007D0C6B">
      <w:pPr>
        <w:jc w:val="both"/>
        <w:rPr>
          <w:sz w:val="24"/>
          <w:szCs w:val="24"/>
        </w:rPr>
      </w:pPr>
    </w:p>
    <w:p w14:paraId="1389087C" w14:textId="77777777" w:rsidR="006B62FE" w:rsidRDefault="006B62FE" w:rsidP="007D0C6B">
      <w:pPr>
        <w:jc w:val="both"/>
        <w:rPr>
          <w:sz w:val="24"/>
          <w:szCs w:val="24"/>
        </w:rPr>
      </w:pPr>
    </w:p>
    <w:p w14:paraId="41EDB9DD" w14:textId="77777777" w:rsidR="00630F31" w:rsidRDefault="00630F31" w:rsidP="007D0C6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7FE7FC92" w14:textId="77777777" w:rsidTr="00505878">
        <w:tc>
          <w:tcPr>
            <w:tcW w:w="9062" w:type="dxa"/>
            <w:shd w:val="clear" w:color="auto" w:fill="D0CECE" w:themeFill="background2" w:themeFillShade="E6"/>
          </w:tcPr>
          <w:p w14:paraId="7415B5AF" w14:textId="3671E0B5" w:rsidR="00E25AFA" w:rsidRPr="006B62FE" w:rsidRDefault="00505878" w:rsidP="0050587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b/>
                <w:bCs/>
                <w:sz w:val="20"/>
                <w:szCs w:val="20"/>
              </w:rPr>
              <w:t>Tabela 2: Kwalifikowalne koszty pośrednie</w:t>
            </w:r>
          </w:p>
        </w:tc>
      </w:tr>
      <w:tr w:rsidR="00E25AFA" w14:paraId="5B332B71" w14:textId="77777777" w:rsidTr="00E25AFA">
        <w:tc>
          <w:tcPr>
            <w:tcW w:w="9062" w:type="dxa"/>
          </w:tcPr>
          <w:p w14:paraId="00341BB3" w14:textId="235D3042" w:rsidR="00B57B50" w:rsidRPr="006B62FE" w:rsidRDefault="00505878" w:rsidP="00B57B5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Wszystkie koszty (w tym wynagrodzenia, koszty szkoleń i delegacji) dotyczące STANOWISK</w:t>
            </w:r>
            <w:r w:rsidR="00B57B50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WSPIERAJĄCYCH funkcjonujących w następujących komórkach,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szczególności:</w:t>
            </w:r>
          </w:p>
          <w:p w14:paraId="578CA041" w14:textId="45FC0B3A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ancelaria ogólna (również obsługa sekretariatu w komórkach merytorycznych)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073D930" w14:textId="71477FCB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adry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footnoteReference w:id="5"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84A8462" w14:textId="3677AF45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I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nformatyka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footnoteReference w:id="6"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2EFB944" w14:textId="3BD80740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bsługa administracyjna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7338A7F" w14:textId="3A0A652B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B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ezpieczeństwo i higiena pracy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6AE99F8" w14:textId="77777777" w:rsidR="00B57B50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Ekwiwalenty z tytułu pracy zdalnej i inne kwalifikowalne ekwiwalenty, niestanowiące</w:t>
            </w:r>
            <w:r w:rsidR="00B57B50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wynagrodzenia ze stosunku pracy.</w:t>
            </w:r>
          </w:p>
          <w:p w14:paraId="4FE908FB" w14:textId="55EED46E" w:rsidR="00B57B50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badań wstępnych, okresowych oraz kontrolnych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7C82F76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Świadczenie związane z zapewnieniem przez pracodawcę okularów lub szkieł kontaktowych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do pracy przy monitorze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271D1FD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i prenumerata prasy oraz innych publikacji</w:t>
            </w:r>
          </w:p>
          <w:p w14:paraId="15FF7F2C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usług pocztowych i kurierskich</w:t>
            </w:r>
          </w:p>
          <w:p w14:paraId="6C50D4A0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Wydatki związane z przechowywaniem oraz archiwizacją dokumentów</w:t>
            </w:r>
          </w:p>
          <w:p w14:paraId="0E0EF67F" w14:textId="70A42E0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Zapewnienie (np. najem, dzierżawa, użyczenie), utrzymanie i amortyzacja pomieszczeń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biurowych, magazynowych oraz archiwów (w tym media, koszty sprzątania, zakup środków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czystości)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E20853C" w14:textId="6586BDA6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Adaptacja, remont i modernizacja pomieszczeń biurowych, magazynowych oraz archiwów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(np. prace projektowe, roboty budowlane)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2C0E614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materiałów eksploatacyjnych i biurowych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C09189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Zakup, montaż i konserwacja wentylatorów i klimatyzatorów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8E334B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telefonów i usług telekomunikacyjnych, w tym opłaty abonamentowe, również za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Internet i RTV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1106F8F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i instalacja oprogramowania oraz zakup licencji, koszty dostępu do baz danych (np.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wywiadowni gospodarczych) oraz mobilnego Internetu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921BD54" w14:textId="74CE90D5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Ubezpieczenie mienia (w szczególności wyposażenia i środków trwałych)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26EC196" w14:textId="3397335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Ochrona budynku, konserwacja wind, ewidencja elektroniczna wejść i wyjść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17A682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Niezbędne wydatki związane z zapewnieniem i utrzymaniem służbowych środków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transportu, w szczególności naprawy, miejsca postojowe, ubezpieczenie, serwis, zakup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paliwa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4FD9051" w14:textId="491313EE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Wynajem długoterminowy i leasing środków transportu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540E22F" w14:textId="6531F864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oraz prowizje bankowe (np. koszty związane z prowadzeniem rachunku lub opłatą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bankową za przelew zagraniczny)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303CEA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Wydatki związane z obsługą weksli będących zabezpieczeniem realizacji umów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17F696A" w14:textId="5146C76B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Opłaty ponoszone w zakresie czynności prowadzonych przez kancelarie notarialne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i prawne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D9F7F1D" w14:textId="253701F3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Inne koszty, które nie mogą zostać powiązane bezpośrednio z projektem lub nie mają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bezpośredniego wpływu na realizację programu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B74009E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Przygotowanie specyfikacji przetargowej i przeprowadzenie przetargu (dotyczy kategorii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wydatków wymienionych w tabeli kosztów pośrednich)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2CE4840" w14:textId="7EB6A0F5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Zakup i najem wyposażenia </w:t>
            </w:r>
            <w:proofErr w:type="spellStart"/>
            <w:r w:rsidRPr="006B62FE">
              <w:rPr>
                <w:rFonts w:ascii="Open Sans" w:hAnsi="Open Sans" w:cs="Open Sans"/>
                <w:sz w:val="20"/>
                <w:szCs w:val="20"/>
              </w:rPr>
              <w:t>sal</w:t>
            </w:r>
            <w:proofErr w:type="spellEnd"/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 konferencyjnych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57A1F58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Wdrożenie strategii zarządzania zasobami ludzkimi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89FFBF" w14:textId="01250706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lastRenderedPageBreak/>
              <w:t>Tłumaczenia oraz weryfikacja tłumaczeń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3F26BF9" w14:textId="2C5957E2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Delegacje służbowe (krajowe i zagraniczne) i koszty z nimi związane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(np. ubezpieczenie na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życie w zakresie obowiązkowego ubezpieczenia NNW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przypadku zagranicznych podróży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służbowych, koszty używania samochodu prywatnego do celów służbowych, zakup biletów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komunikacji lub paliwa do samochodu, opłaty za przejazd płatnymi odcinkami dróg) oraz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koszty delegacji pracownika obsługującego podróż służbową (kierowcy)</w:t>
            </w:r>
            <w:r w:rsidR="0025236A" w:rsidRPr="006B62FE">
              <w:rPr>
                <w:rFonts w:ascii="Open Sans" w:hAnsi="Open Sans" w:cs="Open Sans"/>
                <w:sz w:val="20"/>
                <w:szCs w:val="20"/>
              </w:rPr>
              <w:t xml:space="preserve"> – dotyczące wszystkich kategorii wydatków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AB24754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pośrednictwa (np. pośrednictwo przy zakupie biletów lotniczych)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8CF7F95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Odzież robocza i środki ochrony indywidualnej dla pracowników m.in. na potrzeby kontroli 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wizyt monitoringowych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E4864F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kwalifikowanych podpisów elektronicznych na potrzeby realizacji projektu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1C4F3FB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bookmarkStart w:id="0" w:name="_Hlk172880616"/>
            <w:r w:rsidRPr="006B62FE">
              <w:rPr>
                <w:rFonts w:ascii="Open Sans" w:hAnsi="Open Sans" w:cs="Open Sans"/>
                <w:sz w:val="20"/>
                <w:szCs w:val="20"/>
              </w:rPr>
              <w:t>Zakup, najem, amortyzacja, konserwacja, utrzymanie oraz naprawa urządzeń IT, zestawów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komputerowych oraz innego sprzętu i wyposażenia biurowego</w:t>
            </w:r>
            <w:bookmarkEnd w:id="0"/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1D172F1" w14:textId="0E320D55" w:rsidR="00505878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postępowania sądowego, administracyjnego i egzekucyjnego, wydatki związane z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przygotowaniem i obsługą prawną spraw sądowych i egzekucyjnych oraz wydatki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poniesione na funkcjonowanie komisji rozjemczych ponoszone 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przedmiotowym zakresie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przez IZ/IP/IW.</w:t>
            </w:r>
          </w:p>
        </w:tc>
      </w:tr>
    </w:tbl>
    <w:p w14:paraId="1EBEBEA0" w14:textId="77777777" w:rsidR="00E25AFA" w:rsidRPr="007D0C6B" w:rsidRDefault="00E25AFA" w:rsidP="007D0C6B">
      <w:pPr>
        <w:jc w:val="both"/>
        <w:rPr>
          <w:sz w:val="24"/>
          <w:szCs w:val="24"/>
        </w:rPr>
      </w:pPr>
    </w:p>
    <w:sectPr w:rsidR="00E25AFA" w:rsidRPr="007D0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5C17" w14:textId="77777777" w:rsidR="001673A7" w:rsidRDefault="001673A7" w:rsidP="00902EF8">
      <w:pPr>
        <w:spacing w:after="0" w:line="240" w:lineRule="auto"/>
      </w:pPr>
      <w:r>
        <w:separator/>
      </w:r>
    </w:p>
  </w:endnote>
  <w:endnote w:type="continuationSeparator" w:id="0">
    <w:p w14:paraId="5406D0F2" w14:textId="77777777" w:rsidR="001673A7" w:rsidRDefault="001673A7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E6FF" w14:textId="77777777" w:rsidR="00FD7F21" w:rsidRDefault="00FD7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46963"/>
      <w:docPartObj>
        <w:docPartGallery w:val="Page Numbers (Bottom of Page)"/>
        <w:docPartUnique/>
      </w:docPartObj>
    </w:sdtPr>
    <w:sdtEndPr/>
    <w:sdtContent>
      <w:p w14:paraId="2C45916D" w14:textId="620F33E3" w:rsidR="001B1884" w:rsidRDefault="001B1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AFC">
          <w:rPr>
            <w:noProof/>
          </w:rPr>
          <w:t>4</w:t>
        </w:r>
        <w:r>
          <w:fldChar w:fldCharType="end"/>
        </w:r>
      </w:p>
    </w:sdtContent>
  </w:sdt>
  <w:p w14:paraId="76A57252" w14:textId="77777777" w:rsidR="001B1884" w:rsidRDefault="001B1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F00A" w14:textId="77777777" w:rsidR="00FD7F21" w:rsidRDefault="00FD7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FEC7" w14:textId="77777777" w:rsidR="001673A7" w:rsidRDefault="001673A7" w:rsidP="00902EF8">
      <w:pPr>
        <w:spacing w:after="0" w:line="240" w:lineRule="auto"/>
      </w:pPr>
      <w:r>
        <w:separator/>
      </w:r>
    </w:p>
  </w:footnote>
  <w:footnote w:type="continuationSeparator" w:id="0">
    <w:p w14:paraId="30B3EEED" w14:textId="77777777" w:rsidR="001673A7" w:rsidRDefault="001673A7" w:rsidP="00902EF8">
      <w:pPr>
        <w:spacing w:after="0" w:line="240" w:lineRule="auto"/>
      </w:pPr>
      <w:r>
        <w:continuationSeparator/>
      </w:r>
    </w:p>
  </w:footnote>
  <w:footnote w:id="1">
    <w:p w14:paraId="5922E916" w14:textId="58BEE8A1" w:rsidR="00A22FF3" w:rsidRDefault="00A22FF3" w:rsidP="00A22FF3">
      <w:pPr>
        <w:pStyle w:val="Tekstprzypisudolnego"/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505878">
        <w:rPr>
          <w:sz w:val="16"/>
          <w:szCs w:val="16"/>
        </w:rPr>
        <w:t>.</w:t>
      </w:r>
    </w:p>
  </w:footnote>
  <w:footnote w:id="2">
    <w:p w14:paraId="6FB38A61" w14:textId="2CA1406A" w:rsidR="00505878" w:rsidRPr="00A8264F" w:rsidRDefault="00505878" w:rsidP="00505878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64F">
        <w:rPr>
          <w:rFonts w:ascii="Open Sans" w:hAnsi="Open Sans" w:cs="Open Sans"/>
          <w:b/>
          <w:bCs/>
          <w:sz w:val="16"/>
          <w:szCs w:val="16"/>
        </w:rPr>
        <w:t>Minimalny poziom kwalifikowalności stanowiska pracy umożliwiający jego rozliczanie po kosztach rzeczywistych wynosi 25%</w:t>
      </w:r>
      <w:r w:rsidRPr="00A8264F">
        <w:rPr>
          <w:rFonts w:ascii="Open Sans" w:hAnsi="Open Sans" w:cs="Open Sans"/>
          <w:sz w:val="16"/>
          <w:szCs w:val="16"/>
        </w:rPr>
        <w:t>. Stanowisko, na którym wykonywane są zadania kwalifikowalne w proporcji mniejszej niż 25% jest traktowane jako stanowisko wspierające i rozliczane za pomocą ryczałtu stosowanego do kwalifikowalnych kosztów pośrednich.</w:t>
      </w:r>
    </w:p>
  </w:footnote>
  <w:footnote w:id="3">
    <w:p w14:paraId="2D343ABE" w14:textId="68C9D106" w:rsidR="00505878" w:rsidRPr="00505878" w:rsidRDefault="00505878" w:rsidP="00505878">
      <w:pPr>
        <w:pStyle w:val="Tekstprzypisudolnego"/>
        <w:rPr>
          <w:sz w:val="16"/>
          <w:szCs w:val="16"/>
        </w:rPr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Nie ma możliwości rozliczania nagród i dodatków zadaniowych dla stanowisk, dla których wynagrodzenie nie jest rozliczane w projekcie </w:t>
      </w:r>
      <w:r w:rsidRPr="00A8264F">
        <w:rPr>
          <w:rFonts w:ascii="Open Sans" w:hAnsi="Open Sans" w:cs="Open Sans"/>
          <w:sz w:val="16"/>
          <w:szCs w:val="16"/>
        </w:rPr>
        <w:br/>
        <w:t xml:space="preserve">w ramach kosztów </w:t>
      </w:r>
      <w:r w:rsidR="00B4284D" w:rsidRPr="00A8264F">
        <w:rPr>
          <w:rFonts w:ascii="Open Sans" w:hAnsi="Open Sans" w:cs="Open Sans"/>
          <w:sz w:val="16"/>
          <w:szCs w:val="16"/>
        </w:rPr>
        <w:t>b</w:t>
      </w:r>
      <w:r w:rsidRPr="00A8264F">
        <w:rPr>
          <w:rFonts w:ascii="Open Sans" w:hAnsi="Open Sans" w:cs="Open Sans"/>
          <w:sz w:val="16"/>
          <w:szCs w:val="16"/>
        </w:rPr>
        <w:t>ezpośrednich.</w:t>
      </w:r>
    </w:p>
  </w:footnote>
  <w:footnote w:id="4">
    <w:p w14:paraId="6792CCAE" w14:textId="3CACFF84" w:rsidR="00630F31" w:rsidRPr="00A8264F" w:rsidRDefault="00630F31">
      <w:pPr>
        <w:pStyle w:val="Tekstprzypisudolnego"/>
        <w:rPr>
          <w:rFonts w:ascii="Open Sans" w:hAnsi="Open Sans" w:cs="Open Sans"/>
          <w:sz w:val="16"/>
          <w:szCs w:val="16"/>
        </w:rPr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Dotyczy kategorii wydatków wymienionych w tabeli kwalifikowalnych kosztów bezpośrednich.</w:t>
      </w:r>
    </w:p>
  </w:footnote>
  <w:footnote w:id="5">
    <w:p w14:paraId="5EFE89C7" w14:textId="100BEBAF" w:rsidR="00B57B50" w:rsidRPr="00A8264F" w:rsidRDefault="00B57B50">
      <w:pPr>
        <w:pStyle w:val="Tekstprzypisudolnego"/>
        <w:rPr>
          <w:rFonts w:ascii="Open Sans" w:hAnsi="Open Sans" w:cs="Open Sans"/>
          <w:sz w:val="16"/>
          <w:szCs w:val="16"/>
        </w:rPr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Za wyjątkiem stanowisk wyznaczonych do obsługi projektów pomocy technicznej.</w:t>
      </w:r>
    </w:p>
  </w:footnote>
  <w:footnote w:id="6">
    <w:p w14:paraId="288BAB2E" w14:textId="2FE3B841" w:rsidR="00F25BF6" w:rsidRDefault="00F25BF6" w:rsidP="00F25BF6">
      <w:pPr>
        <w:pStyle w:val="Tekstprzypisudolnego"/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Za wyjątkiem stanowisk wyznaczonych do obsługi projektów pomocy technicznej i za wyjątkiem stanowisk obsługujących krajowy system informatyczny CST2014, CST2021</w:t>
      </w:r>
      <w:r w:rsidRPr="00F25B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F0E08" w14:textId="77777777" w:rsidR="00FD7F21" w:rsidRDefault="00FD7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7E50" w14:textId="6129FB5C" w:rsidR="00902EF8" w:rsidRDefault="00902E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9CD902" wp14:editId="0A9E9314">
          <wp:simplePos x="0" y="0"/>
          <wp:positionH relativeFrom="margin">
            <wp:posOffset>1905</wp:posOffset>
          </wp:positionH>
          <wp:positionV relativeFrom="topMargin">
            <wp:posOffset>184150</wp:posOffset>
          </wp:positionV>
          <wp:extent cx="5760720" cy="619760"/>
          <wp:effectExtent l="0" t="0" r="0" b="8890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279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7589" w14:textId="77777777" w:rsidR="00FD7F21" w:rsidRDefault="00FD7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74787"/>
    <w:multiLevelType w:val="hybridMultilevel"/>
    <w:tmpl w:val="6E62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684"/>
    <w:multiLevelType w:val="hybridMultilevel"/>
    <w:tmpl w:val="6522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DDB"/>
    <w:multiLevelType w:val="hybridMultilevel"/>
    <w:tmpl w:val="AD4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3A4"/>
    <w:multiLevelType w:val="hybridMultilevel"/>
    <w:tmpl w:val="AF7C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7C"/>
    <w:multiLevelType w:val="hybridMultilevel"/>
    <w:tmpl w:val="A6E0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3695">
    <w:abstractNumId w:val="0"/>
  </w:num>
  <w:num w:numId="2" w16cid:durableId="1438713698">
    <w:abstractNumId w:val="5"/>
  </w:num>
  <w:num w:numId="3" w16cid:durableId="485559958">
    <w:abstractNumId w:val="3"/>
  </w:num>
  <w:num w:numId="4" w16cid:durableId="1024551249">
    <w:abstractNumId w:val="4"/>
  </w:num>
  <w:num w:numId="5" w16cid:durableId="969626664">
    <w:abstractNumId w:val="2"/>
  </w:num>
  <w:num w:numId="6" w16cid:durableId="155307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8E"/>
    <w:rsid w:val="00010475"/>
    <w:rsid w:val="000D6667"/>
    <w:rsid w:val="00143483"/>
    <w:rsid w:val="001627B5"/>
    <w:rsid w:val="001673A7"/>
    <w:rsid w:val="001B1884"/>
    <w:rsid w:val="001D4269"/>
    <w:rsid w:val="00234AF3"/>
    <w:rsid w:val="0025236A"/>
    <w:rsid w:val="002A3340"/>
    <w:rsid w:val="00337DD3"/>
    <w:rsid w:val="004F440A"/>
    <w:rsid w:val="00505878"/>
    <w:rsid w:val="0050628F"/>
    <w:rsid w:val="005A0C29"/>
    <w:rsid w:val="00630F31"/>
    <w:rsid w:val="00641E5E"/>
    <w:rsid w:val="006B62FE"/>
    <w:rsid w:val="006D0BE0"/>
    <w:rsid w:val="00700EFF"/>
    <w:rsid w:val="00714584"/>
    <w:rsid w:val="00734356"/>
    <w:rsid w:val="007A7416"/>
    <w:rsid w:val="007D0C6B"/>
    <w:rsid w:val="007E0D96"/>
    <w:rsid w:val="007F1C82"/>
    <w:rsid w:val="0089215E"/>
    <w:rsid w:val="008E528E"/>
    <w:rsid w:val="00902EF8"/>
    <w:rsid w:val="009743BC"/>
    <w:rsid w:val="009D1514"/>
    <w:rsid w:val="00A00E99"/>
    <w:rsid w:val="00A22FF3"/>
    <w:rsid w:val="00A5380E"/>
    <w:rsid w:val="00A8264F"/>
    <w:rsid w:val="00A91631"/>
    <w:rsid w:val="00AA28EF"/>
    <w:rsid w:val="00AD6D23"/>
    <w:rsid w:val="00AE6694"/>
    <w:rsid w:val="00AF73DA"/>
    <w:rsid w:val="00B4190E"/>
    <w:rsid w:val="00B4284D"/>
    <w:rsid w:val="00B57B50"/>
    <w:rsid w:val="00C8089A"/>
    <w:rsid w:val="00CA062A"/>
    <w:rsid w:val="00D1645D"/>
    <w:rsid w:val="00D52A7F"/>
    <w:rsid w:val="00D67D09"/>
    <w:rsid w:val="00DC2640"/>
    <w:rsid w:val="00DF3D38"/>
    <w:rsid w:val="00E25AFA"/>
    <w:rsid w:val="00E26AFC"/>
    <w:rsid w:val="00E87D33"/>
    <w:rsid w:val="00E918AA"/>
    <w:rsid w:val="00EA6CBD"/>
    <w:rsid w:val="00EC0894"/>
    <w:rsid w:val="00F25BF6"/>
    <w:rsid w:val="00F35AC3"/>
    <w:rsid w:val="00F73963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F3"/>
    <w:rPr>
      <w:vertAlign w:val="superscript"/>
    </w:rPr>
  </w:style>
  <w:style w:type="paragraph" w:styleId="Poprawka">
    <w:name w:val="Revision"/>
    <w:hidden/>
    <w:uiPriority w:val="99"/>
    <w:semiHidden/>
    <w:rsid w:val="00A916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D2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6C1E-AA75-427D-A6EF-D9CA72CA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Klukowska Magdalena</cp:lastModifiedBy>
  <cp:revision>46</cp:revision>
  <dcterms:created xsi:type="dcterms:W3CDTF">2024-04-15T19:58:00Z</dcterms:created>
  <dcterms:modified xsi:type="dcterms:W3CDTF">2024-08-14T09:19:00Z</dcterms:modified>
</cp:coreProperties>
</file>