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B3232C" w:rsidRDefault="00AA415F" w:rsidP="00B323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15F">
        <w:rPr>
          <w:rFonts w:ascii="Times New Roman" w:hAnsi="Times New Roman" w:cs="Times New Roman"/>
          <w:b/>
          <w:sz w:val="24"/>
          <w:szCs w:val="24"/>
        </w:rPr>
        <w:t>Nr</w:t>
      </w:r>
      <w:r>
        <w:rPr>
          <w:rFonts w:ascii="Times New Roman" w:hAnsi="Times New Roman" w:cs="Times New Roman"/>
          <w:b/>
          <w:sz w:val="24"/>
          <w:szCs w:val="24"/>
        </w:rPr>
        <w:t xml:space="preserve"> ew. 14</w:t>
      </w:r>
      <w:r w:rsidRPr="00AA415F">
        <w:rPr>
          <w:rFonts w:ascii="Times New Roman" w:hAnsi="Times New Roman" w:cs="Times New Roman"/>
          <w:b/>
          <w:sz w:val="24"/>
          <w:szCs w:val="24"/>
        </w:rPr>
        <w:t>/2020/WD/DEKiD</w:t>
      </w:r>
    </w:p>
    <w:p w:rsidR="00AA415F" w:rsidRPr="00AA415F" w:rsidRDefault="00AA415F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maszynowo/komputerowo,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 W kalkulacji przewidywanych kosztów realizacji zadania należy wpisać wszystkie działania, które zaplanowane zostały do realizacji.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B3232C" w:rsidRPr="00054C92" w:rsidRDefault="00B3232C" w:rsidP="00B3232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dotacji. W części VI. 3 (Inne informacje) należy wskazać szacunkową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wkładu niefinansowego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podziałem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wkład osobowy 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 rzeczowy.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III.4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III.4 oferty) zakresu działania realizowanego przez podmiot niebędący stroną umowy. Jeżeli oferent nie planuje powierzyć realizacji poszczególnego działania podmiotowi niebędącemu stroną umowy należy wpisać „Nie dotyczy” w rubryce „Zakres działania realizowany przez podmiot niebędący stroną umowy”.</w:t>
      </w:r>
    </w:p>
    <w:p w:rsidR="00B3232C" w:rsidRPr="001D4E36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D4E36" w:rsidRPr="007267F5" w:rsidRDefault="001D4E36" w:rsidP="001D4E36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749C1" w:rsidRPr="00054C92" w:rsidRDefault="00B749C1" w:rsidP="00B3232C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:rsidR="00EF7AB9" w:rsidRPr="00054C92" w:rsidRDefault="00B749C1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749C1" w:rsidRPr="00054C92" w:rsidRDefault="00B749C1" w:rsidP="00AA415F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749C1" w:rsidRPr="00054C92" w:rsidRDefault="00B749C1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załączników,</w:t>
      </w:r>
    </w:p>
    <w:p w:rsidR="00B749C1" w:rsidRPr="00054C92" w:rsidRDefault="00B749C1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:rsidR="00EF7AB9" w:rsidRPr="00054C92" w:rsidRDefault="00EF7AB9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EF7AB9" w:rsidRPr="00054C92" w:rsidRDefault="00EF7AB9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C93776" w:rsidRPr="00054C92" w:rsidRDefault="00C93776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054C9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https://www.gov.pl/web/obrona-narodowa/otwarte-konkursy-ofert</w:t>
        </w:r>
      </w:hyperlink>
      <w:r w:rsidR="001D4E3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ogólnej MON, zgodnie z pkt III. 15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:rsidR="00B75F7D" w:rsidRPr="00054C92" w:rsidRDefault="00B75F7D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75F7D" w:rsidRPr="00054C92" w:rsidRDefault="00B75F7D" w:rsidP="00AA415F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3232C" w:rsidRPr="00054C92" w:rsidRDefault="00E348F1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34C" w:rsidRPr="00054C92" w:rsidRDefault="00B6634C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E348F1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:rsidR="00B3232C" w:rsidRPr="00054C92" w:rsidRDefault="0088354E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:rsidR="00B3232C" w:rsidRPr="00054C92" w:rsidRDefault="00B3232C" w:rsidP="00AA415F">
      <w:pPr>
        <w:numPr>
          <w:ilvl w:val="0"/>
          <w:numId w:val="36"/>
        </w:numPr>
        <w:suppressAutoHyphens/>
        <w:autoSpaceDN w:val="0"/>
        <w:spacing w:before="60" w:after="6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:rsidR="00B3232C" w:rsidRPr="00054C92" w:rsidRDefault="0088354E" w:rsidP="00AA415F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III.4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B3232C" w:rsidRPr="00054C92" w:rsidRDefault="0088354E" w:rsidP="00AA415F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B3232C" w:rsidP="00AA415F">
      <w:pPr>
        <w:numPr>
          <w:ilvl w:val="0"/>
          <w:numId w:val="1"/>
        </w:numPr>
        <w:tabs>
          <w:tab w:val="clear" w:pos="361"/>
        </w:tabs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>
        <w:rPr>
          <w:rFonts w:ascii="Times New Roman" w:hAnsi="Times New Roman" w:cs="Times New Roman"/>
          <w:sz w:val="24"/>
          <w:szCs w:val="24"/>
        </w:rPr>
        <w:t xml:space="preserve">ds. </w:t>
      </w:r>
      <w:r w:rsidRPr="00054C92">
        <w:rPr>
          <w:rFonts w:ascii="Times New Roman" w:hAnsi="Times New Roman" w:cs="Times New Roman"/>
          <w:sz w:val="24"/>
          <w:szCs w:val="24"/>
        </w:rPr>
        <w:t xml:space="preserve"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</w:t>
      </w:r>
      <w:r w:rsidRPr="00054C92">
        <w:rPr>
          <w:rFonts w:ascii="Times New Roman" w:hAnsi="Times New Roman" w:cs="Times New Roman"/>
          <w:sz w:val="24"/>
          <w:szCs w:val="24"/>
        </w:rPr>
        <w:lastRenderedPageBreak/>
        <w:t>również po jego zakończeniu.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:rsidR="00B3232C" w:rsidRPr="00054C92" w:rsidRDefault="00B3232C" w:rsidP="00AA415F">
      <w:pPr>
        <w:numPr>
          <w:ilvl w:val="0"/>
          <w:numId w:val="13"/>
        </w:numPr>
        <w:spacing w:before="60" w:after="6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wybranie najlepszych ofert. Posiedzenia Komisji odbywają się w siedzibie Ministerstwa Obrony Narodowej. 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0B6D37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0B6D37" w:rsidRPr="00054C92" w:rsidRDefault="00B3232C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 na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których przyznane zostały środki z dotacji oraz ich wysokość, ogłaszane są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w Biuletynie Informacji Publicznej Ministerstwa Obrony Narodowej, link: </w:t>
      </w:r>
      <w:hyperlink r:id="rId9" w:history="1">
        <w:r w:rsidR="000B6D37"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B6D37"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0B6D37"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0B6D37" w:rsidRPr="00054C92" w:rsidRDefault="000B6D37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B3232C" w:rsidRPr="00054C92" w:rsidRDefault="00B3232C" w:rsidP="00B3232C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3232C" w:rsidRPr="00054C92" w:rsidRDefault="00B3232C" w:rsidP="00B3232C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szczególnie uzasadnionych przypadkach, na wniosek oferenta projekt umowy może zostać przesłany do oferenta drogą elektroniczną; oferent jest wówczas zobowiązany do jego uzupełnienia, w szczególności do podania i udokumentowania aktualnych danych osób reprezentujących go i podpisujących umowę; oferent, który otrzymał projekt umowy drogą elektroniczną, zobowiązany jest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jego treścią, wydrukowania umowy, podpisania, dołączenia wymaganych załączników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niezwłocznego odesłania do Departamentu Eduk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acji, Kultury 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Dziedzictwa MON;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toczy się postepowanie egzekucyjne przeciwko oferentowi, co mogłoby spowodować zajęcie dotacji na poczet zobowiązań oferenta;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1429, z późn. zm.), z zastrzeżeniem wynikającym z art. 5 ust 2 ww. ustawy.</w:t>
      </w:r>
    </w:p>
    <w:p w:rsidR="00B3232C" w:rsidRPr="00054C92" w:rsidRDefault="00B3232C" w:rsidP="00B3232C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pisemnej; stosowna informacja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wniesieniu dodatkowego wkładu do zadania musi zostać zawarta w sprawozdaniu z realizacji zadania publicznego;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2869CE" w:rsidRDefault="002869CE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3232C" w:rsidRPr="00054C92" w:rsidRDefault="00B3232C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realizacji zadania publicznego, nie później jednak niż do dnia 31 grudnia danego roku; 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3232C" w:rsidRPr="00054C92" w:rsidRDefault="00B3232C" w:rsidP="00B3232C">
      <w:pPr>
        <w:pStyle w:val="Akapitzlist"/>
        <w:numPr>
          <w:ilvl w:val="0"/>
          <w:numId w:val="3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strzelnice, na których realizowane są zadania publiczne muszą posiadać wymagane prawem zezwolenia (decyzje) umożliwiające jej funkcjonowanie;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3232C" w:rsidRPr="00054C92" w:rsidRDefault="00B3232C" w:rsidP="00B3232C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2018 r. poz. 2174, z późn. zm.),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 r. poz. 865, z późn. zm.),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nagrody, premie i inne formy bonifikaty rzeczowej lub finansowej dla osób zajmujących się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ustawy z 27 sierpnia 2009 r. o finansach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wkładu osobowego (praca wolontariuszy, praca społeczna członków zleceniobiorcy) winno być udokumentowane w następujący sposób: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nieodpłatnie udostępnionych zleceniobiorcy pomieszczeń i obiektów - wyliczonych na podstawie czynszów, opłat, itp.;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dokonywania zwrotu kosztów używania do celów służbowych samochodów osobowych, motocykli i motorowerów niebędących własnością pracodawcy (Dz. U. Nr 27, poz. 271, z późn. zm.), tj.: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3232C" w:rsidRPr="00054C92" w:rsidRDefault="00B3232C" w:rsidP="002C5579">
      <w:pPr>
        <w:pStyle w:val="Akapitzlist"/>
        <w:numPr>
          <w:ilvl w:val="0"/>
          <w:numId w:val="33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kwotę wynikającą z przemnożenia liczby faktycznie przejechanych kilometrów i stawki za jeden kilometr przebiegu,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Zatwierdzenie sprawozdania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Dyrektor Departamentu Edukacji, Kultury i Dziedzictwa MON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zadania publicznego, o której mowa w pkt 9, powinna być okazywana na wezwanie każdego organu upraw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nionego do kontroli oraz na każde wezwanie komórki organizacyjnej MON właściwej do prowadzenia monitoringu i ewaluacji efektywności działalności proobronnej.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3232C" w:rsidRPr="00054C92" w:rsidRDefault="00B3232C" w:rsidP="00B3232C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upoważnienie do działania w imieniu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232C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2C5579" w:rsidRDefault="002C5579" w:rsidP="002C557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579" w:rsidRPr="002C5579" w:rsidRDefault="002C5579" w:rsidP="002C557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B3232C" w:rsidRPr="00054C92" w:rsidRDefault="00B3232C" w:rsidP="002C5579">
      <w:pPr>
        <w:pStyle w:val="Akapitzlist"/>
        <w:numPr>
          <w:ilvl w:val="3"/>
          <w:numId w:val="33"/>
        </w:numPr>
        <w:spacing w:before="60" w:after="6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 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niego nadzorowanych. Osoba dokonująca oceny merytorycznej zadania publicznego przygotowuje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(ogólnego rozporządzenia o ochronie danych (Dz. Urz. UE L 119 z 04.05.2016 r., str. 1), zwanym dalej RODO.</w:t>
      </w:r>
    </w:p>
    <w:p w:rsidR="00B3232C" w:rsidRPr="00054C92" w:rsidRDefault="00B3232C" w:rsidP="00B3232C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2869CE">
      <w:headerReference w:type="default" r:id="rId11"/>
      <w:footerReference w:type="even" r:id="rId12"/>
      <w:footerReference w:type="default" r:id="rId13"/>
      <w:pgSz w:w="11906" w:h="16838"/>
      <w:pgMar w:top="1304" w:right="85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15" w:rsidRDefault="00614B15">
      <w:pPr>
        <w:spacing w:after="0" w:line="240" w:lineRule="auto"/>
      </w:pPr>
      <w:r>
        <w:separator/>
      </w:r>
    </w:p>
  </w:endnote>
  <w:endnote w:type="continuationSeparator" w:id="0">
    <w:p w:rsidR="00614B15" w:rsidRDefault="0061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614B1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5AF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614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15" w:rsidRDefault="00614B15">
      <w:pPr>
        <w:spacing w:after="0" w:line="240" w:lineRule="auto"/>
      </w:pPr>
      <w:r>
        <w:separator/>
      </w:r>
    </w:p>
  </w:footnote>
  <w:footnote w:type="continuationSeparator" w:id="0">
    <w:p w:rsidR="00614B15" w:rsidRDefault="00614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CE" w:rsidRPr="00AA415F" w:rsidRDefault="002869CE" w:rsidP="002869CE">
    <w:pPr>
      <w:pStyle w:val="Nagwek"/>
      <w:jc w:val="right"/>
      <w:rPr>
        <w:rFonts w:ascii="Times New Roman" w:hAnsi="Times New Roman" w:cs="Times New Roman"/>
      </w:rPr>
    </w:pPr>
    <w:r w:rsidRPr="00AA415F">
      <w:rPr>
        <w:rFonts w:ascii="Times New Roman" w:hAnsi="Times New Roman" w:cs="Times New Roman"/>
      </w:rPr>
      <w:t xml:space="preserve">Załącznik Nr 1 do ogłoszenia otwartego konkursu ofert </w:t>
    </w:r>
    <w:r w:rsidR="00AA415F" w:rsidRPr="00AA415F">
      <w:rPr>
        <w:rFonts w:ascii="Times New Roman" w:hAnsi="Times New Roman" w:cs="Times New Roman"/>
      </w:rPr>
      <w:t>Nr</w:t>
    </w:r>
    <w:r w:rsidR="00AA415F">
      <w:rPr>
        <w:rFonts w:ascii="Times New Roman" w:hAnsi="Times New Roman" w:cs="Times New Roman"/>
      </w:rPr>
      <w:t xml:space="preserve"> ew. 14</w:t>
    </w:r>
    <w:r w:rsidR="00AA415F" w:rsidRPr="00AA415F">
      <w:rPr>
        <w:rFonts w:ascii="Times New Roman" w:hAnsi="Times New Roman" w:cs="Times New Roman"/>
      </w:rPr>
      <w:t>/2020/WD/DEKiD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9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36"/>
  </w:num>
  <w:num w:numId="7">
    <w:abstractNumId w:val="19"/>
  </w:num>
  <w:num w:numId="8">
    <w:abstractNumId w:val="33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37"/>
  </w:num>
  <w:num w:numId="14">
    <w:abstractNumId w:val="14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0"/>
  </w:num>
  <w:num w:numId="21">
    <w:abstractNumId w:val="9"/>
  </w:num>
  <w:num w:numId="22">
    <w:abstractNumId w:val="34"/>
  </w:num>
  <w:num w:numId="23">
    <w:abstractNumId w:val="35"/>
  </w:num>
  <w:num w:numId="24">
    <w:abstractNumId w:val="12"/>
  </w:num>
  <w:num w:numId="25">
    <w:abstractNumId w:val="8"/>
  </w:num>
  <w:num w:numId="26">
    <w:abstractNumId w:val="31"/>
  </w:num>
  <w:num w:numId="27">
    <w:abstractNumId w:val="2"/>
  </w:num>
  <w:num w:numId="28">
    <w:abstractNumId w:val="27"/>
  </w:num>
  <w:num w:numId="29">
    <w:abstractNumId w:val="1"/>
  </w:num>
  <w:num w:numId="30">
    <w:abstractNumId w:val="29"/>
  </w:num>
  <w:num w:numId="31">
    <w:abstractNumId w:val="25"/>
  </w:num>
  <w:num w:numId="32">
    <w:abstractNumId w:val="16"/>
  </w:num>
  <w:num w:numId="33">
    <w:abstractNumId w:val="32"/>
  </w:num>
  <w:num w:numId="34">
    <w:abstractNumId w:val="23"/>
  </w:num>
  <w:num w:numId="35">
    <w:abstractNumId w:val="20"/>
  </w:num>
  <w:num w:numId="36">
    <w:abstractNumId w:val="21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54C92"/>
    <w:rsid w:val="00063F9B"/>
    <w:rsid w:val="000B6D37"/>
    <w:rsid w:val="00155C7F"/>
    <w:rsid w:val="001D4E36"/>
    <w:rsid w:val="00273190"/>
    <w:rsid w:val="002869CE"/>
    <w:rsid w:val="002C5579"/>
    <w:rsid w:val="0030565E"/>
    <w:rsid w:val="004B2E63"/>
    <w:rsid w:val="00555F04"/>
    <w:rsid w:val="005E3435"/>
    <w:rsid w:val="00614B15"/>
    <w:rsid w:val="00633C2D"/>
    <w:rsid w:val="007D3030"/>
    <w:rsid w:val="00854D41"/>
    <w:rsid w:val="0088354E"/>
    <w:rsid w:val="00995AB8"/>
    <w:rsid w:val="00AA415F"/>
    <w:rsid w:val="00AC084C"/>
    <w:rsid w:val="00B04E24"/>
    <w:rsid w:val="00B3232C"/>
    <w:rsid w:val="00B6634C"/>
    <w:rsid w:val="00B749C1"/>
    <w:rsid w:val="00B75F7D"/>
    <w:rsid w:val="00BD2A1C"/>
    <w:rsid w:val="00C8764B"/>
    <w:rsid w:val="00C93776"/>
    <w:rsid w:val="00DF1565"/>
    <w:rsid w:val="00E14C70"/>
    <w:rsid w:val="00E232BF"/>
    <w:rsid w:val="00E27770"/>
    <w:rsid w:val="00E348F1"/>
    <w:rsid w:val="00ED5AFF"/>
    <w:rsid w:val="00E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6287</Words>
  <Characters>37722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2020-09-07T10:33:00Z</cp:lastPrinted>
  <dcterms:created xsi:type="dcterms:W3CDTF">2020-09-16T12:29:00Z</dcterms:created>
  <dcterms:modified xsi:type="dcterms:W3CDTF">2020-09-16T12:29:00Z</dcterms:modified>
</cp:coreProperties>
</file>