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2A" w:rsidRDefault="0057212A" w:rsidP="0057212A">
      <w:pPr>
        <w:spacing w:after="0" w:line="240" w:lineRule="auto"/>
        <w:rPr>
          <w:rFonts w:ascii="Times New Roman" w:eastAsia="Times New Roman" w:hAnsi="Times New Roman"/>
          <w:szCs w:val="28"/>
          <w:lang w:val="pl-PL" w:eastAsia="pl-PL"/>
        </w:rPr>
      </w:pPr>
      <w:r w:rsidRPr="0057212A">
        <w:rPr>
          <w:rFonts w:ascii="Times New Roman" w:eastAsia="Times New Roman" w:hAnsi="Times New Roman"/>
          <w:szCs w:val="28"/>
          <w:lang w:val="pl-PL" w:eastAsia="pl-PL"/>
        </w:rPr>
        <w:t xml:space="preserve">Załącznik </w:t>
      </w:r>
      <w:r>
        <w:rPr>
          <w:rFonts w:ascii="Times New Roman" w:eastAsia="Times New Roman" w:hAnsi="Times New Roman"/>
          <w:szCs w:val="28"/>
          <w:lang w:val="pl-PL" w:eastAsia="pl-PL"/>
        </w:rPr>
        <w:t>B.80.</w:t>
      </w:r>
    </w:p>
    <w:p w:rsidR="0057212A" w:rsidRPr="0057212A" w:rsidRDefault="0057212A" w:rsidP="0057212A">
      <w:pPr>
        <w:spacing w:after="0" w:line="240" w:lineRule="auto"/>
        <w:rPr>
          <w:rFonts w:ascii="Times New Roman" w:eastAsia="Times New Roman" w:hAnsi="Times New Roman"/>
          <w:szCs w:val="28"/>
          <w:lang w:val="pl-PL" w:eastAsia="pl-PL"/>
        </w:rPr>
      </w:pPr>
    </w:p>
    <w:p w:rsidR="00407EA3" w:rsidRPr="0057212A" w:rsidRDefault="00A606F8" w:rsidP="0057212A">
      <w:pPr>
        <w:spacing w:after="240" w:line="240" w:lineRule="auto"/>
        <w:rPr>
          <w:rFonts w:ascii="Times New Roman" w:eastAsia="Times New Roman" w:hAnsi="Times New Roman"/>
          <w:b/>
          <w:sz w:val="28"/>
          <w:szCs w:val="28"/>
          <w:lang w:val="pl-PL" w:eastAsia="pl-PL"/>
        </w:rPr>
      </w:pPr>
      <w:r w:rsidRPr="0057212A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LECZENIE PODTRZYMUJĄCE OLAPARYBEM CHORYCH NA NAWROTOWEGO PLATYNOWRAŻLIWEGO ZAAWANSOWANEGO RAKA </w:t>
      </w:r>
      <w:r w:rsidR="00CD6F9D" w:rsidRPr="0057212A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JAJNIKA, </w:t>
      </w:r>
      <w:r w:rsidRPr="0057212A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RAKA JAJOWODU LUB PIERWOTNEGO RAKA OTRZEWNEJ </w:t>
      </w:r>
      <w:r w:rsidR="00DD262E" w:rsidRPr="0057212A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 </w:t>
      </w:r>
      <w:r w:rsidR="003B22AB" w:rsidRPr="0057212A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(ICD-10</w:t>
      </w:r>
      <w:r w:rsidR="003B4877" w:rsidRPr="0057212A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="003B22AB" w:rsidRPr="0057212A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C</w:t>
      </w:r>
      <w:r w:rsidR="005C3CED" w:rsidRPr="0057212A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56, C57, C48)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4611"/>
        <w:gridCol w:w="5362"/>
      </w:tblGrid>
      <w:tr w:rsidR="00B052B7" w:rsidRPr="00CD6F9D" w:rsidTr="00DD262E">
        <w:trPr>
          <w:trHeight w:val="454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B052B7" w:rsidRPr="0057212A" w:rsidRDefault="00B052B7" w:rsidP="00572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  <w:r w:rsidRPr="0057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ZAKRES ŚWIADCZENIA GWARANTOWANEGO</w:t>
            </w:r>
          </w:p>
        </w:tc>
      </w:tr>
      <w:tr w:rsidR="00DD262E" w:rsidRPr="0080530F" w:rsidTr="00003CA9">
        <w:tc>
          <w:tcPr>
            <w:tcW w:w="1760" w:type="pct"/>
            <w:shd w:val="clear" w:color="auto" w:fill="auto"/>
            <w:vAlign w:val="center"/>
          </w:tcPr>
          <w:p w:rsidR="00B052B7" w:rsidRPr="0057212A" w:rsidRDefault="00B052B7" w:rsidP="00572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  <w:r w:rsidRPr="0057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ŚWIADCZENIOBIORCY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B052B7" w:rsidRPr="0057212A" w:rsidRDefault="00B052B7" w:rsidP="00572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  <w:r w:rsidRPr="0057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SCHEMAT DAWKOWANIA LEKÓW W PROGRAMIE</w:t>
            </w:r>
          </w:p>
        </w:tc>
        <w:tc>
          <w:tcPr>
            <w:tcW w:w="1742" w:type="pct"/>
            <w:shd w:val="clear" w:color="auto" w:fill="auto"/>
            <w:vAlign w:val="center"/>
          </w:tcPr>
          <w:p w:rsidR="00B052B7" w:rsidRPr="0057212A" w:rsidRDefault="00B052B7" w:rsidP="00572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  <w:r w:rsidRPr="0057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BADANIA DIAGNOSTYCZNE WYKONYWANE W RAMACH PROGRAMU</w:t>
            </w:r>
          </w:p>
        </w:tc>
      </w:tr>
      <w:tr w:rsidR="00DD262E" w:rsidRPr="0080530F" w:rsidTr="00003CA9">
        <w:tc>
          <w:tcPr>
            <w:tcW w:w="1760" w:type="pct"/>
            <w:shd w:val="clear" w:color="auto" w:fill="auto"/>
          </w:tcPr>
          <w:p w:rsidR="000964F7" w:rsidRPr="0057212A" w:rsidRDefault="00B052B7" w:rsidP="0057212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  <w:r w:rsidRPr="0057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Kryteria kwalifikacji:</w:t>
            </w:r>
          </w:p>
          <w:p w:rsidR="003B4877" w:rsidRPr="0057212A" w:rsidRDefault="00B052B7" w:rsidP="00572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567" w:hanging="283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histologiczne rozpoznanie</w:t>
            </w:r>
            <w:r w:rsidR="00E523FE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surowiczego</w:t>
            </w:r>
            <w:r w:rsidR="00EF3471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raka j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ajnika</w:t>
            </w:r>
            <w:r w:rsidR="003B487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o niskim stopniu zróżnicowania (ang. high </w:t>
            </w:r>
            <w:proofErr w:type="spellStart"/>
            <w:r w:rsidR="003B487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grade</w:t>
            </w:r>
            <w:proofErr w:type="spellEnd"/>
            <w:r w:rsidR="00C02FD0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, G2 lub G3</w:t>
            </w:r>
            <w:r w:rsidR="003B487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), rak</w:t>
            </w:r>
            <w:r w:rsidR="00A31F9D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a</w:t>
            </w:r>
            <w:r w:rsidR="003B487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jajowodu lub pierwotn</w:t>
            </w:r>
            <w:r w:rsidR="00A31F9D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ego</w:t>
            </w:r>
            <w:r w:rsidR="003B487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rak</w:t>
            </w:r>
            <w:r w:rsidR="00A31F9D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a</w:t>
            </w:r>
            <w:r w:rsidR="003B487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otrzewnej;</w:t>
            </w:r>
          </w:p>
          <w:p w:rsidR="003B4877" w:rsidRPr="0057212A" w:rsidRDefault="00A31F9D" w:rsidP="00572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567" w:hanging="283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o</w:t>
            </w:r>
            <w:r w:rsidR="003B487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becn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ość </w:t>
            </w:r>
            <w:r w:rsidR="003B487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mutacj</w:t>
            </w:r>
            <w:r w:rsidR="006661A1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i</w:t>
            </w:r>
            <w:r w:rsidR="003B487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w </w:t>
            </w:r>
            <w:r w:rsidR="006661A1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genie</w:t>
            </w:r>
            <w:r w:rsidR="00B30F4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B487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BRCA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1 </w:t>
            </w:r>
            <w:r w:rsidR="006661A1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i/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lub w BRCA2 </w:t>
            </w:r>
            <w:r w:rsidR="003B487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(dziedziczn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ej</w:t>
            </w:r>
            <w:r w:rsidR="003B487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i (lub) somatyczn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ej</w:t>
            </w:r>
            <w:r w:rsidR="00DC765E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);</w:t>
            </w:r>
          </w:p>
          <w:p w:rsidR="00C02FD0" w:rsidRPr="0057212A" w:rsidRDefault="00407EA3" w:rsidP="00572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567" w:hanging="283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c</w:t>
            </w:r>
            <w:r w:rsidR="007136CB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hore</w:t>
            </w:r>
            <w:r w:rsidR="00A130BC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A130BC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platynowrażliwe</w:t>
            </w:r>
            <w:proofErr w:type="spellEnd"/>
            <w:r w:rsidR="00296DB5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(nawrót w okresie &gt; 6 miesięcy od zakończenia leczenia pochodnymi platyny)</w:t>
            </w:r>
            <w:r w:rsidR="00003CA9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:rsidR="009A5CF7" w:rsidRPr="0057212A" w:rsidRDefault="00C02FD0" w:rsidP="00572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567" w:hanging="283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chore, które otrzymały </w:t>
            </w:r>
            <w:r w:rsidR="007136CB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co</w:t>
            </w:r>
            <w:r w:rsidR="009A5CF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najmniej dw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ie </w:t>
            </w:r>
            <w:r w:rsidR="009A5CF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lini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e</w:t>
            </w:r>
            <w:r w:rsidR="009A5CF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D1D2C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leczenia</w:t>
            </w:r>
            <w:r w:rsidR="009A5CF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D1D2C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schematami</w:t>
            </w:r>
            <w:r w:rsidR="009A5CF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chemioterapii zawierającymi pochodne platyny (</w:t>
            </w:r>
            <w:r w:rsidR="00A606F8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np. </w:t>
            </w:r>
            <w:proofErr w:type="spellStart"/>
            <w:r w:rsidR="00A606F8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karbopla</w:t>
            </w:r>
            <w:r w:rsidR="00FD1D2C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tynę</w:t>
            </w:r>
            <w:proofErr w:type="spellEnd"/>
            <w:r w:rsidR="00FD1D2C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, </w:t>
            </w:r>
            <w:proofErr w:type="spellStart"/>
            <w:r w:rsidR="00FD1D2C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cisplatynę</w:t>
            </w:r>
            <w:proofErr w:type="spellEnd"/>
            <w:r w:rsidR="00003CA9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);</w:t>
            </w:r>
          </w:p>
          <w:p w:rsidR="009A5CF7" w:rsidRPr="0057212A" w:rsidRDefault="006839D0" w:rsidP="00572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567" w:hanging="283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obiektywna odpowiedź</w:t>
            </w:r>
            <w:r w:rsidR="009A5CF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na leczenie po ostatnim schemacie leczenia </w:t>
            </w:r>
            <w:r w:rsidR="00FD1D2C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zawierającym</w:t>
            </w:r>
            <w:r w:rsidR="009A5CF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pochodne platyny (</w:t>
            </w:r>
            <w:r w:rsidR="00FD1D2C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odpowiedź</w:t>
            </w:r>
            <w:r w:rsidR="009A5CF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całkowita lub częściowa wg </w:t>
            </w:r>
            <w:r w:rsidR="00FD1D2C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kryteriów</w:t>
            </w:r>
            <w:r w:rsidR="009A5CF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RECIST</w:t>
            </w:r>
            <w:r w:rsidR="00C02FD0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)</w:t>
            </w:r>
            <w:r w:rsidR="00DC765E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:rsidR="00B052B7" w:rsidRPr="0057212A" w:rsidRDefault="00B052B7" w:rsidP="00572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567" w:hanging="283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stan sprawności ogólnej w stopniach 0-</w:t>
            </w:r>
            <w:r w:rsidR="00BA5C5A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2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według klasyfikacji </w:t>
            </w:r>
            <w:r w:rsidR="00BA5C5A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ECOG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:rsidR="00B052B7" w:rsidRPr="0057212A" w:rsidRDefault="00B052B7" w:rsidP="00572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567" w:hanging="283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wiek powyżej 18 roku życia;</w:t>
            </w:r>
          </w:p>
          <w:p w:rsidR="00003CA9" w:rsidRPr="0057212A" w:rsidRDefault="00B052B7" w:rsidP="00572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567" w:hanging="283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wyniki badania morfologii krwi z rozmazem:</w:t>
            </w:r>
          </w:p>
          <w:p w:rsidR="00EB4603" w:rsidRPr="0057212A" w:rsidRDefault="00EB4603" w:rsidP="0057212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ind w:right="227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stężenie hemoglobiny większe lub równe </w:t>
            </w:r>
            <w:r w:rsidR="00FC158B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10</w:t>
            </w:r>
            <w:r w:rsidR="00EF3471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0 g/dl;</w:t>
            </w:r>
          </w:p>
          <w:p w:rsidR="00B052B7" w:rsidRPr="0057212A" w:rsidRDefault="00EB4603" w:rsidP="0057212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ind w:right="227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liczba leukocytów większa lub równa 3,0 x 10</w:t>
            </w:r>
            <w:r w:rsidRPr="0057212A">
              <w:rPr>
                <w:rFonts w:ascii="Times New Roman" w:hAnsi="Times New Roman"/>
                <w:sz w:val="20"/>
                <w:szCs w:val="20"/>
                <w:vertAlign w:val="superscript"/>
                <w:lang w:val="pl-PL"/>
              </w:rPr>
              <w:t>9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/l</w:t>
            </w:r>
            <w:r w:rsidR="00920ED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:rsidR="007804AC" w:rsidRPr="0057212A" w:rsidRDefault="00B052B7" w:rsidP="0057212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ind w:right="227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bezwzględna liczba neutrofilów większa lub równa</w:t>
            </w:r>
            <w:r w:rsidR="00403806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1</w:t>
            </w:r>
            <w:r w:rsidR="006760A5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5</w:t>
            </w:r>
            <w:r w:rsidR="006760A5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x 10</w:t>
            </w:r>
            <w:r w:rsidR="006760A5" w:rsidRPr="0057212A">
              <w:rPr>
                <w:rFonts w:ascii="Times New Roman" w:hAnsi="Times New Roman"/>
                <w:sz w:val="20"/>
                <w:szCs w:val="20"/>
                <w:vertAlign w:val="superscript"/>
                <w:lang w:val="pl-PL"/>
              </w:rPr>
              <w:t>9</w:t>
            </w:r>
            <w:r w:rsidR="00920ED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/l;</w:t>
            </w:r>
          </w:p>
          <w:p w:rsidR="00B052B7" w:rsidRPr="0057212A" w:rsidRDefault="00EB4603" w:rsidP="0057212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ind w:right="227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liczba płytek krwi większa lub równa 100 x 10</w:t>
            </w:r>
            <w:r w:rsidRPr="0057212A">
              <w:rPr>
                <w:rFonts w:ascii="Times New Roman" w:hAnsi="Times New Roman"/>
                <w:sz w:val="20"/>
                <w:szCs w:val="20"/>
                <w:vertAlign w:val="superscript"/>
                <w:lang w:val="pl-PL"/>
              </w:rPr>
              <w:t>9</w:t>
            </w:r>
            <w:r w:rsidR="00ED7889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/l;</w:t>
            </w:r>
          </w:p>
          <w:p w:rsidR="00B052B7" w:rsidRPr="0057212A" w:rsidRDefault="00B052B7" w:rsidP="00572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567" w:hanging="283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wskaźniki czynności wątroby i nerek:</w:t>
            </w:r>
          </w:p>
          <w:p w:rsidR="00B052B7" w:rsidRPr="0057212A" w:rsidRDefault="00B052B7" w:rsidP="0057212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stężenie całkowitej bilirubiny nieprzekraczające </w:t>
            </w:r>
            <w:r w:rsidR="00EA2F51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1,5-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krotnie górnej granicy </w:t>
            </w:r>
            <w:r w:rsidR="00920ED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normy</w:t>
            </w:r>
            <w:r w:rsidR="00C02FD0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(z wyjątkiem chorych z zespołem Gilberta</w:t>
            </w:r>
            <w:r w:rsidR="00920ED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);</w:t>
            </w:r>
          </w:p>
          <w:p w:rsidR="00EA2F51" w:rsidRPr="0057212A" w:rsidRDefault="00B052B7" w:rsidP="0057212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aktywność transaminaz (alaninowej i asparaginowej) w surowicy nieprzekraczająca </w:t>
            </w:r>
            <w:r w:rsidR="00EA2F51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2,5-krotnie górnej granicy normy (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5-krotnie </w:t>
            </w:r>
            <w:r w:rsidR="00EA2F51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u chorych z przerzutami do </w:t>
            </w:r>
            <w:r w:rsidR="00FD1D2C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wątroby</w:t>
            </w:r>
            <w:r w:rsidR="00EA2F51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);</w:t>
            </w:r>
          </w:p>
          <w:p w:rsidR="00B052B7" w:rsidRPr="0057212A" w:rsidRDefault="00B052B7" w:rsidP="0057212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stężenie kreatyniny </w:t>
            </w:r>
            <w:r w:rsidR="007136CB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nieprzekraczające</w:t>
            </w:r>
            <w:r w:rsidR="00EA2F51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1,5-krotnie </w:t>
            </w:r>
            <w:r w:rsidR="00FD1D2C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górnej</w:t>
            </w:r>
            <w:r w:rsidR="00EA2F51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granic</w:t>
            </w:r>
            <w:r w:rsidR="00EA2F51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y</w:t>
            </w:r>
            <w:r w:rsidR="00920ED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normy;</w:t>
            </w:r>
          </w:p>
          <w:p w:rsidR="00B052B7" w:rsidRPr="0057212A" w:rsidRDefault="0080530F" w:rsidP="00572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567" w:hanging="283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920ED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wykluczenie ciąży.</w:t>
            </w:r>
          </w:p>
          <w:p w:rsidR="00B052B7" w:rsidRPr="0057212A" w:rsidRDefault="00B052B7" w:rsidP="0057212A">
            <w:pPr>
              <w:autoSpaceDE w:val="0"/>
              <w:autoSpaceDN w:val="0"/>
              <w:adjustRightInd w:val="0"/>
              <w:spacing w:after="120"/>
              <w:ind w:left="567" w:hanging="283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B052B7" w:rsidRPr="00B44829" w:rsidRDefault="00B052B7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Kryteria kwalifikacji muszą być spełnione łącznie.</w:t>
            </w:r>
          </w:p>
          <w:p w:rsidR="000964F7" w:rsidRPr="0057212A" w:rsidRDefault="000964F7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</w:p>
          <w:p w:rsidR="00B052B7" w:rsidRPr="0057212A" w:rsidRDefault="000964F7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1.1.</w:t>
            </w:r>
            <w:r w:rsidR="00B052B7" w:rsidRPr="0057212A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Określenie czasu leczenia w programie</w:t>
            </w:r>
            <w:r w:rsidR="009939B3" w:rsidRPr="0057212A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:</w:t>
            </w:r>
          </w:p>
          <w:p w:rsidR="009A5CF7" w:rsidRPr="0057212A" w:rsidRDefault="00B052B7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Leczenie do czasu </w:t>
            </w:r>
            <w:r w:rsidR="009A5CF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wystąpienia progresji choroby podstawowej</w:t>
            </w:r>
            <w:r w:rsidR="00F72DF8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(wg RECIST)</w:t>
            </w:r>
            <w:r w:rsidR="009A5CF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:rsidR="00B052B7" w:rsidRPr="0057212A" w:rsidRDefault="00B052B7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B052B7" w:rsidRPr="0057212A" w:rsidRDefault="00B052B7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1.</w:t>
            </w:r>
            <w:r w:rsidR="000964F7" w:rsidRPr="0057212A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</w:t>
            </w:r>
            <w:r w:rsidR="00E11A24" w:rsidRPr="0057212A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.</w:t>
            </w:r>
            <w:r w:rsidRPr="0057212A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Kryteria wyłączenia z programu:</w:t>
            </w:r>
          </w:p>
          <w:p w:rsidR="00A130BC" w:rsidRPr="0057212A" w:rsidRDefault="00A130BC" w:rsidP="0057212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FD1D2C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ystąpienie</w:t>
            </w:r>
            <w:r w:rsidR="00EB460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objawów nadwrażliwości na </w:t>
            </w:r>
            <w:proofErr w:type="spellStart"/>
            <w:r w:rsidR="00EB460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olaparyb</w:t>
            </w:r>
            <w:proofErr w:type="spellEnd"/>
            <w:r w:rsidR="00EB460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lub na którąkolwiek substancję pomocnicz</w:t>
            </w:r>
            <w:r w:rsidR="009939B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ą wymienioną w punkcie 6.1 </w:t>
            </w:r>
            <w:proofErr w:type="spellStart"/>
            <w:r w:rsidR="009939B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ChPL</w:t>
            </w:r>
            <w:proofErr w:type="spellEnd"/>
            <w:r w:rsidR="009939B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:rsidR="00EB4603" w:rsidRPr="0057212A" w:rsidRDefault="00A130BC" w:rsidP="0057212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progresja choroby </w:t>
            </w:r>
            <w:r w:rsidR="00F72DF8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podstawowej 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w trakcie leczenia</w:t>
            </w:r>
            <w:r w:rsidR="006F618B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(</w:t>
            </w:r>
            <w:r w:rsidR="00F72DF8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wg RECIST)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:rsidR="00A130BC" w:rsidRPr="0057212A" w:rsidRDefault="00A130BC" w:rsidP="0057212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długotrwałe działania niepożądane w stopniu </w:t>
            </w:r>
            <w:r w:rsidR="001C1D2B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≥ 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3 według klasyfikacji </w:t>
            </w:r>
            <w:r w:rsidR="00C02FD0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NCI CTC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:rsidR="00B052B7" w:rsidRPr="0057212A" w:rsidRDefault="00A130BC" w:rsidP="0057212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k</w:t>
            </w:r>
            <w:r w:rsidR="00EB460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armienie piersią podczas leczenia oraz 1 miesiąc po przyjęciu ostatniej dawki leku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1498" w:type="pct"/>
            <w:shd w:val="clear" w:color="auto" w:fill="auto"/>
          </w:tcPr>
          <w:p w:rsidR="00EB4603" w:rsidRPr="0057212A" w:rsidRDefault="00EB4603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Leczenie </w:t>
            </w:r>
            <w:proofErr w:type="spellStart"/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olaparybem</w:t>
            </w:r>
            <w:proofErr w:type="spellEnd"/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powinien rozpoczynać i nadzorować lekarz doświadczony w stosowaniu przeciwnowotworowych produktów leczniczych.</w:t>
            </w:r>
          </w:p>
          <w:p w:rsidR="00EB4603" w:rsidRPr="0057212A" w:rsidRDefault="00EB4603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u w:val="single"/>
                <w:lang w:val="pl-PL"/>
              </w:rPr>
              <w:t>Dawkowanie</w:t>
            </w:r>
          </w:p>
          <w:p w:rsidR="00EB4603" w:rsidRPr="0057212A" w:rsidRDefault="00EB4603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Zalecana dawka </w:t>
            </w:r>
            <w:proofErr w:type="spellStart"/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olaparybu</w:t>
            </w:r>
            <w:proofErr w:type="spellEnd"/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wynosi 400 mg (osiem kapsułek) dwa razy na dobę, co odpowiada całkowitej dawce dobowej 800 mg.</w:t>
            </w:r>
          </w:p>
          <w:p w:rsidR="00EB4603" w:rsidRPr="0057212A" w:rsidRDefault="00EB4603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EB4603" w:rsidRPr="0057212A" w:rsidRDefault="00CC6BBF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Chore</w:t>
            </w:r>
            <w:r w:rsidR="00EB460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powinny</w:t>
            </w:r>
            <w:r w:rsidR="00EB460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rozpocząć leczenie </w:t>
            </w:r>
            <w:proofErr w:type="spellStart"/>
            <w:r w:rsidR="007136CB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olaparybem</w:t>
            </w:r>
            <w:proofErr w:type="spellEnd"/>
            <w:r w:rsidR="007136CB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EB460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nie później niż 8 tygodni po podaniu ostatniej dawki leków w schemacie zawierającym pochodne platyny.</w:t>
            </w:r>
          </w:p>
          <w:p w:rsidR="00EB4603" w:rsidRPr="0057212A" w:rsidRDefault="00EB4603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Zaleca się kontynuowanie leczenia do czasu wystąpienia progresji choroby podstawowej.</w:t>
            </w:r>
          </w:p>
          <w:p w:rsidR="00EB4603" w:rsidRPr="0057212A" w:rsidRDefault="00EB4603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EB4603" w:rsidRPr="0057212A" w:rsidRDefault="00EB4603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u w:val="single"/>
                <w:lang w:val="pl-PL"/>
              </w:rPr>
              <w:t>Dostosowanie dawkowania</w:t>
            </w:r>
          </w:p>
          <w:p w:rsidR="00EB4603" w:rsidRPr="0057212A" w:rsidRDefault="00EB4603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Stosowanie leku można przerwać w celu opanowania działań niepożądanych takich jak nudności, wymioty, biegunka i niedokrwistość; można również rozważyć zmniejszenie dawki leku</w:t>
            </w:r>
            <w:r w:rsidR="009939B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:rsidR="00EB4603" w:rsidRPr="0057212A" w:rsidRDefault="00EB4603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Zalecana dawka zredukowana wynosi 200 mg dwa razy na dobę (co odpowiada całkowitej dawce dobowej 400 mg).</w:t>
            </w:r>
          </w:p>
          <w:p w:rsidR="00EB4603" w:rsidRPr="0057212A" w:rsidRDefault="00EB4603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W przypadku, gdy konieczna jest dalsza redukcja dawki, można rozważyć jej zmniejszenie do 100 mg dwa razy na dobę (co odpowiada całkowitej dawce dobowej 200 mg).</w:t>
            </w:r>
          </w:p>
          <w:p w:rsidR="00EB4603" w:rsidRPr="0057212A" w:rsidRDefault="00EB4603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u w:val="single"/>
                <w:lang w:val="pl-PL"/>
              </w:rPr>
              <w:t>Sposób podawania</w:t>
            </w:r>
          </w:p>
          <w:p w:rsidR="00EB4603" w:rsidRPr="0057212A" w:rsidRDefault="007136CB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proofErr w:type="spellStart"/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Olaparyb</w:t>
            </w:r>
            <w:proofErr w:type="spellEnd"/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jest przeznaczony do podawania doustnego.</w:t>
            </w:r>
          </w:p>
          <w:p w:rsidR="00EB4603" w:rsidRPr="0057212A" w:rsidRDefault="00EB4603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proofErr w:type="spellStart"/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Olaparyb</w:t>
            </w:r>
            <w:proofErr w:type="spellEnd"/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należy przyjmować co najmniej jedną godzinę po posiłku i powstrzymać się od jedzenia przez co najmniej dwie godziny od przyjęcia leku.</w:t>
            </w:r>
          </w:p>
          <w:p w:rsidR="00EB4603" w:rsidRPr="0057212A" w:rsidRDefault="00EB4603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B052B7" w:rsidRPr="0057212A" w:rsidRDefault="00B052B7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Modyfikacje dawkowania oraz rytmu podawania leków zgodnie z zapisami odpowiednich Charakterystyk Produktów Leczniczych.</w:t>
            </w:r>
          </w:p>
          <w:p w:rsidR="00B052B7" w:rsidRPr="0057212A" w:rsidRDefault="00B052B7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B052B7" w:rsidRPr="0057212A" w:rsidRDefault="00B052B7" w:rsidP="0057212A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742" w:type="pct"/>
            <w:shd w:val="clear" w:color="auto" w:fill="auto"/>
          </w:tcPr>
          <w:p w:rsidR="00B052B7" w:rsidRPr="0057212A" w:rsidRDefault="00B052B7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1. </w:t>
            </w:r>
            <w:r w:rsidRPr="0057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Badani</w:t>
            </w:r>
            <w:r w:rsidR="00DD262E" w:rsidRPr="0057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a przy kwalifikacji do leczenia </w:t>
            </w:r>
            <w:proofErr w:type="spellStart"/>
            <w:r w:rsidR="00EB4603" w:rsidRPr="0057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olaparybem</w:t>
            </w:r>
            <w:proofErr w:type="spellEnd"/>
            <w:r w:rsidRPr="0057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:</w:t>
            </w:r>
          </w:p>
          <w:p w:rsidR="001C1D2B" w:rsidRPr="0057212A" w:rsidRDefault="00EB4603" w:rsidP="005721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351" w:hanging="351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potwierdzenie uzyskania obiektywnej odpowiedzi na leczenia schematem chemioterapii zawierającym pochodne platyny zastosowanym w fazie nawrotu (odpowiedź całkowita lub częściowa wg kryteriów RECIST)</w:t>
            </w:r>
            <w:r w:rsidR="00003CA9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:</w:t>
            </w:r>
            <w:r w:rsidR="0028246C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:rsidR="001C1D2B" w:rsidRPr="0057212A" w:rsidRDefault="001C1D2B" w:rsidP="0057212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badanie tomografii komputerowej </w:t>
            </w:r>
            <w:r w:rsidR="00C02FD0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lub rezonansu magnetycznego 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jamy brzusznej i miednicy oraz innych okolic ciała w zależności od wskazań klinicznych;</w:t>
            </w:r>
          </w:p>
          <w:p w:rsidR="00B052B7" w:rsidRPr="0057212A" w:rsidRDefault="00B052B7" w:rsidP="005721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209" w:hanging="209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morfologia krwi z rozmazem;</w:t>
            </w:r>
          </w:p>
          <w:p w:rsidR="00B052B7" w:rsidRPr="0057212A" w:rsidRDefault="00B052B7" w:rsidP="005721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209" w:hanging="209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oznaczenie </w:t>
            </w:r>
            <w:r w:rsidR="00E9568C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w surowicy 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stężenia:</w:t>
            </w:r>
          </w:p>
          <w:p w:rsidR="00E9568C" w:rsidRPr="0057212A" w:rsidRDefault="00003CA9" w:rsidP="0057212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kreatyniny;</w:t>
            </w:r>
          </w:p>
          <w:p w:rsidR="00B052B7" w:rsidRPr="0057212A" w:rsidRDefault="00B052B7" w:rsidP="0057212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bilirubiny;</w:t>
            </w:r>
          </w:p>
          <w:p w:rsidR="00B052B7" w:rsidRPr="0057212A" w:rsidRDefault="00B052B7" w:rsidP="005721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209" w:hanging="209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oznaczenie aktywności transa</w:t>
            </w:r>
            <w:r w:rsidR="00003CA9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minaz (</w:t>
            </w:r>
            <w:proofErr w:type="spellStart"/>
            <w:r w:rsidR="00003CA9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AspAT</w:t>
            </w:r>
            <w:proofErr w:type="spellEnd"/>
            <w:r w:rsidR="00003CA9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, </w:t>
            </w:r>
            <w:proofErr w:type="spellStart"/>
            <w:r w:rsidR="00003CA9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AlAT</w:t>
            </w:r>
            <w:proofErr w:type="spellEnd"/>
            <w:r w:rsidR="00003CA9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);</w:t>
            </w:r>
          </w:p>
          <w:p w:rsidR="00B052B7" w:rsidRPr="0057212A" w:rsidRDefault="007804AC" w:rsidP="005721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209" w:hanging="209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test </w:t>
            </w:r>
            <w:r w:rsidR="00B052B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ciążow</w:t>
            </w:r>
            <w:r w:rsidR="001C1D2B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y (</w:t>
            </w:r>
            <w:r w:rsidR="00B052B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u kobiet w okresie prokreacyjnym</w:t>
            </w:r>
            <w:r w:rsidR="00A130BC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, u których nie wykonano radykalnego wycięcia narządu rodnego</w:t>
            </w:r>
            <w:r w:rsidR="001C1D2B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)</w:t>
            </w:r>
            <w:r w:rsidR="00B052B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:rsidR="00DA6EDD" w:rsidRPr="0057212A" w:rsidRDefault="006075D9" w:rsidP="005721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351" w:hanging="351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oznaczenie stężenia CA125;</w:t>
            </w:r>
          </w:p>
          <w:p w:rsidR="00B052B7" w:rsidRPr="0057212A" w:rsidRDefault="00B052B7" w:rsidP="005721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351" w:hanging="351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inne badania w razie wskazań klinicznych.</w:t>
            </w:r>
          </w:p>
          <w:p w:rsidR="00B052B7" w:rsidRPr="0057212A" w:rsidRDefault="00B052B7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B052B7" w:rsidRPr="0057212A" w:rsidRDefault="00B052B7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2. Monitorowanie leczenia </w:t>
            </w:r>
            <w:proofErr w:type="spellStart"/>
            <w:r w:rsidR="007804AC" w:rsidRPr="0057212A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olaparybem</w:t>
            </w:r>
            <w:proofErr w:type="spellEnd"/>
            <w:r w:rsidRPr="0057212A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:</w:t>
            </w:r>
          </w:p>
          <w:p w:rsidR="00B052B7" w:rsidRPr="0057212A" w:rsidRDefault="00B052B7" w:rsidP="005721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209" w:hanging="209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morfologia krwi z rozmazem;</w:t>
            </w:r>
          </w:p>
          <w:p w:rsidR="00B052B7" w:rsidRPr="0057212A" w:rsidRDefault="00B052B7" w:rsidP="005721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209" w:hanging="209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oznaczenie stężenia</w:t>
            </w:r>
            <w:r w:rsidR="00F31279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w surowicy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:</w:t>
            </w:r>
          </w:p>
          <w:p w:rsidR="00B052B7" w:rsidRPr="0057212A" w:rsidRDefault="00003CA9" w:rsidP="0057212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kreatyniny;</w:t>
            </w:r>
          </w:p>
          <w:p w:rsidR="00B052B7" w:rsidRPr="0057212A" w:rsidRDefault="00F31279" w:rsidP="0057212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bilirubiny</w:t>
            </w:r>
            <w:r w:rsidR="00B052B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:rsidR="00B052B7" w:rsidRPr="0057212A" w:rsidRDefault="00B052B7" w:rsidP="005721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209" w:hanging="209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oznaczenie aktyw</w:t>
            </w:r>
            <w:r w:rsidR="00003CA9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ności transaminaz (</w:t>
            </w:r>
            <w:proofErr w:type="spellStart"/>
            <w:r w:rsidR="00003CA9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AspAT</w:t>
            </w:r>
            <w:proofErr w:type="spellEnd"/>
            <w:r w:rsidR="00003CA9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, </w:t>
            </w:r>
            <w:proofErr w:type="spellStart"/>
            <w:r w:rsidR="00003CA9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AlAT</w:t>
            </w:r>
            <w:proofErr w:type="spellEnd"/>
            <w:r w:rsidR="00003CA9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);</w:t>
            </w:r>
          </w:p>
          <w:p w:rsidR="00B052B7" w:rsidRPr="0057212A" w:rsidRDefault="00B052B7" w:rsidP="0057212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209" w:hanging="209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inne badanie w razie wskazań klinicznych.</w:t>
            </w:r>
          </w:p>
          <w:p w:rsidR="0010529B" w:rsidRPr="0057212A" w:rsidRDefault="0010529B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B052B7" w:rsidRPr="0057212A" w:rsidRDefault="00B052B7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Badania wykonuje się co </w:t>
            </w:r>
            <w:r w:rsidR="007804AC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1 miesiąc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:rsidR="00B052B7" w:rsidRPr="0057212A" w:rsidRDefault="00B052B7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B052B7" w:rsidRPr="0057212A" w:rsidRDefault="00B052B7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3. Monitorowanie skuteczności leczenia </w:t>
            </w:r>
            <w:proofErr w:type="spellStart"/>
            <w:r w:rsidR="007804AC" w:rsidRPr="0057212A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olaparybem</w:t>
            </w:r>
            <w:proofErr w:type="spellEnd"/>
            <w:r w:rsidRPr="0057212A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:</w:t>
            </w:r>
          </w:p>
          <w:p w:rsidR="00B052B7" w:rsidRPr="0057212A" w:rsidRDefault="00DA6EDD" w:rsidP="005721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left="209" w:hanging="209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badanie tomografii komputerowej </w:t>
            </w:r>
            <w:r w:rsidR="00C02FD0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lub rezonansu magnetycznego 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jamy brzusznej i miednicy oraz innych okolic ciała w zależności od wskazań klinicznych</w:t>
            </w:r>
            <w:r w:rsidR="00B052B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:rsidR="00B052B7" w:rsidRPr="0057212A" w:rsidRDefault="00B052B7" w:rsidP="005721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left="209" w:hanging="209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oznaczenie stężenia CA125;</w:t>
            </w:r>
          </w:p>
          <w:p w:rsidR="00B052B7" w:rsidRPr="0057212A" w:rsidRDefault="00B052B7" w:rsidP="005721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left="209" w:hanging="209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inne badania w razie wskazań klinicznych.</w:t>
            </w:r>
          </w:p>
          <w:p w:rsidR="00B052B7" w:rsidRPr="0057212A" w:rsidRDefault="00B052B7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B052B7" w:rsidRPr="0057212A" w:rsidRDefault="00B052B7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Badania tomografii komputerowej </w:t>
            </w:r>
            <w:r w:rsidR="00C02FD0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lub rezonansu magnetycznego 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wykonuje się:</w:t>
            </w:r>
          </w:p>
          <w:p w:rsidR="00B052B7" w:rsidRPr="0057212A" w:rsidRDefault="00E7380E" w:rsidP="0057212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ind w:left="209" w:hanging="209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B052B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trakcie leczenia </w:t>
            </w:r>
            <w:proofErr w:type="spellStart"/>
            <w:r w:rsidR="007804AC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olaparybem</w:t>
            </w:r>
            <w:proofErr w:type="spellEnd"/>
            <w:r w:rsidR="00DA6EDD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  <w:r w:rsidR="007804AC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6075D9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nie rzadziej niż co </w:t>
            </w:r>
            <w:r w:rsidR="007A66F8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3 m</w:t>
            </w:r>
            <w:r w:rsidR="00567704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iesi</w:t>
            </w:r>
            <w:r w:rsidR="007A66F8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ące</w:t>
            </w:r>
            <w:r w:rsidR="00B052B7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:rsidR="00B052B7" w:rsidRPr="0057212A" w:rsidRDefault="00B052B7" w:rsidP="0057212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ind w:left="209" w:hanging="209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przy wzroście stężenia CA125</w:t>
            </w:r>
            <w:r w:rsidR="00170CCE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- stwierdzonym w dwóch kolejnych oznaczeniach - </w:t>
            </w:r>
            <w:r w:rsidR="00C02FD0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przekraczającym</w:t>
            </w:r>
            <w:r w:rsidR="00170CCE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7A66F8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2-krotną wartości nadiru </w:t>
            </w:r>
            <w:r w:rsidR="00C952C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(u chorych z wartości</w:t>
            </w:r>
            <w:r w:rsidR="00170CCE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ą</w:t>
            </w:r>
            <w:r w:rsidR="00C952C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wyj</w:t>
            </w:r>
            <w:r w:rsidR="00170CCE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ś</w:t>
            </w:r>
            <w:r w:rsidR="00C952C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ciow</w:t>
            </w:r>
            <w:r w:rsidR="00170CCE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ą</w:t>
            </w:r>
            <w:r w:rsidR="00C952C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poza zakres</w:t>
            </w:r>
            <w:r w:rsidR="00170CCE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e</w:t>
            </w:r>
            <w:r w:rsidR="00C952C3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m normy) lub </w:t>
            </w:r>
            <w:r w:rsidR="00C02FD0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2-krotnie górną granicę normy</w:t>
            </w:r>
            <w:r w:rsidR="00003CA9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  <w:r w:rsidR="0004088F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:rsidR="00B052B7" w:rsidRPr="0057212A" w:rsidRDefault="00B052B7" w:rsidP="0057212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ind w:left="209" w:hanging="209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w </w:t>
            </w:r>
            <w:r w:rsidR="00DA6EDD"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razie 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wskazań klinicznych.</w:t>
            </w:r>
          </w:p>
          <w:p w:rsidR="00B052B7" w:rsidRPr="0057212A" w:rsidRDefault="00B052B7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B052B7" w:rsidRPr="0057212A" w:rsidRDefault="00B052B7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Badanie stężenia CA125 wykonuje się nie rzadziej niż co </w:t>
            </w:r>
            <w:r w:rsidR="00567704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1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567704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miesiąc</w:t>
            </w:r>
            <w:r w:rsidR="0010529B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:rsidR="00B052B7" w:rsidRPr="0057212A" w:rsidRDefault="00B052B7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B052B7" w:rsidRPr="0057212A" w:rsidRDefault="00B052B7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Oceny skuteczności leczenia dokonuje się zgodnie z kryteriami RECIST.</w:t>
            </w:r>
          </w:p>
          <w:p w:rsidR="00003CA9" w:rsidRPr="0057212A" w:rsidRDefault="00003CA9" w:rsidP="005721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A606F8" w:rsidRPr="0057212A" w:rsidRDefault="00A606F8" w:rsidP="005721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4. Monitorowanie programu:</w:t>
            </w:r>
          </w:p>
          <w:p w:rsidR="00A606F8" w:rsidRPr="0057212A" w:rsidRDefault="00A606F8" w:rsidP="0057212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356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gromadzenie w dokumentacji medycznej </w:t>
            </w:r>
            <w:r w:rsidR="00CC6BBF" w:rsidRPr="0057212A">
              <w:rPr>
                <w:rFonts w:ascii="Times New Roman" w:hAnsi="Times New Roman"/>
                <w:sz w:val="20"/>
                <w:szCs w:val="20"/>
                <w:lang w:val="pl-PL"/>
              </w:rPr>
              <w:t>chorej</w:t>
            </w: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danych dotyczących monitorowania leczenia i każdorazowe ich przedstawianie na żądanie kontrolerów Narodowego Funduszu Zdrowia;</w:t>
            </w:r>
          </w:p>
          <w:p w:rsidR="0057212A" w:rsidRDefault="00A606F8" w:rsidP="0057212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356" w:hanging="284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uzupełnienie danych zawartych w rejestrze (SMPT) dostępnym za pomocą aplikacji internetowej udostępnionej przez OW NFZ, z częstotliwością zgodną z opisem programu oraz na zakończenie leczenia;</w:t>
            </w:r>
          </w:p>
          <w:p w:rsidR="00003CA9" w:rsidRPr="0057212A" w:rsidRDefault="00A606F8" w:rsidP="0057212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356" w:hanging="284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7212A">
              <w:rPr>
                <w:rFonts w:ascii="Times New Roman" w:hAnsi="Times New Roman"/>
                <w:sz w:val="20"/>
                <w:szCs w:val="20"/>
                <w:lang w:val="pl-PL"/>
              </w:rPr>
              <w:t>przekazywanie informacji sprawozdawczo-rozliczeniowych do NFZ: informacje przekazuje się do NFZ w formie papierowej lub w formie elektronicznej, zgodnie z wymaganiami opublikowanymi przez Narodowy Fundusz Zdrowia.</w:t>
            </w:r>
          </w:p>
        </w:tc>
      </w:tr>
    </w:tbl>
    <w:p w:rsidR="008006DA" w:rsidRPr="00CD6F9D" w:rsidRDefault="008006DA" w:rsidP="007136CB">
      <w:pPr>
        <w:spacing w:after="120" w:line="240" w:lineRule="auto"/>
        <w:rPr>
          <w:rFonts w:ascii="Arial" w:hAnsi="Arial" w:cs="Arial"/>
          <w:sz w:val="20"/>
          <w:szCs w:val="20"/>
          <w:lang w:val="pl-PL"/>
        </w:rPr>
      </w:pPr>
    </w:p>
    <w:sectPr w:rsidR="008006DA" w:rsidRPr="00CD6F9D" w:rsidSect="009C3E37">
      <w:pgSz w:w="16839" w:h="11907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ion">
    <w:altName w:val="Cambria Math"/>
    <w:charset w:val="00"/>
    <w:family w:val="roman"/>
    <w:pitch w:val="variable"/>
    <w:sig w:usb0="E00002AF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C2C6E"/>
    <w:multiLevelType w:val="multilevel"/>
    <w:tmpl w:val="35CE7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585ED1"/>
    <w:multiLevelType w:val="hybridMultilevel"/>
    <w:tmpl w:val="84E4C3A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8136BD"/>
    <w:multiLevelType w:val="hybridMultilevel"/>
    <w:tmpl w:val="7A406B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3E12"/>
    <w:multiLevelType w:val="hybridMultilevel"/>
    <w:tmpl w:val="D4868FD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1C326D"/>
    <w:multiLevelType w:val="hybridMultilevel"/>
    <w:tmpl w:val="79E4B9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E6448"/>
    <w:multiLevelType w:val="hybridMultilevel"/>
    <w:tmpl w:val="806646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A57A7"/>
    <w:multiLevelType w:val="hybridMultilevel"/>
    <w:tmpl w:val="BC6E80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8D50348"/>
    <w:multiLevelType w:val="hybridMultilevel"/>
    <w:tmpl w:val="09F8E2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E3094B"/>
    <w:multiLevelType w:val="hybridMultilevel"/>
    <w:tmpl w:val="EAD449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C7CDC"/>
    <w:multiLevelType w:val="hybridMultilevel"/>
    <w:tmpl w:val="A800B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705E4"/>
    <w:multiLevelType w:val="hybridMultilevel"/>
    <w:tmpl w:val="6EC05762"/>
    <w:lvl w:ilvl="0" w:tplc="04150017">
      <w:start w:val="1"/>
      <w:numFmt w:val="lowerLetter"/>
      <w:lvlText w:val="%1)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1" w15:restartNumberingAfterBreak="0">
    <w:nsid w:val="466438A5"/>
    <w:multiLevelType w:val="hybridMultilevel"/>
    <w:tmpl w:val="95D20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2199D"/>
    <w:multiLevelType w:val="hybridMultilevel"/>
    <w:tmpl w:val="8BE20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4EC3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25DBA"/>
    <w:multiLevelType w:val="hybridMultilevel"/>
    <w:tmpl w:val="2216FE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249F6"/>
    <w:multiLevelType w:val="hybridMultilevel"/>
    <w:tmpl w:val="6F46281A"/>
    <w:lvl w:ilvl="0" w:tplc="04150017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5" w15:restartNumberingAfterBreak="0">
    <w:nsid w:val="542552C9"/>
    <w:multiLevelType w:val="hybridMultilevel"/>
    <w:tmpl w:val="D3EC93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E64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97013"/>
    <w:multiLevelType w:val="hybridMultilevel"/>
    <w:tmpl w:val="A490B84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B76D44"/>
    <w:multiLevelType w:val="hybridMultilevel"/>
    <w:tmpl w:val="1062068E"/>
    <w:lvl w:ilvl="0" w:tplc="04150017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8" w15:restartNumberingAfterBreak="0">
    <w:nsid w:val="61780A12"/>
    <w:multiLevelType w:val="hybridMultilevel"/>
    <w:tmpl w:val="A784F3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41551"/>
    <w:multiLevelType w:val="hybridMultilevel"/>
    <w:tmpl w:val="08AACB18"/>
    <w:lvl w:ilvl="0" w:tplc="C50264EC">
      <w:start w:val="1"/>
      <w:numFmt w:val="lowerLetter"/>
      <w:lvlText w:val="(%1)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2"/>
  </w:num>
  <w:num w:numId="5">
    <w:abstractNumId w:val="9"/>
  </w:num>
  <w:num w:numId="6">
    <w:abstractNumId w:val="13"/>
  </w:num>
  <w:num w:numId="7">
    <w:abstractNumId w:val="18"/>
  </w:num>
  <w:num w:numId="8">
    <w:abstractNumId w:val="14"/>
  </w:num>
  <w:num w:numId="9">
    <w:abstractNumId w:val="10"/>
  </w:num>
  <w:num w:numId="10">
    <w:abstractNumId w:val="3"/>
  </w:num>
  <w:num w:numId="11">
    <w:abstractNumId w:val="17"/>
  </w:num>
  <w:num w:numId="12">
    <w:abstractNumId w:val="11"/>
  </w:num>
  <w:num w:numId="13">
    <w:abstractNumId w:val="2"/>
  </w:num>
  <w:num w:numId="14">
    <w:abstractNumId w:val="16"/>
  </w:num>
  <w:num w:numId="15">
    <w:abstractNumId w:val="19"/>
  </w:num>
  <w:num w:numId="16">
    <w:abstractNumId w:val="4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DA"/>
    <w:rsid w:val="00003CA9"/>
    <w:rsid w:val="0004088F"/>
    <w:rsid w:val="00056517"/>
    <w:rsid w:val="00076EB9"/>
    <w:rsid w:val="00094C14"/>
    <w:rsid w:val="000964F7"/>
    <w:rsid w:val="000A5374"/>
    <w:rsid w:val="000C2C63"/>
    <w:rsid w:val="000E3BFB"/>
    <w:rsid w:val="000E434B"/>
    <w:rsid w:val="000F7F0D"/>
    <w:rsid w:val="0010529B"/>
    <w:rsid w:val="00113689"/>
    <w:rsid w:val="00124CB7"/>
    <w:rsid w:val="00135C15"/>
    <w:rsid w:val="001379CD"/>
    <w:rsid w:val="00170CCE"/>
    <w:rsid w:val="001741BD"/>
    <w:rsid w:val="00190ECD"/>
    <w:rsid w:val="001A2124"/>
    <w:rsid w:val="001C1D2B"/>
    <w:rsid w:val="001D27C0"/>
    <w:rsid w:val="001E65F0"/>
    <w:rsid w:val="001F7176"/>
    <w:rsid w:val="002160E0"/>
    <w:rsid w:val="0021732B"/>
    <w:rsid w:val="00220900"/>
    <w:rsid w:val="00224261"/>
    <w:rsid w:val="00226135"/>
    <w:rsid w:val="00233DAD"/>
    <w:rsid w:val="00262108"/>
    <w:rsid w:val="0026789E"/>
    <w:rsid w:val="00270C36"/>
    <w:rsid w:val="0028246C"/>
    <w:rsid w:val="00296DB5"/>
    <w:rsid w:val="002A266D"/>
    <w:rsid w:val="002A4BFC"/>
    <w:rsid w:val="002B0DFE"/>
    <w:rsid w:val="002B1CC0"/>
    <w:rsid w:val="002B65B3"/>
    <w:rsid w:val="002C7EA8"/>
    <w:rsid w:val="002E5CED"/>
    <w:rsid w:val="002F5FE0"/>
    <w:rsid w:val="00332638"/>
    <w:rsid w:val="00354DAA"/>
    <w:rsid w:val="00363795"/>
    <w:rsid w:val="00371B74"/>
    <w:rsid w:val="00373F5A"/>
    <w:rsid w:val="00382546"/>
    <w:rsid w:val="003B22AB"/>
    <w:rsid w:val="003B4877"/>
    <w:rsid w:val="003C120F"/>
    <w:rsid w:val="003F06F4"/>
    <w:rsid w:val="00403806"/>
    <w:rsid w:val="00407EA3"/>
    <w:rsid w:val="00434129"/>
    <w:rsid w:val="00435CE0"/>
    <w:rsid w:val="004463A1"/>
    <w:rsid w:val="00461FBB"/>
    <w:rsid w:val="0046713E"/>
    <w:rsid w:val="004847BA"/>
    <w:rsid w:val="004A2075"/>
    <w:rsid w:val="004A5BD7"/>
    <w:rsid w:val="004D4D20"/>
    <w:rsid w:val="004E6F24"/>
    <w:rsid w:val="004F05A0"/>
    <w:rsid w:val="004F5497"/>
    <w:rsid w:val="00554C59"/>
    <w:rsid w:val="00567704"/>
    <w:rsid w:val="0057212A"/>
    <w:rsid w:val="005A4694"/>
    <w:rsid w:val="005B5CDC"/>
    <w:rsid w:val="005C3CED"/>
    <w:rsid w:val="005D270F"/>
    <w:rsid w:val="00601F0F"/>
    <w:rsid w:val="006075D9"/>
    <w:rsid w:val="00617200"/>
    <w:rsid w:val="006221A5"/>
    <w:rsid w:val="00634666"/>
    <w:rsid w:val="006661A1"/>
    <w:rsid w:val="006710E2"/>
    <w:rsid w:val="006760A5"/>
    <w:rsid w:val="006839D0"/>
    <w:rsid w:val="006A39BF"/>
    <w:rsid w:val="006C2FB7"/>
    <w:rsid w:val="006F618B"/>
    <w:rsid w:val="007136CB"/>
    <w:rsid w:val="00720925"/>
    <w:rsid w:val="0072249C"/>
    <w:rsid w:val="0072295A"/>
    <w:rsid w:val="00727723"/>
    <w:rsid w:val="007538AE"/>
    <w:rsid w:val="007804AC"/>
    <w:rsid w:val="007A66F8"/>
    <w:rsid w:val="007B61B0"/>
    <w:rsid w:val="007D58DB"/>
    <w:rsid w:val="007E086E"/>
    <w:rsid w:val="007E5858"/>
    <w:rsid w:val="007E7509"/>
    <w:rsid w:val="007F71BE"/>
    <w:rsid w:val="008006DA"/>
    <w:rsid w:val="0080530F"/>
    <w:rsid w:val="00825F3F"/>
    <w:rsid w:val="0089394A"/>
    <w:rsid w:val="00893CDA"/>
    <w:rsid w:val="008958B2"/>
    <w:rsid w:val="008C0BEF"/>
    <w:rsid w:val="008C249B"/>
    <w:rsid w:val="008C468F"/>
    <w:rsid w:val="008E601A"/>
    <w:rsid w:val="0091695A"/>
    <w:rsid w:val="00920ED3"/>
    <w:rsid w:val="00940E44"/>
    <w:rsid w:val="00944452"/>
    <w:rsid w:val="00947D41"/>
    <w:rsid w:val="009739C4"/>
    <w:rsid w:val="0098695B"/>
    <w:rsid w:val="009939B3"/>
    <w:rsid w:val="00993F76"/>
    <w:rsid w:val="009A5CF7"/>
    <w:rsid w:val="009C3E37"/>
    <w:rsid w:val="009F1285"/>
    <w:rsid w:val="00A130BC"/>
    <w:rsid w:val="00A15942"/>
    <w:rsid w:val="00A26F93"/>
    <w:rsid w:val="00A31F9D"/>
    <w:rsid w:val="00A606F8"/>
    <w:rsid w:val="00A82DE6"/>
    <w:rsid w:val="00A935BB"/>
    <w:rsid w:val="00AA6A57"/>
    <w:rsid w:val="00AD11F1"/>
    <w:rsid w:val="00AF2EA3"/>
    <w:rsid w:val="00AF3AC7"/>
    <w:rsid w:val="00B052B7"/>
    <w:rsid w:val="00B30F43"/>
    <w:rsid w:val="00B44829"/>
    <w:rsid w:val="00B7246D"/>
    <w:rsid w:val="00BA5C5A"/>
    <w:rsid w:val="00BB6A67"/>
    <w:rsid w:val="00BF4C24"/>
    <w:rsid w:val="00C02FD0"/>
    <w:rsid w:val="00C1175F"/>
    <w:rsid w:val="00C23CC0"/>
    <w:rsid w:val="00C41936"/>
    <w:rsid w:val="00C60521"/>
    <w:rsid w:val="00C952C3"/>
    <w:rsid w:val="00CA1531"/>
    <w:rsid w:val="00CB52EF"/>
    <w:rsid w:val="00CC6BBF"/>
    <w:rsid w:val="00CD6F9D"/>
    <w:rsid w:val="00CF1FE0"/>
    <w:rsid w:val="00CF55C8"/>
    <w:rsid w:val="00D06EAB"/>
    <w:rsid w:val="00D439C3"/>
    <w:rsid w:val="00D45833"/>
    <w:rsid w:val="00D65689"/>
    <w:rsid w:val="00D77F51"/>
    <w:rsid w:val="00D93E45"/>
    <w:rsid w:val="00DA6EDD"/>
    <w:rsid w:val="00DB30D0"/>
    <w:rsid w:val="00DC765E"/>
    <w:rsid w:val="00DD262E"/>
    <w:rsid w:val="00DD684E"/>
    <w:rsid w:val="00DF5C8B"/>
    <w:rsid w:val="00DF77C8"/>
    <w:rsid w:val="00E00E54"/>
    <w:rsid w:val="00E02B4D"/>
    <w:rsid w:val="00E11A24"/>
    <w:rsid w:val="00E12448"/>
    <w:rsid w:val="00E253C8"/>
    <w:rsid w:val="00E523FE"/>
    <w:rsid w:val="00E56E8B"/>
    <w:rsid w:val="00E7380E"/>
    <w:rsid w:val="00E946B5"/>
    <w:rsid w:val="00E9568C"/>
    <w:rsid w:val="00EA2F51"/>
    <w:rsid w:val="00EB4603"/>
    <w:rsid w:val="00ED7889"/>
    <w:rsid w:val="00EF0C33"/>
    <w:rsid w:val="00EF3471"/>
    <w:rsid w:val="00F21729"/>
    <w:rsid w:val="00F31279"/>
    <w:rsid w:val="00F37736"/>
    <w:rsid w:val="00F543EA"/>
    <w:rsid w:val="00F56337"/>
    <w:rsid w:val="00F72DF8"/>
    <w:rsid w:val="00F82C5E"/>
    <w:rsid w:val="00F948E2"/>
    <w:rsid w:val="00F96CDF"/>
    <w:rsid w:val="00FA345B"/>
    <w:rsid w:val="00FA7097"/>
    <w:rsid w:val="00FB005E"/>
    <w:rsid w:val="00FB22D4"/>
    <w:rsid w:val="00FC0A6D"/>
    <w:rsid w:val="00FC158B"/>
    <w:rsid w:val="00FD0126"/>
    <w:rsid w:val="00FD1D2C"/>
    <w:rsid w:val="00FD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06ACF-66D1-4D66-8949-0DC0311C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8DB"/>
    <w:pPr>
      <w:spacing w:after="200" w:line="276" w:lineRule="auto"/>
    </w:pPr>
    <w:rPr>
      <w:rFonts w:ascii="Minion" w:hAnsi="Minion"/>
      <w:sz w:val="22"/>
      <w:szCs w:val="22"/>
      <w:lang w:val="en-US" w:eastAsia="zh-T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7A5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684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D684E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D684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D684E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D684E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D684E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D684E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D684E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D58DB"/>
    <w:rPr>
      <w:rFonts w:ascii="Minion" w:hAnsi="Minion"/>
      <w:sz w:val="22"/>
      <w:szCs w:val="22"/>
      <w:lang w:val="en-US" w:eastAsia="zh-TW"/>
    </w:rPr>
  </w:style>
  <w:style w:type="character" w:customStyle="1" w:styleId="Nagwek1Znak">
    <w:name w:val="Nagłówek 1 Znak"/>
    <w:link w:val="Nagwek1"/>
    <w:uiPriority w:val="9"/>
    <w:rsid w:val="00FD7A5B"/>
    <w:rPr>
      <w:rFonts w:ascii="Cambria" w:eastAsia="PMingLiU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DD684E"/>
    <w:rPr>
      <w:rFonts w:ascii="Cambria" w:eastAsia="PMingLiU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DD684E"/>
    <w:rPr>
      <w:rFonts w:ascii="Cambria" w:eastAsia="PMingLiU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uiPriority w:val="9"/>
    <w:rsid w:val="00DD684E"/>
    <w:rPr>
      <w:rFonts w:ascii="Cambria" w:eastAsia="PMingLiU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rsid w:val="00DD684E"/>
    <w:rPr>
      <w:rFonts w:ascii="Cambria" w:eastAsia="PMingLiU" w:hAnsi="Cambria" w:cs="Times New Roman"/>
      <w:color w:val="243F60"/>
    </w:rPr>
  </w:style>
  <w:style w:type="character" w:customStyle="1" w:styleId="Nagwek6Znak">
    <w:name w:val="Nagłówek 6 Znak"/>
    <w:link w:val="Nagwek6"/>
    <w:uiPriority w:val="9"/>
    <w:rsid w:val="00DD684E"/>
    <w:rPr>
      <w:rFonts w:ascii="Cambria" w:eastAsia="PMingLiU" w:hAnsi="Cambria" w:cs="Times New Roman"/>
      <w:i/>
      <w:iCs/>
      <w:color w:val="243F60"/>
    </w:rPr>
  </w:style>
  <w:style w:type="character" w:customStyle="1" w:styleId="Nagwek7Znak">
    <w:name w:val="Nagłówek 7 Znak"/>
    <w:link w:val="Nagwek7"/>
    <w:uiPriority w:val="9"/>
    <w:rsid w:val="00DD684E"/>
    <w:rPr>
      <w:rFonts w:ascii="Cambria" w:eastAsia="PMingLiU" w:hAnsi="Cambria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rsid w:val="00DD684E"/>
    <w:rPr>
      <w:rFonts w:ascii="Cambria" w:eastAsia="PMingLiU" w:hAnsi="Cambria" w:cs="Times New Roman"/>
      <w:color w:val="404040"/>
      <w:sz w:val="20"/>
      <w:szCs w:val="20"/>
    </w:rPr>
  </w:style>
  <w:style w:type="character" w:customStyle="1" w:styleId="Nagwek9Znak">
    <w:name w:val="Nagłówek 9 Znak"/>
    <w:link w:val="Nagwek9"/>
    <w:uiPriority w:val="9"/>
    <w:rsid w:val="00DD684E"/>
    <w:rPr>
      <w:rFonts w:ascii="Cambria" w:eastAsia="PMingLiU" w:hAnsi="Cambria" w:cs="Times New Roman"/>
      <w:i/>
      <w:iCs/>
      <w:color w:val="40404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D684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DD684E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DD684E"/>
    <w:pPr>
      <w:ind w:left="720"/>
      <w:contextualSpacing/>
    </w:pPr>
  </w:style>
  <w:style w:type="character" w:styleId="Tytuksiki">
    <w:name w:val="Book Title"/>
    <w:uiPriority w:val="33"/>
    <w:qFormat/>
    <w:rsid w:val="00DD684E"/>
    <w:rPr>
      <w:b/>
      <w:bCs/>
      <w:smallCaps/>
      <w:spacing w:val="5"/>
    </w:rPr>
  </w:style>
  <w:style w:type="character" w:styleId="Odwoanieintensywne">
    <w:name w:val="Intense Reference"/>
    <w:uiPriority w:val="32"/>
    <w:qFormat/>
    <w:rsid w:val="00DD684E"/>
    <w:rPr>
      <w:b/>
      <w:bCs/>
      <w:smallCaps/>
      <w:color w:val="C0504D"/>
      <w:spacing w:val="5"/>
      <w:u w:val="single"/>
    </w:rPr>
  </w:style>
  <w:style w:type="character" w:styleId="Odwoaniedelikatne">
    <w:name w:val="Subtle Reference"/>
    <w:uiPriority w:val="31"/>
    <w:qFormat/>
    <w:rsid w:val="00DD684E"/>
    <w:rPr>
      <w:smallCaps/>
      <w:color w:val="C0504D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68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D684E"/>
    <w:rPr>
      <w:rFonts w:ascii="Minion" w:hAnsi="Minion"/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DD684E"/>
    <w:rPr>
      <w:i/>
      <w:iCs/>
      <w:color w:val="000000"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DD684E"/>
    <w:rPr>
      <w:rFonts w:ascii="Minion" w:hAnsi="Minion"/>
      <w:i/>
      <w:iCs/>
      <w:color w:val="000000"/>
    </w:rPr>
  </w:style>
  <w:style w:type="table" w:styleId="Tabela-Siatka">
    <w:name w:val="Table Grid"/>
    <w:basedOn w:val="Standardowy"/>
    <w:uiPriority w:val="59"/>
    <w:rsid w:val="00800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594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15942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3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3FE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523FE"/>
    <w:rPr>
      <w:rFonts w:ascii="Minion" w:hAnsi="Minion"/>
      <w:lang w:eastAsia="zh-T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3F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3FE"/>
    <w:rPr>
      <w:rFonts w:ascii="Minion" w:hAnsi="Minion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0B5C0940E7F4EB5D7CD3CD9C004ED" ma:contentTypeVersion="0" ma:contentTypeDescription="Create a new document." ma:contentTypeScope="" ma:versionID="3ed15ceaeecc0672e54429a4eadd129d">
  <xsd:schema xmlns:xsd="http://www.w3.org/2001/XMLSchema" xmlns:p="http://schemas.microsoft.com/office/2006/metadata/properties" targetNamespace="http://schemas.microsoft.com/office/2006/metadata/properties" ma:root="true" ma:fieldsID="e1f84af69fa35d0b8840690b3c766d4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7095E-D0C2-4688-B2DB-35944B73BE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C073F9-F095-4034-AB74-D1FA2D660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F3532-1B7A-414F-AD4E-D9A874C2BE5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6057216-CD8F-4651-8F66-769714C9D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93381905-C979-4323-BDB2-9EA5B0CD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5105</Characters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2015-10-15T09:06:00Z</cp:lastPrinted>
  <dcterms:created xsi:type="dcterms:W3CDTF">2017-08-10T07:47:00Z</dcterms:created>
  <dcterms:modified xsi:type="dcterms:W3CDTF">2017-08-10T07:47:00Z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