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AFA5" w14:textId="77777777" w:rsidR="005455AE" w:rsidRPr="009276B2" w:rsidRDefault="005455AE" w:rsidP="009276B2">
      <w:pPr>
        <w:spacing w:after="0" w:line="240" w:lineRule="auto"/>
      </w:pPr>
    </w:p>
    <w:p w14:paraId="2A1A1121" w14:textId="77777777" w:rsidR="005455AE" w:rsidRDefault="00416940" w:rsidP="003B03C7">
      <w:pPr>
        <w:spacing w:after="0" w:line="240" w:lineRule="auto"/>
      </w:pPr>
      <w:bookmarkStart w:id="0" w:name="ezdSprawaZnak"/>
      <w:r>
        <w:t>BKA-RI.0831.4.2025</w:t>
      </w:r>
      <w:bookmarkEnd w:id="0"/>
      <w:r>
        <w:t>.</w:t>
      </w:r>
      <w:bookmarkStart w:id="1" w:name="ezdAutorInicjaly"/>
      <w:r>
        <w:t>KS</w:t>
      </w:r>
      <w:bookmarkEnd w:id="1"/>
    </w:p>
    <w:p w14:paraId="450FDDB4" w14:textId="77777777" w:rsidR="005455AE" w:rsidRPr="00D05E25" w:rsidRDefault="00416940" w:rsidP="003B03C7">
      <w:pPr>
        <w:spacing w:after="0" w:line="240" w:lineRule="auto"/>
        <w:rPr>
          <w:sz w:val="18"/>
          <w:szCs w:val="18"/>
        </w:rPr>
      </w:pPr>
      <w:bookmarkStart w:id="2" w:name="ezdIdentyfikatorDokumentuPDF"/>
      <w:r w:rsidRPr="00D05E25">
        <w:rPr>
          <w:sz w:val="18"/>
          <w:szCs w:val="18"/>
        </w:rPr>
        <w:t>$Id_dokumentu</w:t>
      </w:r>
      <w:bookmarkEnd w:id="2"/>
    </w:p>
    <w:p w14:paraId="0CB91D82" w14:textId="77777777" w:rsidR="005455AE" w:rsidRPr="009276B2" w:rsidRDefault="00416940" w:rsidP="003B03C7">
      <w:pPr>
        <w:spacing w:after="0" w:line="240" w:lineRule="auto"/>
      </w:pPr>
      <w:r w:rsidRPr="00D05E25">
        <w:t xml:space="preserve">Warszawa, </w:t>
      </w:r>
      <w:bookmarkStart w:id="3" w:name="ezdDataPodpisu"/>
      <w:r>
        <w:t>$</w:t>
      </w:r>
      <w:r w:rsidRPr="00D05E25">
        <w:t>data</w:t>
      </w:r>
      <w:bookmarkEnd w:id="3"/>
    </w:p>
    <w:p w14:paraId="34ADB2E8" w14:textId="77777777" w:rsidR="005455AE" w:rsidRPr="009276B2" w:rsidRDefault="005455AE" w:rsidP="009276B2">
      <w:pPr>
        <w:spacing w:after="0" w:line="240" w:lineRule="auto"/>
      </w:pPr>
    </w:p>
    <w:p w14:paraId="06B54E58" w14:textId="77777777" w:rsidR="005455AE" w:rsidRPr="009276B2" w:rsidRDefault="005455AE" w:rsidP="009276B2">
      <w:pPr>
        <w:spacing w:after="0" w:line="240" w:lineRule="auto"/>
      </w:pPr>
    </w:p>
    <w:p w14:paraId="748B3432" w14:textId="77777777" w:rsidR="005455AE" w:rsidRPr="009276B2" w:rsidRDefault="005455AE" w:rsidP="009276B2">
      <w:pPr>
        <w:spacing w:after="0" w:line="240" w:lineRule="auto"/>
      </w:pPr>
    </w:p>
    <w:p w14:paraId="32F6E7F6" w14:textId="77777777" w:rsidR="000C4692" w:rsidRDefault="000C4692" w:rsidP="000C4692">
      <w:pPr>
        <w:spacing w:after="0" w:line="240" w:lineRule="auto"/>
        <w:rPr>
          <w:b/>
          <w:bCs/>
        </w:rPr>
      </w:pPr>
      <w:r w:rsidRPr="00166D85">
        <w:rPr>
          <w:b/>
          <w:bCs/>
        </w:rPr>
        <w:t>Pan</w:t>
      </w:r>
    </w:p>
    <w:p w14:paraId="452D8DAD" w14:textId="77777777" w:rsidR="000C4692" w:rsidRPr="00166D85" w:rsidRDefault="000C4692" w:rsidP="000C4692">
      <w:pPr>
        <w:spacing w:after="120" w:line="240" w:lineRule="auto"/>
        <w:rPr>
          <w:b/>
          <w:bCs/>
        </w:rPr>
      </w:pPr>
      <w:r>
        <w:rPr>
          <w:b/>
          <w:bCs/>
        </w:rPr>
        <w:t>Witold Koss</w:t>
      </w:r>
    </w:p>
    <w:p w14:paraId="0BF3AE70" w14:textId="095502DA" w:rsidR="006428A0" w:rsidRDefault="000C4692" w:rsidP="000C4692">
      <w:pPr>
        <w:spacing w:after="0" w:line="240" w:lineRule="auto"/>
        <w:rPr>
          <w:b/>
          <w:bCs/>
        </w:rPr>
      </w:pPr>
      <w:r w:rsidRPr="00166D85">
        <w:rPr>
          <w:b/>
          <w:bCs/>
        </w:rPr>
        <w:t xml:space="preserve">Dyrektor </w:t>
      </w:r>
      <w:r>
        <w:rPr>
          <w:b/>
          <w:bCs/>
        </w:rPr>
        <w:t>Generaln</w:t>
      </w:r>
      <w:r w:rsidR="006428A0">
        <w:rPr>
          <w:b/>
          <w:bCs/>
        </w:rPr>
        <w:t>y</w:t>
      </w:r>
    </w:p>
    <w:p w14:paraId="5944D171" w14:textId="1D5B1766" w:rsidR="009231C8" w:rsidRDefault="000C4692" w:rsidP="000C4692">
      <w:pPr>
        <w:spacing w:after="0" w:line="240" w:lineRule="auto"/>
        <w:rPr>
          <w:b/>
          <w:bCs/>
        </w:rPr>
      </w:pPr>
      <w:r>
        <w:rPr>
          <w:b/>
          <w:bCs/>
        </w:rPr>
        <w:t>Lasów Państwowych</w:t>
      </w:r>
      <w:r w:rsidR="009231C8">
        <w:rPr>
          <w:b/>
          <w:bCs/>
        </w:rPr>
        <w:t xml:space="preserve"> </w:t>
      </w:r>
    </w:p>
    <w:p w14:paraId="3D6F2C2E" w14:textId="533C858A" w:rsidR="006428A0" w:rsidRDefault="009231C8" w:rsidP="000C4692">
      <w:pPr>
        <w:spacing w:after="0" w:line="240" w:lineRule="auto"/>
        <w:rPr>
          <w:color w:val="000000" w:themeColor="text1"/>
        </w:rPr>
      </w:pPr>
      <w:r>
        <w:rPr>
          <w:color w:val="000000" w:themeColor="text1"/>
        </w:rPr>
        <w:t xml:space="preserve">ul. </w:t>
      </w:r>
      <w:r w:rsidRPr="009231C8">
        <w:rPr>
          <w:color w:val="000000" w:themeColor="text1"/>
        </w:rPr>
        <w:t>Grójecka 127</w:t>
      </w:r>
    </w:p>
    <w:p w14:paraId="5E97B372" w14:textId="4A9D725B" w:rsidR="000C4692" w:rsidRPr="009231C8" w:rsidRDefault="009231C8" w:rsidP="000C4692">
      <w:pPr>
        <w:spacing w:after="0" w:line="240" w:lineRule="auto"/>
        <w:rPr>
          <w:b/>
          <w:bCs/>
          <w:color w:val="000000" w:themeColor="text1"/>
        </w:rPr>
      </w:pPr>
      <w:r w:rsidRPr="009231C8">
        <w:rPr>
          <w:color w:val="000000" w:themeColor="text1"/>
        </w:rPr>
        <w:t>02-124 Warszawa</w:t>
      </w:r>
    </w:p>
    <w:p w14:paraId="1306FF02" w14:textId="7D266A26" w:rsidR="009231C8" w:rsidRDefault="009231C8" w:rsidP="000C4692">
      <w:pPr>
        <w:spacing w:after="0" w:line="240" w:lineRule="auto"/>
      </w:pPr>
    </w:p>
    <w:p w14:paraId="7CCBF726" w14:textId="77777777" w:rsidR="000C4692" w:rsidRPr="00166D85" w:rsidRDefault="000C4692" w:rsidP="000C4692">
      <w:pPr>
        <w:spacing w:after="0" w:line="240" w:lineRule="auto"/>
      </w:pPr>
    </w:p>
    <w:p w14:paraId="1192D9C0" w14:textId="77777777" w:rsidR="000C4692" w:rsidRPr="00166D85" w:rsidRDefault="000C4692" w:rsidP="000C4692">
      <w:pPr>
        <w:spacing w:after="0" w:line="240" w:lineRule="auto"/>
      </w:pPr>
    </w:p>
    <w:p w14:paraId="23FF3DF2" w14:textId="0A7AD501" w:rsidR="00102C5B" w:rsidRPr="00166D85" w:rsidRDefault="000C4692" w:rsidP="000A07BC">
      <w:pPr>
        <w:spacing w:after="200" w:line="240" w:lineRule="auto"/>
        <w:jc w:val="center"/>
        <w:rPr>
          <w:b/>
          <w:bCs/>
        </w:rPr>
      </w:pPr>
      <w:r w:rsidRPr="00166D85">
        <w:rPr>
          <w:b/>
          <w:bCs/>
        </w:rPr>
        <w:t>Sprawozdanie</w:t>
      </w:r>
      <w:r>
        <w:rPr>
          <w:b/>
          <w:bCs/>
        </w:rPr>
        <w:t xml:space="preserve"> z kontroli</w:t>
      </w:r>
      <w:r w:rsidR="00102C5B">
        <w:rPr>
          <w:b/>
          <w:bCs/>
        </w:rPr>
        <w:t xml:space="preserve"> doraźnej</w:t>
      </w:r>
    </w:p>
    <w:p w14:paraId="3FA36CF9" w14:textId="723BE293" w:rsidR="000C4692" w:rsidRDefault="000C4692" w:rsidP="000C4692">
      <w:pPr>
        <w:spacing w:after="0" w:line="240" w:lineRule="auto"/>
        <w:rPr>
          <w:rFonts w:cs="Times New Roman"/>
          <w:iCs/>
          <w:szCs w:val="20"/>
        </w:rPr>
      </w:pPr>
      <w:r w:rsidRPr="00621A60">
        <w:rPr>
          <w:szCs w:val="20"/>
        </w:rPr>
        <w:t xml:space="preserve">Przedstawiam Panu </w:t>
      </w:r>
      <w:r>
        <w:rPr>
          <w:szCs w:val="20"/>
        </w:rPr>
        <w:t>Dyrektorowi s</w:t>
      </w:r>
      <w:r w:rsidRPr="00621A60">
        <w:rPr>
          <w:szCs w:val="20"/>
        </w:rPr>
        <w:t>prawozdanie z kontroli przeprowadzonej przez Biuro</w:t>
      </w:r>
      <w:r w:rsidRPr="00AB292C">
        <w:rPr>
          <w:szCs w:val="20"/>
        </w:rPr>
        <w:t xml:space="preserve"> </w:t>
      </w:r>
      <w:r w:rsidRPr="00621A60">
        <w:rPr>
          <w:szCs w:val="20"/>
        </w:rPr>
        <w:t>Kontroli i Audytu Ministerstwa Klimatu i Środowiska</w:t>
      </w:r>
      <w:r w:rsidRPr="00F95622">
        <w:rPr>
          <w:rStyle w:val="Odwoanieprzypisudolnego"/>
          <w:color w:val="000000" w:themeColor="text1"/>
          <w:szCs w:val="20"/>
        </w:rPr>
        <w:footnoteReference w:id="1"/>
      </w:r>
      <w:r w:rsidRPr="00F95622">
        <w:rPr>
          <w:color w:val="000000" w:themeColor="text1"/>
          <w:szCs w:val="20"/>
        </w:rPr>
        <w:t xml:space="preserve"> </w:t>
      </w:r>
      <w:r w:rsidRPr="00621A60">
        <w:rPr>
          <w:szCs w:val="20"/>
        </w:rPr>
        <w:t>w</w:t>
      </w:r>
      <w:r>
        <w:rPr>
          <w:szCs w:val="20"/>
        </w:rPr>
        <w:t> Dyrekcji Generalnej Lasów Państwowych</w:t>
      </w:r>
      <w:r w:rsidRPr="00621A60">
        <w:rPr>
          <w:szCs w:val="20"/>
        </w:rPr>
        <w:t xml:space="preserve"> (dalej: </w:t>
      </w:r>
      <w:r>
        <w:rPr>
          <w:szCs w:val="20"/>
        </w:rPr>
        <w:t>DGLP</w:t>
      </w:r>
      <w:r w:rsidRPr="00621A60">
        <w:rPr>
          <w:szCs w:val="20"/>
        </w:rPr>
        <w:t>) w</w:t>
      </w:r>
      <w:r>
        <w:rPr>
          <w:szCs w:val="20"/>
        </w:rPr>
        <w:t> </w:t>
      </w:r>
      <w:r w:rsidRPr="00621A60">
        <w:rPr>
          <w:szCs w:val="20"/>
        </w:rPr>
        <w:t xml:space="preserve">zakresie </w:t>
      </w:r>
      <w:r>
        <w:rPr>
          <w:rFonts w:cs="Times New Roman"/>
          <w:iCs/>
          <w:szCs w:val="20"/>
        </w:rPr>
        <w:t>obsługi</w:t>
      </w:r>
      <w:r w:rsidRPr="00767137">
        <w:rPr>
          <w:rFonts w:cs="Times New Roman"/>
          <w:iCs/>
          <w:szCs w:val="20"/>
        </w:rPr>
        <w:t xml:space="preserve"> prawn</w:t>
      </w:r>
      <w:r>
        <w:rPr>
          <w:rFonts w:cs="Times New Roman"/>
          <w:iCs/>
          <w:szCs w:val="20"/>
        </w:rPr>
        <w:t>ej</w:t>
      </w:r>
      <w:r w:rsidRPr="00767137">
        <w:rPr>
          <w:rFonts w:cs="Times New Roman"/>
          <w:iCs/>
          <w:szCs w:val="20"/>
        </w:rPr>
        <w:t xml:space="preserve"> Państwowego Gospodarstwa Leśnego Lasy Państwowe</w:t>
      </w:r>
      <w:r>
        <w:rPr>
          <w:rFonts w:cs="Times New Roman"/>
          <w:iCs/>
          <w:szCs w:val="20"/>
        </w:rPr>
        <w:t xml:space="preserve"> </w:t>
      </w:r>
      <w:r w:rsidRPr="00767137">
        <w:rPr>
          <w:rFonts w:cs="Times New Roman"/>
          <w:iCs/>
          <w:szCs w:val="20"/>
        </w:rPr>
        <w:t>w sprawach dotyczących wydatkowania środków finansowych przez poprzednie</w:t>
      </w:r>
      <w:r>
        <w:rPr>
          <w:rFonts w:cs="Times New Roman"/>
          <w:iCs/>
          <w:szCs w:val="20"/>
        </w:rPr>
        <w:t xml:space="preserve"> </w:t>
      </w:r>
      <w:r w:rsidRPr="00767137">
        <w:rPr>
          <w:rFonts w:cs="Times New Roman"/>
          <w:iCs/>
          <w:szCs w:val="20"/>
        </w:rPr>
        <w:t>kierownictwo Lasów Państwowych.</w:t>
      </w:r>
    </w:p>
    <w:p w14:paraId="7B986E76" w14:textId="77777777" w:rsidR="000C4692" w:rsidRPr="00621A60" w:rsidRDefault="000C4692" w:rsidP="000C4692">
      <w:pPr>
        <w:spacing w:after="0" w:line="240" w:lineRule="auto"/>
        <w:rPr>
          <w:rFonts w:cs="Times New Roman"/>
          <w:iCs/>
          <w:szCs w:val="20"/>
        </w:rPr>
      </w:pPr>
    </w:p>
    <w:p w14:paraId="21D29530" w14:textId="56F415C8" w:rsidR="000C4692" w:rsidRPr="00F95622" w:rsidRDefault="000C4692" w:rsidP="000C4692">
      <w:pPr>
        <w:spacing w:after="120" w:line="240" w:lineRule="auto"/>
        <w:rPr>
          <w:color w:val="000000" w:themeColor="text1"/>
          <w:szCs w:val="20"/>
        </w:rPr>
      </w:pPr>
      <w:r w:rsidRPr="00F95622">
        <w:rPr>
          <w:rFonts w:cs="Times New Roman"/>
          <w:color w:val="000000" w:themeColor="text1"/>
          <w:szCs w:val="20"/>
        </w:rPr>
        <w:t xml:space="preserve">Kontrolą objęto okres </w:t>
      </w:r>
      <w:r w:rsidRPr="00F95622">
        <w:rPr>
          <w:color w:val="000000" w:themeColor="text1"/>
          <w:szCs w:val="20"/>
        </w:rPr>
        <w:t>od 1 stycznia 202</w:t>
      </w:r>
      <w:r>
        <w:rPr>
          <w:color w:val="000000" w:themeColor="text1"/>
          <w:szCs w:val="20"/>
        </w:rPr>
        <w:t>4</w:t>
      </w:r>
      <w:r w:rsidRPr="00F95622">
        <w:rPr>
          <w:color w:val="000000" w:themeColor="text1"/>
          <w:szCs w:val="20"/>
        </w:rPr>
        <w:t xml:space="preserve"> r. do </w:t>
      </w:r>
      <w:r w:rsidR="000F43A9">
        <w:rPr>
          <w:color w:val="000000" w:themeColor="text1"/>
          <w:szCs w:val="20"/>
        </w:rPr>
        <w:t>12</w:t>
      </w:r>
      <w:r>
        <w:rPr>
          <w:color w:val="000000" w:themeColor="text1"/>
          <w:szCs w:val="20"/>
        </w:rPr>
        <w:t xml:space="preserve"> marca 2025</w:t>
      </w:r>
      <w:r w:rsidRPr="00F95622">
        <w:rPr>
          <w:color w:val="000000" w:themeColor="text1"/>
          <w:szCs w:val="20"/>
        </w:rPr>
        <w:t xml:space="preserve"> r.</w:t>
      </w:r>
      <w:r w:rsidRPr="00F95622">
        <w:rPr>
          <w:rStyle w:val="Odwoanieprzypisudolnego"/>
          <w:color w:val="000000" w:themeColor="text1"/>
          <w:szCs w:val="20"/>
        </w:rPr>
        <w:footnoteReference w:id="2"/>
      </w:r>
      <w:r w:rsidRPr="00F95622">
        <w:rPr>
          <w:color w:val="000000" w:themeColor="text1"/>
          <w:szCs w:val="20"/>
        </w:rPr>
        <w:t>.</w:t>
      </w:r>
    </w:p>
    <w:p w14:paraId="26B210B4" w14:textId="77777777" w:rsidR="000C4692" w:rsidRPr="00F922CF" w:rsidRDefault="000C4692" w:rsidP="00500072">
      <w:pPr>
        <w:spacing w:after="0" w:line="240" w:lineRule="auto"/>
        <w:rPr>
          <w:b/>
          <w:bCs/>
          <w:sz w:val="16"/>
          <w:szCs w:val="16"/>
          <w:u w:val="single"/>
        </w:rPr>
      </w:pPr>
      <w:r w:rsidRPr="00F922CF">
        <w:rPr>
          <w:rFonts w:cs="Times New Roman"/>
          <w:sz w:val="16"/>
          <w:szCs w:val="16"/>
          <w:u w:val="single"/>
        </w:rPr>
        <w:t>Podstawa prawna</w:t>
      </w:r>
      <w:r w:rsidRPr="00F922CF">
        <w:rPr>
          <w:b/>
          <w:bCs/>
          <w:sz w:val="16"/>
          <w:szCs w:val="16"/>
          <w:u w:val="single"/>
        </w:rPr>
        <w:t>:</w:t>
      </w:r>
    </w:p>
    <w:p w14:paraId="1837A10F" w14:textId="27B0D52B" w:rsidR="000C4692" w:rsidRDefault="000C4692" w:rsidP="00500072">
      <w:pPr>
        <w:numPr>
          <w:ilvl w:val="0"/>
          <w:numId w:val="1"/>
        </w:numPr>
        <w:spacing w:after="0" w:line="240" w:lineRule="auto"/>
        <w:ind w:left="142" w:hanging="142"/>
        <w:contextualSpacing/>
        <w:rPr>
          <w:sz w:val="16"/>
          <w:szCs w:val="16"/>
        </w:rPr>
      </w:pPr>
      <w:r w:rsidRPr="005029AC">
        <w:rPr>
          <w:sz w:val="16"/>
          <w:szCs w:val="16"/>
        </w:rPr>
        <w:t>art. 6 ust. 3 pkt 1 oraz art. 51 ustawy z dnia 15 lipca 2011 r. o kontroli w administracji rządowej (dalej: ustawa o</w:t>
      </w:r>
      <w:r w:rsidR="00500072">
        <w:rPr>
          <w:sz w:val="16"/>
          <w:szCs w:val="16"/>
        </w:rPr>
        <w:t> </w:t>
      </w:r>
      <w:r w:rsidRPr="005029AC">
        <w:rPr>
          <w:sz w:val="16"/>
          <w:szCs w:val="16"/>
        </w:rPr>
        <w:t>kontroli w administracji rządowej)</w:t>
      </w:r>
      <w:r w:rsidRPr="005029AC">
        <w:rPr>
          <w:sz w:val="16"/>
          <w:szCs w:val="16"/>
          <w:vertAlign w:val="superscript"/>
        </w:rPr>
        <w:footnoteReference w:id="3"/>
      </w:r>
      <w:r w:rsidRPr="005029AC">
        <w:rPr>
          <w:sz w:val="16"/>
          <w:szCs w:val="16"/>
        </w:rPr>
        <w:t>,</w:t>
      </w:r>
    </w:p>
    <w:p w14:paraId="292A83DC" w14:textId="77777777" w:rsidR="000C4692" w:rsidRPr="005029AC" w:rsidRDefault="000C4692" w:rsidP="00500072">
      <w:pPr>
        <w:numPr>
          <w:ilvl w:val="0"/>
          <w:numId w:val="1"/>
        </w:numPr>
        <w:spacing w:after="0" w:line="240" w:lineRule="auto"/>
        <w:ind w:left="142" w:hanging="142"/>
        <w:contextualSpacing/>
        <w:rPr>
          <w:sz w:val="16"/>
          <w:szCs w:val="16"/>
        </w:rPr>
      </w:pPr>
      <w:r w:rsidRPr="005029AC">
        <w:rPr>
          <w:sz w:val="16"/>
          <w:szCs w:val="16"/>
        </w:rPr>
        <w:t>art. 4 ust. 4 oraz art. 32 ust. 2 ustawy z dnia 28 września 1991 r. o lasach (dalej: ustawa o lasach)</w:t>
      </w:r>
      <w:r w:rsidRPr="005029AC">
        <w:rPr>
          <w:sz w:val="16"/>
          <w:szCs w:val="16"/>
          <w:vertAlign w:val="superscript"/>
        </w:rPr>
        <w:footnoteReference w:id="4"/>
      </w:r>
    </w:p>
    <w:p w14:paraId="2163228B" w14:textId="4BF4433D" w:rsidR="00102C5B" w:rsidRPr="00C348A0" w:rsidRDefault="000C4692" w:rsidP="00C348A0">
      <w:pPr>
        <w:pStyle w:val="Akapitzlist"/>
        <w:numPr>
          <w:ilvl w:val="0"/>
          <w:numId w:val="1"/>
        </w:numPr>
        <w:spacing w:after="120" w:line="240" w:lineRule="auto"/>
        <w:ind w:left="142" w:hanging="142"/>
        <w:contextualSpacing w:val="0"/>
        <w:jc w:val="both"/>
        <w:rPr>
          <w:rFonts w:ascii="Lato" w:hAnsi="Lato"/>
          <w:color w:val="000000" w:themeColor="text1"/>
          <w:sz w:val="16"/>
          <w:szCs w:val="16"/>
        </w:rPr>
      </w:pPr>
      <w:r w:rsidRPr="005029AC">
        <w:rPr>
          <w:rFonts w:ascii="Lato" w:hAnsi="Lato"/>
          <w:color w:val="000000" w:themeColor="text1"/>
          <w:sz w:val="16"/>
          <w:szCs w:val="16"/>
        </w:rPr>
        <w:t>obwieszczenie Ministra Klimatu i Środowiska z dnia 21 sierpnia 2024 r. w sprawie wykazu jednostek organizacyjnych podległych Ministrowi Klimatu i Środowiska lub przez niego nadzorowanych</w:t>
      </w:r>
      <w:r w:rsidRPr="005029AC">
        <w:rPr>
          <w:rStyle w:val="Odwoanieprzypisudolnego"/>
          <w:rFonts w:ascii="Lato" w:hAnsi="Lato"/>
          <w:color w:val="000000" w:themeColor="text1"/>
          <w:sz w:val="16"/>
          <w:szCs w:val="16"/>
        </w:rPr>
        <w:footnoteReference w:id="5"/>
      </w:r>
      <w:r w:rsidRPr="005029AC">
        <w:rPr>
          <w:rFonts w:ascii="Lato" w:hAnsi="Lato"/>
          <w:color w:val="000000" w:themeColor="text1"/>
          <w:sz w:val="16"/>
          <w:szCs w:val="16"/>
        </w:rPr>
        <w:t>.</w:t>
      </w:r>
    </w:p>
    <w:p w14:paraId="51A4BAA8" w14:textId="77777777" w:rsidR="00962D61" w:rsidRPr="00254CBC" w:rsidRDefault="000C4692" w:rsidP="000C4692">
      <w:pPr>
        <w:spacing w:before="120" w:after="120" w:line="240" w:lineRule="auto"/>
        <w:rPr>
          <w:rFonts w:cs="Times New Roman"/>
          <w:b/>
          <w:bCs/>
          <w:color w:val="000000" w:themeColor="text1"/>
          <w:szCs w:val="20"/>
        </w:rPr>
      </w:pPr>
      <w:r w:rsidRPr="00254CBC">
        <w:rPr>
          <w:rFonts w:cs="Times New Roman"/>
          <w:b/>
          <w:bCs/>
          <w:color w:val="000000" w:themeColor="text1"/>
          <w:szCs w:val="20"/>
        </w:rPr>
        <w:t>Informacje o jednostce kontrolowanej</w:t>
      </w:r>
      <w:r w:rsidR="003C1201" w:rsidRPr="00254CBC">
        <w:rPr>
          <w:rFonts w:cs="Times New Roman"/>
          <w:b/>
          <w:bCs/>
          <w:color w:val="000000" w:themeColor="text1"/>
          <w:szCs w:val="20"/>
        </w:rPr>
        <w:t xml:space="preserve"> </w:t>
      </w:r>
    </w:p>
    <w:p w14:paraId="7D8D7D53" w14:textId="2925ACFB" w:rsidR="000D7206" w:rsidRPr="00254CBC" w:rsidRDefault="00102C5B" w:rsidP="00092A85">
      <w:pPr>
        <w:tabs>
          <w:tab w:val="left" w:pos="142"/>
        </w:tabs>
        <w:spacing w:before="120" w:after="120" w:line="240" w:lineRule="auto"/>
        <w:rPr>
          <w:rFonts w:cs="Times New Roman"/>
          <w:color w:val="000000" w:themeColor="text1"/>
          <w:sz w:val="16"/>
          <w:szCs w:val="16"/>
        </w:rPr>
      </w:pPr>
      <w:r>
        <w:rPr>
          <w:rFonts w:cs="Times New Roman"/>
          <w:color w:val="000000" w:themeColor="text1"/>
          <w:sz w:val="16"/>
          <w:szCs w:val="16"/>
        </w:rPr>
        <w:t xml:space="preserve">Państwowe Gospodarstwo Leśne </w:t>
      </w:r>
      <w:r w:rsidR="000A6F23" w:rsidRPr="00254CBC">
        <w:rPr>
          <w:rFonts w:cs="Times New Roman"/>
          <w:color w:val="000000" w:themeColor="text1"/>
          <w:sz w:val="16"/>
          <w:szCs w:val="16"/>
        </w:rPr>
        <w:t xml:space="preserve">Lasy Państwowe </w:t>
      </w:r>
      <w:r>
        <w:rPr>
          <w:rFonts w:cs="Times New Roman"/>
          <w:color w:val="000000" w:themeColor="text1"/>
          <w:sz w:val="16"/>
          <w:szCs w:val="16"/>
        </w:rPr>
        <w:t xml:space="preserve">(dalej: PGL LP) </w:t>
      </w:r>
      <w:r w:rsidR="000A6F23" w:rsidRPr="00254CBC">
        <w:rPr>
          <w:rFonts w:cs="Times New Roman"/>
          <w:color w:val="000000" w:themeColor="text1"/>
          <w:sz w:val="16"/>
          <w:szCs w:val="16"/>
        </w:rPr>
        <w:t>to państwowa jednostka organizacyjna nieposiadająca osobowości prawnej, która w zakresie zarządzanego mienia</w:t>
      </w:r>
      <w:r w:rsidR="000D7206" w:rsidRPr="00254CBC">
        <w:rPr>
          <w:rFonts w:cs="Times New Roman"/>
          <w:color w:val="000000" w:themeColor="text1"/>
          <w:sz w:val="16"/>
          <w:szCs w:val="16"/>
        </w:rPr>
        <w:t xml:space="preserve"> reprezentuje Skarb Państwa</w:t>
      </w:r>
      <w:r w:rsidR="000A6F23" w:rsidRPr="00254CBC">
        <w:rPr>
          <w:rFonts w:cs="Times New Roman"/>
          <w:color w:val="000000" w:themeColor="text1"/>
          <w:sz w:val="16"/>
          <w:szCs w:val="16"/>
        </w:rPr>
        <w:t>.</w:t>
      </w:r>
      <w:r w:rsidR="000D7206" w:rsidRPr="00254CBC">
        <w:rPr>
          <w:rFonts w:cs="Times New Roman"/>
          <w:color w:val="000000" w:themeColor="text1"/>
          <w:sz w:val="16"/>
          <w:szCs w:val="16"/>
        </w:rPr>
        <w:t xml:space="preserve"> </w:t>
      </w:r>
      <w:r w:rsidR="003E3CBD">
        <w:rPr>
          <w:rFonts w:cs="Times New Roman"/>
          <w:color w:val="000000" w:themeColor="text1"/>
          <w:sz w:val="16"/>
          <w:szCs w:val="16"/>
        </w:rPr>
        <w:t>PGL LP prowadzi działalność na zasadzie samodzielności finansowej i pokrywa koszty działalności z własnych przychodów; n</w:t>
      </w:r>
      <w:r w:rsidR="000D7206" w:rsidRPr="00254CBC">
        <w:rPr>
          <w:rFonts w:cs="Times New Roman"/>
          <w:color w:val="000000" w:themeColor="text1"/>
          <w:sz w:val="16"/>
          <w:szCs w:val="16"/>
        </w:rPr>
        <w:t>ie należ</w:t>
      </w:r>
      <w:r w:rsidR="003E3CBD">
        <w:rPr>
          <w:rFonts w:cs="Times New Roman"/>
          <w:color w:val="000000" w:themeColor="text1"/>
          <w:sz w:val="16"/>
          <w:szCs w:val="16"/>
        </w:rPr>
        <w:t xml:space="preserve">y </w:t>
      </w:r>
      <w:r w:rsidR="000D7206" w:rsidRPr="00254CBC">
        <w:rPr>
          <w:rFonts w:cs="Times New Roman"/>
          <w:color w:val="000000" w:themeColor="text1"/>
          <w:sz w:val="16"/>
          <w:szCs w:val="16"/>
        </w:rPr>
        <w:t>do jednostek sektora finansów publicznych.</w:t>
      </w:r>
    </w:p>
    <w:p w14:paraId="493AEC9D" w14:textId="4667378B" w:rsidR="000A6F23" w:rsidRPr="00254CBC" w:rsidRDefault="000A6F23" w:rsidP="00E2633E">
      <w:pPr>
        <w:tabs>
          <w:tab w:val="left" w:pos="142"/>
        </w:tabs>
        <w:spacing w:before="120" w:after="0" w:line="240" w:lineRule="auto"/>
        <w:rPr>
          <w:rFonts w:cs="Times New Roman"/>
          <w:color w:val="000000" w:themeColor="text1"/>
          <w:sz w:val="16"/>
          <w:szCs w:val="16"/>
        </w:rPr>
      </w:pPr>
      <w:r w:rsidRPr="00254CBC">
        <w:rPr>
          <w:rFonts w:cs="Times New Roman"/>
          <w:color w:val="000000" w:themeColor="text1"/>
          <w:sz w:val="16"/>
          <w:szCs w:val="16"/>
        </w:rPr>
        <w:t xml:space="preserve">W skład </w:t>
      </w:r>
      <w:r w:rsidR="00102C5B">
        <w:rPr>
          <w:rFonts w:cs="Times New Roman"/>
          <w:color w:val="000000" w:themeColor="text1"/>
          <w:sz w:val="16"/>
          <w:szCs w:val="16"/>
        </w:rPr>
        <w:t>PGL LP</w:t>
      </w:r>
      <w:r w:rsidRPr="00254CBC">
        <w:rPr>
          <w:rFonts w:cs="Times New Roman"/>
          <w:color w:val="000000" w:themeColor="text1"/>
          <w:sz w:val="16"/>
          <w:szCs w:val="16"/>
        </w:rPr>
        <w:t xml:space="preserve"> wchodz</w:t>
      </w:r>
      <w:r w:rsidR="003E3CBD">
        <w:rPr>
          <w:rFonts w:cs="Times New Roman"/>
          <w:color w:val="000000" w:themeColor="text1"/>
          <w:sz w:val="16"/>
          <w:szCs w:val="16"/>
        </w:rPr>
        <w:t xml:space="preserve">i 469 jednostek </w:t>
      </w:r>
      <w:r w:rsidRPr="00254CBC">
        <w:rPr>
          <w:rFonts w:cs="Times New Roman"/>
          <w:color w:val="000000" w:themeColor="text1"/>
          <w:sz w:val="16"/>
          <w:szCs w:val="16"/>
        </w:rPr>
        <w:t>organizacyjn</w:t>
      </w:r>
      <w:r w:rsidR="003E3CBD">
        <w:rPr>
          <w:rFonts w:cs="Times New Roman"/>
          <w:color w:val="000000" w:themeColor="text1"/>
          <w:sz w:val="16"/>
          <w:szCs w:val="16"/>
        </w:rPr>
        <w:t>ych</w:t>
      </w:r>
      <w:r w:rsidRPr="00254CBC">
        <w:rPr>
          <w:rFonts w:cs="Times New Roman"/>
          <w:color w:val="000000" w:themeColor="text1"/>
          <w:sz w:val="16"/>
          <w:szCs w:val="16"/>
        </w:rPr>
        <w:t>:</w:t>
      </w:r>
    </w:p>
    <w:p w14:paraId="16C77A73" w14:textId="0F6053C8" w:rsidR="000A6F23" w:rsidRPr="00254CBC" w:rsidRDefault="000A6F23" w:rsidP="00092A85">
      <w:pPr>
        <w:tabs>
          <w:tab w:val="left" w:pos="142"/>
        </w:tabs>
        <w:spacing w:after="0" w:line="240" w:lineRule="auto"/>
        <w:rPr>
          <w:rFonts w:cs="Times New Roman"/>
          <w:color w:val="000000" w:themeColor="text1"/>
          <w:sz w:val="16"/>
          <w:szCs w:val="16"/>
        </w:rPr>
      </w:pPr>
      <w:r w:rsidRPr="00254CBC">
        <w:rPr>
          <w:rFonts w:cs="Times New Roman"/>
          <w:color w:val="000000" w:themeColor="text1"/>
          <w:sz w:val="16"/>
          <w:szCs w:val="16"/>
        </w:rPr>
        <w:t>1) Dyrekcja Generalna Lasów Państwowych</w:t>
      </w:r>
      <w:r w:rsidR="000D7206" w:rsidRPr="00254CBC">
        <w:rPr>
          <w:rFonts w:cs="Times New Roman"/>
          <w:color w:val="000000" w:themeColor="text1"/>
          <w:sz w:val="16"/>
          <w:szCs w:val="16"/>
        </w:rPr>
        <w:t xml:space="preserve"> (DGLP)</w:t>
      </w:r>
      <w:r w:rsidRPr="00254CBC">
        <w:rPr>
          <w:rFonts w:cs="Times New Roman"/>
          <w:color w:val="000000" w:themeColor="text1"/>
          <w:sz w:val="16"/>
          <w:szCs w:val="16"/>
        </w:rPr>
        <w:t>;</w:t>
      </w:r>
    </w:p>
    <w:p w14:paraId="16DE8CBC" w14:textId="2A17C918" w:rsidR="000A6F23" w:rsidRPr="00254CBC" w:rsidRDefault="000A6F23" w:rsidP="00092A85">
      <w:pPr>
        <w:tabs>
          <w:tab w:val="left" w:pos="142"/>
        </w:tabs>
        <w:spacing w:after="0" w:line="240" w:lineRule="auto"/>
        <w:rPr>
          <w:rFonts w:cs="Times New Roman"/>
          <w:color w:val="000000" w:themeColor="text1"/>
          <w:sz w:val="16"/>
          <w:szCs w:val="16"/>
        </w:rPr>
      </w:pPr>
      <w:r w:rsidRPr="00254CBC">
        <w:rPr>
          <w:rFonts w:cs="Times New Roman"/>
          <w:color w:val="000000" w:themeColor="text1"/>
          <w:sz w:val="16"/>
          <w:szCs w:val="16"/>
        </w:rPr>
        <w:t xml:space="preserve">2) </w:t>
      </w:r>
      <w:r w:rsidR="00782C14">
        <w:rPr>
          <w:rFonts w:cs="Times New Roman"/>
          <w:color w:val="000000" w:themeColor="text1"/>
          <w:sz w:val="16"/>
          <w:szCs w:val="16"/>
        </w:rPr>
        <w:t xml:space="preserve">17 </w:t>
      </w:r>
      <w:r w:rsidRPr="00254CBC">
        <w:rPr>
          <w:rFonts w:cs="Times New Roman"/>
          <w:color w:val="000000" w:themeColor="text1"/>
          <w:sz w:val="16"/>
          <w:szCs w:val="16"/>
        </w:rPr>
        <w:t>regionaln</w:t>
      </w:r>
      <w:r w:rsidR="00782C14">
        <w:rPr>
          <w:rFonts w:cs="Times New Roman"/>
          <w:color w:val="000000" w:themeColor="text1"/>
          <w:sz w:val="16"/>
          <w:szCs w:val="16"/>
        </w:rPr>
        <w:t>ych</w:t>
      </w:r>
      <w:r w:rsidRPr="00254CBC">
        <w:rPr>
          <w:rFonts w:cs="Times New Roman"/>
          <w:color w:val="000000" w:themeColor="text1"/>
          <w:sz w:val="16"/>
          <w:szCs w:val="16"/>
        </w:rPr>
        <w:t xml:space="preserve"> dyrekcj</w:t>
      </w:r>
      <w:r w:rsidR="00782C14">
        <w:rPr>
          <w:rFonts w:cs="Times New Roman"/>
          <w:color w:val="000000" w:themeColor="text1"/>
          <w:sz w:val="16"/>
          <w:szCs w:val="16"/>
        </w:rPr>
        <w:t>i</w:t>
      </w:r>
      <w:r w:rsidRPr="00254CBC">
        <w:rPr>
          <w:rFonts w:cs="Times New Roman"/>
          <w:color w:val="000000" w:themeColor="text1"/>
          <w:sz w:val="16"/>
          <w:szCs w:val="16"/>
        </w:rPr>
        <w:t xml:space="preserve"> Lasów Państwowych</w:t>
      </w:r>
      <w:r w:rsidR="000D7206" w:rsidRPr="00254CBC">
        <w:rPr>
          <w:rFonts w:cs="Times New Roman"/>
          <w:color w:val="000000" w:themeColor="text1"/>
          <w:sz w:val="16"/>
          <w:szCs w:val="16"/>
        </w:rPr>
        <w:t xml:space="preserve"> (RDLP)</w:t>
      </w:r>
      <w:r w:rsidRPr="00254CBC">
        <w:rPr>
          <w:rFonts w:cs="Times New Roman"/>
          <w:color w:val="000000" w:themeColor="text1"/>
          <w:sz w:val="16"/>
          <w:szCs w:val="16"/>
        </w:rPr>
        <w:t>;</w:t>
      </w:r>
    </w:p>
    <w:p w14:paraId="3EF37B16" w14:textId="4A6A4733" w:rsidR="000A6F23" w:rsidRPr="00254CBC" w:rsidRDefault="000A6F23" w:rsidP="00092A85">
      <w:pPr>
        <w:tabs>
          <w:tab w:val="left" w:pos="142"/>
        </w:tabs>
        <w:spacing w:after="0" w:line="240" w:lineRule="auto"/>
        <w:rPr>
          <w:rFonts w:cs="Times New Roman"/>
          <w:color w:val="000000" w:themeColor="text1"/>
          <w:sz w:val="16"/>
          <w:szCs w:val="16"/>
        </w:rPr>
      </w:pPr>
      <w:r w:rsidRPr="00254CBC">
        <w:rPr>
          <w:rFonts w:cs="Times New Roman"/>
          <w:color w:val="000000" w:themeColor="text1"/>
          <w:sz w:val="16"/>
          <w:szCs w:val="16"/>
        </w:rPr>
        <w:t xml:space="preserve">3) </w:t>
      </w:r>
      <w:r w:rsidR="00782C14">
        <w:rPr>
          <w:rFonts w:cs="Times New Roman"/>
          <w:color w:val="000000" w:themeColor="text1"/>
          <w:sz w:val="16"/>
          <w:szCs w:val="16"/>
        </w:rPr>
        <w:t xml:space="preserve">429 </w:t>
      </w:r>
      <w:r w:rsidRPr="00254CBC">
        <w:rPr>
          <w:rFonts w:cs="Times New Roman"/>
          <w:color w:val="000000" w:themeColor="text1"/>
          <w:sz w:val="16"/>
          <w:szCs w:val="16"/>
        </w:rPr>
        <w:t>nadleśnictw;</w:t>
      </w:r>
    </w:p>
    <w:p w14:paraId="49A53F80" w14:textId="063EC578" w:rsidR="000A6F23" w:rsidRPr="00254CBC" w:rsidRDefault="000A6F23" w:rsidP="00092A85">
      <w:pPr>
        <w:tabs>
          <w:tab w:val="left" w:pos="142"/>
        </w:tabs>
        <w:spacing w:after="0" w:line="240" w:lineRule="auto"/>
        <w:rPr>
          <w:rFonts w:cs="Times New Roman"/>
          <w:color w:val="000000" w:themeColor="text1"/>
          <w:sz w:val="16"/>
          <w:szCs w:val="16"/>
        </w:rPr>
      </w:pPr>
      <w:r w:rsidRPr="00254CBC">
        <w:rPr>
          <w:rFonts w:cs="Times New Roman"/>
          <w:color w:val="000000" w:themeColor="text1"/>
          <w:sz w:val="16"/>
          <w:szCs w:val="16"/>
        </w:rPr>
        <w:t xml:space="preserve">4) </w:t>
      </w:r>
      <w:r w:rsidR="00782C14">
        <w:rPr>
          <w:rFonts w:cs="Times New Roman"/>
          <w:color w:val="000000" w:themeColor="text1"/>
          <w:sz w:val="16"/>
          <w:szCs w:val="16"/>
        </w:rPr>
        <w:t xml:space="preserve">22 </w:t>
      </w:r>
      <w:r w:rsidRPr="00254CBC">
        <w:rPr>
          <w:rFonts w:cs="Times New Roman"/>
          <w:color w:val="000000" w:themeColor="text1"/>
          <w:sz w:val="16"/>
          <w:szCs w:val="16"/>
        </w:rPr>
        <w:t>inne jednostki organizacyjne nieposiadające osobowości prawnej</w:t>
      </w:r>
      <w:r w:rsidR="004F7490">
        <w:rPr>
          <w:rStyle w:val="Odwoanieprzypisudolnego"/>
          <w:rFonts w:cs="Times New Roman"/>
          <w:color w:val="000000" w:themeColor="text1"/>
          <w:sz w:val="16"/>
          <w:szCs w:val="16"/>
        </w:rPr>
        <w:footnoteReference w:id="6"/>
      </w:r>
      <w:r w:rsidRPr="00254CBC">
        <w:rPr>
          <w:rFonts w:cs="Times New Roman"/>
          <w:color w:val="000000" w:themeColor="text1"/>
          <w:sz w:val="16"/>
          <w:szCs w:val="16"/>
        </w:rPr>
        <w:t>.</w:t>
      </w:r>
    </w:p>
    <w:p w14:paraId="66A13E90" w14:textId="42530AE8" w:rsidR="000D7206" w:rsidRDefault="000D7206" w:rsidP="00092A85">
      <w:pPr>
        <w:tabs>
          <w:tab w:val="left" w:pos="142"/>
        </w:tabs>
        <w:spacing w:before="120" w:after="120" w:line="240" w:lineRule="auto"/>
        <w:rPr>
          <w:rFonts w:cs="Times New Roman"/>
          <w:color w:val="000000" w:themeColor="text1"/>
          <w:sz w:val="16"/>
          <w:szCs w:val="16"/>
        </w:rPr>
      </w:pPr>
      <w:r w:rsidRPr="00254CBC">
        <w:rPr>
          <w:rFonts w:cs="Times New Roman"/>
          <w:color w:val="000000" w:themeColor="text1"/>
          <w:sz w:val="16"/>
          <w:szCs w:val="16"/>
        </w:rPr>
        <w:t xml:space="preserve">Kontroli poddano </w:t>
      </w:r>
      <w:r w:rsidR="0049746B">
        <w:rPr>
          <w:rFonts w:cs="Times New Roman"/>
          <w:color w:val="000000" w:themeColor="text1"/>
          <w:sz w:val="16"/>
          <w:szCs w:val="16"/>
        </w:rPr>
        <w:t>umowy</w:t>
      </w:r>
      <w:r w:rsidR="006428A0">
        <w:rPr>
          <w:rFonts w:cs="Times New Roman"/>
          <w:color w:val="000000" w:themeColor="text1"/>
          <w:sz w:val="16"/>
          <w:szCs w:val="16"/>
        </w:rPr>
        <w:t xml:space="preserve"> zawarte przez DGLP</w:t>
      </w:r>
      <w:r w:rsidR="0049746B">
        <w:rPr>
          <w:rFonts w:cs="Times New Roman"/>
          <w:color w:val="000000" w:themeColor="text1"/>
          <w:sz w:val="16"/>
          <w:szCs w:val="16"/>
        </w:rPr>
        <w:t xml:space="preserve"> na obsługę prawną </w:t>
      </w:r>
      <w:r w:rsidR="003714B7">
        <w:rPr>
          <w:rFonts w:cs="Times New Roman"/>
          <w:color w:val="000000" w:themeColor="text1"/>
          <w:sz w:val="16"/>
          <w:szCs w:val="16"/>
        </w:rPr>
        <w:t>(w tym czynności audytowe</w:t>
      </w:r>
      <w:r w:rsidR="0011768D">
        <w:rPr>
          <w:rFonts w:cs="Times New Roman"/>
          <w:color w:val="000000" w:themeColor="text1"/>
          <w:sz w:val="16"/>
          <w:szCs w:val="16"/>
        </w:rPr>
        <w:t xml:space="preserve">, kontrolne </w:t>
      </w:r>
      <w:r w:rsidR="006428A0">
        <w:rPr>
          <w:rFonts w:cs="Times New Roman"/>
          <w:color w:val="000000" w:themeColor="text1"/>
          <w:sz w:val="16"/>
          <w:szCs w:val="16"/>
        </w:rPr>
        <w:t>i </w:t>
      </w:r>
      <w:r w:rsidR="003714B7">
        <w:rPr>
          <w:rFonts w:cs="Times New Roman"/>
          <w:color w:val="000000" w:themeColor="text1"/>
          <w:sz w:val="16"/>
          <w:szCs w:val="16"/>
        </w:rPr>
        <w:t>w</w:t>
      </w:r>
      <w:r w:rsidR="003845A7">
        <w:rPr>
          <w:rFonts w:cs="Times New Roman"/>
          <w:color w:val="000000" w:themeColor="text1"/>
          <w:sz w:val="16"/>
          <w:szCs w:val="16"/>
        </w:rPr>
        <w:t>yja</w:t>
      </w:r>
      <w:r w:rsidR="00AC319B">
        <w:rPr>
          <w:rFonts w:cs="Times New Roman"/>
          <w:color w:val="000000" w:themeColor="text1"/>
          <w:sz w:val="16"/>
          <w:szCs w:val="16"/>
        </w:rPr>
        <w:t>ś</w:t>
      </w:r>
      <w:r w:rsidR="003845A7">
        <w:rPr>
          <w:rFonts w:cs="Times New Roman"/>
          <w:color w:val="000000" w:themeColor="text1"/>
          <w:sz w:val="16"/>
          <w:szCs w:val="16"/>
        </w:rPr>
        <w:t>niające</w:t>
      </w:r>
      <w:r w:rsidR="003714B7">
        <w:rPr>
          <w:rFonts w:cs="Times New Roman"/>
          <w:color w:val="000000" w:themeColor="text1"/>
          <w:sz w:val="16"/>
          <w:szCs w:val="16"/>
        </w:rPr>
        <w:t xml:space="preserve">) </w:t>
      </w:r>
      <w:r w:rsidRPr="00254CBC">
        <w:rPr>
          <w:rFonts w:cs="Times New Roman"/>
          <w:color w:val="000000" w:themeColor="text1"/>
          <w:sz w:val="16"/>
          <w:szCs w:val="16"/>
        </w:rPr>
        <w:t xml:space="preserve">oraz pozyskano informacje dotyczące </w:t>
      </w:r>
      <w:r w:rsidR="0049746B">
        <w:rPr>
          <w:rFonts w:cs="Times New Roman"/>
          <w:color w:val="000000" w:themeColor="text1"/>
          <w:sz w:val="16"/>
          <w:szCs w:val="16"/>
        </w:rPr>
        <w:t xml:space="preserve">umów </w:t>
      </w:r>
      <w:r w:rsidRPr="00254CBC">
        <w:rPr>
          <w:rFonts w:cs="Times New Roman"/>
          <w:color w:val="000000" w:themeColor="text1"/>
          <w:sz w:val="16"/>
          <w:szCs w:val="16"/>
        </w:rPr>
        <w:t>pozostałych jednostek wchodzących w skład PGL LP</w:t>
      </w:r>
      <w:r w:rsidR="004F7490" w:rsidRPr="004F7490">
        <w:rPr>
          <w:rFonts w:cs="Times New Roman"/>
          <w:color w:val="000000" w:themeColor="text1"/>
          <w:sz w:val="16"/>
          <w:szCs w:val="16"/>
        </w:rPr>
        <w:t>.</w:t>
      </w:r>
    </w:p>
    <w:p w14:paraId="6A62CD0A" w14:textId="51C4FCFD" w:rsidR="004F7490" w:rsidRDefault="003E3CBD" w:rsidP="00092A85">
      <w:pPr>
        <w:tabs>
          <w:tab w:val="left" w:pos="142"/>
        </w:tabs>
        <w:spacing w:before="120" w:after="120" w:line="240" w:lineRule="auto"/>
        <w:rPr>
          <w:rFonts w:cs="Times New Roman"/>
          <w:color w:val="000000" w:themeColor="text1"/>
          <w:sz w:val="16"/>
          <w:szCs w:val="16"/>
        </w:rPr>
      </w:pPr>
      <w:r>
        <w:rPr>
          <w:rFonts w:cs="Times New Roman"/>
          <w:color w:val="000000" w:themeColor="text1"/>
          <w:sz w:val="16"/>
          <w:szCs w:val="16"/>
        </w:rPr>
        <w:t xml:space="preserve">PGL LP kieruje Dyrektor Generalny Lasów Państwowych (dalej: Dyrektor Generalny). </w:t>
      </w:r>
      <w:r w:rsidR="004F7490">
        <w:rPr>
          <w:rFonts w:cs="Times New Roman"/>
          <w:color w:val="000000" w:themeColor="text1"/>
          <w:sz w:val="16"/>
          <w:szCs w:val="16"/>
        </w:rPr>
        <w:t>Dyrektorem Generalnym od</w:t>
      </w:r>
      <w:r>
        <w:rPr>
          <w:rFonts w:cs="Times New Roman"/>
          <w:color w:val="000000" w:themeColor="text1"/>
          <w:sz w:val="16"/>
          <w:szCs w:val="16"/>
        </w:rPr>
        <w:t> </w:t>
      </w:r>
      <w:r w:rsidR="004F7490">
        <w:rPr>
          <w:rFonts w:cs="Times New Roman"/>
          <w:color w:val="000000" w:themeColor="text1"/>
          <w:sz w:val="16"/>
          <w:szCs w:val="16"/>
        </w:rPr>
        <w:t>10</w:t>
      </w:r>
      <w:r>
        <w:rPr>
          <w:rFonts w:cs="Times New Roman"/>
          <w:color w:val="000000" w:themeColor="text1"/>
          <w:sz w:val="16"/>
          <w:szCs w:val="16"/>
        </w:rPr>
        <w:t> </w:t>
      </w:r>
      <w:r w:rsidR="004F7490">
        <w:rPr>
          <w:rFonts w:cs="Times New Roman"/>
          <w:color w:val="000000" w:themeColor="text1"/>
          <w:sz w:val="16"/>
          <w:szCs w:val="16"/>
        </w:rPr>
        <w:t xml:space="preserve">stycznia 2024 r. jest Witold Koss. Wcześniej, w okresie </w:t>
      </w:r>
      <w:r w:rsidR="004F7490" w:rsidRPr="004F7490">
        <w:rPr>
          <w:rFonts w:cs="Times New Roman"/>
          <w:color w:val="000000" w:themeColor="text1"/>
          <w:sz w:val="16"/>
          <w:szCs w:val="16"/>
        </w:rPr>
        <w:t xml:space="preserve">od </w:t>
      </w:r>
      <w:r w:rsidR="004F7490" w:rsidRPr="00254CBC">
        <w:rPr>
          <w:rFonts w:cs="Times New Roman"/>
          <w:color w:val="000000" w:themeColor="text1"/>
          <w:sz w:val="16"/>
          <w:szCs w:val="16"/>
        </w:rPr>
        <w:t>9 kwietnia 2021 r.</w:t>
      </w:r>
      <w:r w:rsidR="004F7490">
        <w:rPr>
          <w:rFonts w:cs="Times New Roman"/>
          <w:color w:val="000000" w:themeColor="text1"/>
          <w:sz w:val="16"/>
          <w:szCs w:val="16"/>
        </w:rPr>
        <w:t xml:space="preserve"> do 9 stycznia 2024 r.</w:t>
      </w:r>
      <w:r w:rsidR="000C367A">
        <w:rPr>
          <w:rFonts w:cs="Times New Roman"/>
          <w:color w:val="000000" w:themeColor="text1"/>
          <w:sz w:val="16"/>
          <w:szCs w:val="16"/>
        </w:rPr>
        <w:t>,</w:t>
      </w:r>
      <w:r w:rsidR="004F7490">
        <w:rPr>
          <w:rFonts w:cs="Times New Roman"/>
          <w:color w:val="000000" w:themeColor="text1"/>
          <w:sz w:val="16"/>
          <w:szCs w:val="16"/>
        </w:rPr>
        <w:t xml:space="preserve"> funkcję tę </w:t>
      </w:r>
      <w:r>
        <w:rPr>
          <w:rFonts w:cs="Times New Roman"/>
          <w:color w:val="000000" w:themeColor="text1"/>
          <w:sz w:val="16"/>
          <w:szCs w:val="16"/>
        </w:rPr>
        <w:t xml:space="preserve">pełnił </w:t>
      </w:r>
      <w:r w:rsidR="004F7490">
        <w:rPr>
          <w:rFonts w:cs="Times New Roman"/>
          <w:color w:val="000000" w:themeColor="text1"/>
          <w:sz w:val="16"/>
          <w:szCs w:val="16"/>
        </w:rPr>
        <w:t>Józef Kubica.</w:t>
      </w:r>
    </w:p>
    <w:p w14:paraId="53DA3F26" w14:textId="312DD3DF" w:rsidR="00114044" w:rsidRDefault="00A83692" w:rsidP="00114044">
      <w:pPr>
        <w:rPr>
          <w:b/>
          <w:bCs/>
        </w:rPr>
      </w:pPr>
      <w:r>
        <w:rPr>
          <w:b/>
          <w:bCs/>
          <w:szCs w:val="20"/>
        </w:rPr>
        <w:lastRenderedPageBreak/>
        <w:t>OCENA OGÓLNA</w:t>
      </w:r>
    </w:p>
    <w:p w14:paraId="54CB136A" w14:textId="7D015677" w:rsidR="000C367A" w:rsidRPr="003845A7" w:rsidRDefault="00102C5B" w:rsidP="00114044">
      <w:r w:rsidRPr="003845A7">
        <w:rPr>
          <w:b/>
          <w:bCs/>
        </w:rPr>
        <w:t>PGL LP</w:t>
      </w:r>
      <w:r w:rsidRPr="003845A7">
        <w:t xml:space="preserve"> w</w:t>
      </w:r>
      <w:r w:rsidR="00114044" w:rsidRPr="003845A7">
        <w:t xml:space="preserve"> okresie od 1 stycznia 2024 </w:t>
      </w:r>
      <w:r w:rsidRPr="003845A7">
        <w:t xml:space="preserve">r. </w:t>
      </w:r>
      <w:r w:rsidR="00114044" w:rsidRPr="003845A7">
        <w:t>do 12 marca 2025</w:t>
      </w:r>
      <w:r w:rsidRPr="003845A7">
        <w:t xml:space="preserve"> r.</w:t>
      </w:r>
      <w:r w:rsidR="00114044" w:rsidRPr="003845A7">
        <w:t xml:space="preserve"> </w:t>
      </w:r>
      <w:r w:rsidRPr="003845A7">
        <w:t xml:space="preserve">(14,5 miesiąca) </w:t>
      </w:r>
      <w:r w:rsidR="00114044" w:rsidRPr="003845A7">
        <w:t>w znacznym stopniu korzystało z umów cywilnoprawnych w zakresie obsługi prawnej</w:t>
      </w:r>
      <w:r w:rsidR="006428A0" w:rsidRPr="003845A7">
        <w:t xml:space="preserve"> (w tym </w:t>
      </w:r>
      <w:r w:rsidR="003845A7">
        <w:t>czynności audytowe, kontrolne i wyjaśniające)</w:t>
      </w:r>
      <w:r w:rsidR="006428A0" w:rsidRPr="003845A7">
        <w:t>. Ł</w:t>
      </w:r>
      <w:r w:rsidR="00114044" w:rsidRPr="003845A7">
        <w:t xml:space="preserve">ącznie </w:t>
      </w:r>
      <w:r w:rsidR="006F00CA" w:rsidRPr="003845A7">
        <w:t xml:space="preserve">w ramach 469 jednostek PGL LP zawarto </w:t>
      </w:r>
      <w:r w:rsidR="00114044" w:rsidRPr="003845A7">
        <w:t>1.587</w:t>
      </w:r>
      <w:r w:rsidR="006A29B0" w:rsidRPr="003845A7">
        <w:t> </w:t>
      </w:r>
      <w:r w:rsidR="00114044" w:rsidRPr="003845A7">
        <w:t xml:space="preserve">umów, z czego 1.493 na </w:t>
      </w:r>
      <w:r w:rsidR="000C367A" w:rsidRPr="003845A7">
        <w:t xml:space="preserve">łączną </w:t>
      </w:r>
      <w:r w:rsidR="00114044" w:rsidRPr="003845A7">
        <w:t>kwotę 69,</w:t>
      </w:r>
      <w:r w:rsidR="000A3848" w:rsidRPr="003845A7">
        <w:t>78</w:t>
      </w:r>
      <w:r w:rsidR="00114044" w:rsidRPr="003845A7">
        <w:t xml:space="preserve"> mln zł</w:t>
      </w:r>
      <w:r w:rsidR="003845A7">
        <w:t xml:space="preserve"> (</w:t>
      </w:r>
      <w:r w:rsidR="00114044" w:rsidRPr="003845A7">
        <w:t>dla pozostałych 9</w:t>
      </w:r>
      <w:r w:rsidR="00EB5338" w:rsidRPr="003845A7">
        <w:t>4</w:t>
      </w:r>
      <w:r w:rsidR="00114044" w:rsidRPr="003845A7">
        <w:t xml:space="preserve"> umów nie </w:t>
      </w:r>
      <w:r w:rsidR="0049746B" w:rsidRPr="003845A7">
        <w:t xml:space="preserve">określono ich </w:t>
      </w:r>
      <w:r w:rsidR="00114044" w:rsidRPr="003845A7">
        <w:t>wartości</w:t>
      </w:r>
      <w:r w:rsidR="006F00CA" w:rsidRPr="003845A7">
        <w:t xml:space="preserve"> ogólnej</w:t>
      </w:r>
      <w:r w:rsidR="00AA5335" w:rsidRPr="003845A7">
        <w:rPr>
          <w:rStyle w:val="Odwoanieprzypisudolnego"/>
          <w:szCs w:val="20"/>
        </w:rPr>
        <w:footnoteReference w:id="7"/>
      </w:r>
      <w:r w:rsidR="003845A7">
        <w:t>)</w:t>
      </w:r>
      <w:r w:rsidR="00114044" w:rsidRPr="003845A7">
        <w:t xml:space="preserve">. </w:t>
      </w:r>
      <w:r w:rsidR="00092A85" w:rsidRPr="003845A7">
        <w:rPr>
          <w:szCs w:val="20"/>
        </w:rPr>
        <w:t>Kwota wydatkowana z tego tytułu wyniosła 46,1 mln zł.</w:t>
      </w:r>
    </w:p>
    <w:p w14:paraId="17D6DFD0" w14:textId="4A456A87" w:rsidR="00114044" w:rsidRDefault="00114044" w:rsidP="000C367A">
      <w:r w:rsidRPr="003845A7">
        <w:rPr>
          <w:b/>
          <w:bCs/>
        </w:rPr>
        <w:t>DGLP</w:t>
      </w:r>
      <w:r w:rsidRPr="003845A7">
        <w:t xml:space="preserve"> </w:t>
      </w:r>
      <w:r w:rsidRPr="003845A7">
        <w:rPr>
          <w:szCs w:val="20"/>
        </w:rPr>
        <w:t xml:space="preserve">w badanym okresie </w:t>
      </w:r>
      <w:r w:rsidR="00DB6ECF" w:rsidRPr="003845A7">
        <w:rPr>
          <w:szCs w:val="20"/>
        </w:rPr>
        <w:t xml:space="preserve">zawarła </w:t>
      </w:r>
      <w:r w:rsidR="000A3848" w:rsidRPr="003845A7">
        <w:rPr>
          <w:szCs w:val="20"/>
        </w:rPr>
        <w:t xml:space="preserve">14 </w:t>
      </w:r>
      <w:r w:rsidR="00DB6ECF" w:rsidRPr="003845A7">
        <w:rPr>
          <w:szCs w:val="20"/>
        </w:rPr>
        <w:t>um</w:t>
      </w:r>
      <w:r w:rsidR="000A3848" w:rsidRPr="003845A7">
        <w:rPr>
          <w:szCs w:val="20"/>
        </w:rPr>
        <w:t>ów</w:t>
      </w:r>
      <w:r w:rsidR="00DB6ECF" w:rsidRPr="003845A7">
        <w:rPr>
          <w:szCs w:val="20"/>
        </w:rPr>
        <w:t xml:space="preserve"> na obsługę prawną o wartości </w:t>
      </w:r>
      <w:r w:rsidRPr="003845A7">
        <w:rPr>
          <w:szCs w:val="20"/>
        </w:rPr>
        <w:t>1,</w:t>
      </w:r>
      <w:r w:rsidR="000A3848" w:rsidRPr="003845A7">
        <w:rPr>
          <w:szCs w:val="20"/>
        </w:rPr>
        <w:t>55</w:t>
      </w:r>
      <w:r w:rsidRPr="003845A7">
        <w:rPr>
          <w:szCs w:val="20"/>
        </w:rPr>
        <w:t xml:space="preserve"> mln zł</w:t>
      </w:r>
      <w:r w:rsidR="006428A0" w:rsidRPr="003845A7">
        <w:rPr>
          <w:szCs w:val="20"/>
        </w:rPr>
        <w:t xml:space="preserve"> (z wyłączeniem 3 umów, dla których nie określono wartości ogólnej)</w:t>
      </w:r>
      <w:r w:rsidR="00DB6ECF" w:rsidRPr="003845A7">
        <w:rPr>
          <w:szCs w:val="20"/>
        </w:rPr>
        <w:t xml:space="preserve">, na które wydatkowano </w:t>
      </w:r>
      <w:r w:rsidR="000A3848" w:rsidRPr="003845A7">
        <w:rPr>
          <w:szCs w:val="20"/>
        </w:rPr>
        <w:t xml:space="preserve">1,14 </w:t>
      </w:r>
      <w:r w:rsidR="00DB6ECF" w:rsidRPr="003845A7">
        <w:rPr>
          <w:szCs w:val="20"/>
        </w:rPr>
        <w:t>mln zł</w:t>
      </w:r>
      <w:r w:rsidR="006F00CA" w:rsidRPr="003845A7">
        <w:rPr>
          <w:szCs w:val="20"/>
        </w:rPr>
        <w:t>. B</w:t>
      </w:r>
      <w:r w:rsidR="00D00EA2" w:rsidRPr="003845A7">
        <w:rPr>
          <w:szCs w:val="20"/>
        </w:rPr>
        <w:t xml:space="preserve">iorąc pod uwagę średnie wynagrodzenia prawników w 2024 r., koszt ten odpowiadał </w:t>
      </w:r>
      <w:r w:rsidR="00DB6ECF" w:rsidRPr="003845A7">
        <w:rPr>
          <w:szCs w:val="20"/>
        </w:rPr>
        <w:t>5</w:t>
      </w:r>
      <w:r w:rsidR="0049746B" w:rsidRPr="003845A7">
        <w:rPr>
          <w:szCs w:val="20"/>
        </w:rPr>
        <w:t> </w:t>
      </w:r>
      <w:r w:rsidR="00D00EA2" w:rsidRPr="003845A7">
        <w:rPr>
          <w:szCs w:val="20"/>
        </w:rPr>
        <w:t>etatom</w:t>
      </w:r>
      <w:r w:rsidR="00D00EA2" w:rsidRPr="003845A7">
        <w:rPr>
          <w:rStyle w:val="Odwoanieprzypisudolnego"/>
        </w:rPr>
        <w:footnoteReference w:id="8"/>
      </w:r>
      <w:r w:rsidR="00D00EA2" w:rsidRPr="003845A7">
        <w:t xml:space="preserve">. </w:t>
      </w:r>
      <w:r w:rsidRPr="003845A7">
        <w:t>W</w:t>
      </w:r>
      <w:r w:rsidR="00963748" w:rsidRPr="003845A7">
        <w:t> </w:t>
      </w:r>
      <w:r w:rsidRPr="003845A7">
        <w:t>większości (9 z 14</w:t>
      </w:r>
      <w:r w:rsidR="000C367A" w:rsidRPr="003845A7">
        <w:t xml:space="preserve"> umów</w:t>
      </w:r>
      <w:r w:rsidRPr="003845A7">
        <w:t xml:space="preserve">, tj. 64%) obsługę </w:t>
      </w:r>
      <w:r w:rsidR="0049746B" w:rsidRPr="003845A7">
        <w:t xml:space="preserve">prawną </w:t>
      </w:r>
      <w:r w:rsidRPr="003845A7">
        <w:t>zapewniały dwie kancelarie prawne</w:t>
      </w:r>
      <w:r w:rsidR="00963748" w:rsidRPr="003845A7">
        <w:t xml:space="preserve"> (Kancelaria Graś i Wspólnicy oraz</w:t>
      </w:r>
      <w:r w:rsidR="00963748" w:rsidRPr="001E5E0F">
        <w:t xml:space="preserve"> Kancelari</w:t>
      </w:r>
      <w:r w:rsidR="00963748">
        <w:t>a</w:t>
      </w:r>
      <w:r w:rsidR="00963748" w:rsidRPr="001E5E0F">
        <w:t xml:space="preserve"> Kowalski</w:t>
      </w:r>
      <w:r w:rsidR="00963748">
        <w:t>)</w:t>
      </w:r>
      <w:r w:rsidRPr="001E5E0F">
        <w:t>, które zostały wybrane niezgodnie</w:t>
      </w:r>
      <w:r w:rsidR="0049746B">
        <w:t xml:space="preserve"> </w:t>
      </w:r>
      <w:r w:rsidRPr="001E5E0F">
        <w:t>z</w:t>
      </w:r>
      <w:r w:rsidR="00963748">
        <w:t> </w:t>
      </w:r>
      <w:r w:rsidRPr="001E5E0F">
        <w:t>procedur</w:t>
      </w:r>
      <w:r w:rsidR="000C367A">
        <w:t>ą</w:t>
      </w:r>
      <w:r w:rsidRPr="001E5E0F">
        <w:t xml:space="preserve"> wewnętrzn</w:t>
      </w:r>
      <w:r w:rsidR="000C367A">
        <w:t>ą</w:t>
      </w:r>
      <w:r w:rsidRPr="001E5E0F">
        <w:t xml:space="preserve"> dotyczą</w:t>
      </w:r>
      <w:r w:rsidR="000C367A">
        <w:t>cą</w:t>
      </w:r>
      <w:r w:rsidRPr="001E5E0F">
        <w:t xml:space="preserve"> udzielania zamówień</w:t>
      </w:r>
      <w:r w:rsidR="002653CE">
        <w:rPr>
          <w:rStyle w:val="Odwoanieprzypisudolnego"/>
        </w:rPr>
        <w:footnoteReference w:id="9"/>
      </w:r>
      <w:r w:rsidR="00A83692">
        <w:t>.</w:t>
      </w:r>
      <w:r w:rsidRPr="001E5E0F">
        <w:t xml:space="preserve"> </w:t>
      </w:r>
      <w:r w:rsidR="000C367A">
        <w:t xml:space="preserve">Zawarcia </w:t>
      </w:r>
      <w:r w:rsidR="00EA5FA9">
        <w:t>9 </w:t>
      </w:r>
      <w:r w:rsidR="000C367A">
        <w:t>wspomnianych umów</w:t>
      </w:r>
      <w:r w:rsidR="00EA5FA9">
        <w:t xml:space="preserve"> (100% badanej próby)</w:t>
      </w:r>
      <w:r w:rsidR="000C367A">
        <w:t xml:space="preserve"> nie poprzedziła </w:t>
      </w:r>
      <w:r w:rsidRPr="001E5E0F">
        <w:t>pisemn</w:t>
      </w:r>
      <w:r w:rsidR="000C367A">
        <w:t>a</w:t>
      </w:r>
      <w:r w:rsidRPr="001E5E0F">
        <w:t xml:space="preserve"> analiz</w:t>
      </w:r>
      <w:r w:rsidR="000C367A">
        <w:t>a</w:t>
      </w:r>
      <w:r w:rsidRPr="001E5E0F">
        <w:t xml:space="preserve"> potrzeb, rzetelne szacowani</w:t>
      </w:r>
      <w:r w:rsidR="000C367A">
        <w:t>e</w:t>
      </w:r>
      <w:r w:rsidRPr="001E5E0F">
        <w:t xml:space="preserve"> wartości umów ani udokumentowane rozeznani</w:t>
      </w:r>
      <w:r w:rsidR="000C367A">
        <w:t>e</w:t>
      </w:r>
      <w:r w:rsidRPr="001E5E0F">
        <w:t xml:space="preserve"> rynku. W efekcie, zlecenie usług prawnych </w:t>
      </w:r>
      <w:r w:rsidR="00EA5FA9">
        <w:t xml:space="preserve">przez DGLP </w:t>
      </w:r>
      <w:r w:rsidRPr="001E5E0F">
        <w:t xml:space="preserve">odbyło się bez zapewnienia </w:t>
      </w:r>
      <w:r w:rsidR="000C367A">
        <w:t>przejrzystej i</w:t>
      </w:r>
      <w:r w:rsidR="00EA5FA9">
        <w:t> </w:t>
      </w:r>
      <w:r w:rsidRPr="001E5E0F">
        <w:t>konkurencyjnej procedury gwarantującej wybór najlepszego wykonawcy i oszczędne wydatkowanie środków.</w:t>
      </w:r>
    </w:p>
    <w:p w14:paraId="2954E76F" w14:textId="44B46281" w:rsidR="00114044" w:rsidRDefault="000C367A" w:rsidP="00114044">
      <w:r>
        <w:t xml:space="preserve">Znaczna skala umów na obsługę prawną wynikała z potrzeby </w:t>
      </w:r>
      <w:r w:rsidRPr="001E5E0F">
        <w:t>niezależne</w:t>
      </w:r>
      <w:r w:rsidR="00EA5FA9">
        <w:t>j</w:t>
      </w:r>
      <w:r w:rsidRPr="001E5E0F">
        <w:t xml:space="preserve"> i</w:t>
      </w:r>
      <w:r w:rsidR="000B0B85">
        <w:t> </w:t>
      </w:r>
      <w:r w:rsidRPr="001E5E0F">
        <w:t>bezstronn</w:t>
      </w:r>
      <w:r w:rsidR="003845A7">
        <w:t>e</w:t>
      </w:r>
      <w:r w:rsidR="00EA5FA9">
        <w:t>j</w:t>
      </w:r>
      <w:r w:rsidR="003845A7">
        <w:t xml:space="preserve"> </w:t>
      </w:r>
      <w:r w:rsidR="00EA5FA9">
        <w:t>weryfikacji</w:t>
      </w:r>
      <w:r w:rsidR="00963748">
        <w:t xml:space="preserve"> </w:t>
      </w:r>
      <w:r w:rsidRPr="001E5E0F">
        <w:t xml:space="preserve">nieprawidłowości </w:t>
      </w:r>
      <w:r w:rsidR="00963748">
        <w:t>z lat 2015-2023</w:t>
      </w:r>
      <w:r w:rsidR="00EB5338">
        <w:rPr>
          <w:rStyle w:val="Odwoanieprzypisudolnego"/>
        </w:rPr>
        <w:footnoteReference w:id="10"/>
      </w:r>
      <w:r w:rsidR="00963748">
        <w:t xml:space="preserve">. </w:t>
      </w:r>
      <w:r w:rsidR="00E23F15" w:rsidRPr="00511AD2">
        <w:rPr>
          <w:szCs w:val="20"/>
        </w:rPr>
        <w:t xml:space="preserve">Wsparcie ww. kancelarii </w:t>
      </w:r>
      <w:r w:rsidR="00EB5338">
        <w:rPr>
          <w:szCs w:val="20"/>
        </w:rPr>
        <w:t xml:space="preserve">według Dyrektora Generalnego </w:t>
      </w:r>
      <w:r w:rsidR="00E23F15" w:rsidRPr="00511AD2">
        <w:rPr>
          <w:szCs w:val="20"/>
        </w:rPr>
        <w:t>pozwoliło na zidentyfikowan</w:t>
      </w:r>
      <w:r w:rsidR="00E23F15">
        <w:rPr>
          <w:szCs w:val="20"/>
        </w:rPr>
        <w:t xml:space="preserve">ie, zgłoszenie </w:t>
      </w:r>
      <w:r w:rsidR="00EA5FA9">
        <w:rPr>
          <w:szCs w:val="20"/>
        </w:rPr>
        <w:t>i</w:t>
      </w:r>
      <w:r w:rsidR="00E23F15" w:rsidRPr="00511AD2">
        <w:rPr>
          <w:szCs w:val="20"/>
        </w:rPr>
        <w:t xml:space="preserve"> usunięcie nieprawidłowości oraz sformułowanie propozycji rozwiązań systemowych</w:t>
      </w:r>
      <w:r w:rsidR="00EB5338">
        <w:rPr>
          <w:szCs w:val="20"/>
        </w:rPr>
        <w:t>.</w:t>
      </w:r>
      <w:r w:rsidR="00E23F15">
        <w:t xml:space="preserve"> </w:t>
      </w:r>
      <w:r>
        <w:t xml:space="preserve">Działaniem niecelowym było jednak zlecanie w ramach badanych umów </w:t>
      </w:r>
      <w:r w:rsidR="00114044" w:rsidRPr="001E5E0F">
        <w:t>zada</w:t>
      </w:r>
      <w:r>
        <w:t>ń</w:t>
      </w:r>
      <w:r w:rsidR="006A29B0">
        <w:t xml:space="preserve"> </w:t>
      </w:r>
      <w:r w:rsidR="006A29B0" w:rsidRPr="001E5E0F">
        <w:t>regulaminow</w:t>
      </w:r>
      <w:r w:rsidR="006A29B0">
        <w:t>ych</w:t>
      </w:r>
      <w:r w:rsidR="00114044" w:rsidRPr="001E5E0F">
        <w:t xml:space="preserve">, które powinny być </w:t>
      </w:r>
      <w:r>
        <w:t>realizowane przez pracowników</w:t>
      </w:r>
      <w:r w:rsidR="00114044" w:rsidRPr="001E5E0F">
        <w:t xml:space="preserve"> </w:t>
      </w:r>
      <w:r w:rsidR="00D5075D">
        <w:t xml:space="preserve">Wydziału Prawnego </w:t>
      </w:r>
      <w:r w:rsidR="00114044" w:rsidRPr="001E5E0F">
        <w:t>DGLP</w:t>
      </w:r>
      <w:r w:rsidR="00D5075D">
        <w:t xml:space="preserve"> (7 etatów)</w:t>
      </w:r>
      <w:r w:rsidR="00114044" w:rsidRPr="001E5E0F">
        <w:t xml:space="preserve">. Dotyczyło to takich </w:t>
      </w:r>
      <w:r w:rsidR="00EA5FA9">
        <w:t>prac</w:t>
      </w:r>
      <w:r w:rsidRPr="001E5E0F">
        <w:t xml:space="preserve"> </w:t>
      </w:r>
      <w:r w:rsidR="00114044" w:rsidRPr="001E5E0F">
        <w:t xml:space="preserve">jak </w:t>
      </w:r>
      <w:r>
        <w:t>np.</w:t>
      </w:r>
      <w:r w:rsidR="00EB5338">
        <w:t> </w:t>
      </w:r>
      <w:r w:rsidR="00114044" w:rsidRPr="001E5E0F">
        <w:t xml:space="preserve">wykładnia przepisów prawa, opracowanie projektów aktów </w:t>
      </w:r>
      <w:r w:rsidR="0049746B">
        <w:t xml:space="preserve">prawnych </w:t>
      </w:r>
      <w:r w:rsidR="00114044" w:rsidRPr="001E5E0F">
        <w:t>czy opiniowanie zarządzeń wewnętrznych.</w:t>
      </w:r>
    </w:p>
    <w:p w14:paraId="393F61FE" w14:textId="453E1185" w:rsidR="00114044" w:rsidRDefault="0066482E" w:rsidP="00114044">
      <w:r w:rsidRPr="0066482E">
        <w:t xml:space="preserve">Zlecanie zadań w ramach </w:t>
      </w:r>
      <w:r w:rsidR="002C4AFC">
        <w:t>badanych</w:t>
      </w:r>
      <w:r w:rsidRPr="0066482E">
        <w:t xml:space="preserve"> umów, na które wydatkowano łącznie 933</w:t>
      </w:r>
      <w:r w:rsidR="002C4AFC">
        <w:t>,4 tys.  </w:t>
      </w:r>
      <w:r w:rsidRPr="0066482E">
        <w:t xml:space="preserve">zł, prowadzone było w sposób nieprzejrzysty z uwagi na powierzenie obsługi prawnej dwóm kancelariom, w łącznej liczbie 9 umów, które obowiązywały w </w:t>
      </w:r>
      <w:r w:rsidR="005132CD">
        <w:t>tym samym roku</w:t>
      </w:r>
      <w:r w:rsidRPr="0066482E">
        <w:t>, a ich zakresy tematyczne się pokrywały (np. trzy umowy dotyczyły doradztwa ws. karnych i karno-skarbowych) lub przedmiot tych umów nie wymagał podziału (np. doradztwo ws. prawa cywilnego i doradztwo ws. ochrony dóbr osobistych).</w:t>
      </w:r>
      <w:r w:rsidR="00111407">
        <w:t xml:space="preserve"> </w:t>
      </w:r>
      <w:r w:rsidR="00E63CDC">
        <w:rPr>
          <w:szCs w:val="20"/>
        </w:rPr>
        <w:t>Tego rodzaju działania utrudniają rozliczalność realizacji zadań oraz powodują ryzko powielania zleconych zadań lub ich podwójnego finansowania, w szczególności biorąc pod uwagę rozliczanie części prac na podstawie ogólnych opisów oraz relacje biznesowe między wykonawcami.</w:t>
      </w:r>
    </w:p>
    <w:p w14:paraId="27FFFB12" w14:textId="52043691" w:rsidR="00E23F15" w:rsidRPr="00E23F15" w:rsidRDefault="00851B1C" w:rsidP="00E23F15">
      <w:r w:rsidRPr="00E23F15">
        <w:t xml:space="preserve">Działaniem nierzetelnym był brak </w:t>
      </w:r>
      <w:r w:rsidR="00114044" w:rsidRPr="00E23F15">
        <w:t xml:space="preserve">formalnego potwierdzenia </w:t>
      </w:r>
      <w:r w:rsidRPr="00E23F15">
        <w:t xml:space="preserve">weryfikacji </w:t>
      </w:r>
      <w:r w:rsidR="00EA5FA9">
        <w:t xml:space="preserve">badanych </w:t>
      </w:r>
      <w:r w:rsidRPr="00E23F15">
        <w:t>umów</w:t>
      </w:r>
      <w:r w:rsidR="00114044" w:rsidRPr="00E23F15">
        <w:t xml:space="preserve"> pod </w:t>
      </w:r>
      <w:r w:rsidR="002C4AFC">
        <w:t>względem</w:t>
      </w:r>
      <w:r w:rsidR="002C4AFC" w:rsidRPr="00E23F15">
        <w:t xml:space="preserve"> </w:t>
      </w:r>
      <w:r w:rsidR="00114044" w:rsidRPr="00E23F15">
        <w:t>prawnym</w:t>
      </w:r>
      <w:r w:rsidR="00EA5FA9">
        <w:t xml:space="preserve"> (7, tj. 78%)</w:t>
      </w:r>
      <w:r w:rsidR="00114044" w:rsidRPr="00E23F15">
        <w:t xml:space="preserve"> </w:t>
      </w:r>
      <w:r w:rsidRPr="00E23F15">
        <w:t xml:space="preserve">i </w:t>
      </w:r>
      <w:r w:rsidR="00114044" w:rsidRPr="00E23F15">
        <w:t>finansowym</w:t>
      </w:r>
      <w:r w:rsidR="00EA5FA9">
        <w:t xml:space="preserve"> (9, tj. 100%)</w:t>
      </w:r>
      <w:r w:rsidR="00114044" w:rsidRPr="00E23F15">
        <w:t>.</w:t>
      </w:r>
    </w:p>
    <w:p w14:paraId="0C5FED24" w14:textId="181902AA" w:rsidR="0049746B" w:rsidRDefault="00E23F15" w:rsidP="00036409">
      <w:r w:rsidRPr="00E23F15">
        <w:rPr>
          <w:szCs w:val="20"/>
        </w:rPr>
        <w:lastRenderedPageBreak/>
        <w:t>W związku z prowadzoną kontrolą</w:t>
      </w:r>
      <w:r w:rsidR="00EB5338">
        <w:rPr>
          <w:szCs w:val="20"/>
        </w:rPr>
        <w:t xml:space="preserve"> MKiŚ</w:t>
      </w:r>
      <w:r w:rsidRPr="00E23F15">
        <w:rPr>
          <w:szCs w:val="20"/>
        </w:rPr>
        <w:t xml:space="preserve"> Dyrektor Generalny w celu zwiększenia kontroli zarządczej w badanym obszarze podjął decyzję o przeprowadzeniu wewnętrznej analizy umów na obsługę prawną </w:t>
      </w:r>
      <w:r w:rsidR="00E63CDC">
        <w:rPr>
          <w:szCs w:val="20"/>
        </w:rPr>
        <w:t xml:space="preserve">dotyczącą </w:t>
      </w:r>
      <w:r w:rsidR="00EB5338">
        <w:rPr>
          <w:szCs w:val="20"/>
        </w:rPr>
        <w:t xml:space="preserve">wszystkich jednostek </w:t>
      </w:r>
      <w:r w:rsidRPr="00E23F15">
        <w:rPr>
          <w:szCs w:val="20"/>
        </w:rPr>
        <w:t>PGL LP za 2024</w:t>
      </w:r>
      <w:r w:rsidR="00EB5338">
        <w:rPr>
          <w:szCs w:val="20"/>
        </w:rPr>
        <w:t xml:space="preserve"> r</w:t>
      </w:r>
      <w:r w:rsidRPr="00E23F15">
        <w:rPr>
          <w:szCs w:val="20"/>
        </w:rPr>
        <w:t>.</w:t>
      </w:r>
    </w:p>
    <w:p w14:paraId="3CBF2C65" w14:textId="1D9D0A29" w:rsidR="000C4692" w:rsidRPr="00B72D53" w:rsidRDefault="00A83692" w:rsidP="00114044">
      <w:pPr>
        <w:rPr>
          <w:b/>
          <w:bCs/>
        </w:rPr>
      </w:pPr>
      <w:r>
        <w:rPr>
          <w:b/>
          <w:bCs/>
        </w:rPr>
        <w:t>OCENY</w:t>
      </w:r>
      <w:r w:rsidRPr="00B72D53">
        <w:rPr>
          <w:b/>
          <w:bCs/>
        </w:rPr>
        <w:t xml:space="preserve"> </w:t>
      </w:r>
      <w:r w:rsidR="000C4692" w:rsidRPr="00B72D53">
        <w:rPr>
          <w:b/>
          <w:bCs/>
        </w:rPr>
        <w:t>SZCZEGÓŁOWE</w:t>
      </w:r>
    </w:p>
    <w:p w14:paraId="7EDE9F51" w14:textId="049FD765" w:rsidR="000D7206" w:rsidRPr="00092A85" w:rsidRDefault="000D7206" w:rsidP="00092A85">
      <w:pPr>
        <w:pStyle w:val="Akapitzlist"/>
        <w:numPr>
          <w:ilvl w:val="0"/>
          <w:numId w:val="23"/>
        </w:numPr>
        <w:tabs>
          <w:tab w:val="left" w:pos="284"/>
        </w:tabs>
        <w:ind w:left="0" w:firstLine="0"/>
        <w:jc w:val="both"/>
        <w:rPr>
          <w:rFonts w:ascii="Lato" w:hAnsi="Lato"/>
          <w:b/>
          <w:bCs/>
          <w:sz w:val="20"/>
          <w:szCs w:val="20"/>
        </w:rPr>
      </w:pPr>
      <w:r w:rsidRPr="00092A85">
        <w:rPr>
          <w:rFonts w:ascii="Lato" w:hAnsi="Lato"/>
          <w:b/>
          <w:bCs/>
          <w:sz w:val="20"/>
          <w:szCs w:val="20"/>
        </w:rPr>
        <w:t>[</w:t>
      </w:r>
      <w:r w:rsidR="00854B5C">
        <w:rPr>
          <w:rFonts w:ascii="Lato" w:hAnsi="Lato"/>
          <w:b/>
          <w:bCs/>
          <w:sz w:val="20"/>
          <w:szCs w:val="20"/>
        </w:rPr>
        <w:t>S</w:t>
      </w:r>
      <w:r w:rsidRPr="00092A85">
        <w:rPr>
          <w:rFonts w:ascii="Lato" w:hAnsi="Lato"/>
          <w:b/>
          <w:bCs/>
          <w:sz w:val="20"/>
          <w:szCs w:val="20"/>
        </w:rPr>
        <w:t>kala umów</w:t>
      </w:r>
      <w:r w:rsidR="005D52E4" w:rsidRPr="00092A85">
        <w:rPr>
          <w:rFonts w:ascii="Lato" w:hAnsi="Lato"/>
          <w:b/>
          <w:bCs/>
          <w:sz w:val="20"/>
          <w:szCs w:val="20"/>
        </w:rPr>
        <w:t xml:space="preserve"> PGL LP</w:t>
      </w:r>
      <w:r w:rsidRPr="00092A85">
        <w:rPr>
          <w:rFonts w:ascii="Lato" w:hAnsi="Lato"/>
          <w:b/>
          <w:bCs/>
          <w:sz w:val="20"/>
          <w:szCs w:val="20"/>
        </w:rPr>
        <w:t xml:space="preserve">] </w:t>
      </w:r>
      <w:r w:rsidRPr="00092A85">
        <w:rPr>
          <w:rFonts w:ascii="Lato" w:hAnsi="Lato"/>
          <w:sz w:val="20"/>
          <w:szCs w:val="20"/>
        </w:rPr>
        <w:t xml:space="preserve">PGL LP w poddanym badaniu okresie </w:t>
      </w:r>
      <w:r w:rsidR="003A1C2A" w:rsidRPr="00092A85">
        <w:rPr>
          <w:rFonts w:ascii="Lato" w:hAnsi="Lato"/>
          <w:sz w:val="20"/>
          <w:szCs w:val="20"/>
        </w:rPr>
        <w:t>(</w:t>
      </w:r>
      <w:r w:rsidR="00FE5015" w:rsidRPr="00092A85">
        <w:rPr>
          <w:rFonts w:ascii="Lato" w:hAnsi="Lato"/>
          <w:sz w:val="20"/>
          <w:szCs w:val="20"/>
        </w:rPr>
        <w:t>14,5 m</w:t>
      </w:r>
      <w:r w:rsidR="00092A85">
        <w:rPr>
          <w:rFonts w:ascii="Lato" w:hAnsi="Lato"/>
          <w:sz w:val="20"/>
          <w:szCs w:val="20"/>
        </w:rPr>
        <w:t>iesiąca</w:t>
      </w:r>
      <w:r w:rsidR="00FE5015" w:rsidRPr="00092A85">
        <w:rPr>
          <w:rFonts w:ascii="Lato" w:hAnsi="Lato"/>
          <w:sz w:val="20"/>
          <w:szCs w:val="20"/>
        </w:rPr>
        <w:t>: 1.01.2024-12.03.2025</w:t>
      </w:r>
      <w:r w:rsidR="003A1C2A" w:rsidRPr="00092A85">
        <w:rPr>
          <w:rFonts w:ascii="Lato" w:hAnsi="Lato"/>
          <w:sz w:val="20"/>
          <w:szCs w:val="20"/>
        </w:rPr>
        <w:t xml:space="preserve">) </w:t>
      </w:r>
      <w:r w:rsidRPr="00092A85">
        <w:rPr>
          <w:rFonts w:ascii="Lato" w:hAnsi="Lato"/>
          <w:sz w:val="20"/>
          <w:szCs w:val="20"/>
        </w:rPr>
        <w:t>w ramach obsługi prawnej w znacznym zakresie wspierało się umowami zawieranymi z wykonawcami zewnętrznymi</w:t>
      </w:r>
      <w:r w:rsidR="003A1C2A" w:rsidRPr="00092A85">
        <w:rPr>
          <w:rFonts w:ascii="Lato" w:hAnsi="Lato"/>
          <w:sz w:val="20"/>
          <w:szCs w:val="20"/>
        </w:rPr>
        <w:t xml:space="preserve"> (łącznie 1.587 umów</w:t>
      </w:r>
      <w:r w:rsidR="00E6650A" w:rsidRPr="00092A85">
        <w:rPr>
          <w:rFonts w:ascii="Lato" w:hAnsi="Lato"/>
          <w:sz w:val="20"/>
          <w:szCs w:val="20"/>
        </w:rPr>
        <w:t xml:space="preserve">, spośród </w:t>
      </w:r>
      <w:r w:rsidR="00E6650A" w:rsidRPr="00AA5335">
        <w:rPr>
          <w:rFonts w:ascii="Lato" w:hAnsi="Lato"/>
          <w:sz w:val="20"/>
          <w:szCs w:val="20"/>
        </w:rPr>
        <w:t>których 1.493</w:t>
      </w:r>
      <w:r w:rsidR="003A1C2A" w:rsidRPr="00AA5335">
        <w:rPr>
          <w:rFonts w:ascii="Lato" w:hAnsi="Lato"/>
          <w:sz w:val="20"/>
          <w:szCs w:val="20"/>
        </w:rPr>
        <w:t xml:space="preserve"> </w:t>
      </w:r>
      <w:r w:rsidR="00E6650A" w:rsidRPr="00AA5335">
        <w:rPr>
          <w:rFonts w:ascii="Lato" w:hAnsi="Lato"/>
          <w:sz w:val="20"/>
          <w:szCs w:val="20"/>
        </w:rPr>
        <w:t xml:space="preserve">zawarto </w:t>
      </w:r>
      <w:r w:rsidR="00E6650A" w:rsidRPr="00EF2CFB">
        <w:rPr>
          <w:rFonts w:ascii="Lato" w:hAnsi="Lato"/>
          <w:sz w:val="20"/>
          <w:szCs w:val="20"/>
        </w:rPr>
        <w:t>na kwotę</w:t>
      </w:r>
      <w:r w:rsidR="003A1C2A" w:rsidRPr="00EF2CFB">
        <w:rPr>
          <w:rFonts w:ascii="Lato" w:hAnsi="Lato"/>
          <w:sz w:val="20"/>
          <w:szCs w:val="20"/>
        </w:rPr>
        <w:t xml:space="preserve"> </w:t>
      </w:r>
      <w:r w:rsidR="00EF2CFB" w:rsidRPr="00EF2CFB">
        <w:rPr>
          <w:rFonts w:ascii="Lato" w:hAnsi="Lato"/>
          <w:sz w:val="20"/>
          <w:szCs w:val="20"/>
        </w:rPr>
        <w:t xml:space="preserve">69,78 </w:t>
      </w:r>
      <w:r w:rsidR="003A1C2A" w:rsidRPr="00EF2CFB">
        <w:rPr>
          <w:rFonts w:ascii="Lato" w:hAnsi="Lato"/>
          <w:sz w:val="20"/>
          <w:szCs w:val="20"/>
        </w:rPr>
        <w:t>mln zł</w:t>
      </w:r>
      <w:r w:rsidR="00E6650A" w:rsidRPr="00EF2CFB">
        <w:rPr>
          <w:rFonts w:ascii="Lato" w:hAnsi="Lato"/>
          <w:sz w:val="20"/>
          <w:szCs w:val="20"/>
        </w:rPr>
        <w:t>; pozostałe</w:t>
      </w:r>
      <w:r w:rsidR="00E6650A" w:rsidRPr="00AA5335">
        <w:rPr>
          <w:rFonts w:ascii="Lato" w:hAnsi="Lato"/>
          <w:sz w:val="20"/>
          <w:szCs w:val="20"/>
        </w:rPr>
        <w:t xml:space="preserve"> 94 umowy nie </w:t>
      </w:r>
      <w:r w:rsidR="0049746B" w:rsidRPr="00AA5335">
        <w:rPr>
          <w:rFonts w:ascii="Lato" w:hAnsi="Lato"/>
          <w:sz w:val="20"/>
          <w:szCs w:val="20"/>
        </w:rPr>
        <w:t xml:space="preserve">określały </w:t>
      </w:r>
      <w:r w:rsidR="00E6650A" w:rsidRPr="00AA5335">
        <w:rPr>
          <w:rFonts w:ascii="Lato" w:hAnsi="Lato"/>
          <w:sz w:val="20"/>
          <w:szCs w:val="20"/>
        </w:rPr>
        <w:t>ich ogólnej wartości</w:t>
      </w:r>
      <w:r w:rsidR="00AA5335" w:rsidRPr="00AA5335">
        <w:rPr>
          <w:rStyle w:val="Odwoanieprzypisudolnego"/>
          <w:rFonts w:ascii="Lato" w:hAnsi="Lato"/>
          <w:sz w:val="20"/>
          <w:szCs w:val="20"/>
        </w:rPr>
        <w:footnoteReference w:id="11"/>
      </w:r>
      <w:r w:rsidR="003A1C2A" w:rsidRPr="00AA5335">
        <w:rPr>
          <w:rFonts w:ascii="Lato" w:hAnsi="Lato"/>
          <w:sz w:val="20"/>
          <w:szCs w:val="20"/>
        </w:rPr>
        <w:t xml:space="preserve">). </w:t>
      </w:r>
      <w:r w:rsidR="00092A85" w:rsidRPr="00AA5335">
        <w:rPr>
          <w:rFonts w:ascii="Lato" w:hAnsi="Lato"/>
          <w:sz w:val="20"/>
          <w:szCs w:val="20"/>
        </w:rPr>
        <w:t xml:space="preserve">Kwota wydatkowana z tego tytułu wyniosła 46,1 mln zł. </w:t>
      </w:r>
      <w:r w:rsidR="003A1C2A" w:rsidRPr="00AA5335">
        <w:rPr>
          <w:rFonts w:ascii="Lato" w:hAnsi="Lato"/>
          <w:sz w:val="20"/>
          <w:szCs w:val="20"/>
        </w:rPr>
        <w:t>W części wynikało to</w:t>
      </w:r>
      <w:r w:rsidR="00092A85" w:rsidRPr="00AA5335">
        <w:rPr>
          <w:rFonts w:ascii="Lato" w:hAnsi="Lato"/>
          <w:sz w:val="20"/>
          <w:szCs w:val="20"/>
        </w:rPr>
        <w:t> </w:t>
      </w:r>
      <w:r w:rsidR="003A1C2A" w:rsidRPr="00AA5335">
        <w:rPr>
          <w:rFonts w:ascii="Lato" w:hAnsi="Lato"/>
          <w:sz w:val="20"/>
          <w:szCs w:val="20"/>
        </w:rPr>
        <w:t>z</w:t>
      </w:r>
      <w:r w:rsidR="00092A85" w:rsidRPr="00AA5335">
        <w:rPr>
          <w:rFonts w:ascii="Lato" w:hAnsi="Lato"/>
          <w:sz w:val="20"/>
          <w:szCs w:val="20"/>
        </w:rPr>
        <w:t> </w:t>
      </w:r>
      <w:r w:rsidR="003A1C2A" w:rsidRPr="00AA5335">
        <w:rPr>
          <w:rFonts w:ascii="Lato" w:hAnsi="Lato"/>
          <w:sz w:val="20"/>
          <w:szCs w:val="20"/>
        </w:rPr>
        <w:t>potrzeby</w:t>
      </w:r>
      <w:r w:rsidR="00092A85" w:rsidRPr="00AA5335">
        <w:rPr>
          <w:rFonts w:ascii="Lato" w:hAnsi="Lato"/>
          <w:sz w:val="20"/>
          <w:szCs w:val="20"/>
        </w:rPr>
        <w:t xml:space="preserve"> niezależnej</w:t>
      </w:r>
      <w:r w:rsidR="00092A85" w:rsidRPr="00092A85">
        <w:rPr>
          <w:rFonts w:ascii="Lato" w:hAnsi="Lato"/>
          <w:sz w:val="20"/>
          <w:szCs w:val="20"/>
        </w:rPr>
        <w:t xml:space="preserve"> i bezstronnej identyfikacji i rozliczenia nieprawidłowości z lat 2015-2023</w:t>
      </w:r>
      <w:r w:rsidR="003A1C2A" w:rsidRPr="00092A85">
        <w:rPr>
          <w:rFonts w:ascii="Lato" w:hAnsi="Lato"/>
          <w:sz w:val="20"/>
          <w:szCs w:val="20"/>
        </w:rPr>
        <w:t xml:space="preserve">, jednak </w:t>
      </w:r>
      <w:r w:rsidR="002C4AFC">
        <w:rPr>
          <w:rFonts w:ascii="Lato" w:hAnsi="Lato"/>
          <w:sz w:val="20"/>
          <w:szCs w:val="20"/>
        </w:rPr>
        <w:t>na</w:t>
      </w:r>
      <w:r w:rsidR="003A1C2A" w:rsidRPr="00092A85">
        <w:rPr>
          <w:rFonts w:ascii="Lato" w:hAnsi="Lato"/>
          <w:sz w:val="20"/>
          <w:szCs w:val="20"/>
        </w:rPr>
        <w:t xml:space="preserve"> zewnątrz </w:t>
      </w:r>
      <w:r w:rsidR="00CF6485">
        <w:rPr>
          <w:rFonts w:ascii="Lato" w:hAnsi="Lato"/>
          <w:sz w:val="20"/>
          <w:szCs w:val="20"/>
        </w:rPr>
        <w:t xml:space="preserve">zlecano </w:t>
      </w:r>
      <w:r w:rsidR="002C4AFC">
        <w:rPr>
          <w:rFonts w:ascii="Lato" w:hAnsi="Lato"/>
          <w:sz w:val="20"/>
          <w:szCs w:val="20"/>
        </w:rPr>
        <w:t>również zadania</w:t>
      </w:r>
      <w:r w:rsidR="00092A85">
        <w:rPr>
          <w:rFonts w:ascii="Lato" w:hAnsi="Lato"/>
          <w:sz w:val="20"/>
          <w:szCs w:val="20"/>
        </w:rPr>
        <w:t xml:space="preserve"> regulaminow</w:t>
      </w:r>
      <w:r w:rsidR="002C4AFC">
        <w:rPr>
          <w:rFonts w:ascii="Lato" w:hAnsi="Lato"/>
          <w:sz w:val="20"/>
          <w:szCs w:val="20"/>
        </w:rPr>
        <w:t>e</w:t>
      </w:r>
      <w:r w:rsidR="00567C26">
        <w:rPr>
          <w:rFonts w:ascii="Lato" w:hAnsi="Lato"/>
          <w:sz w:val="20"/>
          <w:szCs w:val="20"/>
        </w:rPr>
        <w:t>, które powinny być wykonywane przez pracowników DGLP</w:t>
      </w:r>
      <w:r w:rsidR="003A1C2A" w:rsidRPr="00092A85">
        <w:rPr>
          <w:rFonts w:ascii="Lato" w:hAnsi="Lato"/>
          <w:sz w:val="20"/>
          <w:szCs w:val="20"/>
        </w:rPr>
        <w:t xml:space="preserve"> (szerzej: </w:t>
      </w:r>
      <w:r w:rsidR="003A1C2A" w:rsidRPr="000A07BC">
        <w:rPr>
          <w:rFonts w:ascii="Lato" w:hAnsi="Lato"/>
          <w:sz w:val="20"/>
          <w:szCs w:val="20"/>
        </w:rPr>
        <w:t>pkt</w:t>
      </w:r>
      <w:r w:rsidR="000A07BC" w:rsidRPr="000A07BC">
        <w:rPr>
          <w:rFonts w:ascii="Lato" w:hAnsi="Lato"/>
          <w:sz w:val="20"/>
          <w:szCs w:val="20"/>
        </w:rPr>
        <w:t xml:space="preserve"> </w:t>
      </w:r>
      <w:r w:rsidR="00B73913">
        <w:rPr>
          <w:rFonts w:ascii="Lato" w:hAnsi="Lato"/>
          <w:sz w:val="20"/>
          <w:szCs w:val="20"/>
        </w:rPr>
        <w:t>5</w:t>
      </w:r>
      <w:r w:rsidR="003A1C2A" w:rsidRPr="000A07BC">
        <w:rPr>
          <w:rFonts w:ascii="Lato" w:hAnsi="Lato"/>
          <w:sz w:val="20"/>
          <w:szCs w:val="20"/>
        </w:rPr>
        <w:t xml:space="preserve"> Sprawozdania</w:t>
      </w:r>
      <w:r w:rsidR="003A1C2A" w:rsidRPr="00092A85">
        <w:rPr>
          <w:rFonts w:ascii="Lato" w:hAnsi="Lato"/>
          <w:sz w:val="20"/>
          <w:szCs w:val="20"/>
        </w:rPr>
        <w:t>).</w:t>
      </w:r>
    </w:p>
    <w:p w14:paraId="2F7AC2F0" w14:textId="56ED33C3" w:rsidR="00962D61" w:rsidRPr="00254CBC" w:rsidRDefault="00962D61" w:rsidP="00254CBC">
      <w:pPr>
        <w:spacing w:after="60"/>
        <w:ind w:left="567" w:right="567"/>
        <w:rPr>
          <w:sz w:val="16"/>
          <w:szCs w:val="16"/>
        </w:rPr>
      </w:pPr>
      <w:r w:rsidRPr="00254CBC">
        <w:rPr>
          <w:sz w:val="16"/>
          <w:szCs w:val="16"/>
        </w:rPr>
        <w:t xml:space="preserve">Od 1 stycznia 2024 r. do 12 marca 2025 r. w PGL LP </w:t>
      </w:r>
      <w:r w:rsidR="00484B5C" w:rsidRPr="00254CBC">
        <w:rPr>
          <w:sz w:val="16"/>
          <w:szCs w:val="16"/>
        </w:rPr>
        <w:t>funkcjonowało</w:t>
      </w:r>
      <w:r w:rsidRPr="00254CBC">
        <w:rPr>
          <w:sz w:val="16"/>
          <w:szCs w:val="16"/>
        </w:rPr>
        <w:t xml:space="preserve"> 1</w:t>
      </w:r>
      <w:r w:rsidR="003A1C2A" w:rsidRPr="00D60D88">
        <w:rPr>
          <w:sz w:val="16"/>
          <w:szCs w:val="16"/>
        </w:rPr>
        <w:t>.</w:t>
      </w:r>
      <w:r w:rsidRPr="00500072">
        <w:rPr>
          <w:sz w:val="16"/>
          <w:szCs w:val="16"/>
        </w:rPr>
        <w:t>587 umów</w:t>
      </w:r>
      <w:r w:rsidR="00484B5C" w:rsidRPr="00500072">
        <w:rPr>
          <w:sz w:val="16"/>
          <w:szCs w:val="16"/>
        </w:rPr>
        <w:t xml:space="preserve"> dotyczących obsługi prawnej</w:t>
      </w:r>
      <w:r w:rsidR="00EF2CFB">
        <w:rPr>
          <w:sz w:val="16"/>
          <w:szCs w:val="16"/>
        </w:rPr>
        <w:t xml:space="preserve"> (</w:t>
      </w:r>
      <w:r w:rsidR="00EF2CFB" w:rsidRPr="00EF2CFB">
        <w:rPr>
          <w:sz w:val="16"/>
          <w:szCs w:val="16"/>
        </w:rPr>
        <w:t>w tym czynności audytowe, kontrolne i wyjaśniające</w:t>
      </w:r>
      <w:r w:rsidR="00EF2CFB">
        <w:rPr>
          <w:sz w:val="16"/>
          <w:szCs w:val="16"/>
        </w:rPr>
        <w:t>)</w:t>
      </w:r>
      <w:r w:rsidR="00D60D88" w:rsidRPr="00D60D88">
        <w:rPr>
          <w:sz w:val="16"/>
          <w:szCs w:val="16"/>
        </w:rPr>
        <w:t>, spośród których 1.493</w:t>
      </w:r>
      <w:r w:rsidRPr="00254CBC">
        <w:rPr>
          <w:sz w:val="16"/>
          <w:szCs w:val="16"/>
        </w:rPr>
        <w:t xml:space="preserve"> zawart</w:t>
      </w:r>
      <w:r w:rsidR="00D60D88" w:rsidRPr="00D60D88">
        <w:rPr>
          <w:sz w:val="16"/>
          <w:szCs w:val="16"/>
        </w:rPr>
        <w:t>o</w:t>
      </w:r>
      <w:r w:rsidRPr="00500072">
        <w:rPr>
          <w:sz w:val="16"/>
          <w:szCs w:val="16"/>
        </w:rPr>
        <w:t xml:space="preserve"> na</w:t>
      </w:r>
      <w:r w:rsidR="00092A85">
        <w:rPr>
          <w:sz w:val="16"/>
          <w:szCs w:val="16"/>
        </w:rPr>
        <w:t xml:space="preserve"> łączną kwotę </w:t>
      </w:r>
      <w:r w:rsidR="00EF2CFB" w:rsidRPr="00EF2CFB">
        <w:rPr>
          <w:sz w:val="16"/>
          <w:szCs w:val="16"/>
        </w:rPr>
        <w:t>69</w:t>
      </w:r>
      <w:r w:rsidR="00EF2CFB">
        <w:rPr>
          <w:sz w:val="16"/>
          <w:szCs w:val="16"/>
        </w:rPr>
        <w:t> </w:t>
      </w:r>
      <w:r w:rsidR="00EF2CFB" w:rsidRPr="00EF2CFB">
        <w:rPr>
          <w:sz w:val="16"/>
          <w:szCs w:val="16"/>
        </w:rPr>
        <w:t>780</w:t>
      </w:r>
      <w:r w:rsidR="00EF2CFB">
        <w:rPr>
          <w:sz w:val="16"/>
          <w:szCs w:val="16"/>
        </w:rPr>
        <w:t xml:space="preserve"> </w:t>
      </w:r>
      <w:r w:rsidR="00EF2CFB" w:rsidRPr="00EF2CFB">
        <w:rPr>
          <w:sz w:val="16"/>
          <w:szCs w:val="16"/>
        </w:rPr>
        <w:t>526,70</w:t>
      </w:r>
      <w:r w:rsidR="00EF2CFB">
        <w:rPr>
          <w:sz w:val="16"/>
          <w:szCs w:val="16"/>
        </w:rPr>
        <w:t xml:space="preserve"> </w:t>
      </w:r>
      <w:r w:rsidRPr="00500072">
        <w:rPr>
          <w:sz w:val="16"/>
          <w:szCs w:val="16"/>
        </w:rPr>
        <w:t>zł</w:t>
      </w:r>
      <w:r w:rsidR="00092A85">
        <w:rPr>
          <w:sz w:val="16"/>
          <w:szCs w:val="16"/>
        </w:rPr>
        <w:t xml:space="preserve">. </w:t>
      </w:r>
      <w:r w:rsidR="00EF2CFB">
        <w:rPr>
          <w:sz w:val="16"/>
          <w:szCs w:val="16"/>
        </w:rPr>
        <w:t xml:space="preserve">Kwota </w:t>
      </w:r>
      <w:r w:rsidRPr="00500072">
        <w:rPr>
          <w:sz w:val="16"/>
          <w:szCs w:val="16"/>
        </w:rPr>
        <w:t>ta nie uwzględnia</w:t>
      </w:r>
      <w:r w:rsidR="00C74C7A" w:rsidRPr="00500072">
        <w:rPr>
          <w:sz w:val="16"/>
          <w:szCs w:val="16"/>
        </w:rPr>
        <w:t xml:space="preserve"> </w:t>
      </w:r>
      <w:r w:rsidRPr="00500072">
        <w:rPr>
          <w:sz w:val="16"/>
          <w:szCs w:val="16"/>
        </w:rPr>
        <w:t xml:space="preserve">94 umów, w których nie </w:t>
      </w:r>
      <w:r w:rsidR="00092A85">
        <w:rPr>
          <w:sz w:val="16"/>
          <w:szCs w:val="16"/>
        </w:rPr>
        <w:t xml:space="preserve">określono </w:t>
      </w:r>
      <w:r w:rsidR="00EF2CFB">
        <w:rPr>
          <w:sz w:val="16"/>
          <w:szCs w:val="16"/>
        </w:rPr>
        <w:t>ich wartości</w:t>
      </w:r>
      <w:r w:rsidR="00AA5335">
        <w:rPr>
          <w:sz w:val="16"/>
          <w:szCs w:val="16"/>
        </w:rPr>
        <w:t>.</w:t>
      </w:r>
      <w:r w:rsidRPr="00254CBC">
        <w:rPr>
          <w:sz w:val="16"/>
          <w:szCs w:val="16"/>
        </w:rPr>
        <w:t xml:space="preserve"> </w:t>
      </w:r>
    </w:p>
    <w:p w14:paraId="139531DB" w14:textId="4CDC4363" w:rsidR="00962D61" w:rsidRPr="00D60D88" w:rsidRDefault="002C4AFC" w:rsidP="00254CBC">
      <w:pPr>
        <w:spacing w:after="60"/>
        <w:ind w:left="567" w:right="567"/>
        <w:rPr>
          <w:sz w:val="16"/>
          <w:szCs w:val="16"/>
        </w:rPr>
      </w:pPr>
      <w:r>
        <w:rPr>
          <w:sz w:val="16"/>
          <w:szCs w:val="16"/>
        </w:rPr>
        <w:t>Na</w:t>
      </w:r>
      <w:r w:rsidR="00962D61" w:rsidRPr="00254CBC">
        <w:rPr>
          <w:sz w:val="16"/>
          <w:szCs w:val="16"/>
        </w:rPr>
        <w:t xml:space="preserve"> obsługę prawną PGL LP w ramach ww. 1</w:t>
      </w:r>
      <w:r w:rsidR="003A1C2A" w:rsidRPr="00D60D88">
        <w:rPr>
          <w:sz w:val="16"/>
          <w:szCs w:val="16"/>
        </w:rPr>
        <w:t>.</w:t>
      </w:r>
      <w:r w:rsidR="00962D61" w:rsidRPr="00500072">
        <w:rPr>
          <w:sz w:val="16"/>
          <w:szCs w:val="16"/>
        </w:rPr>
        <w:t xml:space="preserve">587 umów </w:t>
      </w:r>
      <w:r>
        <w:rPr>
          <w:sz w:val="16"/>
          <w:szCs w:val="16"/>
        </w:rPr>
        <w:t>wydatkowano</w:t>
      </w:r>
      <w:r w:rsidRPr="00500072">
        <w:rPr>
          <w:sz w:val="16"/>
          <w:szCs w:val="16"/>
        </w:rPr>
        <w:t xml:space="preserve"> </w:t>
      </w:r>
      <w:r w:rsidR="00962D61" w:rsidRPr="00500072">
        <w:rPr>
          <w:sz w:val="16"/>
          <w:szCs w:val="16"/>
        </w:rPr>
        <w:t>46</w:t>
      </w:r>
      <w:r w:rsidR="00092A85">
        <w:rPr>
          <w:sz w:val="16"/>
          <w:szCs w:val="16"/>
        </w:rPr>
        <w:t> </w:t>
      </w:r>
      <w:r w:rsidR="00962D61" w:rsidRPr="00500072">
        <w:rPr>
          <w:sz w:val="16"/>
          <w:szCs w:val="16"/>
        </w:rPr>
        <w:t>146</w:t>
      </w:r>
      <w:r w:rsidR="00092A85">
        <w:rPr>
          <w:sz w:val="16"/>
          <w:szCs w:val="16"/>
        </w:rPr>
        <w:t> </w:t>
      </w:r>
      <w:r w:rsidR="00962D61" w:rsidRPr="00500072">
        <w:rPr>
          <w:sz w:val="16"/>
          <w:szCs w:val="16"/>
        </w:rPr>
        <w:t>620,84</w:t>
      </w:r>
      <w:r w:rsidR="00092A85">
        <w:rPr>
          <w:sz w:val="16"/>
          <w:szCs w:val="16"/>
        </w:rPr>
        <w:t> </w:t>
      </w:r>
      <w:r w:rsidR="00962D61" w:rsidRPr="00500072">
        <w:rPr>
          <w:sz w:val="16"/>
          <w:szCs w:val="16"/>
        </w:rPr>
        <w:t>zł, w tym:</w:t>
      </w:r>
    </w:p>
    <w:p w14:paraId="164D352C" w14:textId="2626EA31" w:rsidR="003A1C2A" w:rsidRPr="00254CBC" w:rsidRDefault="00D60D88" w:rsidP="003A1E9F">
      <w:pPr>
        <w:pStyle w:val="Akapitzlist"/>
        <w:numPr>
          <w:ilvl w:val="0"/>
          <w:numId w:val="14"/>
        </w:numPr>
        <w:spacing w:after="60"/>
        <w:ind w:left="709" w:right="567" w:hanging="142"/>
        <w:jc w:val="both"/>
        <w:rPr>
          <w:sz w:val="16"/>
          <w:szCs w:val="16"/>
        </w:rPr>
      </w:pPr>
      <w:r w:rsidRPr="00854B5C">
        <w:rPr>
          <w:rFonts w:ascii="Lato" w:hAnsi="Lato"/>
          <w:sz w:val="16"/>
          <w:szCs w:val="16"/>
          <w:u w:val="single"/>
        </w:rPr>
        <w:t xml:space="preserve"> </w:t>
      </w:r>
      <w:r w:rsidR="00B250F2" w:rsidRPr="00854B5C">
        <w:rPr>
          <w:rFonts w:ascii="Lato" w:hAnsi="Lato"/>
          <w:sz w:val="16"/>
          <w:szCs w:val="16"/>
          <w:u w:val="single"/>
        </w:rPr>
        <w:t>w DGLP</w:t>
      </w:r>
      <w:r w:rsidR="00180BD9">
        <w:rPr>
          <w:rFonts w:ascii="Lato" w:hAnsi="Lato"/>
          <w:sz w:val="16"/>
          <w:szCs w:val="16"/>
        </w:rPr>
        <w:t xml:space="preserve"> realizowano 14 umów</w:t>
      </w:r>
      <w:r w:rsidR="00DB6ECF">
        <w:rPr>
          <w:rFonts w:ascii="Lato" w:hAnsi="Lato"/>
          <w:sz w:val="16"/>
          <w:szCs w:val="16"/>
        </w:rPr>
        <w:t>, na które wyda</w:t>
      </w:r>
      <w:r w:rsidR="002C4AFC">
        <w:rPr>
          <w:rFonts w:ascii="Lato" w:hAnsi="Lato"/>
          <w:sz w:val="16"/>
          <w:szCs w:val="16"/>
        </w:rPr>
        <w:t>n</w:t>
      </w:r>
      <w:r w:rsidR="00DB6ECF">
        <w:rPr>
          <w:rFonts w:ascii="Lato" w:hAnsi="Lato"/>
          <w:sz w:val="16"/>
          <w:szCs w:val="16"/>
        </w:rPr>
        <w:t xml:space="preserve">o </w:t>
      </w:r>
      <w:r w:rsidR="00EF2CFB" w:rsidRPr="00EF2CFB">
        <w:rPr>
          <w:rFonts w:ascii="Lato" w:hAnsi="Lato"/>
          <w:sz w:val="16"/>
          <w:szCs w:val="16"/>
        </w:rPr>
        <w:t>1</w:t>
      </w:r>
      <w:r w:rsidR="00EF2CFB">
        <w:rPr>
          <w:rFonts w:ascii="Lato" w:hAnsi="Lato"/>
          <w:sz w:val="16"/>
          <w:szCs w:val="16"/>
        </w:rPr>
        <w:t> </w:t>
      </w:r>
      <w:r w:rsidR="00EF2CFB" w:rsidRPr="00EF2CFB">
        <w:rPr>
          <w:rFonts w:ascii="Lato" w:hAnsi="Lato"/>
          <w:sz w:val="16"/>
          <w:szCs w:val="16"/>
        </w:rPr>
        <w:t>144</w:t>
      </w:r>
      <w:r w:rsidR="00EF2CFB">
        <w:rPr>
          <w:rFonts w:ascii="Lato" w:hAnsi="Lato"/>
          <w:sz w:val="16"/>
          <w:szCs w:val="16"/>
        </w:rPr>
        <w:t xml:space="preserve"> </w:t>
      </w:r>
      <w:r w:rsidR="00EF2CFB" w:rsidRPr="00EF2CFB">
        <w:rPr>
          <w:rFonts w:ascii="Lato" w:hAnsi="Lato"/>
          <w:sz w:val="16"/>
          <w:szCs w:val="16"/>
        </w:rPr>
        <w:t xml:space="preserve">796,31 </w:t>
      </w:r>
      <w:r w:rsidR="00180BD9">
        <w:rPr>
          <w:rFonts w:ascii="Lato" w:hAnsi="Lato"/>
          <w:sz w:val="16"/>
          <w:szCs w:val="16"/>
        </w:rPr>
        <w:t>zł</w:t>
      </w:r>
      <w:r w:rsidR="00DB6ECF">
        <w:rPr>
          <w:rFonts w:ascii="Lato" w:hAnsi="Lato"/>
          <w:sz w:val="16"/>
          <w:szCs w:val="16"/>
        </w:rPr>
        <w:t>;</w:t>
      </w:r>
    </w:p>
    <w:p w14:paraId="4F3EA51B" w14:textId="56CB9BDD" w:rsidR="00962D61" w:rsidRPr="00254CBC" w:rsidRDefault="00D60D88" w:rsidP="003A1E9F">
      <w:pPr>
        <w:pStyle w:val="Akapitzlist"/>
        <w:numPr>
          <w:ilvl w:val="0"/>
          <w:numId w:val="14"/>
        </w:numPr>
        <w:spacing w:after="120"/>
        <w:ind w:left="709" w:right="567" w:hanging="142"/>
        <w:jc w:val="both"/>
        <w:rPr>
          <w:sz w:val="16"/>
          <w:szCs w:val="16"/>
        </w:rPr>
      </w:pPr>
      <w:r>
        <w:rPr>
          <w:rFonts w:ascii="Lato" w:hAnsi="Lato"/>
          <w:sz w:val="16"/>
          <w:szCs w:val="16"/>
        </w:rPr>
        <w:t xml:space="preserve"> </w:t>
      </w:r>
      <w:r w:rsidR="00C74C7A" w:rsidRPr="00854B5C">
        <w:rPr>
          <w:rFonts w:ascii="Lato" w:hAnsi="Lato"/>
          <w:sz w:val="16"/>
          <w:szCs w:val="16"/>
          <w:u w:val="single"/>
        </w:rPr>
        <w:t>w</w:t>
      </w:r>
      <w:r w:rsidR="00962D61" w:rsidRPr="00854B5C">
        <w:rPr>
          <w:rFonts w:ascii="Lato" w:hAnsi="Lato"/>
          <w:sz w:val="16"/>
          <w:szCs w:val="16"/>
          <w:u w:val="single"/>
        </w:rPr>
        <w:t xml:space="preserve"> </w:t>
      </w:r>
      <w:r w:rsidR="00DB6ECF" w:rsidRPr="00854B5C">
        <w:rPr>
          <w:rFonts w:ascii="Lato" w:hAnsi="Lato"/>
          <w:sz w:val="16"/>
          <w:szCs w:val="16"/>
          <w:u w:val="single"/>
        </w:rPr>
        <w:t xml:space="preserve">pozostałych </w:t>
      </w:r>
      <w:r w:rsidR="00962D61" w:rsidRPr="00854B5C">
        <w:rPr>
          <w:rFonts w:ascii="Lato" w:hAnsi="Lato"/>
          <w:sz w:val="16"/>
          <w:szCs w:val="16"/>
          <w:u w:val="single"/>
        </w:rPr>
        <w:t>jednostkach</w:t>
      </w:r>
      <w:r w:rsidR="00962D61" w:rsidRPr="00180BD9">
        <w:rPr>
          <w:rFonts w:ascii="Lato" w:hAnsi="Lato"/>
          <w:sz w:val="16"/>
          <w:szCs w:val="16"/>
        </w:rPr>
        <w:t xml:space="preserve"> </w:t>
      </w:r>
      <w:r w:rsidR="00DB6ECF">
        <w:rPr>
          <w:rFonts w:ascii="Lato" w:hAnsi="Lato"/>
          <w:sz w:val="16"/>
          <w:szCs w:val="16"/>
        </w:rPr>
        <w:t>PGL LP</w:t>
      </w:r>
      <w:r w:rsidR="00C74C7A" w:rsidRPr="00180BD9">
        <w:rPr>
          <w:rFonts w:ascii="Lato" w:hAnsi="Lato"/>
          <w:sz w:val="16"/>
          <w:szCs w:val="16"/>
        </w:rPr>
        <w:t xml:space="preserve"> </w:t>
      </w:r>
      <w:r w:rsidR="00962D61" w:rsidRPr="00180BD9">
        <w:rPr>
          <w:rFonts w:ascii="Lato" w:hAnsi="Lato"/>
          <w:sz w:val="16"/>
          <w:szCs w:val="16"/>
        </w:rPr>
        <w:t>realizowano 1</w:t>
      </w:r>
      <w:r w:rsidR="003A1C2A" w:rsidRPr="00180BD9">
        <w:rPr>
          <w:rFonts w:ascii="Lato" w:hAnsi="Lato"/>
          <w:sz w:val="16"/>
          <w:szCs w:val="16"/>
        </w:rPr>
        <w:t>.</w:t>
      </w:r>
      <w:r w:rsidR="00962D61" w:rsidRPr="00180BD9">
        <w:rPr>
          <w:rFonts w:ascii="Lato" w:hAnsi="Lato"/>
          <w:sz w:val="16"/>
          <w:szCs w:val="16"/>
        </w:rPr>
        <w:t>573 umów</w:t>
      </w:r>
      <w:bookmarkStart w:id="4" w:name="_Hlk196313169"/>
      <w:r w:rsidR="00DB6ECF">
        <w:rPr>
          <w:rFonts w:ascii="Lato" w:hAnsi="Lato"/>
          <w:sz w:val="16"/>
          <w:szCs w:val="16"/>
        </w:rPr>
        <w:t>, na które wyda</w:t>
      </w:r>
      <w:r w:rsidR="002C4AFC">
        <w:rPr>
          <w:rFonts w:ascii="Lato" w:hAnsi="Lato"/>
          <w:sz w:val="16"/>
          <w:szCs w:val="16"/>
        </w:rPr>
        <w:t xml:space="preserve">no </w:t>
      </w:r>
      <w:r w:rsidR="00962D61" w:rsidRPr="00180BD9">
        <w:rPr>
          <w:rFonts w:ascii="Lato" w:hAnsi="Lato"/>
          <w:sz w:val="16"/>
          <w:szCs w:val="16"/>
        </w:rPr>
        <w:t>45</w:t>
      </w:r>
      <w:r w:rsidR="00DB6ECF">
        <w:rPr>
          <w:rFonts w:ascii="Lato" w:hAnsi="Lato"/>
          <w:sz w:val="16"/>
          <w:szCs w:val="16"/>
        </w:rPr>
        <w:t> </w:t>
      </w:r>
      <w:r w:rsidR="00962D61" w:rsidRPr="00180BD9">
        <w:rPr>
          <w:rFonts w:ascii="Lato" w:hAnsi="Lato"/>
          <w:sz w:val="16"/>
          <w:szCs w:val="16"/>
        </w:rPr>
        <w:t>001</w:t>
      </w:r>
      <w:r w:rsidR="00DB6ECF">
        <w:rPr>
          <w:rFonts w:ascii="Lato" w:hAnsi="Lato"/>
          <w:sz w:val="16"/>
          <w:szCs w:val="16"/>
        </w:rPr>
        <w:t> </w:t>
      </w:r>
      <w:r w:rsidR="00962D61" w:rsidRPr="00180BD9">
        <w:rPr>
          <w:rFonts w:ascii="Lato" w:hAnsi="Lato"/>
          <w:sz w:val="16"/>
          <w:szCs w:val="16"/>
        </w:rPr>
        <w:t xml:space="preserve">824,53 </w:t>
      </w:r>
      <w:bookmarkEnd w:id="4"/>
      <w:r w:rsidR="00962D61" w:rsidRPr="00180BD9">
        <w:rPr>
          <w:rFonts w:ascii="Lato" w:hAnsi="Lato"/>
          <w:sz w:val="16"/>
          <w:szCs w:val="16"/>
        </w:rPr>
        <w:t>zł</w:t>
      </w:r>
      <w:r w:rsidR="00C74C7A" w:rsidRPr="00180BD9">
        <w:rPr>
          <w:rFonts w:ascii="Lato" w:hAnsi="Lato"/>
          <w:sz w:val="16"/>
          <w:szCs w:val="16"/>
        </w:rPr>
        <w:t>.</w:t>
      </w:r>
    </w:p>
    <w:p w14:paraId="5250E1A5" w14:textId="77777777" w:rsidR="00FB40C6" w:rsidRPr="00254CBC" w:rsidRDefault="00FB40C6" w:rsidP="003A1E9F">
      <w:pPr>
        <w:pStyle w:val="Akapitzlist"/>
        <w:spacing w:after="120"/>
        <w:ind w:left="927" w:right="567"/>
        <w:jc w:val="both"/>
        <w:rPr>
          <w:rFonts w:ascii="Lato" w:hAnsi="Lato"/>
          <w:sz w:val="16"/>
          <w:szCs w:val="16"/>
        </w:rPr>
      </w:pPr>
    </w:p>
    <w:p w14:paraId="134C4A2D" w14:textId="3B05CEC2" w:rsidR="00FB40C6" w:rsidRPr="0069107F" w:rsidRDefault="00DB6ECF" w:rsidP="003A1E9F">
      <w:pPr>
        <w:pStyle w:val="Akapitzlist"/>
        <w:tabs>
          <w:tab w:val="left" w:pos="7369"/>
        </w:tabs>
        <w:spacing w:after="0"/>
        <w:ind w:left="567" w:right="567"/>
        <w:contextualSpacing w:val="0"/>
        <w:jc w:val="both"/>
        <w:rPr>
          <w:sz w:val="16"/>
          <w:szCs w:val="16"/>
        </w:rPr>
      </w:pPr>
      <w:r w:rsidRPr="0069107F">
        <w:rPr>
          <w:rFonts w:ascii="Lato" w:hAnsi="Lato"/>
          <w:sz w:val="16"/>
          <w:szCs w:val="16"/>
        </w:rPr>
        <w:t>24 z</w:t>
      </w:r>
      <w:r w:rsidR="00180BD9" w:rsidRPr="0069107F">
        <w:rPr>
          <w:rFonts w:ascii="Lato" w:hAnsi="Lato"/>
          <w:sz w:val="16"/>
          <w:szCs w:val="16"/>
        </w:rPr>
        <w:t xml:space="preserve"> </w:t>
      </w:r>
      <w:r w:rsidR="00B250F2" w:rsidRPr="0069107F">
        <w:rPr>
          <w:rFonts w:ascii="Lato" w:hAnsi="Lato"/>
          <w:sz w:val="16"/>
          <w:szCs w:val="16"/>
        </w:rPr>
        <w:t xml:space="preserve">1.587 umów </w:t>
      </w:r>
      <w:r w:rsidRPr="0069107F">
        <w:rPr>
          <w:rFonts w:ascii="Lato" w:hAnsi="Lato"/>
          <w:sz w:val="16"/>
          <w:szCs w:val="16"/>
        </w:rPr>
        <w:t xml:space="preserve">(1,5%) </w:t>
      </w:r>
      <w:r w:rsidR="00B250F2" w:rsidRPr="0069107F">
        <w:rPr>
          <w:rFonts w:ascii="Lato" w:hAnsi="Lato"/>
          <w:sz w:val="16"/>
          <w:szCs w:val="16"/>
        </w:rPr>
        <w:t>z</w:t>
      </w:r>
      <w:r w:rsidRPr="0069107F">
        <w:rPr>
          <w:rFonts w:ascii="Lato" w:hAnsi="Lato"/>
          <w:sz w:val="16"/>
          <w:szCs w:val="16"/>
        </w:rPr>
        <w:t xml:space="preserve">awarto </w:t>
      </w:r>
      <w:r w:rsidR="00B250F2" w:rsidRPr="0069107F">
        <w:rPr>
          <w:rFonts w:ascii="Lato" w:hAnsi="Lato"/>
          <w:sz w:val="16"/>
          <w:szCs w:val="16"/>
        </w:rPr>
        <w:t>z dw</w:t>
      </w:r>
      <w:r w:rsidRPr="0069107F">
        <w:rPr>
          <w:rFonts w:ascii="Lato" w:hAnsi="Lato"/>
          <w:sz w:val="16"/>
          <w:szCs w:val="16"/>
        </w:rPr>
        <w:t xml:space="preserve">iema nw. </w:t>
      </w:r>
      <w:r w:rsidR="00B250F2" w:rsidRPr="0069107F">
        <w:rPr>
          <w:rFonts w:ascii="Lato" w:hAnsi="Lato"/>
          <w:sz w:val="16"/>
          <w:szCs w:val="16"/>
        </w:rPr>
        <w:t>kancelariami (</w:t>
      </w:r>
      <w:r w:rsidRPr="0069107F">
        <w:rPr>
          <w:rFonts w:ascii="Lato" w:hAnsi="Lato"/>
          <w:sz w:val="16"/>
          <w:szCs w:val="16"/>
        </w:rPr>
        <w:t xml:space="preserve">łączne wydatki to </w:t>
      </w:r>
      <w:r w:rsidR="00B250F2" w:rsidRPr="0069107F">
        <w:rPr>
          <w:rFonts w:ascii="Lato" w:hAnsi="Lato"/>
          <w:color w:val="000000" w:themeColor="text1"/>
          <w:sz w:val="16"/>
          <w:szCs w:val="16"/>
        </w:rPr>
        <w:t>1 771 955,13 zł)</w:t>
      </w:r>
      <w:r w:rsidR="00B250F2" w:rsidRPr="0069107F">
        <w:rPr>
          <w:rFonts w:ascii="Lato" w:hAnsi="Lato"/>
          <w:sz w:val="16"/>
          <w:szCs w:val="16"/>
        </w:rPr>
        <w:t>:</w:t>
      </w:r>
      <w:r w:rsidR="003A1E9F" w:rsidRPr="0069107F">
        <w:rPr>
          <w:rFonts w:ascii="Lato" w:hAnsi="Lato"/>
          <w:sz w:val="16"/>
          <w:szCs w:val="16"/>
        </w:rPr>
        <w:t xml:space="preserve"> </w:t>
      </w:r>
    </w:p>
    <w:p w14:paraId="70C64DAD" w14:textId="7DD1EAA1" w:rsidR="00FB40C6" w:rsidRPr="0069107F" w:rsidRDefault="00FB40C6" w:rsidP="003A1E9F">
      <w:pPr>
        <w:tabs>
          <w:tab w:val="left" w:pos="7369"/>
        </w:tabs>
        <w:spacing w:after="0" w:line="240" w:lineRule="auto"/>
        <w:ind w:left="709" w:right="567" w:hanging="142"/>
        <w:rPr>
          <w:color w:val="000000" w:themeColor="text1"/>
          <w:sz w:val="16"/>
          <w:szCs w:val="16"/>
        </w:rPr>
      </w:pPr>
      <w:r w:rsidRPr="0069107F">
        <w:rPr>
          <w:color w:val="000000" w:themeColor="text1"/>
          <w:sz w:val="16"/>
          <w:szCs w:val="16"/>
        </w:rPr>
        <w:t xml:space="preserve">1) </w:t>
      </w:r>
      <w:bookmarkStart w:id="5" w:name="_Hlk196468945"/>
      <w:r w:rsidR="00F54D12">
        <w:rPr>
          <w:color w:val="000000" w:themeColor="text1"/>
          <w:sz w:val="16"/>
          <w:szCs w:val="16"/>
        </w:rPr>
        <w:t xml:space="preserve">z </w:t>
      </w:r>
      <w:r w:rsidRPr="0069107F">
        <w:rPr>
          <w:color w:val="000000" w:themeColor="text1"/>
          <w:sz w:val="16"/>
          <w:szCs w:val="16"/>
        </w:rPr>
        <w:t>Kancelarią Prawną Graś i Wspólnicy Spółka komandytowa</w:t>
      </w:r>
      <w:bookmarkEnd w:id="5"/>
      <w:r w:rsidR="007F7888" w:rsidRPr="0069107F">
        <w:rPr>
          <w:rStyle w:val="Odwoanieprzypisudolnego"/>
          <w:color w:val="000000" w:themeColor="text1"/>
          <w:sz w:val="16"/>
          <w:szCs w:val="16"/>
        </w:rPr>
        <w:footnoteReference w:id="12"/>
      </w:r>
      <w:r w:rsidR="007F7888" w:rsidRPr="0069107F">
        <w:rPr>
          <w:color w:val="000000" w:themeColor="text1"/>
          <w:sz w:val="16"/>
          <w:szCs w:val="16"/>
        </w:rPr>
        <w:t xml:space="preserve"> </w:t>
      </w:r>
      <w:r w:rsidRPr="0069107F">
        <w:rPr>
          <w:color w:val="000000" w:themeColor="text1"/>
          <w:sz w:val="16"/>
          <w:szCs w:val="16"/>
        </w:rPr>
        <w:t>(dalej: Kancelaria Graś i Wspólnicy)</w:t>
      </w:r>
      <w:r w:rsidR="00B250F2" w:rsidRPr="0069107F">
        <w:rPr>
          <w:color w:val="000000" w:themeColor="text1"/>
          <w:sz w:val="16"/>
          <w:szCs w:val="16"/>
        </w:rPr>
        <w:t xml:space="preserve"> – kwota</w:t>
      </w:r>
      <w:r w:rsidR="008A62B3" w:rsidRPr="0069107F">
        <w:rPr>
          <w:color w:val="000000" w:themeColor="text1"/>
          <w:sz w:val="16"/>
          <w:szCs w:val="16"/>
        </w:rPr>
        <w:t xml:space="preserve"> wydatkowana</w:t>
      </w:r>
      <w:r w:rsidR="00B250F2" w:rsidRPr="0069107F">
        <w:rPr>
          <w:color w:val="000000" w:themeColor="text1"/>
          <w:sz w:val="16"/>
          <w:szCs w:val="16"/>
        </w:rPr>
        <w:t xml:space="preserve"> </w:t>
      </w:r>
      <w:r w:rsidR="0069107F" w:rsidRPr="0069107F">
        <w:rPr>
          <w:color w:val="000000" w:themeColor="text1"/>
          <w:sz w:val="16"/>
          <w:szCs w:val="16"/>
        </w:rPr>
        <w:t xml:space="preserve">1 </w:t>
      </w:r>
      <w:r w:rsidR="00B250F2" w:rsidRPr="0069107F">
        <w:rPr>
          <w:color w:val="000000" w:themeColor="text1"/>
          <w:sz w:val="16"/>
          <w:szCs w:val="16"/>
        </w:rPr>
        <w:t xml:space="preserve">387 699,13 zł (5 umów w DGLP i 10 w </w:t>
      </w:r>
      <w:r w:rsidR="00DF2539" w:rsidRPr="0069107F">
        <w:rPr>
          <w:color w:val="000000" w:themeColor="text1"/>
          <w:sz w:val="16"/>
          <w:szCs w:val="16"/>
        </w:rPr>
        <w:t>pozostałych</w:t>
      </w:r>
      <w:r w:rsidR="00854B5C" w:rsidRPr="0069107F">
        <w:rPr>
          <w:color w:val="000000" w:themeColor="text1"/>
          <w:sz w:val="16"/>
          <w:szCs w:val="16"/>
        </w:rPr>
        <w:t xml:space="preserve"> jednostkach</w:t>
      </w:r>
      <w:r w:rsidR="00B250F2" w:rsidRPr="0069107F">
        <w:rPr>
          <w:color w:val="000000" w:themeColor="text1"/>
          <w:sz w:val="16"/>
          <w:szCs w:val="16"/>
        </w:rPr>
        <w:t>);</w:t>
      </w:r>
    </w:p>
    <w:p w14:paraId="029EE1EF" w14:textId="35A64459" w:rsidR="00FB40C6" w:rsidRPr="0069107F" w:rsidRDefault="00FB40C6" w:rsidP="003A1E9F">
      <w:pPr>
        <w:tabs>
          <w:tab w:val="left" w:pos="7369"/>
        </w:tabs>
        <w:spacing w:after="0" w:line="240" w:lineRule="auto"/>
        <w:ind w:left="709" w:right="567" w:hanging="142"/>
        <w:rPr>
          <w:color w:val="000000" w:themeColor="text1"/>
          <w:sz w:val="16"/>
          <w:szCs w:val="16"/>
        </w:rPr>
      </w:pPr>
      <w:r w:rsidRPr="0069107F">
        <w:rPr>
          <w:color w:val="000000" w:themeColor="text1"/>
          <w:sz w:val="16"/>
          <w:szCs w:val="16"/>
        </w:rPr>
        <w:t>2)</w:t>
      </w:r>
      <w:r w:rsidR="000A07BC" w:rsidRPr="0069107F">
        <w:rPr>
          <w:color w:val="000000" w:themeColor="text1"/>
          <w:sz w:val="16"/>
          <w:szCs w:val="16"/>
        </w:rPr>
        <w:t xml:space="preserve"> </w:t>
      </w:r>
      <w:r w:rsidR="00F54D12">
        <w:rPr>
          <w:color w:val="000000" w:themeColor="text1"/>
          <w:sz w:val="16"/>
          <w:szCs w:val="16"/>
        </w:rPr>
        <w:t xml:space="preserve">z </w:t>
      </w:r>
      <w:r w:rsidRPr="0069107F">
        <w:rPr>
          <w:color w:val="000000" w:themeColor="text1"/>
          <w:sz w:val="16"/>
          <w:szCs w:val="16"/>
        </w:rPr>
        <w:t>Kancelarią Adwokacką Marcin Kowalski</w:t>
      </w:r>
      <w:r w:rsidR="007F7888" w:rsidRPr="0069107F">
        <w:rPr>
          <w:rStyle w:val="Odwoanieprzypisudolnego"/>
          <w:color w:val="000000" w:themeColor="text1"/>
          <w:sz w:val="16"/>
          <w:szCs w:val="16"/>
        </w:rPr>
        <w:footnoteReference w:id="13"/>
      </w:r>
      <w:r w:rsidRPr="0069107F">
        <w:rPr>
          <w:color w:val="000000" w:themeColor="text1"/>
          <w:sz w:val="16"/>
          <w:szCs w:val="16"/>
        </w:rPr>
        <w:t xml:space="preserve"> (dalej: Kancelaria Kowalski)</w:t>
      </w:r>
      <w:r w:rsidR="00B250F2" w:rsidRPr="0069107F">
        <w:rPr>
          <w:color w:val="000000" w:themeColor="text1"/>
          <w:sz w:val="16"/>
          <w:szCs w:val="16"/>
        </w:rPr>
        <w:t xml:space="preserve"> – kwota </w:t>
      </w:r>
      <w:r w:rsidR="008A62B3" w:rsidRPr="0069107F">
        <w:rPr>
          <w:color w:val="000000" w:themeColor="text1"/>
          <w:sz w:val="16"/>
          <w:szCs w:val="16"/>
        </w:rPr>
        <w:t xml:space="preserve">wydatkowana </w:t>
      </w:r>
      <w:r w:rsidR="002A0710" w:rsidRPr="0069107F">
        <w:rPr>
          <w:color w:val="000000" w:themeColor="text1"/>
          <w:sz w:val="16"/>
          <w:szCs w:val="16"/>
        </w:rPr>
        <w:t>3</w:t>
      </w:r>
      <w:r w:rsidR="00B250F2" w:rsidRPr="0069107F">
        <w:rPr>
          <w:color w:val="000000" w:themeColor="text1"/>
          <w:sz w:val="16"/>
          <w:szCs w:val="16"/>
        </w:rPr>
        <w:t>84</w:t>
      </w:r>
      <w:r w:rsidR="00854B5C" w:rsidRPr="0069107F">
        <w:rPr>
          <w:color w:val="000000" w:themeColor="text1"/>
          <w:sz w:val="16"/>
          <w:szCs w:val="16"/>
        </w:rPr>
        <w:t> </w:t>
      </w:r>
      <w:r w:rsidR="00B250F2" w:rsidRPr="0069107F">
        <w:rPr>
          <w:color w:val="000000" w:themeColor="text1"/>
          <w:sz w:val="16"/>
          <w:szCs w:val="16"/>
        </w:rPr>
        <w:t xml:space="preserve">256,00 zł (4 umowy w DGLP i 5 umów </w:t>
      </w:r>
      <w:r w:rsidR="002C4AFC">
        <w:rPr>
          <w:color w:val="000000" w:themeColor="text1"/>
          <w:sz w:val="16"/>
          <w:szCs w:val="16"/>
        </w:rPr>
        <w:t xml:space="preserve">w </w:t>
      </w:r>
      <w:r w:rsidR="006842F8">
        <w:rPr>
          <w:color w:val="000000" w:themeColor="text1"/>
          <w:sz w:val="16"/>
          <w:szCs w:val="16"/>
        </w:rPr>
        <w:t>Centrum Informacyjnym Lasów Państwowych</w:t>
      </w:r>
      <w:r w:rsidR="00B250F2" w:rsidRPr="0069107F">
        <w:rPr>
          <w:color w:val="000000" w:themeColor="text1"/>
          <w:sz w:val="16"/>
          <w:szCs w:val="16"/>
        </w:rPr>
        <w:t>)</w:t>
      </w:r>
      <w:r w:rsidRPr="0069107F">
        <w:rPr>
          <w:color w:val="000000" w:themeColor="text1"/>
          <w:sz w:val="16"/>
          <w:szCs w:val="16"/>
        </w:rPr>
        <w:t>.</w:t>
      </w:r>
    </w:p>
    <w:p w14:paraId="63B01EEA" w14:textId="565DBF7C" w:rsidR="00DF2539" w:rsidRPr="0069107F" w:rsidRDefault="00DF2539" w:rsidP="003A1E9F">
      <w:pPr>
        <w:spacing w:before="120" w:after="0" w:line="240" w:lineRule="auto"/>
        <w:ind w:left="992" w:right="567" w:hanging="425"/>
        <w:rPr>
          <w:color w:val="000000" w:themeColor="text1"/>
          <w:sz w:val="16"/>
          <w:szCs w:val="16"/>
        </w:rPr>
      </w:pPr>
      <w:r w:rsidRPr="0069107F">
        <w:rPr>
          <w:color w:val="000000" w:themeColor="text1"/>
          <w:sz w:val="16"/>
          <w:szCs w:val="16"/>
        </w:rPr>
        <w:t>Szczegółowemu badaniu poddano 9 umów zawartych przez DGLP z dwiema ww. kancelariami</w:t>
      </w:r>
      <w:r w:rsidR="00BA7BE2" w:rsidRPr="0069107F">
        <w:rPr>
          <w:rStyle w:val="Odwoanieprzypisudolnego"/>
          <w:color w:val="000000" w:themeColor="text1"/>
          <w:sz w:val="16"/>
          <w:szCs w:val="16"/>
        </w:rPr>
        <w:footnoteReference w:id="14"/>
      </w:r>
      <w:r w:rsidRPr="0069107F">
        <w:rPr>
          <w:color w:val="000000" w:themeColor="text1"/>
          <w:sz w:val="16"/>
          <w:szCs w:val="16"/>
        </w:rPr>
        <w:t>.</w:t>
      </w:r>
    </w:p>
    <w:p w14:paraId="4E337C6C" w14:textId="4B38746D" w:rsidR="00B250F2" w:rsidRPr="00F54D12" w:rsidRDefault="00FD1337" w:rsidP="009D43AC">
      <w:pPr>
        <w:spacing w:before="120" w:after="120"/>
        <w:ind w:left="567"/>
        <w:rPr>
          <w:sz w:val="16"/>
          <w:szCs w:val="16"/>
        </w:rPr>
      </w:pPr>
      <w:r w:rsidRPr="00F54D12">
        <w:rPr>
          <w:b/>
          <w:bCs/>
          <w:sz w:val="16"/>
          <w:szCs w:val="16"/>
        </w:rPr>
        <w:t>[akta kontroli</w:t>
      </w:r>
      <w:r w:rsidR="00101E7F">
        <w:rPr>
          <w:b/>
          <w:bCs/>
          <w:sz w:val="16"/>
          <w:szCs w:val="16"/>
        </w:rPr>
        <w:t>:</w:t>
      </w:r>
      <w:r w:rsidR="00E2633E" w:rsidRPr="00F54D12">
        <w:rPr>
          <w:b/>
          <w:bCs/>
          <w:sz w:val="16"/>
          <w:szCs w:val="16"/>
        </w:rPr>
        <w:t xml:space="preserve"> </w:t>
      </w:r>
      <w:bookmarkStart w:id="6" w:name="_Hlk196490638"/>
      <w:r w:rsidR="007B79E6" w:rsidRPr="00F54D12">
        <w:rPr>
          <w:b/>
          <w:bCs/>
          <w:sz w:val="16"/>
          <w:szCs w:val="16"/>
        </w:rPr>
        <w:t>f2_</w:t>
      </w:r>
      <w:r w:rsidR="00E2633E" w:rsidRPr="00F54D12">
        <w:rPr>
          <w:b/>
          <w:bCs/>
          <w:sz w:val="16"/>
          <w:szCs w:val="16"/>
        </w:rPr>
        <w:t>f1_f1 i f2</w:t>
      </w:r>
      <w:r w:rsidR="007B79E6" w:rsidRPr="00F54D12">
        <w:rPr>
          <w:b/>
          <w:bCs/>
          <w:sz w:val="16"/>
          <w:szCs w:val="16"/>
        </w:rPr>
        <w:t>; f2_f2_f1</w:t>
      </w:r>
      <w:r w:rsidR="00E2633E" w:rsidRPr="00F54D12">
        <w:rPr>
          <w:b/>
          <w:bCs/>
          <w:sz w:val="16"/>
          <w:szCs w:val="16"/>
        </w:rPr>
        <w:t>_p1_p2</w:t>
      </w:r>
      <w:r w:rsidR="00F54D12" w:rsidRPr="00F54D12">
        <w:rPr>
          <w:b/>
          <w:bCs/>
          <w:sz w:val="16"/>
          <w:szCs w:val="16"/>
        </w:rPr>
        <w:t>]</w:t>
      </w:r>
    </w:p>
    <w:bookmarkEnd w:id="6"/>
    <w:p w14:paraId="097E3A7B" w14:textId="2F97939E" w:rsidR="00D91303" w:rsidRPr="0069107F" w:rsidRDefault="008D7AA3" w:rsidP="00C348A0">
      <w:pPr>
        <w:rPr>
          <w:szCs w:val="20"/>
        </w:rPr>
      </w:pPr>
      <w:r w:rsidRPr="0069107F">
        <w:rPr>
          <w:b/>
          <w:bCs/>
          <w:color w:val="000000" w:themeColor="text1"/>
          <w:szCs w:val="20"/>
        </w:rPr>
        <w:t xml:space="preserve">2. </w:t>
      </w:r>
      <w:r w:rsidR="00C53228" w:rsidRPr="0069107F">
        <w:rPr>
          <w:b/>
          <w:bCs/>
          <w:szCs w:val="20"/>
        </w:rPr>
        <w:t>[</w:t>
      </w:r>
      <w:r w:rsidR="00D91303" w:rsidRPr="0069107F">
        <w:rPr>
          <w:b/>
          <w:bCs/>
          <w:szCs w:val="20"/>
        </w:rPr>
        <w:t>Umowy DGLP</w:t>
      </w:r>
      <w:r w:rsidR="00C53228" w:rsidRPr="0069107F">
        <w:rPr>
          <w:b/>
          <w:bCs/>
          <w:szCs w:val="20"/>
        </w:rPr>
        <w:t>]</w:t>
      </w:r>
      <w:r w:rsidR="00D91303" w:rsidRPr="0069107F">
        <w:rPr>
          <w:b/>
          <w:bCs/>
          <w:szCs w:val="20"/>
        </w:rPr>
        <w:t xml:space="preserve"> </w:t>
      </w:r>
      <w:r w:rsidR="00854B5C" w:rsidRPr="0069107F">
        <w:t xml:space="preserve">DGLP </w:t>
      </w:r>
      <w:r w:rsidR="00854B5C" w:rsidRPr="0069107F">
        <w:rPr>
          <w:szCs w:val="20"/>
        </w:rPr>
        <w:t xml:space="preserve">w badanym okresie zawarła umowy na obsługę prawną o wartości </w:t>
      </w:r>
      <w:r w:rsidR="00F54D12" w:rsidRPr="00F54D12">
        <w:rPr>
          <w:szCs w:val="20"/>
        </w:rPr>
        <w:t xml:space="preserve">1,55 </w:t>
      </w:r>
      <w:r w:rsidR="00854B5C" w:rsidRPr="0069107F">
        <w:rPr>
          <w:szCs w:val="20"/>
        </w:rPr>
        <w:t>mln zł, na które wydatkowano 1,1</w:t>
      </w:r>
      <w:r w:rsidR="00F54D12">
        <w:rPr>
          <w:szCs w:val="20"/>
        </w:rPr>
        <w:t>4</w:t>
      </w:r>
      <w:r w:rsidR="00854B5C" w:rsidRPr="0069107F">
        <w:rPr>
          <w:szCs w:val="20"/>
        </w:rPr>
        <w:t xml:space="preserve"> mln zł. Biorąc pod uwagę średnie wynagrodzenia prawników w 2024 r., koszt ten odpowiadał 5 etatom</w:t>
      </w:r>
      <w:r w:rsidR="00854B5C" w:rsidRPr="0069107F">
        <w:rPr>
          <w:rStyle w:val="Odwoanieprzypisudolnego"/>
        </w:rPr>
        <w:footnoteReference w:id="15"/>
      </w:r>
      <w:r w:rsidR="00854B5C" w:rsidRPr="0069107F">
        <w:t xml:space="preserve">. </w:t>
      </w:r>
      <w:r w:rsidR="00D60D88" w:rsidRPr="0069107F">
        <w:rPr>
          <w:szCs w:val="20"/>
        </w:rPr>
        <w:t xml:space="preserve">W większości (9 z 14, tj. 64%) obsługę </w:t>
      </w:r>
      <w:r w:rsidR="00854B5C" w:rsidRPr="0069107F">
        <w:rPr>
          <w:szCs w:val="20"/>
        </w:rPr>
        <w:t>prawną</w:t>
      </w:r>
      <w:r w:rsidR="00D60D88" w:rsidRPr="0069107F">
        <w:rPr>
          <w:szCs w:val="20"/>
        </w:rPr>
        <w:t xml:space="preserve"> </w:t>
      </w:r>
      <w:r w:rsidR="00F54D12">
        <w:rPr>
          <w:szCs w:val="20"/>
        </w:rPr>
        <w:t xml:space="preserve">DGLP </w:t>
      </w:r>
      <w:r w:rsidR="00D60D88" w:rsidRPr="0069107F">
        <w:rPr>
          <w:szCs w:val="20"/>
        </w:rPr>
        <w:t>zapewniały dwie kancelarie prawne, któr</w:t>
      </w:r>
      <w:r w:rsidR="00F54D12">
        <w:rPr>
          <w:szCs w:val="20"/>
        </w:rPr>
        <w:t>ych działania służyły</w:t>
      </w:r>
      <w:r w:rsidR="00D60D88" w:rsidRPr="0069107F">
        <w:rPr>
          <w:szCs w:val="20"/>
        </w:rPr>
        <w:t xml:space="preserve"> </w:t>
      </w:r>
      <w:r w:rsidR="00F54D12" w:rsidRPr="00511AD2">
        <w:rPr>
          <w:szCs w:val="20"/>
        </w:rPr>
        <w:t>zidentyfikowan</w:t>
      </w:r>
      <w:r w:rsidR="00F54D12">
        <w:rPr>
          <w:szCs w:val="20"/>
        </w:rPr>
        <w:t>iu, zgłoszeniu lub</w:t>
      </w:r>
      <w:r w:rsidR="00F54D12" w:rsidRPr="00511AD2">
        <w:rPr>
          <w:szCs w:val="20"/>
        </w:rPr>
        <w:t xml:space="preserve"> usunięci</w:t>
      </w:r>
      <w:r w:rsidR="00F54D12">
        <w:rPr>
          <w:szCs w:val="20"/>
        </w:rPr>
        <w:t>u</w:t>
      </w:r>
      <w:r w:rsidR="00F54D12" w:rsidRPr="00511AD2">
        <w:rPr>
          <w:szCs w:val="20"/>
        </w:rPr>
        <w:t xml:space="preserve"> nieprawidłowości oraz sformułowani</w:t>
      </w:r>
      <w:r w:rsidR="00F54D12">
        <w:rPr>
          <w:szCs w:val="20"/>
        </w:rPr>
        <w:t>u</w:t>
      </w:r>
      <w:r w:rsidR="00F54D12" w:rsidRPr="00511AD2">
        <w:rPr>
          <w:szCs w:val="20"/>
        </w:rPr>
        <w:t xml:space="preserve"> propozycji rozwiązań systemowych</w:t>
      </w:r>
      <w:r w:rsidR="00F54D12">
        <w:rPr>
          <w:szCs w:val="20"/>
        </w:rPr>
        <w:t xml:space="preserve">. Niemniej jednak wyboru wykonawców dokonano </w:t>
      </w:r>
      <w:r w:rsidR="00D60D88" w:rsidRPr="0069107F">
        <w:rPr>
          <w:szCs w:val="20"/>
        </w:rPr>
        <w:t>niezgodnie z</w:t>
      </w:r>
      <w:r w:rsidR="00854B5C" w:rsidRPr="0069107F">
        <w:rPr>
          <w:szCs w:val="20"/>
        </w:rPr>
        <w:t> </w:t>
      </w:r>
      <w:r w:rsidR="00D60D88" w:rsidRPr="0069107F">
        <w:rPr>
          <w:szCs w:val="20"/>
        </w:rPr>
        <w:t xml:space="preserve">wewnętrznymi regulacjami (szerzej: pkt </w:t>
      </w:r>
      <w:r w:rsidR="000A07BC" w:rsidRPr="0069107F">
        <w:rPr>
          <w:szCs w:val="20"/>
        </w:rPr>
        <w:t>4</w:t>
      </w:r>
      <w:r w:rsidR="00D60D88" w:rsidRPr="0069107F">
        <w:rPr>
          <w:szCs w:val="20"/>
        </w:rPr>
        <w:t xml:space="preserve"> Sprawozdania)</w:t>
      </w:r>
      <w:r w:rsidR="00B73913">
        <w:rPr>
          <w:szCs w:val="20"/>
        </w:rPr>
        <w:t xml:space="preserve">, a zlecanie zadań </w:t>
      </w:r>
      <w:r w:rsidR="00B73913">
        <w:t>w ramach kilku umów jednocześnie nie było działaniem przejrzystym (szerzej: pkt 6 Sprawozdania)</w:t>
      </w:r>
      <w:r w:rsidR="00D60D88" w:rsidRPr="0069107F">
        <w:rPr>
          <w:szCs w:val="20"/>
        </w:rPr>
        <w:t>.</w:t>
      </w:r>
      <w:r w:rsidR="00C348A0" w:rsidRPr="0069107F">
        <w:t xml:space="preserve"> </w:t>
      </w:r>
    </w:p>
    <w:p w14:paraId="129FC6D4" w14:textId="4C0AA6BA" w:rsidR="005D52E4" w:rsidRPr="00751E1C" w:rsidRDefault="00FE0589" w:rsidP="00751E1C">
      <w:pPr>
        <w:tabs>
          <w:tab w:val="left" w:pos="567"/>
        </w:tabs>
        <w:spacing w:after="120"/>
        <w:ind w:left="567" w:right="567"/>
        <w:rPr>
          <w:sz w:val="16"/>
          <w:szCs w:val="16"/>
        </w:rPr>
      </w:pPr>
      <w:r w:rsidRPr="0069107F">
        <w:rPr>
          <w:sz w:val="16"/>
          <w:szCs w:val="16"/>
        </w:rPr>
        <w:t>W DGLP</w:t>
      </w:r>
      <w:r w:rsidR="005D52E4" w:rsidRPr="0069107F">
        <w:rPr>
          <w:sz w:val="16"/>
          <w:szCs w:val="16"/>
        </w:rPr>
        <w:t xml:space="preserve"> </w:t>
      </w:r>
      <w:r w:rsidR="00854B5C" w:rsidRPr="0069107F">
        <w:rPr>
          <w:sz w:val="16"/>
          <w:szCs w:val="16"/>
        </w:rPr>
        <w:t xml:space="preserve">obowiązywało </w:t>
      </w:r>
      <w:r w:rsidRPr="0069107F">
        <w:rPr>
          <w:sz w:val="16"/>
          <w:szCs w:val="16"/>
        </w:rPr>
        <w:t xml:space="preserve">14 </w:t>
      </w:r>
      <w:r w:rsidRPr="00751E1C">
        <w:rPr>
          <w:sz w:val="16"/>
          <w:szCs w:val="16"/>
        </w:rPr>
        <w:t xml:space="preserve">umów </w:t>
      </w:r>
      <w:r w:rsidR="000554DB" w:rsidRPr="00751E1C">
        <w:rPr>
          <w:sz w:val="16"/>
          <w:szCs w:val="16"/>
        </w:rPr>
        <w:t xml:space="preserve">dot. </w:t>
      </w:r>
      <w:r w:rsidRPr="00751E1C">
        <w:rPr>
          <w:sz w:val="16"/>
          <w:szCs w:val="16"/>
        </w:rPr>
        <w:t xml:space="preserve">obsługi prawnej </w:t>
      </w:r>
      <w:r w:rsidR="00B73913" w:rsidRPr="00751E1C">
        <w:rPr>
          <w:sz w:val="16"/>
          <w:szCs w:val="16"/>
        </w:rPr>
        <w:t>(w tym czynności audytowe, kontrolne i wyjaśniające)</w:t>
      </w:r>
      <w:r w:rsidR="00854B5C" w:rsidRPr="00751E1C">
        <w:rPr>
          <w:sz w:val="16"/>
          <w:szCs w:val="16"/>
        </w:rPr>
        <w:t xml:space="preserve">, na które wydatkowano </w:t>
      </w:r>
      <w:r w:rsidR="00B73913" w:rsidRPr="00751E1C">
        <w:rPr>
          <w:sz w:val="16"/>
          <w:szCs w:val="16"/>
        </w:rPr>
        <w:t>1 144 796,31 zł</w:t>
      </w:r>
      <w:r w:rsidR="00854B5C" w:rsidRPr="00751E1C">
        <w:rPr>
          <w:sz w:val="16"/>
          <w:szCs w:val="16"/>
        </w:rPr>
        <w:t>, w tym</w:t>
      </w:r>
      <w:r w:rsidR="005D52E4" w:rsidRPr="00751E1C">
        <w:rPr>
          <w:sz w:val="16"/>
          <w:szCs w:val="16"/>
        </w:rPr>
        <w:t>:</w:t>
      </w:r>
    </w:p>
    <w:p w14:paraId="1767FF7A" w14:textId="0D2A555F" w:rsidR="000554DB" w:rsidRPr="00751E1C" w:rsidRDefault="00FE0589" w:rsidP="00751E1C">
      <w:pPr>
        <w:pStyle w:val="Akapitzlist"/>
        <w:numPr>
          <w:ilvl w:val="0"/>
          <w:numId w:val="15"/>
        </w:numPr>
        <w:shd w:val="clear" w:color="auto" w:fill="FFFFFF" w:themeFill="background1"/>
        <w:tabs>
          <w:tab w:val="left" w:pos="567"/>
        </w:tabs>
        <w:spacing w:after="0" w:line="257" w:lineRule="auto"/>
        <w:ind w:left="850" w:right="567" w:hanging="283"/>
        <w:contextualSpacing w:val="0"/>
        <w:jc w:val="both"/>
        <w:rPr>
          <w:rFonts w:ascii="Lato" w:hAnsi="Lato"/>
          <w:sz w:val="16"/>
          <w:szCs w:val="16"/>
        </w:rPr>
      </w:pPr>
      <w:r w:rsidRPr="00751E1C">
        <w:rPr>
          <w:rFonts w:ascii="Lato" w:hAnsi="Lato"/>
          <w:sz w:val="16"/>
          <w:szCs w:val="16"/>
          <w:u w:val="single"/>
        </w:rPr>
        <w:lastRenderedPageBreak/>
        <w:t>9</w:t>
      </w:r>
      <w:r w:rsidR="005D52E4" w:rsidRPr="00751E1C">
        <w:rPr>
          <w:rFonts w:ascii="Lato" w:hAnsi="Lato"/>
          <w:sz w:val="16"/>
          <w:szCs w:val="16"/>
          <w:u w:val="single"/>
        </w:rPr>
        <w:t xml:space="preserve"> </w:t>
      </w:r>
      <w:r w:rsidR="00854B5C" w:rsidRPr="00751E1C">
        <w:rPr>
          <w:rFonts w:ascii="Lato" w:hAnsi="Lato"/>
          <w:sz w:val="16"/>
          <w:szCs w:val="16"/>
          <w:u w:val="single"/>
        </w:rPr>
        <w:t xml:space="preserve">umów </w:t>
      </w:r>
      <w:r w:rsidRPr="00751E1C">
        <w:rPr>
          <w:rFonts w:ascii="Lato" w:hAnsi="Lato"/>
          <w:sz w:val="16"/>
          <w:szCs w:val="16"/>
          <w:u w:val="single"/>
        </w:rPr>
        <w:t xml:space="preserve">z </w:t>
      </w:r>
      <w:r w:rsidR="00E63CDC">
        <w:rPr>
          <w:rFonts w:ascii="Lato" w:hAnsi="Lato"/>
          <w:sz w:val="16"/>
          <w:szCs w:val="16"/>
          <w:u w:val="single"/>
        </w:rPr>
        <w:t xml:space="preserve">dwiema objętymi badaniem </w:t>
      </w:r>
      <w:r w:rsidRPr="00751E1C">
        <w:rPr>
          <w:rFonts w:ascii="Lato" w:hAnsi="Lato"/>
          <w:sz w:val="16"/>
          <w:szCs w:val="16"/>
          <w:u w:val="single"/>
        </w:rPr>
        <w:t>kancelariami</w:t>
      </w:r>
      <w:r w:rsidRPr="00751E1C">
        <w:rPr>
          <w:rFonts w:ascii="Lato" w:hAnsi="Lato"/>
          <w:sz w:val="16"/>
          <w:szCs w:val="16"/>
        </w:rPr>
        <w:t xml:space="preserve"> (64%)</w:t>
      </w:r>
      <w:r w:rsidR="000554DB" w:rsidRPr="00751E1C">
        <w:rPr>
          <w:rFonts w:ascii="Lato" w:hAnsi="Lato"/>
          <w:sz w:val="16"/>
          <w:szCs w:val="16"/>
        </w:rPr>
        <w:t xml:space="preserve">, </w:t>
      </w:r>
      <w:r w:rsidR="001F2D62" w:rsidRPr="00751E1C">
        <w:rPr>
          <w:rFonts w:ascii="Lato" w:hAnsi="Lato"/>
          <w:sz w:val="16"/>
          <w:szCs w:val="16"/>
        </w:rPr>
        <w:t>na które</w:t>
      </w:r>
      <w:r w:rsidR="000554DB" w:rsidRPr="00751E1C">
        <w:rPr>
          <w:rFonts w:ascii="Lato" w:hAnsi="Lato"/>
          <w:sz w:val="16"/>
          <w:szCs w:val="16"/>
        </w:rPr>
        <w:t xml:space="preserve"> wydatkowano </w:t>
      </w:r>
      <w:bookmarkStart w:id="7" w:name="_Hlk196316818"/>
      <w:r w:rsidR="000554DB" w:rsidRPr="00751E1C">
        <w:rPr>
          <w:rFonts w:ascii="Lato" w:hAnsi="Lato"/>
          <w:sz w:val="16"/>
          <w:szCs w:val="16"/>
        </w:rPr>
        <w:t>933</w:t>
      </w:r>
      <w:r w:rsidR="001F2D62" w:rsidRPr="00751E1C">
        <w:rPr>
          <w:rFonts w:ascii="Lato" w:hAnsi="Lato"/>
          <w:sz w:val="16"/>
          <w:szCs w:val="16"/>
        </w:rPr>
        <w:t>.</w:t>
      </w:r>
      <w:r w:rsidR="000554DB" w:rsidRPr="00751E1C">
        <w:rPr>
          <w:rFonts w:ascii="Lato" w:hAnsi="Lato"/>
          <w:sz w:val="16"/>
          <w:szCs w:val="16"/>
        </w:rPr>
        <w:t>401,13</w:t>
      </w:r>
      <w:r w:rsidR="00CF6485">
        <w:rPr>
          <w:rFonts w:ascii="Lato" w:hAnsi="Lato"/>
          <w:sz w:val="16"/>
          <w:szCs w:val="16"/>
        </w:rPr>
        <w:t> </w:t>
      </w:r>
      <w:bookmarkEnd w:id="7"/>
      <w:r w:rsidR="000554DB" w:rsidRPr="00751E1C">
        <w:rPr>
          <w:rFonts w:ascii="Lato" w:hAnsi="Lato"/>
          <w:sz w:val="16"/>
          <w:szCs w:val="16"/>
        </w:rPr>
        <w:t>zł</w:t>
      </w:r>
      <w:r w:rsidR="005D52E4" w:rsidRPr="00751E1C">
        <w:rPr>
          <w:rFonts w:ascii="Lato" w:hAnsi="Lato"/>
          <w:sz w:val="16"/>
          <w:szCs w:val="16"/>
        </w:rPr>
        <w:t>:</w:t>
      </w:r>
      <w:r w:rsidRPr="00751E1C">
        <w:rPr>
          <w:rFonts w:ascii="Lato" w:hAnsi="Lato"/>
          <w:sz w:val="16"/>
          <w:szCs w:val="16"/>
        </w:rPr>
        <w:t xml:space="preserve"> </w:t>
      </w:r>
    </w:p>
    <w:p w14:paraId="373DA444" w14:textId="0A346A0B" w:rsidR="000554DB" w:rsidRPr="00751E1C" w:rsidRDefault="00186EF6" w:rsidP="00751E1C">
      <w:pPr>
        <w:pStyle w:val="Akapitzlist"/>
        <w:numPr>
          <w:ilvl w:val="0"/>
          <w:numId w:val="16"/>
        </w:numPr>
        <w:shd w:val="clear" w:color="auto" w:fill="FFFFFF" w:themeFill="background1"/>
        <w:tabs>
          <w:tab w:val="left" w:pos="567"/>
        </w:tabs>
        <w:spacing w:after="0"/>
        <w:ind w:left="993" w:right="567" w:hanging="142"/>
        <w:jc w:val="both"/>
        <w:rPr>
          <w:rFonts w:ascii="Lato" w:hAnsi="Lato"/>
          <w:sz w:val="16"/>
          <w:szCs w:val="16"/>
        </w:rPr>
      </w:pPr>
      <w:r w:rsidRPr="00751E1C">
        <w:rPr>
          <w:rFonts w:ascii="Lato" w:hAnsi="Lato"/>
          <w:sz w:val="16"/>
          <w:szCs w:val="16"/>
        </w:rPr>
        <w:t xml:space="preserve"> </w:t>
      </w:r>
      <w:r w:rsidR="00FE0589" w:rsidRPr="00751E1C">
        <w:rPr>
          <w:rFonts w:ascii="Lato" w:hAnsi="Lato"/>
          <w:sz w:val="16"/>
          <w:szCs w:val="16"/>
        </w:rPr>
        <w:t xml:space="preserve">5 umów z Kancelarią </w:t>
      </w:r>
      <w:r w:rsidR="00D213C7" w:rsidRPr="00751E1C">
        <w:rPr>
          <w:rFonts w:ascii="Lato" w:hAnsi="Lato"/>
          <w:sz w:val="16"/>
          <w:szCs w:val="16"/>
        </w:rPr>
        <w:t xml:space="preserve">Graś i Wspólnicy </w:t>
      </w:r>
      <w:r w:rsidR="001F2D62" w:rsidRPr="00751E1C">
        <w:rPr>
          <w:rFonts w:ascii="Lato" w:hAnsi="Lato"/>
          <w:sz w:val="16"/>
          <w:szCs w:val="16"/>
        </w:rPr>
        <w:t>(770 485,13 zł)</w:t>
      </w:r>
      <w:r w:rsidR="00854B5C" w:rsidRPr="00751E1C">
        <w:rPr>
          <w:rFonts w:ascii="Lato" w:hAnsi="Lato"/>
          <w:sz w:val="16"/>
          <w:szCs w:val="16"/>
        </w:rPr>
        <w:t>;</w:t>
      </w:r>
    </w:p>
    <w:p w14:paraId="3D0B9DEF" w14:textId="267C50CC" w:rsidR="00C53228" w:rsidRPr="00751E1C" w:rsidRDefault="00186EF6" w:rsidP="00254CBC">
      <w:pPr>
        <w:pStyle w:val="Akapitzlist"/>
        <w:numPr>
          <w:ilvl w:val="0"/>
          <w:numId w:val="16"/>
        </w:numPr>
        <w:tabs>
          <w:tab w:val="left" w:pos="567"/>
        </w:tabs>
        <w:spacing w:after="120" w:line="257" w:lineRule="auto"/>
        <w:ind w:left="993" w:right="567" w:hanging="142"/>
        <w:contextualSpacing w:val="0"/>
        <w:jc w:val="both"/>
        <w:rPr>
          <w:rFonts w:ascii="Lato" w:hAnsi="Lato"/>
          <w:sz w:val="16"/>
          <w:szCs w:val="16"/>
        </w:rPr>
      </w:pPr>
      <w:r w:rsidRPr="0069107F">
        <w:rPr>
          <w:rFonts w:ascii="Lato" w:hAnsi="Lato"/>
          <w:sz w:val="16"/>
          <w:szCs w:val="16"/>
        </w:rPr>
        <w:t xml:space="preserve"> </w:t>
      </w:r>
      <w:r w:rsidR="00FE0589" w:rsidRPr="00751E1C">
        <w:rPr>
          <w:rFonts w:ascii="Lato" w:hAnsi="Lato"/>
          <w:sz w:val="16"/>
          <w:szCs w:val="16"/>
        </w:rPr>
        <w:t>4</w:t>
      </w:r>
      <w:r w:rsidR="00D213C7" w:rsidRPr="00751E1C">
        <w:rPr>
          <w:rFonts w:ascii="Lato" w:hAnsi="Lato"/>
          <w:sz w:val="16"/>
          <w:szCs w:val="16"/>
        </w:rPr>
        <w:t> </w:t>
      </w:r>
      <w:r w:rsidR="00FE0589" w:rsidRPr="00751E1C">
        <w:rPr>
          <w:rFonts w:ascii="Lato" w:hAnsi="Lato"/>
          <w:sz w:val="16"/>
          <w:szCs w:val="16"/>
        </w:rPr>
        <w:t xml:space="preserve">umowy z </w:t>
      </w:r>
      <w:r w:rsidR="00D213C7" w:rsidRPr="00751E1C">
        <w:rPr>
          <w:rFonts w:ascii="Lato" w:hAnsi="Lato"/>
          <w:sz w:val="16"/>
          <w:szCs w:val="16"/>
        </w:rPr>
        <w:t>Kancelarią Kowalski</w:t>
      </w:r>
      <w:r w:rsidR="001F2D62" w:rsidRPr="00751E1C">
        <w:rPr>
          <w:rFonts w:ascii="Lato" w:hAnsi="Lato"/>
          <w:sz w:val="16"/>
          <w:szCs w:val="16"/>
        </w:rPr>
        <w:t xml:space="preserve"> (162 916,00 zł)</w:t>
      </w:r>
      <w:r w:rsidR="00854B5C" w:rsidRPr="00751E1C">
        <w:rPr>
          <w:rFonts w:ascii="Lato" w:hAnsi="Lato"/>
          <w:kern w:val="0"/>
          <w:sz w:val="16"/>
          <w:szCs w:val="16"/>
          <w14:ligatures w14:val="none"/>
        </w:rPr>
        <w:t>.</w:t>
      </w:r>
    </w:p>
    <w:p w14:paraId="720BE82F" w14:textId="2C19E0B9" w:rsidR="00FE0589" w:rsidRPr="00751E1C" w:rsidRDefault="004800E8" w:rsidP="00254CBC">
      <w:pPr>
        <w:pStyle w:val="Akapitzlist"/>
        <w:numPr>
          <w:ilvl w:val="0"/>
          <w:numId w:val="15"/>
        </w:numPr>
        <w:tabs>
          <w:tab w:val="left" w:pos="567"/>
        </w:tabs>
        <w:spacing w:after="0"/>
        <w:ind w:left="851" w:right="567" w:hanging="283"/>
        <w:jc w:val="both"/>
        <w:rPr>
          <w:sz w:val="16"/>
          <w:szCs w:val="16"/>
        </w:rPr>
      </w:pPr>
      <w:r w:rsidRPr="00751E1C">
        <w:rPr>
          <w:rFonts w:ascii="Lato" w:hAnsi="Lato"/>
          <w:sz w:val="16"/>
          <w:szCs w:val="16"/>
          <w:u w:val="single"/>
        </w:rPr>
        <w:t xml:space="preserve">5 </w:t>
      </w:r>
      <w:r w:rsidR="00854B5C" w:rsidRPr="00751E1C">
        <w:rPr>
          <w:rFonts w:ascii="Lato" w:hAnsi="Lato"/>
          <w:sz w:val="16"/>
          <w:szCs w:val="16"/>
          <w:u w:val="single"/>
        </w:rPr>
        <w:t xml:space="preserve">umów </w:t>
      </w:r>
      <w:r w:rsidRPr="00751E1C">
        <w:rPr>
          <w:rFonts w:ascii="Lato" w:hAnsi="Lato"/>
          <w:sz w:val="16"/>
          <w:szCs w:val="16"/>
          <w:u w:val="single"/>
        </w:rPr>
        <w:t>zawartych z innymi</w:t>
      </w:r>
      <w:r w:rsidR="00D213C7" w:rsidRPr="00751E1C">
        <w:rPr>
          <w:rFonts w:ascii="Lato" w:hAnsi="Lato"/>
          <w:sz w:val="16"/>
          <w:szCs w:val="16"/>
          <w:u w:val="single"/>
        </w:rPr>
        <w:t xml:space="preserve"> kancelariami</w:t>
      </w:r>
      <w:r w:rsidR="001F2D62" w:rsidRPr="00751E1C">
        <w:rPr>
          <w:rFonts w:ascii="Lato" w:hAnsi="Lato"/>
          <w:sz w:val="16"/>
          <w:szCs w:val="16"/>
        </w:rPr>
        <w:t xml:space="preserve">, </w:t>
      </w:r>
      <w:r w:rsidR="00CF6485">
        <w:rPr>
          <w:rFonts w:ascii="Lato" w:hAnsi="Lato"/>
          <w:sz w:val="16"/>
          <w:szCs w:val="16"/>
        </w:rPr>
        <w:t xml:space="preserve">spośród których </w:t>
      </w:r>
      <w:r w:rsidR="001F2D62" w:rsidRPr="00751E1C">
        <w:rPr>
          <w:rFonts w:ascii="Lato" w:hAnsi="Lato"/>
          <w:sz w:val="16"/>
          <w:szCs w:val="16"/>
        </w:rPr>
        <w:t xml:space="preserve">na </w:t>
      </w:r>
      <w:r w:rsidR="00CF6485">
        <w:rPr>
          <w:rFonts w:ascii="Lato" w:hAnsi="Lato"/>
          <w:sz w:val="16"/>
          <w:szCs w:val="16"/>
        </w:rPr>
        <w:t>4</w:t>
      </w:r>
      <w:r w:rsidR="00CF6485">
        <w:rPr>
          <w:rStyle w:val="Odwoanieprzypisudolnego"/>
          <w:rFonts w:ascii="Lato" w:hAnsi="Lato"/>
          <w:sz w:val="16"/>
          <w:szCs w:val="16"/>
        </w:rPr>
        <w:footnoteReference w:id="16"/>
      </w:r>
      <w:r w:rsidR="001F2D62" w:rsidRPr="00751E1C">
        <w:rPr>
          <w:rFonts w:ascii="Lato" w:hAnsi="Lato"/>
          <w:sz w:val="16"/>
          <w:szCs w:val="16"/>
        </w:rPr>
        <w:t xml:space="preserve"> wydatkowano</w:t>
      </w:r>
      <w:r w:rsidR="00143A33" w:rsidRPr="00751E1C">
        <w:rPr>
          <w:rFonts w:ascii="Lato" w:hAnsi="Lato"/>
          <w:sz w:val="16"/>
          <w:szCs w:val="16"/>
        </w:rPr>
        <w:t xml:space="preserve"> 211 395,18 z</w:t>
      </w:r>
      <w:r w:rsidR="001F2D62" w:rsidRPr="00751E1C">
        <w:rPr>
          <w:rFonts w:ascii="Lato" w:hAnsi="Lato"/>
          <w:sz w:val="16"/>
          <w:szCs w:val="16"/>
        </w:rPr>
        <w:t>ł</w:t>
      </w:r>
      <w:r w:rsidR="00FE0589" w:rsidRPr="00751E1C">
        <w:rPr>
          <w:rFonts w:ascii="Lato" w:hAnsi="Lato"/>
          <w:sz w:val="16"/>
          <w:szCs w:val="16"/>
        </w:rPr>
        <w:t xml:space="preserve">: </w:t>
      </w:r>
    </w:p>
    <w:p w14:paraId="0DDA2B6E" w14:textId="7815B80C" w:rsidR="00F5690B" w:rsidRPr="00B95A6B" w:rsidRDefault="004800E8" w:rsidP="00254CBC">
      <w:pPr>
        <w:pStyle w:val="Akapitzlist"/>
        <w:numPr>
          <w:ilvl w:val="0"/>
          <w:numId w:val="8"/>
        </w:numPr>
        <w:tabs>
          <w:tab w:val="left" w:pos="1134"/>
        </w:tabs>
        <w:spacing w:after="0"/>
        <w:ind w:left="993" w:right="565" w:hanging="142"/>
        <w:jc w:val="both"/>
        <w:rPr>
          <w:rFonts w:ascii="Lato" w:hAnsi="Lato"/>
          <w:sz w:val="16"/>
          <w:szCs w:val="16"/>
        </w:rPr>
      </w:pPr>
      <w:r w:rsidRPr="00751E1C">
        <w:rPr>
          <w:rFonts w:ascii="Lato" w:hAnsi="Lato"/>
          <w:sz w:val="16"/>
          <w:szCs w:val="16"/>
        </w:rPr>
        <w:t xml:space="preserve"> dwie umowy z </w:t>
      </w:r>
      <w:r w:rsidR="00F5690B" w:rsidRPr="00751E1C">
        <w:rPr>
          <w:rFonts w:ascii="Lato" w:hAnsi="Lato"/>
          <w:sz w:val="16"/>
          <w:szCs w:val="16"/>
        </w:rPr>
        <w:t xml:space="preserve">WKB Wierciński, </w:t>
      </w:r>
      <w:r w:rsidR="00F5690B" w:rsidRPr="00B95A6B">
        <w:rPr>
          <w:rFonts w:ascii="Lato" w:hAnsi="Lato"/>
          <w:sz w:val="16"/>
          <w:szCs w:val="16"/>
        </w:rPr>
        <w:t xml:space="preserve">Kwieciński, Baehr Spółka Komandytowa z/s w Warszawie </w:t>
      </w:r>
      <w:r w:rsidR="001F2D62" w:rsidRPr="00B95A6B">
        <w:rPr>
          <w:rFonts w:ascii="Lato" w:hAnsi="Lato"/>
          <w:sz w:val="16"/>
          <w:szCs w:val="16"/>
        </w:rPr>
        <w:t>(</w:t>
      </w:r>
      <w:r w:rsidR="00F5690B" w:rsidRPr="00B95A6B">
        <w:rPr>
          <w:rFonts w:ascii="Lato" w:hAnsi="Lato"/>
          <w:sz w:val="16"/>
          <w:szCs w:val="16"/>
        </w:rPr>
        <w:t>wyda</w:t>
      </w:r>
      <w:r w:rsidR="007A2A74">
        <w:rPr>
          <w:rFonts w:ascii="Lato" w:hAnsi="Lato"/>
          <w:sz w:val="16"/>
          <w:szCs w:val="16"/>
        </w:rPr>
        <w:t>no</w:t>
      </w:r>
      <w:r w:rsidR="00F5690B" w:rsidRPr="00B95A6B">
        <w:rPr>
          <w:rFonts w:ascii="Lato" w:hAnsi="Lato"/>
          <w:sz w:val="16"/>
          <w:szCs w:val="16"/>
        </w:rPr>
        <w:t xml:space="preserve"> 125 555,40 zł</w:t>
      </w:r>
      <w:r w:rsidRPr="00B95A6B">
        <w:rPr>
          <w:rFonts w:ascii="Lato" w:hAnsi="Lato"/>
          <w:sz w:val="16"/>
          <w:szCs w:val="16"/>
        </w:rPr>
        <w:t xml:space="preserve"> oraz 10 317,78 zł</w:t>
      </w:r>
      <w:r w:rsidR="001F2D62" w:rsidRPr="00B95A6B">
        <w:rPr>
          <w:rFonts w:ascii="Lato" w:hAnsi="Lato"/>
          <w:sz w:val="16"/>
          <w:szCs w:val="16"/>
        </w:rPr>
        <w:t>)</w:t>
      </w:r>
      <w:r w:rsidR="00F5690B" w:rsidRPr="00B95A6B">
        <w:rPr>
          <w:rFonts w:ascii="Lato" w:hAnsi="Lato"/>
          <w:sz w:val="16"/>
          <w:szCs w:val="16"/>
        </w:rPr>
        <w:t>;</w:t>
      </w:r>
    </w:p>
    <w:p w14:paraId="52577DDD" w14:textId="17843247" w:rsidR="00F5690B" w:rsidRPr="00B95A6B" w:rsidRDefault="004800E8" w:rsidP="00254CBC">
      <w:pPr>
        <w:pStyle w:val="Akapitzlist"/>
        <w:numPr>
          <w:ilvl w:val="0"/>
          <w:numId w:val="8"/>
        </w:numPr>
        <w:tabs>
          <w:tab w:val="left" w:pos="1134"/>
        </w:tabs>
        <w:spacing w:after="0"/>
        <w:ind w:left="993" w:right="565" w:hanging="142"/>
        <w:jc w:val="both"/>
        <w:rPr>
          <w:rFonts w:ascii="Lato" w:hAnsi="Lato"/>
          <w:sz w:val="16"/>
          <w:szCs w:val="16"/>
        </w:rPr>
      </w:pPr>
      <w:r w:rsidRPr="00B95A6B">
        <w:rPr>
          <w:rFonts w:ascii="Lato" w:hAnsi="Lato"/>
          <w:sz w:val="16"/>
          <w:szCs w:val="16"/>
        </w:rPr>
        <w:t xml:space="preserve"> </w:t>
      </w:r>
      <w:r w:rsidR="00F5690B" w:rsidRPr="00B95A6B">
        <w:rPr>
          <w:rFonts w:ascii="Lato" w:hAnsi="Lato"/>
          <w:sz w:val="16"/>
          <w:szCs w:val="16"/>
        </w:rPr>
        <w:t xml:space="preserve">Jerzykowski i Wspólnicy </w:t>
      </w:r>
      <w:r w:rsidR="001F2D62" w:rsidRPr="00B95A6B">
        <w:rPr>
          <w:rFonts w:ascii="Lato" w:hAnsi="Lato"/>
          <w:sz w:val="16"/>
          <w:szCs w:val="16"/>
        </w:rPr>
        <w:t>S</w:t>
      </w:r>
      <w:r w:rsidR="00F5690B" w:rsidRPr="00B95A6B">
        <w:rPr>
          <w:rFonts w:ascii="Lato" w:hAnsi="Lato"/>
          <w:sz w:val="16"/>
          <w:szCs w:val="16"/>
        </w:rPr>
        <w:t xml:space="preserve">p.k. </w:t>
      </w:r>
      <w:r w:rsidR="001F2D62" w:rsidRPr="00B95A6B">
        <w:rPr>
          <w:rFonts w:ascii="Lato" w:hAnsi="Lato"/>
          <w:sz w:val="16"/>
          <w:szCs w:val="16"/>
        </w:rPr>
        <w:t>(</w:t>
      </w:r>
      <w:r w:rsidR="00F5690B" w:rsidRPr="00B95A6B">
        <w:rPr>
          <w:rFonts w:ascii="Lato" w:hAnsi="Lato"/>
          <w:sz w:val="16"/>
          <w:szCs w:val="16"/>
        </w:rPr>
        <w:t>wyda</w:t>
      </w:r>
      <w:r w:rsidR="007A2A74">
        <w:rPr>
          <w:rFonts w:ascii="Lato" w:hAnsi="Lato"/>
          <w:sz w:val="16"/>
          <w:szCs w:val="16"/>
        </w:rPr>
        <w:t xml:space="preserve">no </w:t>
      </w:r>
      <w:r w:rsidR="00F5690B" w:rsidRPr="00B95A6B">
        <w:rPr>
          <w:rFonts w:ascii="Lato" w:hAnsi="Lato"/>
          <w:sz w:val="16"/>
          <w:szCs w:val="16"/>
        </w:rPr>
        <w:t>26 322,00 zł</w:t>
      </w:r>
      <w:r w:rsidR="001F2D62" w:rsidRPr="00B95A6B">
        <w:rPr>
          <w:rFonts w:ascii="Lato" w:hAnsi="Lato"/>
          <w:sz w:val="16"/>
          <w:szCs w:val="16"/>
        </w:rPr>
        <w:t>)</w:t>
      </w:r>
      <w:r w:rsidR="00F5690B" w:rsidRPr="00B95A6B">
        <w:rPr>
          <w:rFonts w:ascii="Lato" w:hAnsi="Lato"/>
          <w:sz w:val="16"/>
          <w:szCs w:val="16"/>
        </w:rPr>
        <w:t>;</w:t>
      </w:r>
    </w:p>
    <w:p w14:paraId="0AE71D64" w14:textId="77CEF06C" w:rsidR="00C6615A" w:rsidRPr="00B95A6B" w:rsidRDefault="00CF6485" w:rsidP="00605CA6">
      <w:pPr>
        <w:pStyle w:val="Akapitzlist"/>
        <w:numPr>
          <w:ilvl w:val="0"/>
          <w:numId w:val="8"/>
        </w:numPr>
        <w:tabs>
          <w:tab w:val="left" w:pos="993"/>
        </w:tabs>
        <w:spacing w:after="120" w:line="257" w:lineRule="auto"/>
        <w:ind w:left="993" w:right="567" w:hanging="142"/>
        <w:contextualSpacing w:val="0"/>
        <w:rPr>
          <w:rFonts w:ascii="Lato" w:hAnsi="Lato"/>
          <w:sz w:val="16"/>
          <w:szCs w:val="16"/>
        </w:rPr>
      </w:pPr>
      <w:r w:rsidRPr="00B95A6B">
        <w:rPr>
          <w:rFonts w:ascii="Lato" w:hAnsi="Lato"/>
          <w:sz w:val="16"/>
          <w:szCs w:val="16"/>
        </w:rPr>
        <w:t xml:space="preserve"> </w:t>
      </w:r>
      <w:r w:rsidR="00C6615A" w:rsidRPr="00B95A6B">
        <w:rPr>
          <w:rFonts w:ascii="Lato" w:hAnsi="Lato"/>
          <w:sz w:val="16"/>
          <w:szCs w:val="16"/>
        </w:rPr>
        <w:t xml:space="preserve">AVENTUM Kancelaria </w:t>
      </w:r>
      <w:r w:rsidR="00C6615A" w:rsidRPr="00605CA6">
        <w:rPr>
          <w:rFonts w:ascii="Lato" w:hAnsi="Lato"/>
          <w:sz w:val="16"/>
          <w:szCs w:val="16"/>
        </w:rPr>
        <w:t xml:space="preserve">Radców Prawnych Malik, </w:t>
      </w:r>
      <w:r w:rsidR="00605CA6" w:rsidRPr="00605CA6">
        <w:rPr>
          <w:rFonts w:ascii="Lato" w:hAnsi="Lato"/>
          <w:sz w:val="16"/>
          <w:szCs w:val="16"/>
        </w:rPr>
        <w:t>Pok</w:t>
      </w:r>
      <w:r w:rsidR="00605CA6">
        <w:rPr>
          <w:rFonts w:ascii="Lato" w:hAnsi="Lato"/>
          <w:sz w:val="16"/>
          <w:szCs w:val="16"/>
        </w:rPr>
        <w:t>ój</w:t>
      </w:r>
      <w:r w:rsidR="00C6615A" w:rsidRPr="00605CA6">
        <w:rPr>
          <w:rFonts w:ascii="Lato" w:hAnsi="Lato"/>
          <w:sz w:val="16"/>
          <w:szCs w:val="16"/>
        </w:rPr>
        <w:t xml:space="preserve"> </w:t>
      </w:r>
      <w:r w:rsidR="007A2A74">
        <w:rPr>
          <w:rFonts w:ascii="Lato" w:hAnsi="Lato"/>
          <w:sz w:val="16"/>
          <w:szCs w:val="16"/>
        </w:rPr>
        <w:t xml:space="preserve">i Partnerzy </w:t>
      </w:r>
      <w:r w:rsidR="00C6615A" w:rsidRPr="00605CA6">
        <w:rPr>
          <w:rFonts w:ascii="Lato" w:hAnsi="Lato"/>
          <w:sz w:val="16"/>
          <w:szCs w:val="16"/>
        </w:rPr>
        <w:t>Sp.</w:t>
      </w:r>
      <w:r w:rsidR="007A2A74">
        <w:rPr>
          <w:rFonts w:ascii="Lato" w:hAnsi="Lato"/>
          <w:sz w:val="16"/>
          <w:szCs w:val="16"/>
        </w:rPr>
        <w:t xml:space="preserve"> </w:t>
      </w:r>
      <w:r w:rsidR="00C6615A" w:rsidRPr="00605CA6">
        <w:rPr>
          <w:rFonts w:ascii="Lato" w:hAnsi="Lato"/>
          <w:sz w:val="16"/>
          <w:szCs w:val="16"/>
        </w:rPr>
        <w:t>p</w:t>
      </w:r>
      <w:r w:rsidR="00143A33" w:rsidRPr="00605CA6">
        <w:rPr>
          <w:rFonts w:ascii="Lato" w:hAnsi="Lato"/>
          <w:sz w:val="16"/>
          <w:szCs w:val="16"/>
        </w:rPr>
        <w:t>. (wyda</w:t>
      </w:r>
      <w:r w:rsidR="007A2A74">
        <w:rPr>
          <w:rFonts w:ascii="Lato" w:hAnsi="Lato"/>
          <w:sz w:val="16"/>
          <w:szCs w:val="16"/>
        </w:rPr>
        <w:t>no</w:t>
      </w:r>
      <w:r w:rsidR="00143A33" w:rsidRPr="00605CA6">
        <w:rPr>
          <w:rFonts w:ascii="Lato" w:hAnsi="Lato"/>
          <w:sz w:val="16"/>
          <w:szCs w:val="16"/>
        </w:rPr>
        <w:t xml:space="preserve"> 49</w:t>
      </w:r>
      <w:r w:rsidR="00E63CDC">
        <w:rPr>
          <w:rFonts w:ascii="Lato" w:hAnsi="Lato"/>
          <w:sz w:val="16"/>
          <w:szCs w:val="16"/>
        </w:rPr>
        <w:t> </w:t>
      </w:r>
      <w:r w:rsidR="00143A33" w:rsidRPr="00605CA6">
        <w:rPr>
          <w:rFonts w:ascii="Lato" w:hAnsi="Lato"/>
          <w:sz w:val="16"/>
          <w:szCs w:val="16"/>
        </w:rPr>
        <w:t>200</w:t>
      </w:r>
      <w:r w:rsidR="00E63CDC">
        <w:rPr>
          <w:rFonts w:ascii="Lato" w:hAnsi="Lato"/>
          <w:sz w:val="16"/>
          <w:szCs w:val="16"/>
        </w:rPr>
        <w:t xml:space="preserve"> </w:t>
      </w:r>
      <w:r w:rsidR="00143A33" w:rsidRPr="00605CA6">
        <w:rPr>
          <w:rFonts w:ascii="Lato" w:hAnsi="Lato"/>
          <w:sz w:val="16"/>
          <w:szCs w:val="16"/>
        </w:rPr>
        <w:t>zł)</w:t>
      </w:r>
      <w:r w:rsidRPr="00605CA6">
        <w:rPr>
          <w:rFonts w:ascii="Lato" w:hAnsi="Lato"/>
          <w:sz w:val="16"/>
          <w:szCs w:val="16"/>
        </w:rPr>
        <w:t>.</w:t>
      </w:r>
    </w:p>
    <w:p w14:paraId="18EC0005" w14:textId="4FBD9128" w:rsidR="003714B7" w:rsidRPr="00E23F15" w:rsidRDefault="003714B7" w:rsidP="003714B7">
      <w:pPr>
        <w:pStyle w:val="Akapitzlist"/>
        <w:tabs>
          <w:tab w:val="left" w:pos="567"/>
        </w:tabs>
        <w:spacing w:after="120" w:line="257" w:lineRule="auto"/>
        <w:ind w:left="567" w:right="567"/>
        <w:jc w:val="both"/>
        <w:rPr>
          <w:rFonts w:ascii="Lato" w:hAnsi="Lato"/>
          <w:sz w:val="16"/>
          <w:szCs w:val="16"/>
        </w:rPr>
      </w:pPr>
      <w:r>
        <w:rPr>
          <w:rFonts w:ascii="Lato" w:hAnsi="Lato"/>
          <w:sz w:val="16"/>
          <w:szCs w:val="16"/>
        </w:rPr>
        <w:t xml:space="preserve">Jak wyjaśniono, </w:t>
      </w:r>
      <w:r w:rsidR="00D86DB6">
        <w:rPr>
          <w:rFonts w:ascii="Lato" w:hAnsi="Lato"/>
          <w:sz w:val="16"/>
          <w:szCs w:val="16"/>
        </w:rPr>
        <w:t>wsparci</w:t>
      </w:r>
      <w:r w:rsidR="00A3699A">
        <w:rPr>
          <w:rFonts w:ascii="Lato" w:hAnsi="Lato"/>
          <w:sz w:val="16"/>
          <w:szCs w:val="16"/>
        </w:rPr>
        <w:t>e</w:t>
      </w:r>
      <w:r w:rsidR="00D86DB6">
        <w:rPr>
          <w:rFonts w:ascii="Lato" w:hAnsi="Lato"/>
          <w:sz w:val="16"/>
          <w:szCs w:val="16"/>
        </w:rPr>
        <w:t xml:space="preserve"> kancelarii prawnych </w:t>
      </w:r>
      <w:r w:rsidR="00A3699A">
        <w:rPr>
          <w:rFonts w:ascii="Lato" w:hAnsi="Lato"/>
          <w:sz w:val="16"/>
          <w:szCs w:val="16"/>
        </w:rPr>
        <w:t xml:space="preserve">pozwoliło </w:t>
      </w:r>
      <w:r w:rsidRPr="003714B7">
        <w:rPr>
          <w:rFonts w:ascii="Lato" w:hAnsi="Lato"/>
          <w:sz w:val="16"/>
          <w:szCs w:val="16"/>
        </w:rPr>
        <w:t>na identyfikację</w:t>
      </w:r>
      <w:r>
        <w:rPr>
          <w:rFonts w:ascii="Lato" w:hAnsi="Lato"/>
          <w:sz w:val="16"/>
          <w:szCs w:val="16"/>
        </w:rPr>
        <w:t xml:space="preserve"> </w:t>
      </w:r>
      <w:r w:rsidRPr="003714B7">
        <w:rPr>
          <w:rFonts w:ascii="Lato" w:hAnsi="Lato"/>
          <w:sz w:val="16"/>
          <w:szCs w:val="16"/>
        </w:rPr>
        <w:t>nieprawidłowości w</w:t>
      </w:r>
      <w:r w:rsidR="00D86DB6">
        <w:rPr>
          <w:rFonts w:ascii="Lato" w:hAnsi="Lato"/>
          <w:sz w:val="16"/>
          <w:szCs w:val="16"/>
        </w:rPr>
        <w:t> </w:t>
      </w:r>
      <w:r w:rsidRPr="003714B7">
        <w:rPr>
          <w:rFonts w:ascii="Lato" w:hAnsi="Lato"/>
          <w:sz w:val="16"/>
          <w:szCs w:val="16"/>
        </w:rPr>
        <w:t xml:space="preserve">sposób </w:t>
      </w:r>
      <w:r w:rsidR="00A35E2E">
        <w:rPr>
          <w:rFonts w:ascii="Lato" w:hAnsi="Lato"/>
          <w:sz w:val="16"/>
          <w:szCs w:val="16"/>
        </w:rPr>
        <w:t>niezależny i obiektywny</w:t>
      </w:r>
      <w:r w:rsidR="00D86DB6">
        <w:rPr>
          <w:rFonts w:ascii="Lato" w:hAnsi="Lato"/>
          <w:sz w:val="16"/>
          <w:szCs w:val="16"/>
        </w:rPr>
        <w:t xml:space="preserve">, jak również na sformułowanie </w:t>
      </w:r>
      <w:r w:rsidR="00A35E2E">
        <w:rPr>
          <w:rFonts w:ascii="Lato" w:hAnsi="Lato"/>
          <w:sz w:val="16"/>
          <w:szCs w:val="16"/>
        </w:rPr>
        <w:t xml:space="preserve">propozycji </w:t>
      </w:r>
      <w:r w:rsidRPr="003714B7">
        <w:rPr>
          <w:rFonts w:ascii="Lato" w:hAnsi="Lato"/>
          <w:sz w:val="16"/>
          <w:szCs w:val="16"/>
        </w:rPr>
        <w:t>rozwiązań systemowych. Dodatkowo,</w:t>
      </w:r>
      <w:r w:rsidR="00A35E2E">
        <w:rPr>
          <w:rFonts w:ascii="Lato" w:hAnsi="Lato"/>
          <w:sz w:val="16"/>
          <w:szCs w:val="16"/>
        </w:rPr>
        <w:t xml:space="preserve"> zdaniem Dyrektora Generalnego, </w:t>
      </w:r>
      <w:r w:rsidR="00D86DB6">
        <w:rPr>
          <w:rFonts w:ascii="Lato" w:hAnsi="Lato"/>
          <w:sz w:val="16"/>
          <w:szCs w:val="16"/>
        </w:rPr>
        <w:t>działania kancelarii</w:t>
      </w:r>
      <w:r w:rsidRPr="003714B7">
        <w:rPr>
          <w:rFonts w:ascii="Lato" w:hAnsi="Lato"/>
          <w:sz w:val="16"/>
          <w:szCs w:val="16"/>
        </w:rPr>
        <w:t xml:space="preserve"> zwiększył</w:t>
      </w:r>
      <w:r w:rsidR="00D86DB6">
        <w:rPr>
          <w:rFonts w:ascii="Lato" w:hAnsi="Lato"/>
          <w:sz w:val="16"/>
          <w:szCs w:val="16"/>
        </w:rPr>
        <w:t>y</w:t>
      </w:r>
      <w:r w:rsidRPr="003714B7">
        <w:rPr>
          <w:rFonts w:ascii="Lato" w:hAnsi="Lato"/>
          <w:sz w:val="16"/>
          <w:szCs w:val="16"/>
        </w:rPr>
        <w:t xml:space="preserve"> poziom transparentności i zaufania do instytucji, co ma </w:t>
      </w:r>
      <w:r w:rsidR="00A35E2E">
        <w:rPr>
          <w:rFonts w:ascii="Lato" w:hAnsi="Lato"/>
          <w:sz w:val="16"/>
          <w:szCs w:val="16"/>
        </w:rPr>
        <w:t>istotne</w:t>
      </w:r>
      <w:r>
        <w:rPr>
          <w:rFonts w:ascii="Lato" w:hAnsi="Lato"/>
          <w:sz w:val="16"/>
          <w:szCs w:val="16"/>
        </w:rPr>
        <w:t xml:space="preserve"> </w:t>
      </w:r>
      <w:r w:rsidRPr="003714B7">
        <w:rPr>
          <w:rFonts w:ascii="Lato" w:hAnsi="Lato"/>
          <w:sz w:val="16"/>
          <w:szCs w:val="16"/>
        </w:rPr>
        <w:t>znaczenie zarówno dla pracowników, jak i</w:t>
      </w:r>
      <w:r w:rsidR="00A35E2E">
        <w:rPr>
          <w:rFonts w:ascii="Lato" w:hAnsi="Lato"/>
          <w:sz w:val="16"/>
          <w:szCs w:val="16"/>
        </w:rPr>
        <w:t> </w:t>
      </w:r>
      <w:r w:rsidRPr="003714B7">
        <w:rPr>
          <w:rFonts w:ascii="Lato" w:hAnsi="Lato"/>
          <w:sz w:val="16"/>
          <w:szCs w:val="16"/>
        </w:rPr>
        <w:t>opinii publicznej.</w:t>
      </w:r>
      <w:r>
        <w:rPr>
          <w:rFonts w:ascii="Lato" w:hAnsi="Lato"/>
          <w:sz w:val="16"/>
          <w:szCs w:val="16"/>
        </w:rPr>
        <w:t xml:space="preserve"> </w:t>
      </w:r>
      <w:r w:rsidR="00D86DB6">
        <w:rPr>
          <w:rFonts w:ascii="Lato" w:hAnsi="Lato"/>
          <w:sz w:val="16"/>
          <w:szCs w:val="16"/>
        </w:rPr>
        <w:t>Jednocześnie wskazano, że</w:t>
      </w:r>
      <w:r w:rsidRPr="003714B7">
        <w:rPr>
          <w:rFonts w:ascii="Lato" w:hAnsi="Lato"/>
          <w:sz w:val="16"/>
          <w:szCs w:val="16"/>
        </w:rPr>
        <w:t xml:space="preserve"> w celu zapewnienia długofalowej poprawy systemu zarządzania i</w:t>
      </w:r>
      <w:r w:rsidR="00A35E2E">
        <w:rPr>
          <w:rFonts w:ascii="Lato" w:hAnsi="Lato"/>
          <w:sz w:val="16"/>
          <w:szCs w:val="16"/>
        </w:rPr>
        <w:t> </w:t>
      </w:r>
      <w:r w:rsidRPr="003714B7">
        <w:rPr>
          <w:rFonts w:ascii="Lato" w:hAnsi="Lato"/>
          <w:sz w:val="16"/>
          <w:szCs w:val="16"/>
        </w:rPr>
        <w:t>nadzoru,</w:t>
      </w:r>
      <w:r>
        <w:rPr>
          <w:rFonts w:ascii="Lato" w:hAnsi="Lato"/>
          <w:sz w:val="16"/>
          <w:szCs w:val="16"/>
        </w:rPr>
        <w:t xml:space="preserve"> </w:t>
      </w:r>
      <w:r w:rsidRPr="003714B7">
        <w:rPr>
          <w:rFonts w:ascii="Lato" w:hAnsi="Lato"/>
          <w:sz w:val="16"/>
          <w:szCs w:val="16"/>
        </w:rPr>
        <w:t>przygotowywana jest tzw. „biała księga”, zawierająca propozycje</w:t>
      </w:r>
      <w:r>
        <w:rPr>
          <w:rFonts w:ascii="Lato" w:hAnsi="Lato"/>
          <w:sz w:val="16"/>
          <w:szCs w:val="16"/>
        </w:rPr>
        <w:t xml:space="preserve"> </w:t>
      </w:r>
      <w:r w:rsidRPr="003714B7">
        <w:rPr>
          <w:rFonts w:ascii="Lato" w:hAnsi="Lato"/>
          <w:sz w:val="16"/>
          <w:szCs w:val="16"/>
        </w:rPr>
        <w:t>reform i</w:t>
      </w:r>
      <w:r w:rsidR="00A35E2E">
        <w:rPr>
          <w:rFonts w:ascii="Lato" w:hAnsi="Lato"/>
          <w:sz w:val="16"/>
          <w:szCs w:val="16"/>
        </w:rPr>
        <w:t> </w:t>
      </w:r>
      <w:r w:rsidRPr="003714B7">
        <w:rPr>
          <w:rFonts w:ascii="Lato" w:hAnsi="Lato"/>
          <w:sz w:val="16"/>
          <w:szCs w:val="16"/>
        </w:rPr>
        <w:t>zmian legislacyjnych.</w:t>
      </w:r>
      <w:r w:rsidR="00D86DB6">
        <w:rPr>
          <w:rFonts w:ascii="Lato" w:hAnsi="Lato"/>
          <w:sz w:val="16"/>
          <w:szCs w:val="16"/>
        </w:rPr>
        <w:t xml:space="preserve"> Ponadto kancelarie odpowiadały za złożenie i procedowanie 6</w:t>
      </w:r>
      <w:r w:rsidR="00A35E2E">
        <w:rPr>
          <w:rFonts w:ascii="Lato" w:hAnsi="Lato"/>
          <w:sz w:val="16"/>
          <w:szCs w:val="16"/>
        </w:rPr>
        <w:t> </w:t>
      </w:r>
      <w:r w:rsidR="00D86DB6">
        <w:rPr>
          <w:rFonts w:ascii="Lato" w:hAnsi="Lato"/>
          <w:sz w:val="16"/>
          <w:szCs w:val="16"/>
        </w:rPr>
        <w:t xml:space="preserve">zawiadomień o możliwości popełnienia przestępstwa, </w:t>
      </w:r>
      <w:r w:rsidR="00D86DB6" w:rsidRPr="00E23F15">
        <w:rPr>
          <w:rFonts w:ascii="Lato" w:hAnsi="Lato"/>
          <w:sz w:val="16"/>
          <w:szCs w:val="16"/>
        </w:rPr>
        <w:t xml:space="preserve">dotyczących m.in. byłego </w:t>
      </w:r>
      <w:r w:rsidR="00A35E2E">
        <w:rPr>
          <w:rFonts w:ascii="Lato" w:hAnsi="Lato"/>
          <w:sz w:val="16"/>
          <w:szCs w:val="16"/>
        </w:rPr>
        <w:t>kierownictwa PGL LP</w:t>
      </w:r>
      <w:r w:rsidR="00D86DB6" w:rsidRPr="00E23F15">
        <w:rPr>
          <w:rFonts w:ascii="Lato" w:hAnsi="Lato"/>
          <w:sz w:val="16"/>
          <w:szCs w:val="16"/>
        </w:rPr>
        <w:t>.</w:t>
      </w:r>
    </w:p>
    <w:p w14:paraId="6BFE491F" w14:textId="6CD6A5C4" w:rsidR="00E2633E" w:rsidRPr="00A35E2E" w:rsidRDefault="00FD1337" w:rsidP="00E2633E">
      <w:pPr>
        <w:spacing w:before="120" w:after="120"/>
        <w:ind w:left="567"/>
        <w:rPr>
          <w:sz w:val="16"/>
          <w:szCs w:val="16"/>
        </w:rPr>
      </w:pPr>
      <w:r w:rsidRPr="00A35E2E">
        <w:rPr>
          <w:b/>
          <w:bCs/>
          <w:sz w:val="16"/>
          <w:szCs w:val="16"/>
        </w:rPr>
        <w:t>[akta kontroli</w:t>
      </w:r>
      <w:r w:rsidR="00101E7F">
        <w:rPr>
          <w:b/>
          <w:bCs/>
          <w:sz w:val="16"/>
          <w:szCs w:val="16"/>
        </w:rPr>
        <w:t>:</w:t>
      </w:r>
      <w:r w:rsidRPr="00A35E2E">
        <w:rPr>
          <w:b/>
          <w:bCs/>
          <w:sz w:val="16"/>
          <w:szCs w:val="16"/>
        </w:rPr>
        <w:t xml:space="preserve"> </w:t>
      </w:r>
      <w:r w:rsidR="007B79E6" w:rsidRPr="00A35E2E">
        <w:rPr>
          <w:b/>
          <w:bCs/>
          <w:sz w:val="16"/>
          <w:szCs w:val="16"/>
        </w:rPr>
        <w:t>f2_</w:t>
      </w:r>
      <w:r w:rsidR="00E2633E" w:rsidRPr="00A35E2E">
        <w:rPr>
          <w:b/>
          <w:bCs/>
          <w:sz w:val="16"/>
          <w:szCs w:val="16"/>
        </w:rPr>
        <w:t>f1_f1_f2; f2_p1_p2; f3</w:t>
      </w:r>
      <w:r w:rsidR="00A35E2E" w:rsidRPr="00A35E2E">
        <w:rPr>
          <w:b/>
          <w:bCs/>
          <w:sz w:val="16"/>
          <w:szCs w:val="16"/>
        </w:rPr>
        <w:t>]</w:t>
      </w:r>
    </w:p>
    <w:p w14:paraId="07C29A69" w14:textId="1A3BA4F8" w:rsidR="00C53228" w:rsidRPr="00E23F15" w:rsidRDefault="00C53228" w:rsidP="00D27D8F">
      <w:pPr>
        <w:pStyle w:val="Akapitzlist"/>
        <w:numPr>
          <w:ilvl w:val="0"/>
          <w:numId w:val="21"/>
        </w:numPr>
        <w:tabs>
          <w:tab w:val="left" w:pos="284"/>
        </w:tabs>
        <w:ind w:left="0" w:firstLine="0"/>
        <w:jc w:val="both"/>
        <w:rPr>
          <w:b/>
          <w:bCs/>
          <w:szCs w:val="20"/>
        </w:rPr>
      </w:pPr>
      <w:r w:rsidRPr="00E23F15">
        <w:rPr>
          <w:rFonts w:ascii="Lato" w:hAnsi="Lato"/>
          <w:b/>
          <w:bCs/>
          <w:sz w:val="20"/>
          <w:szCs w:val="20"/>
        </w:rPr>
        <w:t>[</w:t>
      </w:r>
      <w:r w:rsidR="00FB40C6" w:rsidRPr="00E23F15">
        <w:rPr>
          <w:rFonts w:ascii="Lato" w:hAnsi="Lato"/>
          <w:b/>
          <w:bCs/>
          <w:sz w:val="20"/>
          <w:szCs w:val="20"/>
        </w:rPr>
        <w:t>Umowy p</w:t>
      </w:r>
      <w:r w:rsidR="001F2D62" w:rsidRPr="00E23F15">
        <w:rPr>
          <w:rFonts w:ascii="Lato" w:hAnsi="Lato"/>
          <w:b/>
          <w:bCs/>
          <w:sz w:val="20"/>
          <w:szCs w:val="20"/>
        </w:rPr>
        <w:t>ozostał</w:t>
      </w:r>
      <w:r w:rsidR="00FB40C6" w:rsidRPr="00E23F15">
        <w:rPr>
          <w:rFonts w:ascii="Lato" w:hAnsi="Lato"/>
          <w:b/>
          <w:bCs/>
          <w:sz w:val="20"/>
          <w:szCs w:val="20"/>
        </w:rPr>
        <w:t>ych</w:t>
      </w:r>
      <w:r w:rsidR="001F2D62" w:rsidRPr="00E23F15">
        <w:rPr>
          <w:rFonts w:ascii="Lato" w:hAnsi="Lato"/>
          <w:b/>
          <w:bCs/>
          <w:sz w:val="20"/>
          <w:szCs w:val="20"/>
        </w:rPr>
        <w:t xml:space="preserve"> j</w:t>
      </w:r>
      <w:r w:rsidRPr="00E23F15">
        <w:rPr>
          <w:rFonts w:ascii="Lato" w:hAnsi="Lato"/>
          <w:b/>
          <w:bCs/>
          <w:sz w:val="20"/>
          <w:szCs w:val="20"/>
        </w:rPr>
        <w:t>ednost</w:t>
      </w:r>
      <w:r w:rsidR="00FB40C6" w:rsidRPr="00E23F15">
        <w:rPr>
          <w:rFonts w:ascii="Lato" w:hAnsi="Lato"/>
          <w:b/>
          <w:bCs/>
          <w:sz w:val="20"/>
          <w:szCs w:val="20"/>
        </w:rPr>
        <w:t>ek</w:t>
      </w:r>
      <w:r w:rsidRPr="00E23F15">
        <w:rPr>
          <w:rFonts w:ascii="Lato" w:hAnsi="Lato"/>
          <w:b/>
          <w:bCs/>
          <w:sz w:val="20"/>
          <w:szCs w:val="20"/>
        </w:rPr>
        <w:t xml:space="preserve"> </w:t>
      </w:r>
      <w:r w:rsidR="001F2D62" w:rsidRPr="00E23F15">
        <w:rPr>
          <w:rFonts w:ascii="Lato" w:hAnsi="Lato"/>
          <w:b/>
          <w:bCs/>
          <w:sz w:val="20"/>
          <w:szCs w:val="20"/>
        </w:rPr>
        <w:t>P</w:t>
      </w:r>
      <w:r w:rsidRPr="00E23F15">
        <w:rPr>
          <w:rFonts w:ascii="Lato" w:hAnsi="Lato"/>
          <w:b/>
          <w:bCs/>
          <w:sz w:val="20"/>
          <w:szCs w:val="20"/>
        </w:rPr>
        <w:t>GL</w:t>
      </w:r>
      <w:r w:rsidR="001F2D62" w:rsidRPr="00E23F15">
        <w:rPr>
          <w:rFonts w:ascii="Lato" w:hAnsi="Lato"/>
          <w:b/>
          <w:bCs/>
          <w:sz w:val="20"/>
          <w:szCs w:val="20"/>
        </w:rPr>
        <w:t xml:space="preserve"> L</w:t>
      </w:r>
      <w:r w:rsidRPr="00E23F15">
        <w:rPr>
          <w:rFonts w:ascii="Lato" w:hAnsi="Lato"/>
          <w:b/>
          <w:bCs/>
          <w:sz w:val="20"/>
          <w:szCs w:val="20"/>
        </w:rPr>
        <w:t xml:space="preserve">P] </w:t>
      </w:r>
      <w:r w:rsidR="00782C14" w:rsidRPr="00E23F15">
        <w:rPr>
          <w:rFonts w:ascii="Lato" w:hAnsi="Lato"/>
          <w:sz w:val="20"/>
          <w:szCs w:val="20"/>
        </w:rPr>
        <w:t>Skala umów na obsługę prawną pozostałych jednostek PGL LP (z wyłączeniem DGLP) w badanym okresie była znaczna</w:t>
      </w:r>
      <w:r w:rsidR="00854B5C" w:rsidRPr="00E23F15">
        <w:rPr>
          <w:rFonts w:ascii="Lato" w:hAnsi="Lato"/>
          <w:sz w:val="20"/>
          <w:szCs w:val="20"/>
        </w:rPr>
        <w:t xml:space="preserve">: w ramach 1.573 umów wydatkowano </w:t>
      </w:r>
      <w:r w:rsidR="00D27D8F" w:rsidRPr="00E23F15">
        <w:rPr>
          <w:rFonts w:ascii="Lato" w:hAnsi="Lato"/>
          <w:kern w:val="0"/>
          <w:sz w:val="20"/>
          <w:szCs w:val="20"/>
          <w14:ligatures w14:val="none"/>
        </w:rPr>
        <w:t>45</w:t>
      </w:r>
      <w:r w:rsidR="008A62B3" w:rsidRPr="00E23F15">
        <w:rPr>
          <w:rFonts w:ascii="Lato" w:hAnsi="Lato"/>
          <w:kern w:val="0"/>
          <w:sz w:val="20"/>
          <w:szCs w:val="20"/>
          <w14:ligatures w14:val="none"/>
        </w:rPr>
        <w:t xml:space="preserve"> </w:t>
      </w:r>
      <w:r w:rsidR="008A62B3" w:rsidRPr="00E23F15">
        <w:rPr>
          <w:rFonts w:ascii="Lato" w:hAnsi="Lato"/>
          <w:sz w:val="20"/>
          <w:szCs w:val="20"/>
        </w:rPr>
        <w:t>mln zł.</w:t>
      </w:r>
      <w:r w:rsidR="00782C14" w:rsidRPr="00E23F15">
        <w:rPr>
          <w:rFonts w:ascii="Lato" w:hAnsi="Lato"/>
          <w:sz w:val="20"/>
          <w:szCs w:val="20"/>
        </w:rPr>
        <w:t xml:space="preserve"> Średnia liczba umów wynosiła </w:t>
      </w:r>
      <w:r w:rsidR="0079339F" w:rsidRPr="00E23F15">
        <w:rPr>
          <w:rFonts w:ascii="Lato" w:hAnsi="Lato"/>
          <w:sz w:val="20"/>
          <w:szCs w:val="20"/>
        </w:rPr>
        <w:t xml:space="preserve">ok. </w:t>
      </w:r>
      <w:r w:rsidR="00782C14" w:rsidRPr="00E23F15">
        <w:rPr>
          <w:rFonts w:ascii="Lato" w:hAnsi="Lato"/>
          <w:sz w:val="20"/>
          <w:szCs w:val="20"/>
        </w:rPr>
        <w:t>3,4</w:t>
      </w:r>
      <w:r w:rsidR="0044656F" w:rsidRPr="00E23F15">
        <w:rPr>
          <w:rFonts w:ascii="Lato" w:hAnsi="Lato"/>
          <w:sz w:val="20"/>
          <w:szCs w:val="20"/>
        </w:rPr>
        <w:t xml:space="preserve"> umowy na jednostkę</w:t>
      </w:r>
      <w:r w:rsidR="00782C14" w:rsidRPr="00E23F15">
        <w:rPr>
          <w:rFonts w:ascii="Lato" w:hAnsi="Lato"/>
          <w:sz w:val="20"/>
          <w:szCs w:val="20"/>
        </w:rPr>
        <w:t>.</w:t>
      </w:r>
      <w:r w:rsidR="00FD1337" w:rsidRPr="00E23F15">
        <w:rPr>
          <w:rFonts w:ascii="Lato" w:hAnsi="Lato"/>
          <w:sz w:val="20"/>
          <w:szCs w:val="20"/>
        </w:rPr>
        <w:t xml:space="preserve"> W związku z prowadzoną kontrolą </w:t>
      </w:r>
      <w:r w:rsidR="000A4349">
        <w:rPr>
          <w:rFonts w:ascii="Lato" w:hAnsi="Lato"/>
          <w:sz w:val="20"/>
          <w:szCs w:val="20"/>
        </w:rPr>
        <w:t>MK</w:t>
      </w:r>
      <w:r w:rsidR="007A2A74">
        <w:rPr>
          <w:rFonts w:ascii="Lato" w:hAnsi="Lato"/>
          <w:sz w:val="20"/>
          <w:szCs w:val="20"/>
        </w:rPr>
        <w:t>i</w:t>
      </w:r>
      <w:r w:rsidR="000A4349">
        <w:rPr>
          <w:rFonts w:ascii="Lato" w:hAnsi="Lato"/>
          <w:sz w:val="20"/>
          <w:szCs w:val="20"/>
        </w:rPr>
        <w:t xml:space="preserve">Ś </w:t>
      </w:r>
      <w:r w:rsidR="00FD1337" w:rsidRPr="00E23F15">
        <w:rPr>
          <w:rFonts w:ascii="Lato" w:hAnsi="Lato"/>
          <w:sz w:val="20"/>
          <w:szCs w:val="20"/>
        </w:rPr>
        <w:t>Dyrektor Generalny w celu zwiększenia kontroli zarządczej w badanym obszarze podjął decyzję o przeprowadzeniu wewnętrznej analizy umów na</w:t>
      </w:r>
      <w:r w:rsidR="003714B7" w:rsidRPr="00E23F15">
        <w:rPr>
          <w:rFonts w:ascii="Lato" w:hAnsi="Lato"/>
          <w:sz w:val="20"/>
          <w:szCs w:val="20"/>
        </w:rPr>
        <w:t> </w:t>
      </w:r>
      <w:r w:rsidR="00FD1337" w:rsidRPr="00E23F15">
        <w:rPr>
          <w:rFonts w:ascii="Lato" w:hAnsi="Lato"/>
          <w:sz w:val="20"/>
          <w:szCs w:val="20"/>
        </w:rPr>
        <w:t xml:space="preserve">obsługę prawną </w:t>
      </w:r>
      <w:r w:rsidR="000A4349">
        <w:rPr>
          <w:rFonts w:ascii="Lato" w:hAnsi="Lato"/>
          <w:sz w:val="20"/>
          <w:szCs w:val="20"/>
        </w:rPr>
        <w:t xml:space="preserve">wszystkich jednostek </w:t>
      </w:r>
      <w:r w:rsidR="00FD1337" w:rsidRPr="00E23F15">
        <w:rPr>
          <w:rFonts w:ascii="Lato" w:hAnsi="Lato"/>
          <w:sz w:val="20"/>
          <w:szCs w:val="20"/>
        </w:rPr>
        <w:t>PGL LP za 2024</w:t>
      </w:r>
      <w:r w:rsidR="000A4349">
        <w:rPr>
          <w:rFonts w:ascii="Lato" w:hAnsi="Lato"/>
          <w:sz w:val="20"/>
          <w:szCs w:val="20"/>
        </w:rPr>
        <w:t xml:space="preserve"> r</w:t>
      </w:r>
      <w:r w:rsidR="00FD1337" w:rsidRPr="00E23F15">
        <w:rPr>
          <w:rFonts w:ascii="Lato" w:hAnsi="Lato"/>
          <w:sz w:val="20"/>
          <w:szCs w:val="20"/>
        </w:rPr>
        <w:t>.</w:t>
      </w:r>
    </w:p>
    <w:p w14:paraId="6C89C9AF" w14:textId="02165116" w:rsidR="00C53228" w:rsidRPr="0069107F" w:rsidRDefault="00C53228" w:rsidP="00D27D8F">
      <w:pPr>
        <w:tabs>
          <w:tab w:val="left" w:pos="284"/>
        </w:tabs>
        <w:ind w:left="567" w:right="565"/>
        <w:rPr>
          <w:sz w:val="16"/>
          <w:szCs w:val="16"/>
        </w:rPr>
      </w:pPr>
      <w:r w:rsidRPr="00E23F15">
        <w:rPr>
          <w:sz w:val="16"/>
          <w:szCs w:val="16"/>
        </w:rPr>
        <w:t>W</w:t>
      </w:r>
      <w:r w:rsidR="001F2D62" w:rsidRPr="00E23F15">
        <w:rPr>
          <w:sz w:val="16"/>
          <w:szCs w:val="16"/>
        </w:rPr>
        <w:t xml:space="preserve"> </w:t>
      </w:r>
      <w:r w:rsidRPr="00E23F15">
        <w:rPr>
          <w:sz w:val="16"/>
          <w:szCs w:val="16"/>
        </w:rPr>
        <w:t>jednostkach PGL LP realizowano 1</w:t>
      </w:r>
      <w:r w:rsidR="001F2D62" w:rsidRPr="00E23F15">
        <w:rPr>
          <w:sz w:val="16"/>
          <w:szCs w:val="16"/>
        </w:rPr>
        <w:t>.</w:t>
      </w:r>
      <w:r w:rsidRPr="00E23F15">
        <w:rPr>
          <w:sz w:val="16"/>
          <w:szCs w:val="16"/>
        </w:rPr>
        <w:t>573 umów</w:t>
      </w:r>
      <w:r w:rsidRPr="0069107F">
        <w:rPr>
          <w:sz w:val="16"/>
          <w:szCs w:val="16"/>
        </w:rPr>
        <w:t xml:space="preserve"> </w:t>
      </w:r>
      <w:r w:rsidR="000A4349">
        <w:rPr>
          <w:sz w:val="16"/>
          <w:szCs w:val="16"/>
        </w:rPr>
        <w:t>w zakresie</w:t>
      </w:r>
      <w:r w:rsidR="0079339F" w:rsidRPr="0069107F">
        <w:rPr>
          <w:sz w:val="16"/>
          <w:szCs w:val="16"/>
        </w:rPr>
        <w:t xml:space="preserve"> obsługi prawnej</w:t>
      </w:r>
      <w:r w:rsidR="000A4349" w:rsidRPr="000A4349">
        <w:rPr>
          <w:sz w:val="16"/>
          <w:szCs w:val="16"/>
        </w:rPr>
        <w:t xml:space="preserve"> </w:t>
      </w:r>
      <w:r w:rsidR="000A4349">
        <w:rPr>
          <w:sz w:val="16"/>
          <w:szCs w:val="16"/>
        </w:rPr>
        <w:t>(</w:t>
      </w:r>
      <w:r w:rsidR="000A4349" w:rsidRPr="00EF2CFB">
        <w:rPr>
          <w:sz w:val="16"/>
          <w:szCs w:val="16"/>
        </w:rPr>
        <w:t>w tym czynności audytowe, kontrolne i</w:t>
      </w:r>
      <w:r w:rsidR="000A4349">
        <w:rPr>
          <w:sz w:val="16"/>
          <w:szCs w:val="16"/>
        </w:rPr>
        <w:t> </w:t>
      </w:r>
      <w:r w:rsidR="000A4349" w:rsidRPr="00EF2CFB">
        <w:rPr>
          <w:sz w:val="16"/>
          <w:szCs w:val="16"/>
        </w:rPr>
        <w:t>wyjaśniające</w:t>
      </w:r>
      <w:r w:rsidR="000A4349">
        <w:rPr>
          <w:sz w:val="16"/>
          <w:szCs w:val="16"/>
        </w:rPr>
        <w:t>)</w:t>
      </w:r>
      <w:r w:rsidR="0044656F" w:rsidRPr="0069107F">
        <w:rPr>
          <w:sz w:val="16"/>
          <w:szCs w:val="16"/>
        </w:rPr>
        <w:t xml:space="preserve">, na które wydatkowano łącznie </w:t>
      </w:r>
      <w:r w:rsidR="00992319" w:rsidRPr="0069107F">
        <w:rPr>
          <w:kern w:val="2"/>
          <w:sz w:val="16"/>
          <w:szCs w:val="16"/>
          <w14:ligatures w14:val="standardContextual"/>
        </w:rPr>
        <w:t xml:space="preserve">45 001 824,53 zł. </w:t>
      </w:r>
    </w:p>
    <w:p w14:paraId="3104662E" w14:textId="3B592251" w:rsidR="00C53228" w:rsidRPr="00751E1C" w:rsidRDefault="00C53228" w:rsidP="0044656F">
      <w:pPr>
        <w:tabs>
          <w:tab w:val="left" w:pos="284"/>
        </w:tabs>
        <w:spacing w:after="0"/>
        <w:ind w:left="567" w:right="567"/>
        <w:rPr>
          <w:sz w:val="16"/>
          <w:szCs w:val="16"/>
        </w:rPr>
      </w:pPr>
      <w:r w:rsidRPr="0069107F">
        <w:rPr>
          <w:sz w:val="16"/>
          <w:szCs w:val="16"/>
        </w:rPr>
        <w:t xml:space="preserve">Z dwiema </w:t>
      </w:r>
      <w:r w:rsidR="007A2A74">
        <w:rPr>
          <w:sz w:val="16"/>
          <w:szCs w:val="16"/>
        </w:rPr>
        <w:t>objętymi badaniem</w:t>
      </w:r>
      <w:r w:rsidR="007A2A74" w:rsidRPr="0069107F">
        <w:rPr>
          <w:sz w:val="16"/>
          <w:szCs w:val="16"/>
        </w:rPr>
        <w:t xml:space="preserve"> </w:t>
      </w:r>
      <w:r w:rsidRPr="0069107F">
        <w:rPr>
          <w:sz w:val="16"/>
          <w:szCs w:val="16"/>
        </w:rPr>
        <w:t xml:space="preserve">kancelariami </w:t>
      </w:r>
      <w:r w:rsidR="0044656F" w:rsidRPr="0069107F">
        <w:rPr>
          <w:sz w:val="16"/>
          <w:szCs w:val="16"/>
        </w:rPr>
        <w:t xml:space="preserve">oprócz 9 umów z DGLP (pkt 2 Sprawozdania) </w:t>
      </w:r>
      <w:r w:rsidRPr="0069107F">
        <w:rPr>
          <w:sz w:val="16"/>
          <w:szCs w:val="16"/>
        </w:rPr>
        <w:t>jednostki PGL LP zawarły 15 umów</w:t>
      </w:r>
      <w:r w:rsidR="00354E74" w:rsidRPr="0069107F">
        <w:rPr>
          <w:sz w:val="16"/>
          <w:szCs w:val="16"/>
        </w:rPr>
        <w:t xml:space="preserve">, w ramach których wydatkowano </w:t>
      </w:r>
      <w:r w:rsidR="00992319" w:rsidRPr="0069107F">
        <w:rPr>
          <w:sz w:val="16"/>
          <w:szCs w:val="16"/>
        </w:rPr>
        <w:t xml:space="preserve">łączną </w:t>
      </w:r>
      <w:r w:rsidR="00F5690B" w:rsidRPr="00751E1C">
        <w:rPr>
          <w:sz w:val="16"/>
          <w:szCs w:val="16"/>
        </w:rPr>
        <w:t>kwotę 838 554 zł</w:t>
      </w:r>
      <w:r w:rsidR="006433E7" w:rsidRPr="00751E1C">
        <w:rPr>
          <w:sz w:val="16"/>
          <w:szCs w:val="16"/>
        </w:rPr>
        <w:t>, w tym</w:t>
      </w:r>
      <w:r w:rsidRPr="00751E1C">
        <w:rPr>
          <w:sz w:val="16"/>
          <w:szCs w:val="16"/>
        </w:rPr>
        <w:t>:</w:t>
      </w:r>
    </w:p>
    <w:p w14:paraId="10D0BFAA" w14:textId="5DF0C57F" w:rsidR="00C53228" w:rsidRPr="00751E1C" w:rsidRDefault="00C53228" w:rsidP="00D27D8F">
      <w:pPr>
        <w:pStyle w:val="Akapitzlist"/>
        <w:tabs>
          <w:tab w:val="left" w:pos="284"/>
        </w:tabs>
        <w:ind w:left="993" w:right="565" w:hanging="426"/>
        <w:jc w:val="both"/>
        <w:rPr>
          <w:rFonts w:ascii="Lato" w:hAnsi="Lato"/>
          <w:sz w:val="16"/>
          <w:szCs w:val="16"/>
        </w:rPr>
      </w:pPr>
      <w:r w:rsidRPr="00751E1C">
        <w:rPr>
          <w:sz w:val="16"/>
          <w:szCs w:val="16"/>
        </w:rPr>
        <w:t>1</w:t>
      </w:r>
      <w:r w:rsidRPr="00751E1C">
        <w:rPr>
          <w:rFonts w:ascii="Lato" w:hAnsi="Lato"/>
          <w:sz w:val="16"/>
          <w:szCs w:val="16"/>
        </w:rPr>
        <w:t>) 10 umów z Kancelarią Graś</w:t>
      </w:r>
      <w:r w:rsidR="007A2A74">
        <w:rPr>
          <w:rFonts w:ascii="Lato" w:hAnsi="Lato"/>
          <w:sz w:val="16"/>
          <w:szCs w:val="16"/>
        </w:rPr>
        <w:t xml:space="preserve"> i Wspólnicy</w:t>
      </w:r>
      <w:r w:rsidR="00F5690B" w:rsidRPr="00751E1C">
        <w:rPr>
          <w:rFonts w:ascii="Lato" w:hAnsi="Lato"/>
          <w:sz w:val="16"/>
          <w:szCs w:val="16"/>
        </w:rPr>
        <w:t xml:space="preserve">, w ramach których wydatkowano </w:t>
      </w:r>
      <w:r w:rsidRPr="00751E1C">
        <w:rPr>
          <w:rFonts w:ascii="Lato" w:hAnsi="Lato"/>
          <w:sz w:val="16"/>
          <w:szCs w:val="16"/>
        </w:rPr>
        <w:t>617.2</w:t>
      </w:r>
      <w:r w:rsidR="00633D13">
        <w:rPr>
          <w:rFonts w:ascii="Lato" w:hAnsi="Lato"/>
          <w:sz w:val="16"/>
          <w:szCs w:val="16"/>
        </w:rPr>
        <w:t>14</w:t>
      </w:r>
      <w:r w:rsidR="007A2A74">
        <w:rPr>
          <w:rFonts w:ascii="Lato" w:hAnsi="Lato"/>
          <w:sz w:val="16"/>
          <w:szCs w:val="16"/>
        </w:rPr>
        <w:t xml:space="preserve"> </w:t>
      </w:r>
      <w:r w:rsidRPr="00751E1C">
        <w:rPr>
          <w:rFonts w:ascii="Lato" w:hAnsi="Lato"/>
          <w:sz w:val="16"/>
          <w:szCs w:val="16"/>
        </w:rPr>
        <w:t>zł:</w:t>
      </w:r>
    </w:p>
    <w:p w14:paraId="3355A524" w14:textId="47E2EDEA" w:rsidR="00C53228" w:rsidRPr="00751E1C" w:rsidRDefault="00C53228" w:rsidP="0044656F">
      <w:pPr>
        <w:pStyle w:val="Akapitzlist"/>
        <w:numPr>
          <w:ilvl w:val="0"/>
          <w:numId w:val="4"/>
        </w:numPr>
        <w:tabs>
          <w:tab w:val="left" w:pos="284"/>
        </w:tabs>
        <w:ind w:left="993" w:right="565" w:hanging="284"/>
        <w:jc w:val="both"/>
        <w:rPr>
          <w:rFonts w:ascii="Lato" w:hAnsi="Lato"/>
          <w:sz w:val="16"/>
          <w:szCs w:val="16"/>
        </w:rPr>
      </w:pPr>
      <w:r w:rsidRPr="00751E1C">
        <w:rPr>
          <w:rFonts w:ascii="Lato" w:hAnsi="Lato"/>
          <w:sz w:val="16"/>
          <w:szCs w:val="16"/>
        </w:rPr>
        <w:t>Ośrodek Kultury Leśnej w Gołuchowie – 4 umowy</w:t>
      </w:r>
      <w:r w:rsidR="00354E74" w:rsidRPr="00751E1C">
        <w:rPr>
          <w:rFonts w:ascii="Lato" w:hAnsi="Lato"/>
          <w:sz w:val="16"/>
          <w:szCs w:val="16"/>
        </w:rPr>
        <w:t xml:space="preserve">, </w:t>
      </w:r>
      <w:r w:rsidR="007A2A74">
        <w:rPr>
          <w:rFonts w:ascii="Lato" w:hAnsi="Lato"/>
          <w:sz w:val="16"/>
          <w:szCs w:val="16"/>
        </w:rPr>
        <w:t>na które</w:t>
      </w:r>
      <w:r w:rsidR="00354E74" w:rsidRPr="00751E1C">
        <w:rPr>
          <w:rFonts w:ascii="Lato" w:hAnsi="Lato"/>
          <w:sz w:val="16"/>
          <w:szCs w:val="16"/>
        </w:rPr>
        <w:t xml:space="preserve"> wydatkowano </w:t>
      </w:r>
      <w:r w:rsidRPr="00751E1C">
        <w:rPr>
          <w:rFonts w:ascii="Lato" w:hAnsi="Lato"/>
          <w:sz w:val="16"/>
          <w:szCs w:val="16"/>
        </w:rPr>
        <w:t>404</w:t>
      </w:r>
      <w:r w:rsidR="007A2A74">
        <w:rPr>
          <w:rFonts w:ascii="Lato" w:hAnsi="Lato"/>
          <w:sz w:val="16"/>
          <w:szCs w:val="16"/>
        </w:rPr>
        <w:t> </w:t>
      </w:r>
      <w:r w:rsidRPr="00751E1C">
        <w:rPr>
          <w:rFonts w:ascii="Lato" w:hAnsi="Lato"/>
          <w:sz w:val="16"/>
          <w:szCs w:val="16"/>
        </w:rPr>
        <w:t>961</w:t>
      </w:r>
      <w:r w:rsidR="007A2A74">
        <w:rPr>
          <w:rFonts w:ascii="Lato" w:hAnsi="Lato"/>
          <w:sz w:val="16"/>
          <w:szCs w:val="16"/>
        </w:rPr>
        <w:t xml:space="preserve"> </w:t>
      </w:r>
      <w:r w:rsidRPr="00751E1C">
        <w:rPr>
          <w:rFonts w:ascii="Lato" w:hAnsi="Lato"/>
          <w:sz w:val="16"/>
          <w:szCs w:val="16"/>
        </w:rPr>
        <w:t>zł,</w:t>
      </w:r>
    </w:p>
    <w:p w14:paraId="77AD1B62" w14:textId="5B14179F" w:rsidR="00C53228" w:rsidRPr="00751E1C" w:rsidRDefault="00782C14" w:rsidP="0044656F">
      <w:pPr>
        <w:pStyle w:val="Akapitzlist"/>
        <w:numPr>
          <w:ilvl w:val="0"/>
          <w:numId w:val="4"/>
        </w:numPr>
        <w:tabs>
          <w:tab w:val="left" w:pos="284"/>
        </w:tabs>
        <w:ind w:left="993" w:right="565" w:hanging="284"/>
        <w:jc w:val="both"/>
        <w:rPr>
          <w:rFonts w:ascii="Lato" w:hAnsi="Lato"/>
          <w:sz w:val="16"/>
          <w:szCs w:val="16"/>
        </w:rPr>
      </w:pPr>
      <w:r w:rsidRPr="00751E1C">
        <w:rPr>
          <w:rFonts w:ascii="Lato" w:hAnsi="Lato"/>
          <w:sz w:val="16"/>
          <w:szCs w:val="16"/>
        </w:rPr>
        <w:t>Centrum Informacyjne Lasów Państwowych (</w:t>
      </w:r>
      <w:r w:rsidR="00C53228" w:rsidRPr="00751E1C">
        <w:rPr>
          <w:rFonts w:ascii="Lato" w:hAnsi="Lato"/>
          <w:sz w:val="16"/>
          <w:szCs w:val="16"/>
        </w:rPr>
        <w:t>CILP</w:t>
      </w:r>
      <w:r w:rsidRPr="00751E1C">
        <w:rPr>
          <w:rFonts w:ascii="Lato" w:hAnsi="Lato"/>
          <w:sz w:val="16"/>
          <w:szCs w:val="16"/>
        </w:rPr>
        <w:t>)</w:t>
      </w:r>
      <w:r w:rsidR="00C53228" w:rsidRPr="00751E1C">
        <w:rPr>
          <w:rFonts w:ascii="Lato" w:hAnsi="Lato"/>
          <w:sz w:val="16"/>
          <w:szCs w:val="16"/>
        </w:rPr>
        <w:t xml:space="preserve"> - 2 umowy</w:t>
      </w:r>
      <w:r w:rsidR="00354E74" w:rsidRPr="00751E1C">
        <w:rPr>
          <w:rFonts w:ascii="Lato" w:hAnsi="Lato"/>
          <w:sz w:val="16"/>
          <w:szCs w:val="16"/>
        </w:rPr>
        <w:t xml:space="preserve">, </w:t>
      </w:r>
      <w:r w:rsidR="007A2A74">
        <w:rPr>
          <w:rFonts w:ascii="Lato" w:hAnsi="Lato"/>
          <w:sz w:val="16"/>
          <w:szCs w:val="16"/>
        </w:rPr>
        <w:t>na które</w:t>
      </w:r>
      <w:r w:rsidR="00354E74" w:rsidRPr="00751E1C">
        <w:rPr>
          <w:rFonts w:ascii="Lato" w:hAnsi="Lato"/>
          <w:sz w:val="16"/>
          <w:szCs w:val="16"/>
        </w:rPr>
        <w:t xml:space="preserve"> wydatkowano </w:t>
      </w:r>
      <w:r w:rsidR="00C53228" w:rsidRPr="00751E1C">
        <w:rPr>
          <w:rFonts w:ascii="Lato" w:hAnsi="Lato"/>
          <w:sz w:val="16"/>
          <w:szCs w:val="16"/>
        </w:rPr>
        <w:t>115</w:t>
      </w:r>
      <w:r w:rsidR="001008AD" w:rsidRPr="00751E1C">
        <w:rPr>
          <w:rFonts w:ascii="Lato" w:hAnsi="Lato"/>
          <w:sz w:val="16"/>
          <w:szCs w:val="16"/>
        </w:rPr>
        <w:t> </w:t>
      </w:r>
      <w:r w:rsidR="00C53228" w:rsidRPr="00751E1C">
        <w:rPr>
          <w:rFonts w:ascii="Lato" w:hAnsi="Lato"/>
          <w:sz w:val="16"/>
          <w:szCs w:val="16"/>
        </w:rPr>
        <w:t>6</w:t>
      </w:r>
      <w:r w:rsidR="001008AD" w:rsidRPr="00751E1C">
        <w:rPr>
          <w:rFonts w:ascii="Lato" w:hAnsi="Lato"/>
          <w:sz w:val="16"/>
          <w:szCs w:val="16"/>
        </w:rPr>
        <w:t>37</w:t>
      </w:r>
      <w:r w:rsidR="007A2A74">
        <w:rPr>
          <w:rFonts w:ascii="Lato" w:hAnsi="Lato"/>
          <w:sz w:val="16"/>
          <w:szCs w:val="16"/>
        </w:rPr>
        <w:t> </w:t>
      </w:r>
      <w:r w:rsidR="00C53228" w:rsidRPr="00751E1C">
        <w:rPr>
          <w:rFonts w:ascii="Lato" w:hAnsi="Lato"/>
          <w:sz w:val="16"/>
          <w:szCs w:val="16"/>
        </w:rPr>
        <w:t>zł,</w:t>
      </w:r>
    </w:p>
    <w:p w14:paraId="47007F7A" w14:textId="676AA160" w:rsidR="00C53228" w:rsidRPr="00751E1C" w:rsidRDefault="00C53228" w:rsidP="0044656F">
      <w:pPr>
        <w:pStyle w:val="Akapitzlist"/>
        <w:numPr>
          <w:ilvl w:val="0"/>
          <w:numId w:val="4"/>
        </w:numPr>
        <w:tabs>
          <w:tab w:val="left" w:pos="284"/>
        </w:tabs>
        <w:ind w:left="993" w:right="565" w:hanging="284"/>
        <w:jc w:val="both"/>
        <w:rPr>
          <w:rFonts w:ascii="Lato" w:hAnsi="Lato"/>
          <w:sz w:val="16"/>
          <w:szCs w:val="16"/>
        </w:rPr>
      </w:pPr>
      <w:r w:rsidRPr="00751E1C">
        <w:rPr>
          <w:rFonts w:ascii="Lato" w:hAnsi="Lato"/>
          <w:sz w:val="16"/>
          <w:szCs w:val="16"/>
        </w:rPr>
        <w:t>RDLP w Lublinie –</w:t>
      </w:r>
      <w:r w:rsidR="0044656F" w:rsidRPr="00751E1C">
        <w:rPr>
          <w:rFonts w:ascii="Lato" w:hAnsi="Lato"/>
          <w:sz w:val="16"/>
          <w:szCs w:val="16"/>
        </w:rPr>
        <w:t xml:space="preserve"> </w:t>
      </w:r>
      <w:r w:rsidR="00354E74" w:rsidRPr="00751E1C">
        <w:rPr>
          <w:rFonts w:ascii="Lato" w:hAnsi="Lato"/>
          <w:sz w:val="16"/>
          <w:szCs w:val="16"/>
        </w:rPr>
        <w:t xml:space="preserve">kwota wydatkowana </w:t>
      </w:r>
      <w:r w:rsidRPr="00751E1C">
        <w:rPr>
          <w:rFonts w:ascii="Lato" w:hAnsi="Lato"/>
          <w:sz w:val="16"/>
          <w:szCs w:val="16"/>
        </w:rPr>
        <w:t>49 015 zł,</w:t>
      </w:r>
    </w:p>
    <w:p w14:paraId="79275557" w14:textId="70B0D947" w:rsidR="00C53228" w:rsidRPr="00751E1C" w:rsidRDefault="00C53228" w:rsidP="0044656F">
      <w:pPr>
        <w:pStyle w:val="Akapitzlist"/>
        <w:numPr>
          <w:ilvl w:val="0"/>
          <w:numId w:val="4"/>
        </w:numPr>
        <w:tabs>
          <w:tab w:val="left" w:pos="284"/>
        </w:tabs>
        <w:ind w:left="993" w:right="565" w:hanging="284"/>
        <w:jc w:val="both"/>
        <w:rPr>
          <w:rFonts w:ascii="Lato" w:hAnsi="Lato"/>
          <w:sz w:val="16"/>
          <w:szCs w:val="16"/>
        </w:rPr>
      </w:pPr>
      <w:r w:rsidRPr="00751E1C">
        <w:rPr>
          <w:rFonts w:ascii="Lato" w:hAnsi="Lato"/>
          <w:sz w:val="16"/>
          <w:szCs w:val="16"/>
        </w:rPr>
        <w:t>RDLP w Krakowie –</w:t>
      </w:r>
      <w:r w:rsidR="0044656F" w:rsidRPr="00751E1C">
        <w:rPr>
          <w:rFonts w:ascii="Lato" w:hAnsi="Lato"/>
          <w:sz w:val="16"/>
          <w:szCs w:val="16"/>
        </w:rPr>
        <w:t xml:space="preserve"> </w:t>
      </w:r>
      <w:r w:rsidR="00354E74" w:rsidRPr="00751E1C">
        <w:rPr>
          <w:rFonts w:ascii="Lato" w:hAnsi="Lato"/>
          <w:sz w:val="16"/>
          <w:szCs w:val="16"/>
        </w:rPr>
        <w:t xml:space="preserve">kwota wydatkowana </w:t>
      </w:r>
      <w:r w:rsidRPr="00751E1C">
        <w:rPr>
          <w:rFonts w:ascii="Lato" w:hAnsi="Lato"/>
          <w:sz w:val="16"/>
          <w:szCs w:val="16"/>
        </w:rPr>
        <w:t>36 900 zł,</w:t>
      </w:r>
    </w:p>
    <w:p w14:paraId="7501EBA1" w14:textId="49F7BEAD" w:rsidR="00C53228" w:rsidRPr="00751E1C" w:rsidRDefault="00C53228" w:rsidP="0044656F">
      <w:pPr>
        <w:pStyle w:val="Akapitzlist"/>
        <w:numPr>
          <w:ilvl w:val="0"/>
          <w:numId w:val="4"/>
        </w:numPr>
        <w:tabs>
          <w:tab w:val="left" w:pos="284"/>
        </w:tabs>
        <w:ind w:left="993" w:right="565" w:hanging="284"/>
        <w:jc w:val="both"/>
        <w:rPr>
          <w:rFonts w:ascii="Lato" w:hAnsi="Lato"/>
          <w:sz w:val="16"/>
          <w:szCs w:val="16"/>
        </w:rPr>
      </w:pPr>
      <w:r w:rsidRPr="00751E1C">
        <w:rPr>
          <w:rFonts w:ascii="Lato" w:hAnsi="Lato"/>
          <w:sz w:val="16"/>
          <w:szCs w:val="16"/>
        </w:rPr>
        <w:t>RDLP w Białymstoku –</w:t>
      </w:r>
      <w:r w:rsidR="00007AD4" w:rsidRPr="00751E1C">
        <w:rPr>
          <w:rFonts w:ascii="Lato" w:hAnsi="Lato"/>
          <w:sz w:val="16"/>
          <w:szCs w:val="16"/>
        </w:rPr>
        <w:t xml:space="preserve"> </w:t>
      </w:r>
      <w:r w:rsidR="00354E74" w:rsidRPr="00751E1C">
        <w:rPr>
          <w:rFonts w:ascii="Lato" w:hAnsi="Lato"/>
          <w:sz w:val="16"/>
          <w:szCs w:val="16"/>
        </w:rPr>
        <w:t xml:space="preserve">kwota wydatkowana </w:t>
      </w:r>
      <w:r w:rsidRPr="00751E1C">
        <w:rPr>
          <w:rFonts w:ascii="Lato" w:hAnsi="Lato"/>
          <w:sz w:val="16"/>
          <w:szCs w:val="16"/>
        </w:rPr>
        <w:t>9 225 zł,</w:t>
      </w:r>
    </w:p>
    <w:p w14:paraId="65B97799" w14:textId="7AF43136" w:rsidR="00C53228" w:rsidRPr="00751E1C" w:rsidRDefault="00C53228" w:rsidP="0044656F">
      <w:pPr>
        <w:pStyle w:val="Akapitzlist"/>
        <w:numPr>
          <w:ilvl w:val="0"/>
          <w:numId w:val="4"/>
        </w:numPr>
        <w:tabs>
          <w:tab w:val="left" w:pos="284"/>
        </w:tabs>
        <w:ind w:left="993" w:right="565" w:hanging="284"/>
        <w:jc w:val="both"/>
        <w:rPr>
          <w:rFonts w:ascii="Lato" w:hAnsi="Lato"/>
          <w:sz w:val="16"/>
          <w:szCs w:val="16"/>
        </w:rPr>
      </w:pPr>
      <w:r w:rsidRPr="00751E1C">
        <w:rPr>
          <w:rFonts w:ascii="Lato" w:hAnsi="Lato"/>
          <w:sz w:val="16"/>
          <w:szCs w:val="16"/>
        </w:rPr>
        <w:t xml:space="preserve">RDLP w Szczecinie </w:t>
      </w:r>
      <w:r w:rsidR="00354E74" w:rsidRPr="00751E1C">
        <w:rPr>
          <w:rFonts w:ascii="Lato" w:hAnsi="Lato"/>
          <w:sz w:val="16"/>
          <w:szCs w:val="16"/>
        </w:rPr>
        <w:t>–</w:t>
      </w:r>
      <w:r w:rsidRPr="00751E1C">
        <w:rPr>
          <w:rFonts w:ascii="Lato" w:hAnsi="Lato"/>
          <w:sz w:val="16"/>
          <w:szCs w:val="16"/>
        </w:rPr>
        <w:t xml:space="preserve"> </w:t>
      </w:r>
      <w:r w:rsidR="00354E74" w:rsidRPr="00751E1C">
        <w:rPr>
          <w:rFonts w:ascii="Lato" w:hAnsi="Lato"/>
          <w:sz w:val="16"/>
          <w:szCs w:val="16"/>
        </w:rPr>
        <w:t xml:space="preserve">kwota wydatkowana </w:t>
      </w:r>
      <w:r w:rsidRPr="00751E1C">
        <w:rPr>
          <w:rFonts w:ascii="Lato" w:hAnsi="Lato"/>
          <w:sz w:val="16"/>
          <w:szCs w:val="16"/>
        </w:rPr>
        <w:t>1 476 zł.</w:t>
      </w:r>
    </w:p>
    <w:p w14:paraId="172E0904" w14:textId="3D2B4CD2" w:rsidR="00C53228" w:rsidRPr="0069107F" w:rsidRDefault="00C53228" w:rsidP="00D27D8F">
      <w:pPr>
        <w:pStyle w:val="Akapitzlist"/>
        <w:tabs>
          <w:tab w:val="left" w:pos="284"/>
        </w:tabs>
        <w:ind w:left="993" w:right="565" w:hanging="426"/>
        <w:jc w:val="both"/>
        <w:rPr>
          <w:rFonts w:ascii="Lato" w:hAnsi="Lato"/>
          <w:sz w:val="16"/>
          <w:szCs w:val="16"/>
        </w:rPr>
      </w:pPr>
      <w:r w:rsidRPr="00751E1C">
        <w:rPr>
          <w:rFonts w:ascii="Lato" w:hAnsi="Lato"/>
          <w:sz w:val="16"/>
          <w:szCs w:val="16"/>
        </w:rPr>
        <w:t xml:space="preserve">2) 5 umów z Kancelarią Kowalski zawartych </w:t>
      </w:r>
      <w:r w:rsidR="00354E74" w:rsidRPr="00751E1C">
        <w:rPr>
          <w:rFonts w:ascii="Lato" w:hAnsi="Lato"/>
          <w:sz w:val="16"/>
          <w:szCs w:val="16"/>
        </w:rPr>
        <w:t>przez</w:t>
      </w:r>
      <w:r w:rsidRPr="00751E1C">
        <w:rPr>
          <w:rFonts w:ascii="Lato" w:hAnsi="Lato"/>
          <w:sz w:val="16"/>
          <w:szCs w:val="16"/>
        </w:rPr>
        <w:t xml:space="preserve"> CILP</w:t>
      </w:r>
      <w:r w:rsidR="0044656F" w:rsidRPr="00751E1C">
        <w:rPr>
          <w:rFonts w:ascii="Lato" w:hAnsi="Lato"/>
          <w:sz w:val="16"/>
          <w:szCs w:val="16"/>
        </w:rPr>
        <w:t>, na które wydatkowano</w:t>
      </w:r>
      <w:r w:rsidR="00354E74" w:rsidRPr="00751E1C">
        <w:rPr>
          <w:rFonts w:ascii="Lato" w:hAnsi="Lato"/>
          <w:sz w:val="16"/>
          <w:szCs w:val="16"/>
        </w:rPr>
        <w:t xml:space="preserve"> łącznie</w:t>
      </w:r>
      <w:r w:rsidRPr="00751E1C">
        <w:rPr>
          <w:rFonts w:ascii="Lato" w:hAnsi="Lato"/>
          <w:sz w:val="16"/>
          <w:szCs w:val="16"/>
        </w:rPr>
        <w:t xml:space="preserve"> 221 340</w:t>
      </w:r>
      <w:r w:rsidR="00D12CD2" w:rsidRPr="00751E1C">
        <w:rPr>
          <w:rFonts w:ascii="Lato" w:hAnsi="Lato"/>
          <w:sz w:val="16"/>
          <w:szCs w:val="16"/>
        </w:rPr>
        <w:t> </w:t>
      </w:r>
      <w:r w:rsidRPr="00751E1C">
        <w:rPr>
          <w:rFonts w:ascii="Lato" w:hAnsi="Lato"/>
          <w:sz w:val="16"/>
          <w:szCs w:val="16"/>
        </w:rPr>
        <w:t>zł.</w:t>
      </w:r>
    </w:p>
    <w:p w14:paraId="15B9F259" w14:textId="4D190163" w:rsidR="00FD1337" w:rsidRPr="0069107F" w:rsidRDefault="00FD1337" w:rsidP="00FD1337">
      <w:pPr>
        <w:ind w:left="567" w:right="709"/>
        <w:rPr>
          <w:b/>
          <w:bCs/>
          <w:sz w:val="16"/>
          <w:szCs w:val="16"/>
        </w:rPr>
      </w:pPr>
      <w:r w:rsidRPr="0069107F">
        <w:rPr>
          <w:sz w:val="16"/>
          <w:szCs w:val="16"/>
        </w:rPr>
        <w:t xml:space="preserve">Dyrektor Generalny na naradzie dyrektorów </w:t>
      </w:r>
      <w:r w:rsidR="007A2A74">
        <w:rPr>
          <w:sz w:val="16"/>
          <w:szCs w:val="16"/>
        </w:rPr>
        <w:t>RDLP</w:t>
      </w:r>
      <w:r w:rsidR="000A4349">
        <w:rPr>
          <w:sz w:val="16"/>
          <w:szCs w:val="16"/>
        </w:rPr>
        <w:t>, która miała miejsce</w:t>
      </w:r>
      <w:r w:rsidRPr="0069107F">
        <w:rPr>
          <w:sz w:val="16"/>
          <w:szCs w:val="16"/>
        </w:rPr>
        <w:t xml:space="preserve"> 2-3 kwietnia 2025 r. podjął decyzję o przeprowadzeniu analizy umów na obsługę prawną za 2024</w:t>
      </w:r>
      <w:r w:rsidR="000A4349">
        <w:rPr>
          <w:sz w:val="16"/>
          <w:szCs w:val="16"/>
        </w:rPr>
        <w:t xml:space="preserve"> r.</w:t>
      </w:r>
      <w:r w:rsidRPr="0069107F">
        <w:rPr>
          <w:sz w:val="16"/>
          <w:szCs w:val="16"/>
        </w:rPr>
        <w:t xml:space="preserve"> przez </w:t>
      </w:r>
      <w:r w:rsidR="000A4349">
        <w:rPr>
          <w:sz w:val="16"/>
          <w:szCs w:val="16"/>
        </w:rPr>
        <w:t xml:space="preserve">wszystkie </w:t>
      </w:r>
      <w:r w:rsidRPr="0069107F">
        <w:rPr>
          <w:sz w:val="16"/>
          <w:szCs w:val="16"/>
        </w:rPr>
        <w:t>jednostki PGL LP. Termin przedstawienia informacji ustalono na 15 maja 2025 r.</w:t>
      </w:r>
    </w:p>
    <w:p w14:paraId="6AB27B6E" w14:textId="66CEC9E9" w:rsidR="00FD1337" w:rsidRPr="000A4349" w:rsidRDefault="00FD1337" w:rsidP="00E2633E">
      <w:pPr>
        <w:spacing w:before="120" w:after="120"/>
        <w:ind w:left="567"/>
        <w:rPr>
          <w:sz w:val="16"/>
          <w:szCs w:val="16"/>
        </w:rPr>
      </w:pPr>
      <w:r w:rsidRPr="000A4349">
        <w:rPr>
          <w:b/>
          <w:bCs/>
          <w:sz w:val="16"/>
          <w:szCs w:val="16"/>
        </w:rPr>
        <w:t>[akta kontroli</w:t>
      </w:r>
      <w:r w:rsidR="00101E7F">
        <w:rPr>
          <w:b/>
          <w:bCs/>
          <w:sz w:val="16"/>
          <w:szCs w:val="16"/>
        </w:rPr>
        <w:t>:</w:t>
      </w:r>
      <w:r w:rsidRPr="000A4349">
        <w:rPr>
          <w:b/>
          <w:bCs/>
          <w:sz w:val="16"/>
          <w:szCs w:val="16"/>
        </w:rPr>
        <w:t xml:space="preserve"> </w:t>
      </w:r>
      <w:r w:rsidR="00E2633E" w:rsidRPr="000A4349">
        <w:rPr>
          <w:b/>
          <w:bCs/>
          <w:sz w:val="16"/>
          <w:szCs w:val="16"/>
        </w:rPr>
        <w:t>f1_f1_f2 i f2_p1_p2</w:t>
      </w:r>
      <w:r w:rsidR="005335C6" w:rsidRPr="000A4349">
        <w:rPr>
          <w:b/>
          <w:bCs/>
          <w:sz w:val="16"/>
          <w:szCs w:val="16"/>
        </w:rPr>
        <w:t>; f2_p4</w:t>
      </w:r>
      <w:r w:rsidR="000A4349" w:rsidRPr="000A4349">
        <w:rPr>
          <w:b/>
          <w:bCs/>
          <w:sz w:val="16"/>
          <w:szCs w:val="16"/>
        </w:rPr>
        <w:t>]</w:t>
      </w:r>
    </w:p>
    <w:p w14:paraId="212DECA9" w14:textId="5C604D90" w:rsidR="00962D61" w:rsidRPr="00C72423" w:rsidRDefault="008D7AA3" w:rsidP="006433E7">
      <w:r w:rsidRPr="0069107F">
        <w:rPr>
          <w:b/>
          <w:bCs/>
        </w:rPr>
        <w:t>4</w:t>
      </w:r>
      <w:r w:rsidR="00DF2539" w:rsidRPr="0069107F">
        <w:rPr>
          <w:b/>
          <w:bCs/>
        </w:rPr>
        <w:t>. [</w:t>
      </w:r>
      <w:r w:rsidR="00992319" w:rsidRPr="0069107F">
        <w:rPr>
          <w:b/>
          <w:bCs/>
        </w:rPr>
        <w:t>W</w:t>
      </w:r>
      <w:r w:rsidR="00DF2539" w:rsidRPr="0069107F">
        <w:rPr>
          <w:b/>
          <w:bCs/>
        </w:rPr>
        <w:t xml:space="preserve">ybór wykonawców] </w:t>
      </w:r>
      <w:r w:rsidR="00DF2539" w:rsidRPr="0069107F">
        <w:t>W</w:t>
      </w:r>
      <w:r w:rsidR="000525F1" w:rsidRPr="0069107F">
        <w:t>ybór wykonawców w ramach w</w:t>
      </w:r>
      <w:r w:rsidR="00DF2539" w:rsidRPr="0069107F">
        <w:t>szystki</w:t>
      </w:r>
      <w:r w:rsidR="000525F1" w:rsidRPr="0069107F">
        <w:t>ch</w:t>
      </w:r>
      <w:r w:rsidR="00DF2539" w:rsidRPr="0069107F">
        <w:t xml:space="preserve"> 9 poddanych</w:t>
      </w:r>
      <w:r w:rsidR="00DF2539" w:rsidRPr="0079339F">
        <w:t xml:space="preserve"> badaniu umów został</w:t>
      </w:r>
      <w:r w:rsidR="000525F1">
        <w:t xml:space="preserve"> przeprowadzony </w:t>
      </w:r>
      <w:r w:rsidR="00DF2539" w:rsidRPr="006433E7">
        <w:t>przez DGLP</w:t>
      </w:r>
      <w:r w:rsidR="00DF2539">
        <w:t xml:space="preserve"> </w:t>
      </w:r>
      <w:r w:rsidR="00BC5DF2">
        <w:t xml:space="preserve">w sposób nieudokumentowany, </w:t>
      </w:r>
      <w:r w:rsidR="00DF2539">
        <w:t xml:space="preserve">z naruszeniem procedury </w:t>
      </w:r>
      <w:r w:rsidR="004F7490">
        <w:t xml:space="preserve">wewnętrznej </w:t>
      </w:r>
      <w:r w:rsidR="00DF2539">
        <w:t>dotyczącej udzielania zamówień publicznych</w:t>
      </w:r>
      <w:r w:rsidR="00BC5DF2">
        <w:t>. W efekcie</w:t>
      </w:r>
      <w:r w:rsidR="00101E7F">
        <w:t>,</w:t>
      </w:r>
      <w:r w:rsidR="00BC5DF2">
        <w:t xml:space="preserve"> wyboru wykonawców nie poprzedziło sporządzenie pisemnej analizy potrzeb, przygotowanie </w:t>
      </w:r>
      <w:r w:rsidR="001C192A">
        <w:t xml:space="preserve">uzasadnionego wniosku o udzielenie zamówienia, </w:t>
      </w:r>
      <w:r w:rsidR="002173FE">
        <w:t>nie przeprowadzono r</w:t>
      </w:r>
      <w:r w:rsidR="00BC5DF2">
        <w:t>zetelne</w:t>
      </w:r>
      <w:r w:rsidR="002173FE">
        <w:t>go</w:t>
      </w:r>
      <w:r w:rsidR="00BC5DF2">
        <w:t xml:space="preserve"> szacowani</w:t>
      </w:r>
      <w:r w:rsidR="002173FE">
        <w:t>a</w:t>
      </w:r>
      <w:r w:rsidR="00364127">
        <w:t xml:space="preserve"> wartości um</w:t>
      </w:r>
      <w:r w:rsidR="00BC5DF2">
        <w:t>ów</w:t>
      </w:r>
      <w:r w:rsidR="0087013A">
        <w:t xml:space="preserve"> ani</w:t>
      </w:r>
      <w:r w:rsidR="00BC5DF2">
        <w:t xml:space="preserve"> </w:t>
      </w:r>
      <w:r w:rsidR="001C192A">
        <w:t>udokumentowanego rozeznania rynku</w:t>
      </w:r>
      <w:r w:rsidR="00364127">
        <w:t xml:space="preserve">. </w:t>
      </w:r>
      <w:r w:rsidR="000744D7">
        <w:t>Tym samym</w:t>
      </w:r>
      <w:r w:rsidR="00101E7F">
        <w:t>,</w:t>
      </w:r>
      <w:r w:rsidR="000744D7">
        <w:t xml:space="preserve"> zleceni</w:t>
      </w:r>
      <w:r w:rsidR="00BC5DF2">
        <w:t>e</w:t>
      </w:r>
      <w:r w:rsidR="000744D7">
        <w:t xml:space="preserve"> usług prawnych</w:t>
      </w:r>
      <w:r w:rsidR="00101E7F">
        <w:t>, na które wydatkowano</w:t>
      </w:r>
      <w:r w:rsidR="000744D7" w:rsidRPr="00C72423">
        <w:t xml:space="preserve"> </w:t>
      </w:r>
      <w:r w:rsidR="00C72423" w:rsidRPr="00C72423">
        <w:t>933.401,13 zł</w:t>
      </w:r>
      <w:r w:rsidR="00101E7F">
        <w:t>,</w:t>
      </w:r>
      <w:r w:rsidR="000744D7" w:rsidRPr="00C72423">
        <w:t xml:space="preserve"> </w:t>
      </w:r>
      <w:r w:rsidR="00BC5DF2" w:rsidRPr="00C72423">
        <w:t>o</w:t>
      </w:r>
      <w:r w:rsidR="002173FE" w:rsidRPr="00C72423">
        <w:t>d</w:t>
      </w:r>
      <w:r w:rsidR="00BC5DF2" w:rsidRPr="00C72423">
        <w:t xml:space="preserve">było się bez zapewnienia </w:t>
      </w:r>
      <w:r w:rsidR="000744D7" w:rsidRPr="00C72423">
        <w:lastRenderedPageBreak/>
        <w:t>konkurencyjn</w:t>
      </w:r>
      <w:r w:rsidR="00BC5DF2" w:rsidRPr="00C72423">
        <w:t>ej</w:t>
      </w:r>
      <w:r w:rsidR="000744D7" w:rsidRPr="00C72423">
        <w:t xml:space="preserve"> procedur</w:t>
      </w:r>
      <w:r w:rsidR="00BC5DF2" w:rsidRPr="00C72423">
        <w:t>y</w:t>
      </w:r>
      <w:r w:rsidR="000744D7" w:rsidRPr="00C72423">
        <w:t xml:space="preserve"> gwarantując</w:t>
      </w:r>
      <w:r w:rsidR="00BC5DF2" w:rsidRPr="00C72423">
        <w:t>ej</w:t>
      </w:r>
      <w:r w:rsidR="000744D7" w:rsidRPr="00C72423">
        <w:t xml:space="preserve"> wybór najlepszego wykonawcy i oszczędnego wydatkowania środków.</w:t>
      </w:r>
    </w:p>
    <w:p w14:paraId="0D768924" w14:textId="5E7511ED" w:rsidR="000525F1" w:rsidRPr="006433E7" w:rsidRDefault="000525F1" w:rsidP="00DF2539">
      <w:pPr>
        <w:ind w:left="567" w:right="565"/>
        <w:rPr>
          <w:sz w:val="16"/>
          <w:szCs w:val="16"/>
        </w:rPr>
      </w:pPr>
      <w:r w:rsidRPr="00C72423">
        <w:rPr>
          <w:sz w:val="16"/>
          <w:szCs w:val="16"/>
        </w:rPr>
        <w:t xml:space="preserve">Do </w:t>
      </w:r>
      <w:r w:rsidR="00101E7F">
        <w:rPr>
          <w:sz w:val="16"/>
          <w:szCs w:val="16"/>
        </w:rPr>
        <w:t xml:space="preserve">zlecania </w:t>
      </w:r>
      <w:r w:rsidR="0003278A">
        <w:rPr>
          <w:sz w:val="16"/>
          <w:szCs w:val="16"/>
        </w:rPr>
        <w:t>badanych umów</w:t>
      </w:r>
      <w:r w:rsidRPr="00C72423">
        <w:rPr>
          <w:sz w:val="16"/>
          <w:szCs w:val="16"/>
        </w:rPr>
        <w:t xml:space="preserve"> nie </w:t>
      </w:r>
      <w:r w:rsidR="0003278A">
        <w:rPr>
          <w:sz w:val="16"/>
          <w:szCs w:val="16"/>
        </w:rPr>
        <w:t>miała</w:t>
      </w:r>
      <w:r w:rsidRPr="00C72423">
        <w:rPr>
          <w:sz w:val="16"/>
          <w:szCs w:val="16"/>
        </w:rPr>
        <w:t xml:space="preserve"> zastosowania ustawa</w:t>
      </w:r>
      <w:r w:rsidR="00C72423" w:rsidRPr="00C72423">
        <w:rPr>
          <w:sz w:val="16"/>
          <w:szCs w:val="16"/>
        </w:rPr>
        <w:t xml:space="preserve"> z dnia 11 września 2019 r. Prawo zamówień publicznych</w:t>
      </w:r>
      <w:r w:rsidR="00C72423" w:rsidRPr="00C72423">
        <w:rPr>
          <w:rStyle w:val="Odwoanieprzypisudolnego"/>
          <w:sz w:val="16"/>
          <w:szCs w:val="16"/>
        </w:rPr>
        <w:footnoteReference w:id="17"/>
      </w:r>
      <w:r w:rsidR="00C72423" w:rsidRPr="00C72423">
        <w:rPr>
          <w:sz w:val="16"/>
          <w:szCs w:val="16"/>
        </w:rPr>
        <w:t>.</w:t>
      </w:r>
      <w:r w:rsidRPr="00C72423">
        <w:rPr>
          <w:sz w:val="16"/>
          <w:szCs w:val="16"/>
        </w:rPr>
        <w:t xml:space="preserve"> </w:t>
      </w:r>
      <w:r w:rsidR="00C72423" w:rsidRPr="00C72423">
        <w:rPr>
          <w:sz w:val="16"/>
          <w:szCs w:val="16"/>
        </w:rPr>
        <w:t xml:space="preserve">Przy wyborze wykonawców na usługi prawne </w:t>
      </w:r>
      <w:r w:rsidRPr="00C72423">
        <w:rPr>
          <w:sz w:val="16"/>
          <w:szCs w:val="16"/>
        </w:rPr>
        <w:t>DGLP był</w:t>
      </w:r>
      <w:r w:rsidR="0087013A">
        <w:rPr>
          <w:sz w:val="16"/>
          <w:szCs w:val="16"/>
        </w:rPr>
        <w:t>a</w:t>
      </w:r>
      <w:r w:rsidRPr="00C72423">
        <w:rPr>
          <w:sz w:val="16"/>
          <w:szCs w:val="16"/>
        </w:rPr>
        <w:t xml:space="preserve"> zobowiązan</w:t>
      </w:r>
      <w:r w:rsidR="0087013A">
        <w:rPr>
          <w:sz w:val="16"/>
          <w:szCs w:val="16"/>
        </w:rPr>
        <w:t>a</w:t>
      </w:r>
      <w:r w:rsidRPr="00C72423">
        <w:rPr>
          <w:sz w:val="16"/>
          <w:szCs w:val="16"/>
        </w:rPr>
        <w:t xml:space="preserve"> </w:t>
      </w:r>
      <w:r w:rsidR="0087013A">
        <w:rPr>
          <w:sz w:val="16"/>
          <w:szCs w:val="16"/>
        </w:rPr>
        <w:t>do </w:t>
      </w:r>
      <w:r w:rsidRPr="00C72423">
        <w:rPr>
          <w:sz w:val="16"/>
          <w:szCs w:val="16"/>
        </w:rPr>
        <w:t xml:space="preserve">zastosowania procedury określonej w zarządzeniu nr 1 Dyrektora Generalnego Lasów Państwowych z dnia 3 stycznia 2022 r. ws. procedur udzielania przez </w:t>
      </w:r>
      <w:r w:rsidR="0087013A">
        <w:rPr>
          <w:sz w:val="16"/>
          <w:szCs w:val="16"/>
        </w:rPr>
        <w:t>DGLP</w:t>
      </w:r>
      <w:r w:rsidRPr="00C72423">
        <w:rPr>
          <w:sz w:val="16"/>
          <w:szCs w:val="16"/>
        </w:rPr>
        <w:t xml:space="preserve"> zamówień ni</w:t>
      </w:r>
      <w:r w:rsidR="0087013A">
        <w:rPr>
          <w:sz w:val="16"/>
          <w:szCs w:val="16"/>
        </w:rPr>
        <w:t>e</w:t>
      </w:r>
      <w:r w:rsidRPr="00C72423">
        <w:rPr>
          <w:sz w:val="16"/>
          <w:szCs w:val="16"/>
        </w:rPr>
        <w:t>podlegających ustawie Prawo zamówień publicznych.</w:t>
      </w:r>
    </w:p>
    <w:p w14:paraId="27EA3F7A" w14:textId="77F9152A" w:rsidR="0019374C" w:rsidRPr="006433E7" w:rsidRDefault="00DF2539" w:rsidP="006433E7">
      <w:pPr>
        <w:ind w:left="567" w:right="565"/>
        <w:rPr>
          <w:sz w:val="16"/>
          <w:szCs w:val="16"/>
        </w:rPr>
      </w:pPr>
      <w:r>
        <w:rPr>
          <w:sz w:val="16"/>
          <w:szCs w:val="16"/>
        </w:rPr>
        <w:t xml:space="preserve">DGLP </w:t>
      </w:r>
      <w:r w:rsidR="000525F1">
        <w:rPr>
          <w:sz w:val="16"/>
          <w:szCs w:val="16"/>
        </w:rPr>
        <w:t xml:space="preserve">niezgodnie z ww. zarządzeniem </w:t>
      </w:r>
      <w:r>
        <w:rPr>
          <w:sz w:val="16"/>
          <w:szCs w:val="16"/>
        </w:rPr>
        <w:t>zawarł</w:t>
      </w:r>
      <w:r w:rsidR="0087013A">
        <w:rPr>
          <w:sz w:val="16"/>
          <w:szCs w:val="16"/>
        </w:rPr>
        <w:t>a</w:t>
      </w:r>
      <w:r w:rsidRPr="006433E7">
        <w:rPr>
          <w:sz w:val="16"/>
          <w:szCs w:val="16"/>
        </w:rPr>
        <w:t xml:space="preserve"> </w:t>
      </w:r>
      <w:r>
        <w:rPr>
          <w:sz w:val="16"/>
          <w:szCs w:val="16"/>
        </w:rPr>
        <w:t xml:space="preserve">łącznie 9 </w:t>
      </w:r>
      <w:r w:rsidR="0019374C" w:rsidRPr="006433E7">
        <w:rPr>
          <w:sz w:val="16"/>
          <w:szCs w:val="16"/>
        </w:rPr>
        <w:t xml:space="preserve">umów </w:t>
      </w:r>
      <w:r w:rsidRPr="00DF2539">
        <w:rPr>
          <w:sz w:val="16"/>
          <w:szCs w:val="16"/>
        </w:rPr>
        <w:t>z</w:t>
      </w:r>
      <w:r w:rsidRPr="006433E7">
        <w:rPr>
          <w:sz w:val="16"/>
          <w:szCs w:val="16"/>
        </w:rPr>
        <w:t xml:space="preserve"> Kancelarią Graś i Wspólnicy oraz Kancelarią Kowalski</w:t>
      </w:r>
      <w:r w:rsidR="00BC5DF2">
        <w:rPr>
          <w:sz w:val="16"/>
          <w:szCs w:val="16"/>
        </w:rPr>
        <w:t xml:space="preserve">, w </w:t>
      </w:r>
      <w:r>
        <w:rPr>
          <w:sz w:val="16"/>
          <w:szCs w:val="16"/>
        </w:rPr>
        <w:t xml:space="preserve">szczególności </w:t>
      </w:r>
      <w:r w:rsidR="00BC5DF2">
        <w:rPr>
          <w:sz w:val="16"/>
          <w:szCs w:val="16"/>
        </w:rPr>
        <w:t>bez s</w:t>
      </w:r>
      <w:r w:rsidR="00BC5DF2" w:rsidRPr="00BC5DF2">
        <w:rPr>
          <w:sz w:val="16"/>
          <w:szCs w:val="16"/>
        </w:rPr>
        <w:t>porządzenia wniosku o udzielenie zamówienia</w:t>
      </w:r>
      <w:r w:rsidR="00BC5DF2">
        <w:rPr>
          <w:sz w:val="16"/>
          <w:szCs w:val="16"/>
        </w:rPr>
        <w:t xml:space="preserve"> oraz bez </w:t>
      </w:r>
      <w:r w:rsidR="00BC5DF2" w:rsidRPr="00BC5DF2">
        <w:rPr>
          <w:sz w:val="16"/>
          <w:szCs w:val="16"/>
        </w:rPr>
        <w:t>przeprowadzenia i udokumentowania procedury wyboru wykonawcy</w:t>
      </w:r>
      <w:r w:rsidR="0087013A">
        <w:rPr>
          <w:sz w:val="16"/>
          <w:szCs w:val="16"/>
        </w:rPr>
        <w:t>.</w:t>
      </w:r>
    </w:p>
    <w:p w14:paraId="0673BB24" w14:textId="4CED3394" w:rsidR="00D12CD2" w:rsidRDefault="0019374C" w:rsidP="00DF2539">
      <w:pPr>
        <w:ind w:left="567" w:right="565"/>
        <w:rPr>
          <w:sz w:val="16"/>
          <w:szCs w:val="16"/>
        </w:rPr>
      </w:pPr>
      <w:r w:rsidRPr="00C72423">
        <w:rPr>
          <w:sz w:val="16"/>
          <w:szCs w:val="16"/>
        </w:rPr>
        <w:t>W ocenie Dyrektora Generalnego posiada on uprawnienie do stosowania</w:t>
      </w:r>
      <w:r w:rsidR="0087013A">
        <w:rPr>
          <w:sz w:val="16"/>
          <w:szCs w:val="16"/>
        </w:rPr>
        <w:t xml:space="preserve">, </w:t>
      </w:r>
      <w:r w:rsidRPr="00C72423">
        <w:rPr>
          <w:sz w:val="16"/>
          <w:szCs w:val="16"/>
        </w:rPr>
        <w:t>w szczególnie uzasadnionych przypadkach</w:t>
      </w:r>
      <w:r w:rsidR="0087013A">
        <w:rPr>
          <w:sz w:val="16"/>
          <w:szCs w:val="16"/>
        </w:rPr>
        <w:t xml:space="preserve">, </w:t>
      </w:r>
      <w:r w:rsidRPr="00C72423">
        <w:rPr>
          <w:sz w:val="16"/>
          <w:szCs w:val="16"/>
        </w:rPr>
        <w:t>odstępstw od zasad ustanowionych zarządzeniami i decyzjami Dyrektora Generalnego</w:t>
      </w:r>
      <w:r w:rsidR="0087013A">
        <w:rPr>
          <w:sz w:val="16"/>
          <w:szCs w:val="16"/>
        </w:rPr>
        <w:t xml:space="preserve">, ponieważ jest on </w:t>
      </w:r>
      <w:r w:rsidRPr="00C72423">
        <w:rPr>
          <w:sz w:val="16"/>
          <w:szCs w:val="16"/>
        </w:rPr>
        <w:t>podmiot</w:t>
      </w:r>
      <w:r w:rsidR="0087013A">
        <w:rPr>
          <w:sz w:val="16"/>
          <w:szCs w:val="16"/>
        </w:rPr>
        <w:t>em</w:t>
      </w:r>
      <w:r w:rsidRPr="00C72423">
        <w:rPr>
          <w:sz w:val="16"/>
          <w:szCs w:val="16"/>
        </w:rPr>
        <w:t>, który regulacje te tworzy i wprowadza w</w:t>
      </w:r>
      <w:r w:rsidR="0087013A">
        <w:rPr>
          <w:sz w:val="16"/>
          <w:szCs w:val="16"/>
        </w:rPr>
        <w:t> </w:t>
      </w:r>
      <w:r w:rsidRPr="00C72423">
        <w:rPr>
          <w:sz w:val="16"/>
          <w:szCs w:val="16"/>
        </w:rPr>
        <w:t xml:space="preserve">życie. </w:t>
      </w:r>
      <w:r w:rsidR="0087013A">
        <w:rPr>
          <w:sz w:val="16"/>
          <w:szCs w:val="16"/>
        </w:rPr>
        <w:t xml:space="preserve">Jak wyjaśniono, </w:t>
      </w:r>
      <w:r w:rsidR="000525F1">
        <w:rPr>
          <w:sz w:val="16"/>
          <w:szCs w:val="16"/>
        </w:rPr>
        <w:t xml:space="preserve">procedury </w:t>
      </w:r>
      <w:r w:rsidR="0087013A">
        <w:rPr>
          <w:sz w:val="16"/>
          <w:szCs w:val="16"/>
        </w:rPr>
        <w:t xml:space="preserve">nie zastosowano </w:t>
      </w:r>
      <w:r w:rsidR="000525F1">
        <w:rPr>
          <w:sz w:val="16"/>
          <w:szCs w:val="16"/>
        </w:rPr>
        <w:t>w badanych przypadkach</w:t>
      </w:r>
      <w:r w:rsidR="0087013A">
        <w:rPr>
          <w:sz w:val="16"/>
          <w:szCs w:val="16"/>
        </w:rPr>
        <w:t xml:space="preserve"> z uwagi na konieczność podjęcia</w:t>
      </w:r>
      <w:r w:rsidRPr="00C72423">
        <w:rPr>
          <w:sz w:val="16"/>
          <w:szCs w:val="16"/>
        </w:rPr>
        <w:t xml:space="preserve"> natychmiastowych działań zmierzających do zabezpieczenia całości dokumentacji </w:t>
      </w:r>
      <w:r w:rsidR="0087013A">
        <w:rPr>
          <w:sz w:val="16"/>
          <w:szCs w:val="16"/>
        </w:rPr>
        <w:t>dla celów</w:t>
      </w:r>
      <w:r w:rsidRPr="00C72423">
        <w:rPr>
          <w:sz w:val="16"/>
          <w:szCs w:val="16"/>
        </w:rPr>
        <w:t xml:space="preserve"> </w:t>
      </w:r>
      <w:r w:rsidR="000525F1" w:rsidRPr="002173FE">
        <w:rPr>
          <w:sz w:val="16"/>
          <w:szCs w:val="16"/>
        </w:rPr>
        <w:t xml:space="preserve">audytu i </w:t>
      </w:r>
      <w:r w:rsidRPr="006433E7">
        <w:rPr>
          <w:sz w:val="16"/>
          <w:szCs w:val="16"/>
        </w:rPr>
        <w:t xml:space="preserve">kontroli wydatkowania środków finansowych przez poprzednie kierownictwo </w:t>
      </w:r>
      <w:r w:rsidR="0087013A">
        <w:rPr>
          <w:sz w:val="16"/>
          <w:szCs w:val="16"/>
        </w:rPr>
        <w:t>PGL LP</w:t>
      </w:r>
      <w:r w:rsidRPr="006433E7">
        <w:rPr>
          <w:sz w:val="16"/>
          <w:szCs w:val="16"/>
        </w:rPr>
        <w:t>.</w:t>
      </w:r>
      <w:r w:rsidR="002173FE" w:rsidRPr="002173FE">
        <w:rPr>
          <w:sz w:val="16"/>
          <w:szCs w:val="16"/>
        </w:rPr>
        <w:t xml:space="preserve"> </w:t>
      </w:r>
      <w:r w:rsidR="0087013A">
        <w:rPr>
          <w:sz w:val="16"/>
          <w:szCs w:val="16"/>
        </w:rPr>
        <w:t>Zgodnie z wyjaśnieniami</w:t>
      </w:r>
      <w:r w:rsidR="002173FE" w:rsidRPr="002173FE">
        <w:rPr>
          <w:sz w:val="16"/>
          <w:szCs w:val="16"/>
        </w:rPr>
        <w:t xml:space="preserve"> </w:t>
      </w:r>
      <w:r w:rsidR="002173FE" w:rsidRPr="006433E7">
        <w:rPr>
          <w:sz w:val="16"/>
          <w:szCs w:val="16"/>
        </w:rPr>
        <w:t>wybrano podmioty specjalizujące się w</w:t>
      </w:r>
      <w:r w:rsidR="00101E7F">
        <w:rPr>
          <w:sz w:val="16"/>
          <w:szCs w:val="16"/>
        </w:rPr>
        <w:t> </w:t>
      </w:r>
      <w:r w:rsidR="002173FE" w:rsidRPr="006433E7">
        <w:rPr>
          <w:sz w:val="16"/>
          <w:szCs w:val="16"/>
        </w:rPr>
        <w:t>prawie karnym oraz compliance,</w:t>
      </w:r>
    </w:p>
    <w:p w14:paraId="3ED3D6E6" w14:textId="4E024A96" w:rsidR="00F045A7" w:rsidRPr="00101E7F" w:rsidRDefault="00F045A7" w:rsidP="006433E7">
      <w:pPr>
        <w:ind w:left="567"/>
        <w:rPr>
          <w:b/>
          <w:bCs/>
          <w:sz w:val="16"/>
          <w:szCs w:val="16"/>
        </w:rPr>
      </w:pPr>
      <w:r w:rsidRPr="00101E7F">
        <w:rPr>
          <w:b/>
          <w:bCs/>
          <w:sz w:val="16"/>
          <w:szCs w:val="16"/>
        </w:rPr>
        <w:t>[akta kontroli</w:t>
      </w:r>
      <w:bookmarkStart w:id="8" w:name="_Hlk196490838"/>
      <w:r w:rsidR="00101E7F">
        <w:rPr>
          <w:b/>
          <w:bCs/>
          <w:sz w:val="16"/>
          <w:szCs w:val="16"/>
        </w:rPr>
        <w:t xml:space="preserve">: </w:t>
      </w:r>
      <w:r w:rsidR="00E2633E" w:rsidRPr="00101E7F">
        <w:rPr>
          <w:b/>
          <w:bCs/>
          <w:sz w:val="16"/>
          <w:szCs w:val="16"/>
        </w:rPr>
        <w:t>f2_f2_p1_p5_p6_p7</w:t>
      </w:r>
      <w:bookmarkEnd w:id="8"/>
      <w:r w:rsidR="00101E7F" w:rsidRPr="00101E7F">
        <w:rPr>
          <w:b/>
          <w:bCs/>
          <w:sz w:val="16"/>
          <w:szCs w:val="16"/>
        </w:rPr>
        <w:t>]</w:t>
      </w:r>
    </w:p>
    <w:p w14:paraId="1D1FF8BB" w14:textId="6B8EABA0" w:rsidR="00C72423" w:rsidRDefault="0019374C" w:rsidP="00962D61">
      <w:r w:rsidRPr="0019374C">
        <w:t xml:space="preserve">Nie można zgodzić się </w:t>
      </w:r>
      <w:r w:rsidR="000525F1">
        <w:t>ze stanowiskiem</w:t>
      </w:r>
      <w:r w:rsidRPr="0019374C">
        <w:t xml:space="preserve"> Dyrektora Generalnego. </w:t>
      </w:r>
      <w:r w:rsidR="00F045A7">
        <w:t xml:space="preserve">Wszelkie </w:t>
      </w:r>
      <w:r w:rsidR="0087013A">
        <w:t xml:space="preserve">odstępstwa </w:t>
      </w:r>
      <w:r w:rsidR="00F045A7">
        <w:t>od</w:t>
      </w:r>
      <w:r w:rsidR="0087013A">
        <w:t> </w:t>
      </w:r>
      <w:r w:rsidR="00F045A7">
        <w:t>stosowania procedury powinny być w niej szczegółowo i enumeratywnie opisane. Zarządzenie dot. procedur udzielania zamówień publicznych</w:t>
      </w:r>
      <w:r w:rsidR="00F045A7" w:rsidRPr="0019374C">
        <w:t xml:space="preserve"> </w:t>
      </w:r>
      <w:r w:rsidR="0087013A">
        <w:t xml:space="preserve">w DGLP </w:t>
      </w:r>
      <w:r w:rsidR="00F045A7" w:rsidRPr="0019374C">
        <w:t>nie przewiduj</w:t>
      </w:r>
      <w:r w:rsidR="00F045A7">
        <w:t>e</w:t>
      </w:r>
      <w:r w:rsidR="00F045A7" w:rsidRPr="0019374C">
        <w:t xml:space="preserve"> </w:t>
      </w:r>
      <w:r w:rsidR="0087013A">
        <w:t>uprawnienia Dyrektora Generalnego do wyłączenia stosowania tej procedury</w:t>
      </w:r>
      <w:r w:rsidR="00101E7F">
        <w:t>; brakowało również pisemnej decyzji w tym zakresie</w:t>
      </w:r>
      <w:r w:rsidR="00F045A7" w:rsidRPr="0019374C">
        <w:t>.</w:t>
      </w:r>
      <w:r w:rsidR="0087013A">
        <w:t xml:space="preserve"> </w:t>
      </w:r>
      <w:r w:rsidR="009571B6">
        <w:t>Wskazać należy, że n</w:t>
      </w:r>
      <w:r w:rsidR="0087013A">
        <w:t xml:space="preserve">awet </w:t>
      </w:r>
      <w:r w:rsidR="009571B6">
        <w:t xml:space="preserve">gdyby </w:t>
      </w:r>
      <w:r w:rsidR="00101E7F">
        <w:t xml:space="preserve">wspomniane </w:t>
      </w:r>
      <w:r w:rsidR="009571B6">
        <w:t xml:space="preserve">uprawnienie zostało określone w regulacjach wewnętrznych, najważniejsze działania związane z analizą potrzeb i wyborem wykonawcy powinny zostać odpowiednio udokumentowane. </w:t>
      </w:r>
    </w:p>
    <w:p w14:paraId="77E813FC" w14:textId="2566371E" w:rsidR="009571B6" w:rsidRDefault="009571B6" w:rsidP="009571B6">
      <w:r>
        <w:rPr>
          <w:b/>
          <w:bCs/>
        </w:rPr>
        <w:t>5</w:t>
      </w:r>
      <w:r w:rsidR="007E4FB9" w:rsidRPr="00632D2E">
        <w:rPr>
          <w:b/>
          <w:bCs/>
        </w:rPr>
        <w:t xml:space="preserve">. </w:t>
      </w:r>
      <w:r w:rsidR="001C192A">
        <w:rPr>
          <w:b/>
          <w:bCs/>
        </w:rPr>
        <w:t>[</w:t>
      </w:r>
      <w:r w:rsidR="003E4CDB">
        <w:rPr>
          <w:b/>
          <w:bCs/>
        </w:rPr>
        <w:t>Z</w:t>
      </w:r>
      <w:r w:rsidR="00C409CA">
        <w:rPr>
          <w:b/>
          <w:bCs/>
        </w:rPr>
        <w:t>lecanie</w:t>
      </w:r>
      <w:r w:rsidR="001C192A">
        <w:rPr>
          <w:b/>
          <w:bCs/>
        </w:rPr>
        <w:t xml:space="preserve"> zada</w:t>
      </w:r>
      <w:r w:rsidR="00C409CA">
        <w:rPr>
          <w:b/>
          <w:bCs/>
        </w:rPr>
        <w:t>ń</w:t>
      </w:r>
      <w:r w:rsidR="001C192A">
        <w:rPr>
          <w:b/>
          <w:bCs/>
        </w:rPr>
        <w:t xml:space="preserve"> regulaminow</w:t>
      </w:r>
      <w:r w:rsidR="00C409CA">
        <w:rPr>
          <w:b/>
          <w:bCs/>
        </w:rPr>
        <w:t>ych</w:t>
      </w:r>
      <w:r w:rsidR="001C192A">
        <w:rPr>
          <w:b/>
          <w:bCs/>
        </w:rPr>
        <w:t xml:space="preserve">] </w:t>
      </w:r>
      <w:r>
        <w:t xml:space="preserve">Wsparcie DGLP w obsłudze prawnej przez kancelarie zewnętrzne służyło </w:t>
      </w:r>
      <w:r w:rsidRPr="001E5E0F">
        <w:t>niezależnej i</w:t>
      </w:r>
      <w:r>
        <w:t> </w:t>
      </w:r>
      <w:r w:rsidRPr="001E5E0F">
        <w:t xml:space="preserve">bezstronnej identyfikacji </w:t>
      </w:r>
      <w:r>
        <w:t>i rozliczeni</w:t>
      </w:r>
      <w:r w:rsidR="0007679F">
        <w:t>u</w:t>
      </w:r>
      <w:r>
        <w:t xml:space="preserve"> </w:t>
      </w:r>
      <w:r w:rsidRPr="001E5E0F">
        <w:t xml:space="preserve">nieprawidłowości </w:t>
      </w:r>
      <w:r>
        <w:t xml:space="preserve">z lat 2015-2023, jednakże za działanie niecelowe uznano zlecanie w ramach badanych umów </w:t>
      </w:r>
      <w:r w:rsidRPr="001E5E0F">
        <w:t>zada</w:t>
      </w:r>
      <w:r>
        <w:t xml:space="preserve">ń </w:t>
      </w:r>
      <w:r w:rsidRPr="001E5E0F">
        <w:t>regulaminow</w:t>
      </w:r>
      <w:r>
        <w:t>ych</w:t>
      </w:r>
      <w:r w:rsidRPr="001E5E0F">
        <w:t xml:space="preserve">. Dotyczyło to takich </w:t>
      </w:r>
      <w:r>
        <w:t>prac</w:t>
      </w:r>
      <w:r w:rsidRPr="001E5E0F">
        <w:t xml:space="preserve"> jak </w:t>
      </w:r>
      <w:r>
        <w:t xml:space="preserve">np. </w:t>
      </w:r>
      <w:r w:rsidRPr="001E5E0F">
        <w:t xml:space="preserve">wykładnia przepisów prawa, opracowanie projektów aktów </w:t>
      </w:r>
      <w:r>
        <w:t xml:space="preserve">prawnych </w:t>
      </w:r>
      <w:r w:rsidRPr="001E5E0F">
        <w:t>czy opiniowanie zarządzeń wewnętrznych.</w:t>
      </w:r>
      <w:r>
        <w:t xml:space="preserve"> Zadania takie mogły być wykonywane przez Wydział Prawny</w:t>
      </w:r>
      <w:r w:rsidR="00396633">
        <w:t xml:space="preserve"> DGLP</w:t>
      </w:r>
      <w:r>
        <w:t>.</w:t>
      </w:r>
    </w:p>
    <w:p w14:paraId="2258E185" w14:textId="0ECBA2DD" w:rsidR="001B76E0" w:rsidRPr="001B76E0" w:rsidRDefault="001B76E0" w:rsidP="001B76E0">
      <w:pPr>
        <w:ind w:left="567" w:right="565"/>
        <w:rPr>
          <w:sz w:val="16"/>
          <w:szCs w:val="16"/>
        </w:rPr>
      </w:pPr>
      <w:r w:rsidRPr="003E4CDB">
        <w:rPr>
          <w:sz w:val="16"/>
          <w:szCs w:val="16"/>
        </w:rPr>
        <w:t xml:space="preserve">W strukturze DGLP działa Wydział Prawny, w którym zatrudnionych było 7 pracowników. Zgodnie z Regulaminem DGLP do zadań </w:t>
      </w:r>
      <w:r w:rsidR="00DD2E52">
        <w:rPr>
          <w:sz w:val="16"/>
          <w:szCs w:val="16"/>
        </w:rPr>
        <w:t>tego wydziału</w:t>
      </w:r>
      <w:r w:rsidRPr="003E4CDB">
        <w:rPr>
          <w:sz w:val="16"/>
          <w:szCs w:val="16"/>
        </w:rPr>
        <w:t xml:space="preserve"> należy m.in.:</w:t>
      </w:r>
      <w:r>
        <w:rPr>
          <w:sz w:val="16"/>
          <w:szCs w:val="16"/>
        </w:rPr>
        <w:t xml:space="preserve"> </w:t>
      </w:r>
      <w:r w:rsidRPr="001B76E0">
        <w:rPr>
          <w:sz w:val="16"/>
          <w:szCs w:val="16"/>
        </w:rPr>
        <w:t>udzielanie opinii i porad prawnych w</w:t>
      </w:r>
      <w:r w:rsidR="00DD2E52">
        <w:rPr>
          <w:sz w:val="16"/>
          <w:szCs w:val="16"/>
        </w:rPr>
        <w:t> </w:t>
      </w:r>
      <w:r w:rsidRPr="001B76E0">
        <w:rPr>
          <w:sz w:val="16"/>
          <w:szCs w:val="16"/>
        </w:rPr>
        <w:t>zakresie stosowania prawa</w:t>
      </w:r>
      <w:r>
        <w:rPr>
          <w:sz w:val="16"/>
          <w:szCs w:val="16"/>
        </w:rPr>
        <w:t xml:space="preserve">, </w:t>
      </w:r>
      <w:r w:rsidRPr="003E4CDB">
        <w:rPr>
          <w:sz w:val="16"/>
          <w:szCs w:val="16"/>
        </w:rPr>
        <w:t xml:space="preserve">nadzór i koordynacja prac legislacyjnych dotyczących </w:t>
      </w:r>
      <w:r>
        <w:rPr>
          <w:sz w:val="16"/>
          <w:szCs w:val="16"/>
        </w:rPr>
        <w:t xml:space="preserve">PGL </w:t>
      </w:r>
      <w:r w:rsidRPr="003E4CDB">
        <w:rPr>
          <w:sz w:val="16"/>
          <w:szCs w:val="16"/>
        </w:rPr>
        <w:t>LP</w:t>
      </w:r>
      <w:r>
        <w:rPr>
          <w:sz w:val="16"/>
          <w:szCs w:val="16"/>
        </w:rPr>
        <w:t xml:space="preserve"> oraz </w:t>
      </w:r>
      <w:r w:rsidRPr="001B76E0">
        <w:rPr>
          <w:sz w:val="16"/>
          <w:szCs w:val="16"/>
        </w:rPr>
        <w:t>występowanie w charakterze pełnomocnika Dyrektora Generalnego i DGLP w postępowani</w:t>
      </w:r>
      <w:r>
        <w:rPr>
          <w:sz w:val="16"/>
          <w:szCs w:val="16"/>
        </w:rPr>
        <w:t>ach</w:t>
      </w:r>
      <w:r w:rsidRPr="001B76E0">
        <w:rPr>
          <w:sz w:val="16"/>
          <w:szCs w:val="16"/>
        </w:rPr>
        <w:t xml:space="preserve"> sądowy</w:t>
      </w:r>
      <w:r>
        <w:rPr>
          <w:sz w:val="16"/>
          <w:szCs w:val="16"/>
        </w:rPr>
        <w:t>ch</w:t>
      </w:r>
      <w:r w:rsidRPr="001B76E0">
        <w:rPr>
          <w:sz w:val="16"/>
          <w:szCs w:val="16"/>
        </w:rPr>
        <w:t>, administracyjny</w:t>
      </w:r>
      <w:r>
        <w:rPr>
          <w:sz w:val="16"/>
          <w:szCs w:val="16"/>
        </w:rPr>
        <w:t>ch</w:t>
      </w:r>
      <w:r w:rsidRPr="001B76E0">
        <w:rPr>
          <w:sz w:val="16"/>
          <w:szCs w:val="16"/>
        </w:rPr>
        <w:t xml:space="preserve"> oraz przed innymi organami.</w:t>
      </w:r>
    </w:p>
    <w:p w14:paraId="575DDBA2" w14:textId="2CB74CB9" w:rsidR="00962D61" w:rsidRPr="003E4CDB" w:rsidRDefault="001B76E0" w:rsidP="001B76E0">
      <w:pPr>
        <w:spacing w:after="0"/>
        <w:ind w:left="567" w:right="567"/>
        <w:rPr>
          <w:b/>
          <w:bCs/>
          <w:sz w:val="16"/>
          <w:szCs w:val="16"/>
        </w:rPr>
      </w:pPr>
      <w:r>
        <w:rPr>
          <w:sz w:val="16"/>
          <w:szCs w:val="16"/>
        </w:rPr>
        <w:t>Zadania w ww. zakresie zlecano również kancelariom prawnym. W szczególności</w:t>
      </w:r>
      <w:r w:rsidR="00962D61" w:rsidRPr="003E4CDB">
        <w:rPr>
          <w:sz w:val="16"/>
          <w:szCs w:val="16"/>
        </w:rPr>
        <w:t xml:space="preserve"> </w:t>
      </w:r>
      <w:r w:rsidR="00DD2E52">
        <w:rPr>
          <w:sz w:val="16"/>
          <w:szCs w:val="16"/>
        </w:rPr>
        <w:t>dotyczy to umowy z</w:t>
      </w:r>
      <w:r>
        <w:rPr>
          <w:sz w:val="16"/>
          <w:szCs w:val="16"/>
        </w:rPr>
        <w:t> </w:t>
      </w:r>
      <w:r w:rsidR="00962D61" w:rsidRPr="003E4CDB">
        <w:rPr>
          <w:sz w:val="16"/>
          <w:szCs w:val="16"/>
        </w:rPr>
        <w:t>11 stycznia 2024 r.</w:t>
      </w:r>
      <w:r w:rsidR="00A83103" w:rsidRPr="003E4CDB">
        <w:rPr>
          <w:rStyle w:val="Odwoanieprzypisudolnego"/>
          <w:sz w:val="16"/>
          <w:szCs w:val="16"/>
        </w:rPr>
        <w:footnoteReference w:id="18"/>
      </w:r>
      <w:r w:rsidR="00962D61" w:rsidRPr="003E4CDB">
        <w:rPr>
          <w:sz w:val="16"/>
          <w:szCs w:val="16"/>
        </w:rPr>
        <w:t xml:space="preserve"> zawartej z </w:t>
      </w:r>
      <w:r w:rsidR="00962D61" w:rsidRPr="00751E1C">
        <w:rPr>
          <w:sz w:val="16"/>
          <w:szCs w:val="16"/>
        </w:rPr>
        <w:t>Kancelari</w:t>
      </w:r>
      <w:r w:rsidR="0007679F">
        <w:rPr>
          <w:sz w:val="16"/>
          <w:szCs w:val="16"/>
        </w:rPr>
        <w:t>ą</w:t>
      </w:r>
      <w:r w:rsidR="00962D61" w:rsidRPr="00751E1C">
        <w:rPr>
          <w:sz w:val="16"/>
          <w:szCs w:val="16"/>
        </w:rPr>
        <w:t xml:space="preserve"> Graś i Wspólnicy</w:t>
      </w:r>
      <w:r w:rsidR="00A83103" w:rsidRPr="00751E1C">
        <w:rPr>
          <w:sz w:val="16"/>
          <w:szCs w:val="16"/>
        </w:rPr>
        <w:t xml:space="preserve"> na</w:t>
      </w:r>
      <w:r w:rsidR="00962D61" w:rsidRPr="00751E1C">
        <w:rPr>
          <w:sz w:val="16"/>
          <w:szCs w:val="16"/>
        </w:rPr>
        <w:t xml:space="preserve"> </w:t>
      </w:r>
      <w:r w:rsidR="001343CE" w:rsidRPr="00751E1C">
        <w:rPr>
          <w:sz w:val="16"/>
          <w:szCs w:val="16"/>
        </w:rPr>
        <w:t xml:space="preserve">bieżące </w:t>
      </w:r>
      <w:r w:rsidR="00962D61" w:rsidRPr="00751E1C">
        <w:rPr>
          <w:sz w:val="16"/>
          <w:szCs w:val="16"/>
        </w:rPr>
        <w:t>doradztwo prawne na rzecz DGLP</w:t>
      </w:r>
      <w:r w:rsidR="00DD2E52" w:rsidRPr="00751E1C">
        <w:rPr>
          <w:sz w:val="16"/>
          <w:szCs w:val="16"/>
        </w:rPr>
        <w:t xml:space="preserve">, </w:t>
      </w:r>
      <w:r w:rsidR="004234C2" w:rsidRPr="00751E1C">
        <w:rPr>
          <w:sz w:val="16"/>
          <w:szCs w:val="16"/>
        </w:rPr>
        <w:t>w ramach której wydatkowano</w:t>
      </w:r>
      <w:r w:rsidR="004234C2" w:rsidRPr="00751E1C">
        <w:t xml:space="preserve"> </w:t>
      </w:r>
      <w:r w:rsidR="001008AD" w:rsidRPr="00751E1C">
        <w:rPr>
          <w:sz w:val="16"/>
          <w:szCs w:val="16"/>
        </w:rPr>
        <w:t>144 000,00</w:t>
      </w:r>
      <w:r w:rsidR="004234C2" w:rsidRPr="00751E1C">
        <w:rPr>
          <w:sz w:val="16"/>
          <w:szCs w:val="16"/>
        </w:rPr>
        <w:t xml:space="preserve"> zł</w:t>
      </w:r>
      <w:r w:rsidR="00DD2E52" w:rsidRPr="00751E1C">
        <w:rPr>
          <w:sz w:val="16"/>
          <w:szCs w:val="16"/>
        </w:rPr>
        <w:t xml:space="preserve"> na zadania takie jak</w:t>
      </w:r>
      <w:r w:rsidR="00962D61" w:rsidRPr="00751E1C">
        <w:rPr>
          <w:sz w:val="16"/>
          <w:szCs w:val="16"/>
        </w:rPr>
        <w:t>:</w:t>
      </w:r>
    </w:p>
    <w:p w14:paraId="46BFAA72" w14:textId="570B8DC2" w:rsidR="00962D61" w:rsidRPr="003E4CDB" w:rsidRDefault="00962D61" w:rsidP="003E4CDB">
      <w:pPr>
        <w:ind w:left="567" w:right="565"/>
        <w:contextualSpacing/>
        <w:rPr>
          <w:sz w:val="16"/>
          <w:szCs w:val="16"/>
        </w:rPr>
      </w:pPr>
      <w:r w:rsidRPr="003E4CDB">
        <w:rPr>
          <w:sz w:val="16"/>
          <w:szCs w:val="16"/>
        </w:rPr>
        <w:t>1) wykładni</w:t>
      </w:r>
      <w:r w:rsidR="00DD2E52">
        <w:rPr>
          <w:sz w:val="16"/>
          <w:szCs w:val="16"/>
        </w:rPr>
        <w:t>a</w:t>
      </w:r>
      <w:r w:rsidRPr="003E4CDB">
        <w:rPr>
          <w:sz w:val="16"/>
          <w:szCs w:val="16"/>
        </w:rPr>
        <w:t xml:space="preserve"> obowiązujących przepisów,</w:t>
      </w:r>
    </w:p>
    <w:p w14:paraId="41FAB407" w14:textId="43EE0CF4" w:rsidR="00962D61" w:rsidRPr="003E4CDB" w:rsidRDefault="00962D61" w:rsidP="003E4CDB">
      <w:pPr>
        <w:ind w:left="567" w:right="565"/>
        <w:contextualSpacing/>
        <w:rPr>
          <w:sz w:val="16"/>
          <w:szCs w:val="16"/>
        </w:rPr>
      </w:pPr>
      <w:r w:rsidRPr="003E4CDB">
        <w:rPr>
          <w:sz w:val="16"/>
          <w:szCs w:val="16"/>
        </w:rPr>
        <w:t>2)</w:t>
      </w:r>
      <w:r w:rsidR="007E4FB9" w:rsidRPr="003E4CDB">
        <w:rPr>
          <w:sz w:val="16"/>
          <w:szCs w:val="16"/>
        </w:rPr>
        <w:t xml:space="preserve"> </w:t>
      </w:r>
      <w:r w:rsidRPr="003E4CDB">
        <w:rPr>
          <w:sz w:val="16"/>
          <w:szCs w:val="16"/>
        </w:rPr>
        <w:t>opiniowani</w:t>
      </w:r>
      <w:r w:rsidR="00DD2E52">
        <w:rPr>
          <w:sz w:val="16"/>
          <w:szCs w:val="16"/>
        </w:rPr>
        <w:t>e</w:t>
      </w:r>
      <w:r w:rsidRPr="003E4CDB">
        <w:rPr>
          <w:sz w:val="16"/>
          <w:szCs w:val="16"/>
        </w:rPr>
        <w:t xml:space="preserve"> zarządzeń i decyzji wewnętrznych Dyrektora Generalnego,</w:t>
      </w:r>
    </w:p>
    <w:p w14:paraId="5883B6D4" w14:textId="5009D462" w:rsidR="001B76E0" w:rsidRDefault="00962D61" w:rsidP="001B76E0">
      <w:pPr>
        <w:spacing w:before="120" w:after="120"/>
        <w:ind w:left="567" w:right="567"/>
        <w:rPr>
          <w:sz w:val="16"/>
          <w:szCs w:val="16"/>
        </w:rPr>
      </w:pPr>
      <w:r w:rsidRPr="003E4CDB">
        <w:rPr>
          <w:sz w:val="16"/>
          <w:szCs w:val="16"/>
        </w:rPr>
        <w:t>3)</w:t>
      </w:r>
      <w:r w:rsidR="007E4FB9" w:rsidRPr="003E4CDB">
        <w:rPr>
          <w:sz w:val="16"/>
          <w:szCs w:val="16"/>
        </w:rPr>
        <w:t xml:space="preserve"> </w:t>
      </w:r>
      <w:r w:rsidRPr="003E4CDB">
        <w:rPr>
          <w:sz w:val="16"/>
          <w:szCs w:val="16"/>
        </w:rPr>
        <w:t>opracowywanie projektów aktów i czynności prawnych.</w:t>
      </w:r>
    </w:p>
    <w:p w14:paraId="0A8026B2" w14:textId="6EE748AF" w:rsidR="006E56DA" w:rsidRDefault="006E56DA" w:rsidP="001B76E0">
      <w:pPr>
        <w:spacing w:before="120" w:after="120"/>
        <w:ind w:left="567" w:right="567"/>
        <w:rPr>
          <w:sz w:val="16"/>
          <w:szCs w:val="16"/>
        </w:rPr>
      </w:pPr>
      <w:r>
        <w:rPr>
          <w:sz w:val="16"/>
          <w:szCs w:val="16"/>
        </w:rPr>
        <w:t xml:space="preserve">Ponadto </w:t>
      </w:r>
      <w:r w:rsidR="004234C2">
        <w:rPr>
          <w:sz w:val="16"/>
          <w:szCs w:val="16"/>
        </w:rPr>
        <w:t xml:space="preserve">w pozostałych umowach zawartych z podmiotami zewnętrznymi zakres zadań obejmował </w:t>
      </w:r>
      <w:r w:rsidR="00DD2E52">
        <w:rPr>
          <w:sz w:val="16"/>
          <w:szCs w:val="16"/>
        </w:rPr>
        <w:t>również</w:t>
      </w:r>
      <w:r w:rsidR="004234C2">
        <w:rPr>
          <w:sz w:val="16"/>
          <w:szCs w:val="16"/>
        </w:rPr>
        <w:t xml:space="preserve"> </w:t>
      </w:r>
      <w:r w:rsidR="004234C2" w:rsidRPr="004234C2">
        <w:rPr>
          <w:sz w:val="16"/>
          <w:szCs w:val="16"/>
        </w:rPr>
        <w:t>udzielani</w:t>
      </w:r>
      <w:r w:rsidR="004234C2">
        <w:rPr>
          <w:sz w:val="16"/>
          <w:szCs w:val="16"/>
        </w:rPr>
        <w:t>e</w:t>
      </w:r>
      <w:r w:rsidR="004234C2" w:rsidRPr="004234C2">
        <w:rPr>
          <w:sz w:val="16"/>
          <w:szCs w:val="16"/>
        </w:rPr>
        <w:t xml:space="preserve"> porad i konsultacji w zakresie powstania i ustania stosunków prawnych</w:t>
      </w:r>
      <w:r w:rsidR="004234C2">
        <w:rPr>
          <w:sz w:val="16"/>
          <w:szCs w:val="16"/>
        </w:rPr>
        <w:t xml:space="preserve">, </w:t>
      </w:r>
      <w:r w:rsidR="004234C2">
        <w:rPr>
          <w:sz w:val="16"/>
          <w:szCs w:val="16"/>
        </w:rPr>
        <w:lastRenderedPageBreak/>
        <w:t>reprezentowanie przed organami ścigania i sądami, sporządzani</w:t>
      </w:r>
      <w:r w:rsidR="00DD2E52">
        <w:rPr>
          <w:sz w:val="16"/>
          <w:szCs w:val="16"/>
        </w:rPr>
        <w:t>e</w:t>
      </w:r>
      <w:r w:rsidR="004234C2">
        <w:rPr>
          <w:sz w:val="16"/>
          <w:szCs w:val="16"/>
        </w:rPr>
        <w:t xml:space="preserve"> pism procesowych, opiniowanie wewnętrznych aktów prawnych </w:t>
      </w:r>
      <w:r w:rsidR="00DD2E52">
        <w:rPr>
          <w:sz w:val="16"/>
          <w:szCs w:val="16"/>
        </w:rPr>
        <w:t xml:space="preserve">oraz </w:t>
      </w:r>
      <w:r w:rsidR="0007679F">
        <w:rPr>
          <w:sz w:val="16"/>
          <w:szCs w:val="16"/>
        </w:rPr>
        <w:t>przygotowywanie</w:t>
      </w:r>
      <w:r w:rsidR="004234C2">
        <w:rPr>
          <w:sz w:val="16"/>
          <w:szCs w:val="16"/>
        </w:rPr>
        <w:t xml:space="preserve"> opinii prawnych. </w:t>
      </w:r>
    </w:p>
    <w:p w14:paraId="609AE7A2" w14:textId="41DB8779" w:rsidR="001B76E0" w:rsidRDefault="001B76E0" w:rsidP="001B76E0">
      <w:pPr>
        <w:spacing w:before="120" w:after="120"/>
        <w:ind w:left="567" w:right="567"/>
        <w:rPr>
          <w:sz w:val="16"/>
          <w:szCs w:val="16"/>
        </w:rPr>
      </w:pPr>
      <w:r w:rsidRPr="00637449">
        <w:rPr>
          <w:sz w:val="16"/>
          <w:szCs w:val="16"/>
        </w:rPr>
        <w:t>Dyrektor Generalny w</w:t>
      </w:r>
      <w:r>
        <w:rPr>
          <w:sz w:val="16"/>
          <w:szCs w:val="16"/>
        </w:rPr>
        <w:t>yjaśnił</w:t>
      </w:r>
      <w:r w:rsidRPr="00637449">
        <w:rPr>
          <w:sz w:val="16"/>
          <w:szCs w:val="16"/>
        </w:rPr>
        <w:t xml:space="preserve">, że </w:t>
      </w:r>
      <w:r w:rsidR="00DD2E52">
        <w:rPr>
          <w:sz w:val="16"/>
          <w:szCs w:val="16"/>
        </w:rPr>
        <w:t xml:space="preserve">decyzję </w:t>
      </w:r>
      <w:r w:rsidRPr="00637449">
        <w:rPr>
          <w:sz w:val="16"/>
          <w:szCs w:val="16"/>
        </w:rPr>
        <w:t>o zaangażowaniu wyspecjalizowanych podmiotów zewnętrznych do przeprowadzenia czynności sprawdzających</w:t>
      </w:r>
      <w:r w:rsidR="00DD2E52">
        <w:rPr>
          <w:sz w:val="16"/>
          <w:szCs w:val="16"/>
        </w:rPr>
        <w:t xml:space="preserve"> podjęto </w:t>
      </w:r>
      <w:r w:rsidR="00DD2E52" w:rsidRPr="00637449">
        <w:rPr>
          <w:sz w:val="16"/>
          <w:szCs w:val="16"/>
        </w:rPr>
        <w:t>w związku z informacj</w:t>
      </w:r>
      <w:r w:rsidR="00DD2E52">
        <w:rPr>
          <w:sz w:val="16"/>
          <w:szCs w:val="16"/>
        </w:rPr>
        <w:t xml:space="preserve">ami </w:t>
      </w:r>
      <w:r w:rsidR="00DD2E52" w:rsidRPr="00637449">
        <w:rPr>
          <w:sz w:val="16"/>
          <w:szCs w:val="16"/>
        </w:rPr>
        <w:t>o</w:t>
      </w:r>
      <w:r w:rsidR="0007679F">
        <w:rPr>
          <w:sz w:val="16"/>
          <w:szCs w:val="16"/>
        </w:rPr>
        <w:t> </w:t>
      </w:r>
      <w:r w:rsidR="00DD2E52" w:rsidRPr="00637449">
        <w:rPr>
          <w:sz w:val="16"/>
          <w:szCs w:val="16"/>
        </w:rPr>
        <w:t xml:space="preserve">nieprawidłowościach </w:t>
      </w:r>
      <w:r w:rsidR="00DD2E52">
        <w:rPr>
          <w:sz w:val="16"/>
          <w:szCs w:val="16"/>
        </w:rPr>
        <w:t>w</w:t>
      </w:r>
      <w:r w:rsidR="00DD2E52" w:rsidRPr="00637449">
        <w:rPr>
          <w:sz w:val="16"/>
          <w:szCs w:val="16"/>
        </w:rPr>
        <w:t xml:space="preserve"> </w:t>
      </w:r>
      <w:r w:rsidR="00DD2E52">
        <w:rPr>
          <w:sz w:val="16"/>
          <w:szCs w:val="16"/>
        </w:rPr>
        <w:t>PGL LP</w:t>
      </w:r>
      <w:r w:rsidRPr="00637449">
        <w:rPr>
          <w:sz w:val="16"/>
          <w:szCs w:val="16"/>
        </w:rPr>
        <w:t xml:space="preserve">. </w:t>
      </w:r>
      <w:r>
        <w:rPr>
          <w:sz w:val="16"/>
          <w:szCs w:val="16"/>
        </w:rPr>
        <w:t>Zdaniem Dyrektora Generalnego w</w:t>
      </w:r>
      <w:r w:rsidRPr="00637449">
        <w:rPr>
          <w:sz w:val="16"/>
          <w:szCs w:val="16"/>
        </w:rPr>
        <w:t>ybór kancelarii prawnych</w:t>
      </w:r>
      <w:r>
        <w:rPr>
          <w:sz w:val="16"/>
          <w:szCs w:val="16"/>
        </w:rPr>
        <w:t xml:space="preserve"> </w:t>
      </w:r>
      <w:r w:rsidRPr="00637449">
        <w:rPr>
          <w:sz w:val="16"/>
          <w:szCs w:val="16"/>
        </w:rPr>
        <w:t xml:space="preserve">specjalizujących się w prawie karnym oraz compliance był konieczny z uwagi na skalę działania </w:t>
      </w:r>
      <w:r>
        <w:rPr>
          <w:sz w:val="16"/>
          <w:szCs w:val="16"/>
        </w:rPr>
        <w:t>PGL</w:t>
      </w:r>
      <w:r w:rsidR="00AA6B83">
        <w:rPr>
          <w:sz w:val="16"/>
          <w:szCs w:val="16"/>
        </w:rPr>
        <w:t> </w:t>
      </w:r>
      <w:r w:rsidRPr="00637449">
        <w:rPr>
          <w:sz w:val="16"/>
          <w:szCs w:val="16"/>
        </w:rPr>
        <w:t xml:space="preserve">LP. Niezależni eksperci, niebędący częścią struktury </w:t>
      </w:r>
      <w:r>
        <w:rPr>
          <w:sz w:val="16"/>
          <w:szCs w:val="16"/>
        </w:rPr>
        <w:t>PGL LP</w:t>
      </w:r>
      <w:r w:rsidRPr="00637449">
        <w:rPr>
          <w:sz w:val="16"/>
          <w:szCs w:val="16"/>
        </w:rPr>
        <w:t xml:space="preserve">, mieli zapewnić transparentność procesu oraz </w:t>
      </w:r>
      <w:r>
        <w:rPr>
          <w:sz w:val="16"/>
          <w:szCs w:val="16"/>
        </w:rPr>
        <w:t>zapobiec</w:t>
      </w:r>
      <w:r w:rsidRPr="00637449">
        <w:rPr>
          <w:sz w:val="16"/>
          <w:szCs w:val="16"/>
        </w:rPr>
        <w:t xml:space="preserve"> konflikt</w:t>
      </w:r>
      <w:r>
        <w:rPr>
          <w:sz w:val="16"/>
          <w:szCs w:val="16"/>
        </w:rPr>
        <w:t>owi</w:t>
      </w:r>
      <w:r w:rsidRPr="00637449">
        <w:rPr>
          <w:sz w:val="16"/>
          <w:szCs w:val="16"/>
        </w:rPr>
        <w:t xml:space="preserve"> interesów. </w:t>
      </w:r>
      <w:r>
        <w:rPr>
          <w:sz w:val="16"/>
          <w:szCs w:val="16"/>
        </w:rPr>
        <w:t xml:space="preserve">Jak wskazano, </w:t>
      </w:r>
      <w:r w:rsidRPr="00637449">
        <w:rPr>
          <w:sz w:val="16"/>
          <w:szCs w:val="16"/>
        </w:rPr>
        <w:t xml:space="preserve">doświadczenie </w:t>
      </w:r>
      <w:r>
        <w:rPr>
          <w:sz w:val="16"/>
          <w:szCs w:val="16"/>
        </w:rPr>
        <w:t xml:space="preserve">kancelarii </w:t>
      </w:r>
      <w:r w:rsidRPr="00637449">
        <w:rPr>
          <w:sz w:val="16"/>
          <w:szCs w:val="16"/>
        </w:rPr>
        <w:t>w</w:t>
      </w:r>
      <w:r>
        <w:rPr>
          <w:sz w:val="16"/>
          <w:szCs w:val="16"/>
        </w:rPr>
        <w:t> </w:t>
      </w:r>
      <w:r w:rsidR="00AA6B83">
        <w:rPr>
          <w:sz w:val="16"/>
          <w:szCs w:val="16"/>
        </w:rPr>
        <w:t>audytach</w:t>
      </w:r>
      <w:r w:rsidRPr="00637449">
        <w:rPr>
          <w:sz w:val="16"/>
          <w:szCs w:val="16"/>
        </w:rPr>
        <w:t xml:space="preserve"> oraz postępowa</w:t>
      </w:r>
      <w:r w:rsidR="00AA6B83">
        <w:rPr>
          <w:sz w:val="16"/>
          <w:szCs w:val="16"/>
        </w:rPr>
        <w:t>niach</w:t>
      </w:r>
      <w:r w:rsidRPr="00637449">
        <w:rPr>
          <w:sz w:val="16"/>
          <w:szCs w:val="16"/>
        </w:rPr>
        <w:t xml:space="preserve"> dot</w:t>
      </w:r>
      <w:r>
        <w:rPr>
          <w:sz w:val="16"/>
          <w:szCs w:val="16"/>
        </w:rPr>
        <w:t xml:space="preserve">. </w:t>
      </w:r>
      <w:r w:rsidRPr="00637449">
        <w:rPr>
          <w:sz w:val="16"/>
          <w:szCs w:val="16"/>
        </w:rPr>
        <w:t xml:space="preserve">nadużyć umożliwiło szczegółowe zweryfikowanie badanych obszarów. </w:t>
      </w:r>
      <w:r>
        <w:rPr>
          <w:sz w:val="16"/>
          <w:szCs w:val="16"/>
        </w:rPr>
        <w:t>Wyjaśniono również, że</w:t>
      </w:r>
      <w:r w:rsidRPr="00637449">
        <w:rPr>
          <w:sz w:val="16"/>
          <w:szCs w:val="16"/>
        </w:rPr>
        <w:t xml:space="preserve"> wykrycie nieprawidłowości w każdej analizowanej dziedzinie wskazywało</w:t>
      </w:r>
      <w:r w:rsidR="0007679F">
        <w:rPr>
          <w:sz w:val="16"/>
          <w:szCs w:val="16"/>
        </w:rPr>
        <w:t xml:space="preserve"> na</w:t>
      </w:r>
      <w:r w:rsidRPr="00637449">
        <w:rPr>
          <w:sz w:val="16"/>
          <w:szCs w:val="16"/>
        </w:rPr>
        <w:t xml:space="preserve"> systemowy </w:t>
      </w:r>
      <w:r>
        <w:rPr>
          <w:sz w:val="16"/>
          <w:szCs w:val="16"/>
        </w:rPr>
        <w:t>charakter problemów, który</w:t>
      </w:r>
      <w:r w:rsidRPr="00637449">
        <w:rPr>
          <w:sz w:val="16"/>
          <w:szCs w:val="16"/>
        </w:rPr>
        <w:t xml:space="preserve"> wymagał natychmiastowej interwencji.</w:t>
      </w:r>
    </w:p>
    <w:p w14:paraId="00E64175" w14:textId="76E2C93E" w:rsidR="00637449" w:rsidRPr="00DD2E52" w:rsidRDefault="00637449" w:rsidP="00114044">
      <w:pPr>
        <w:ind w:left="567"/>
        <w:rPr>
          <w:b/>
          <w:bCs/>
          <w:sz w:val="16"/>
          <w:szCs w:val="16"/>
        </w:rPr>
      </w:pPr>
      <w:bookmarkStart w:id="9" w:name="_Hlk196240912"/>
      <w:r w:rsidRPr="00DD2E52">
        <w:rPr>
          <w:b/>
          <w:bCs/>
          <w:sz w:val="16"/>
          <w:szCs w:val="16"/>
        </w:rPr>
        <w:t>[akta kontroli</w:t>
      </w:r>
      <w:r w:rsidR="00DD2E52" w:rsidRPr="00DD2E52">
        <w:rPr>
          <w:b/>
          <w:bCs/>
          <w:sz w:val="16"/>
          <w:szCs w:val="16"/>
        </w:rPr>
        <w:t xml:space="preserve">: </w:t>
      </w:r>
      <w:r w:rsidR="00E2633E" w:rsidRPr="00DD2E52">
        <w:rPr>
          <w:b/>
          <w:bCs/>
          <w:sz w:val="16"/>
          <w:szCs w:val="16"/>
        </w:rPr>
        <w:t>f2_f2_p1_p5_p6_p7</w:t>
      </w:r>
      <w:r w:rsidR="00DD2E52" w:rsidRPr="00DD2E52">
        <w:rPr>
          <w:b/>
          <w:bCs/>
          <w:sz w:val="16"/>
          <w:szCs w:val="16"/>
        </w:rPr>
        <w:t>]</w:t>
      </w:r>
    </w:p>
    <w:bookmarkEnd w:id="9"/>
    <w:p w14:paraId="1D4A1D0A" w14:textId="5A210C79" w:rsidR="00637449" w:rsidRDefault="001B76E0" w:rsidP="00962D61">
      <w:r>
        <w:t>K</w:t>
      </w:r>
      <w:r w:rsidR="00637449">
        <w:t xml:space="preserve">onieczność wsparcia działalności DGLP </w:t>
      </w:r>
      <w:r w:rsidR="008A3E1B">
        <w:t xml:space="preserve">przez zewnętrzne podmioty w celu </w:t>
      </w:r>
      <w:r w:rsidRPr="001E5E0F">
        <w:t>niezależnej i</w:t>
      </w:r>
      <w:r>
        <w:t> </w:t>
      </w:r>
      <w:r w:rsidRPr="001E5E0F">
        <w:t xml:space="preserve">bezstronnej identyfikacji </w:t>
      </w:r>
      <w:r>
        <w:t xml:space="preserve">i rozliczenia </w:t>
      </w:r>
      <w:r w:rsidRPr="001E5E0F">
        <w:t xml:space="preserve">nieprawidłowości </w:t>
      </w:r>
      <w:r>
        <w:t xml:space="preserve">z lat </w:t>
      </w:r>
      <w:r w:rsidR="008A3E1B">
        <w:t xml:space="preserve">poprzednich </w:t>
      </w:r>
      <w:r w:rsidR="00637449">
        <w:t xml:space="preserve">nie </w:t>
      </w:r>
      <w:r w:rsidR="008A3E1B">
        <w:t xml:space="preserve">stanowi </w:t>
      </w:r>
      <w:r w:rsidR="00637449">
        <w:t>uzasadni</w:t>
      </w:r>
      <w:r w:rsidR="008A3E1B">
        <w:t>enia</w:t>
      </w:r>
      <w:r w:rsidR="00637449">
        <w:t xml:space="preserve"> </w:t>
      </w:r>
      <w:r w:rsidR="008A3E1B">
        <w:t xml:space="preserve">zlecania tym podmiotom </w:t>
      </w:r>
      <w:r w:rsidR="004234C2">
        <w:t xml:space="preserve">realizacji </w:t>
      </w:r>
      <w:r w:rsidR="008A3E1B">
        <w:t>zadań</w:t>
      </w:r>
      <w:r w:rsidR="00637449">
        <w:t xml:space="preserve"> </w:t>
      </w:r>
      <w:r w:rsidR="008A3E1B">
        <w:t>regulaminowych</w:t>
      </w:r>
      <w:r w:rsidR="00637449">
        <w:t xml:space="preserve"> </w:t>
      </w:r>
      <w:r w:rsidR="008A3E1B">
        <w:t>możliwych do</w:t>
      </w:r>
      <w:r w:rsidR="00DD2E52">
        <w:t> </w:t>
      </w:r>
      <w:r w:rsidR="004234C2">
        <w:t xml:space="preserve">wykonania </w:t>
      </w:r>
      <w:r w:rsidR="008A3E1B">
        <w:t xml:space="preserve">przez pracowników </w:t>
      </w:r>
      <w:r w:rsidR="00B3140E">
        <w:t>DGLP</w:t>
      </w:r>
      <w:r w:rsidR="00A52128">
        <w:t xml:space="preserve">. </w:t>
      </w:r>
      <w:r w:rsidR="00DD2E52">
        <w:t>Zadania związane z bieżącą obsługą prawną DGLP powinny być wykonywane przez osoby zatrudnione w tej jednostce do realizacji takich prac.</w:t>
      </w:r>
      <w:r w:rsidR="00AA6B83">
        <w:t xml:space="preserve"> W szczególności ustalenia dotyczące niezgodności czy nadużyć wynikające z realizacji pozostałych umów z kancelariami prawnymi mogły zostać wykorzystane przez pracowników DGLP do doskonalenia wewnętrznych procesów w ramach standardowych procedur działania.</w:t>
      </w:r>
    </w:p>
    <w:p w14:paraId="4081670A" w14:textId="75B0F1C7" w:rsidR="00594970" w:rsidRPr="00733180" w:rsidRDefault="009571B6" w:rsidP="009571B6">
      <w:pPr>
        <w:rPr>
          <w:szCs w:val="20"/>
        </w:rPr>
      </w:pPr>
      <w:r>
        <w:rPr>
          <w:b/>
          <w:bCs/>
          <w:szCs w:val="20"/>
        </w:rPr>
        <w:t xml:space="preserve">6. </w:t>
      </w:r>
      <w:r w:rsidRPr="006433E7">
        <w:rPr>
          <w:b/>
          <w:bCs/>
          <w:szCs w:val="20"/>
        </w:rPr>
        <w:t>[</w:t>
      </w:r>
      <w:r w:rsidR="00561AE3">
        <w:rPr>
          <w:b/>
          <w:bCs/>
          <w:szCs w:val="20"/>
        </w:rPr>
        <w:t>Wielość</w:t>
      </w:r>
      <w:r w:rsidRPr="006433E7">
        <w:rPr>
          <w:b/>
          <w:bCs/>
          <w:szCs w:val="20"/>
        </w:rPr>
        <w:t xml:space="preserve"> umów]</w:t>
      </w:r>
      <w:r w:rsidRPr="008D7AA3">
        <w:rPr>
          <w:szCs w:val="20"/>
        </w:rPr>
        <w:t xml:space="preserve"> </w:t>
      </w:r>
      <w:r w:rsidR="00B3140E">
        <w:t>Zlecanie zadań w ramach 9 poddanych badaniu umów</w:t>
      </w:r>
      <w:r w:rsidR="00733180">
        <w:t xml:space="preserve">, na które </w:t>
      </w:r>
      <w:r w:rsidR="00D43309">
        <w:t xml:space="preserve">DGLP </w:t>
      </w:r>
      <w:r w:rsidR="00733180">
        <w:t>wydatkowa</w:t>
      </w:r>
      <w:r w:rsidR="00D43309">
        <w:t>ła</w:t>
      </w:r>
      <w:r w:rsidR="00733180">
        <w:t xml:space="preserve"> </w:t>
      </w:r>
      <w:r w:rsidR="00733180">
        <w:rPr>
          <w:szCs w:val="20"/>
        </w:rPr>
        <w:t xml:space="preserve">łącznie </w:t>
      </w:r>
      <w:r w:rsidR="00C87EC6" w:rsidRPr="00C87EC6">
        <w:rPr>
          <w:szCs w:val="20"/>
        </w:rPr>
        <w:t>933.401,13</w:t>
      </w:r>
      <w:r w:rsidR="00C87EC6">
        <w:rPr>
          <w:szCs w:val="20"/>
        </w:rPr>
        <w:t xml:space="preserve"> zł, </w:t>
      </w:r>
      <w:r w:rsidR="00B3140E">
        <w:t>prowadzone było w sposób nieprzejrzysty</w:t>
      </w:r>
      <w:r w:rsidR="00561AE3">
        <w:t xml:space="preserve"> z uwagi na</w:t>
      </w:r>
      <w:r w:rsidR="00D43309">
        <w:t> </w:t>
      </w:r>
      <w:r w:rsidR="00594970">
        <w:t>powierzenie</w:t>
      </w:r>
      <w:r w:rsidR="00561AE3">
        <w:t xml:space="preserve"> obsługi prawnej dwóm kancelariom, w łącznej liczbie 9 umów</w:t>
      </w:r>
      <w:r w:rsidR="00F91CF0">
        <w:t>, któr</w:t>
      </w:r>
      <w:r w:rsidR="00A24DF4">
        <w:t xml:space="preserve">e obowiązywały w </w:t>
      </w:r>
      <w:r w:rsidR="005132CD">
        <w:t>tym samym roku</w:t>
      </w:r>
      <w:r w:rsidR="00A24DF4">
        <w:t>, a ich</w:t>
      </w:r>
      <w:r w:rsidR="00F91CF0">
        <w:t xml:space="preserve"> zakresy tematyczne </w:t>
      </w:r>
      <w:r w:rsidR="00A24DF4">
        <w:t>się pokrywały (np.</w:t>
      </w:r>
      <w:r w:rsidR="00733180">
        <w:t xml:space="preserve"> trzy </w:t>
      </w:r>
      <w:r w:rsidR="00A24DF4">
        <w:t>umowy</w:t>
      </w:r>
      <w:r w:rsidR="00733180">
        <w:t xml:space="preserve"> dotyczyły doradztwa ws. karnych i karno-skarbowych</w:t>
      </w:r>
      <w:r w:rsidR="00A24DF4">
        <w:t xml:space="preserve">) lub </w:t>
      </w:r>
      <w:r w:rsidR="00C87EC6">
        <w:t xml:space="preserve">przedmiot tych umów </w:t>
      </w:r>
      <w:r w:rsidR="00A24DF4">
        <w:t>nie wymagał podziału (np.</w:t>
      </w:r>
      <w:r w:rsidR="00C87EC6">
        <w:t> </w:t>
      </w:r>
      <w:r w:rsidR="00A24DF4" w:rsidRPr="00A24DF4">
        <w:t>doradztw</w:t>
      </w:r>
      <w:r w:rsidR="00A24DF4">
        <w:t>o</w:t>
      </w:r>
      <w:r w:rsidR="00A24DF4" w:rsidRPr="00A24DF4">
        <w:t xml:space="preserve"> ws. prawa cywilnego</w:t>
      </w:r>
      <w:r w:rsidR="00A24DF4">
        <w:t xml:space="preserve"> i</w:t>
      </w:r>
      <w:r w:rsidR="00A24DF4" w:rsidRPr="00A24DF4">
        <w:t xml:space="preserve"> doradztw</w:t>
      </w:r>
      <w:r w:rsidR="00A24DF4">
        <w:t>o</w:t>
      </w:r>
      <w:r w:rsidR="00A24DF4" w:rsidRPr="00A24DF4">
        <w:t xml:space="preserve"> ws. ochrony dóbr osobistych</w:t>
      </w:r>
      <w:r w:rsidR="00A24DF4">
        <w:t>)</w:t>
      </w:r>
      <w:r w:rsidR="00733180">
        <w:t>.</w:t>
      </w:r>
      <w:r w:rsidR="005132CD">
        <w:t xml:space="preserve"> Zaznaczyć przy tym należy, że zawarcia tych umów nie poprzedzało udokumentowane uzasadnienie.</w:t>
      </w:r>
    </w:p>
    <w:p w14:paraId="2FE55D92" w14:textId="708D8495" w:rsidR="00A24DF4" w:rsidRDefault="004C5C60" w:rsidP="00A24DF4">
      <w:pPr>
        <w:rPr>
          <w:szCs w:val="20"/>
        </w:rPr>
      </w:pPr>
      <w:r>
        <w:rPr>
          <w:szCs w:val="20"/>
        </w:rPr>
        <w:t xml:space="preserve">Tego rodzaju działania utrudniają rozliczalność realizacji zadań oraz powodują </w:t>
      </w:r>
      <w:r w:rsidR="000B26F9">
        <w:rPr>
          <w:szCs w:val="20"/>
        </w:rPr>
        <w:t>ryzyko</w:t>
      </w:r>
      <w:r>
        <w:rPr>
          <w:szCs w:val="20"/>
        </w:rPr>
        <w:t xml:space="preserve"> powielania </w:t>
      </w:r>
      <w:r w:rsidR="00F91CF0">
        <w:rPr>
          <w:szCs w:val="20"/>
        </w:rPr>
        <w:t xml:space="preserve">zleconych </w:t>
      </w:r>
      <w:r w:rsidR="0083077B">
        <w:rPr>
          <w:szCs w:val="20"/>
        </w:rPr>
        <w:t xml:space="preserve">prac </w:t>
      </w:r>
      <w:r>
        <w:rPr>
          <w:szCs w:val="20"/>
        </w:rPr>
        <w:t xml:space="preserve">lub ich </w:t>
      </w:r>
      <w:r w:rsidR="00A24DF4">
        <w:rPr>
          <w:szCs w:val="20"/>
        </w:rPr>
        <w:t>podwójnego</w:t>
      </w:r>
      <w:r w:rsidR="00F91CF0">
        <w:rPr>
          <w:szCs w:val="20"/>
        </w:rPr>
        <w:t xml:space="preserve"> </w:t>
      </w:r>
      <w:r>
        <w:rPr>
          <w:szCs w:val="20"/>
        </w:rPr>
        <w:t>finansowania</w:t>
      </w:r>
      <w:r w:rsidR="00D43309">
        <w:rPr>
          <w:szCs w:val="20"/>
        </w:rPr>
        <w:t xml:space="preserve">, w szczególności biorąc pod uwagę </w:t>
      </w:r>
      <w:r w:rsidR="005A5550">
        <w:rPr>
          <w:szCs w:val="20"/>
        </w:rPr>
        <w:t xml:space="preserve">brak w 3 umowach ich wartości ogólnej, </w:t>
      </w:r>
      <w:r w:rsidR="00C52DC3">
        <w:rPr>
          <w:szCs w:val="20"/>
        </w:rPr>
        <w:t xml:space="preserve">rozliczanie części prac na podstawie ogólnych opisów oraz </w:t>
      </w:r>
      <w:r w:rsidR="00D43309">
        <w:rPr>
          <w:szCs w:val="20"/>
        </w:rPr>
        <w:t>relacje biznesowe między wykonawcami</w:t>
      </w:r>
      <w:r w:rsidR="00D43309">
        <w:rPr>
          <w:rStyle w:val="Odwoanieprzypisudolnego"/>
          <w:szCs w:val="20"/>
        </w:rPr>
        <w:footnoteReference w:id="19"/>
      </w:r>
      <w:r>
        <w:rPr>
          <w:szCs w:val="20"/>
        </w:rPr>
        <w:t>.</w:t>
      </w:r>
      <w:r w:rsidR="00A24DF4">
        <w:rPr>
          <w:szCs w:val="20"/>
        </w:rPr>
        <w:t xml:space="preserve"> </w:t>
      </w:r>
    </w:p>
    <w:p w14:paraId="130DA029" w14:textId="77777777" w:rsidR="005132CD" w:rsidRPr="007C15FE" w:rsidRDefault="005132CD" w:rsidP="007C15FE">
      <w:pPr>
        <w:ind w:left="567" w:right="709"/>
        <w:rPr>
          <w:sz w:val="16"/>
          <w:szCs w:val="16"/>
        </w:rPr>
      </w:pPr>
      <w:r w:rsidRPr="007C15FE">
        <w:rPr>
          <w:sz w:val="16"/>
          <w:szCs w:val="16"/>
        </w:rPr>
        <w:t>Kancelarii Graś i Wspólnicy w ramach 5 umów powierzono zadania z zakresu: bieżącego doradztwa prawnego; doradztwa ws. prawa karnego i karno-skarbowego; doradztwa ws. prawa pracy i prawa cywilnego; doradztwa ws. ochrony dóbr osobistych; reprezentacji prawnej w sprawie o odszkodowanie.</w:t>
      </w:r>
    </w:p>
    <w:p w14:paraId="0CC5F78D" w14:textId="77777777" w:rsidR="005132CD" w:rsidRPr="007C15FE" w:rsidRDefault="005132CD" w:rsidP="007C15FE">
      <w:pPr>
        <w:ind w:left="567" w:right="709"/>
        <w:rPr>
          <w:sz w:val="16"/>
          <w:szCs w:val="16"/>
        </w:rPr>
      </w:pPr>
      <w:r w:rsidRPr="007C15FE">
        <w:rPr>
          <w:sz w:val="16"/>
          <w:szCs w:val="16"/>
        </w:rPr>
        <w:t>Kancelarii Kowalski w ramach 4 umów powierzono zadania z zakresu: doradztwa ws. prawa karnego i karno-skarbowego; doradztwa ws. prawa karnego i karno-skarbowego w ramach programu „Dobre jest z lasu”; realizacji zadań w dwóch sprawach dot. zawiadomienia o możliwości popełnienia przestępstwa. W trzech z ww. umów nie wskazano ich ogólnej wartości.</w:t>
      </w:r>
    </w:p>
    <w:p w14:paraId="7D26B37B" w14:textId="5B8E80C5" w:rsidR="009571B6" w:rsidRDefault="009571B6" w:rsidP="006E56DA">
      <w:pPr>
        <w:spacing w:after="0"/>
        <w:ind w:left="567" w:right="567"/>
        <w:rPr>
          <w:sz w:val="16"/>
          <w:szCs w:val="16"/>
        </w:rPr>
      </w:pPr>
      <w:r>
        <w:rPr>
          <w:sz w:val="16"/>
          <w:szCs w:val="16"/>
        </w:rPr>
        <w:t xml:space="preserve">W </w:t>
      </w:r>
      <w:r w:rsidR="006E56DA">
        <w:rPr>
          <w:sz w:val="16"/>
          <w:szCs w:val="16"/>
        </w:rPr>
        <w:t xml:space="preserve">obszarze karnym i </w:t>
      </w:r>
      <w:r>
        <w:rPr>
          <w:sz w:val="16"/>
          <w:szCs w:val="16"/>
        </w:rPr>
        <w:t>karno-skarbow</w:t>
      </w:r>
      <w:r w:rsidR="006E56DA">
        <w:rPr>
          <w:sz w:val="16"/>
          <w:szCs w:val="16"/>
        </w:rPr>
        <w:t>ym</w:t>
      </w:r>
      <w:r>
        <w:rPr>
          <w:sz w:val="16"/>
          <w:szCs w:val="16"/>
        </w:rPr>
        <w:t xml:space="preserve"> DGLP zawarła </w:t>
      </w:r>
      <w:r w:rsidR="00155339">
        <w:rPr>
          <w:sz w:val="16"/>
          <w:szCs w:val="16"/>
        </w:rPr>
        <w:t xml:space="preserve">5 </w:t>
      </w:r>
      <w:r>
        <w:rPr>
          <w:sz w:val="16"/>
          <w:szCs w:val="16"/>
        </w:rPr>
        <w:t>um</w:t>
      </w:r>
      <w:r w:rsidR="00155339">
        <w:rPr>
          <w:sz w:val="16"/>
          <w:szCs w:val="16"/>
        </w:rPr>
        <w:t>ów</w:t>
      </w:r>
      <w:r>
        <w:rPr>
          <w:sz w:val="16"/>
          <w:szCs w:val="16"/>
        </w:rPr>
        <w:t>:</w:t>
      </w:r>
    </w:p>
    <w:p w14:paraId="34B0D943" w14:textId="535138B2" w:rsidR="009571B6" w:rsidRDefault="009571B6" w:rsidP="00155339">
      <w:pPr>
        <w:spacing w:after="0"/>
        <w:ind w:left="567" w:right="567"/>
        <w:rPr>
          <w:sz w:val="16"/>
          <w:szCs w:val="16"/>
        </w:rPr>
      </w:pPr>
      <w:r>
        <w:rPr>
          <w:sz w:val="16"/>
          <w:szCs w:val="16"/>
        </w:rPr>
        <w:t xml:space="preserve">1) </w:t>
      </w:r>
      <w:bookmarkStart w:id="10" w:name="_Hlk196319963"/>
      <w:r w:rsidR="006E56DA">
        <w:rPr>
          <w:sz w:val="16"/>
          <w:szCs w:val="16"/>
        </w:rPr>
        <w:t>umowa z 12 stycznia 2024 r. z Kancelarią Kowalski</w:t>
      </w:r>
      <w:r w:rsidR="006E56DA" w:rsidRPr="00743BB4">
        <w:rPr>
          <w:sz w:val="16"/>
          <w:szCs w:val="16"/>
        </w:rPr>
        <w:t xml:space="preserve"> </w:t>
      </w:r>
      <w:r w:rsidR="006E56DA">
        <w:rPr>
          <w:sz w:val="16"/>
          <w:szCs w:val="16"/>
        </w:rPr>
        <w:t xml:space="preserve">na </w:t>
      </w:r>
      <w:r w:rsidRPr="00743BB4">
        <w:rPr>
          <w:sz w:val="16"/>
          <w:szCs w:val="16"/>
        </w:rPr>
        <w:t>doradztw</w:t>
      </w:r>
      <w:r w:rsidR="006E56DA">
        <w:rPr>
          <w:sz w:val="16"/>
          <w:szCs w:val="16"/>
        </w:rPr>
        <w:t>o</w:t>
      </w:r>
      <w:r w:rsidRPr="00743BB4">
        <w:rPr>
          <w:sz w:val="16"/>
          <w:szCs w:val="16"/>
        </w:rPr>
        <w:t xml:space="preserve"> prawne</w:t>
      </w:r>
      <w:r w:rsidR="006E56DA">
        <w:rPr>
          <w:sz w:val="16"/>
          <w:szCs w:val="16"/>
        </w:rPr>
        <w:t xml:space="preserve"> </w:t>
      </w:r>
      <w:r w:rsidRPr="00743BB4">
        <w:rPr>
          <w:sz w:val="16"/>
          <w:szCs w:val="16"/>
        </w:rPr>
        <w:t>w zakresie prawa karnego i prawa karno</w:t>
      </w:r>
      <w:r>
        <w:rPr>
          <w:sz w:val="16"/>
          <w:szCs w:val="16"/>
        </w:rPr>
        <w:t>-</w:t>
      </w:r>
      <w:r w:rsidRPr="00743BB4">
        <w:rPr>
          <w:sz w:val="16"/>
          <w:szCs w:val="16"/>
        </w:rPr>
        <w:t>skarbowego</w:t>
      </w:r>
      <w:bookmarkEnd w:id="10"/>
      <w:r w:rsidR="00155339">
        <w:rPr>
          <w:sz w:val="16"/>
          <w:szCs w:val="16"/>
        </w:rPr>
        <w:t>;</w:t>
      </w:r>
    </w:p>
    <w:p w14:paraId="55BDFDE8" w14:textId="43CF9F13" w:rsidR="00A369DE" w:rsidRDefault="00155339" w:rsidP="00155339">
      <w:pPr>
        <w:spacing w:after="0"/>
        <w:ind w:left="567" w:right="567"/>
        <w:rPr>
          <w:sz w:val="16"/>
          <w:szCs w:val="16"/>
        </w:rPr>
      </w:pPr>
      <w:r>
        <w:rPr>
          <w:sz w:val="16"/>
          <w:szCs w:val="16"/>
        </w:rPr>
        <w:t>2</w:t>
      </w:r>
      <w:r w:rsidR="009571B6">
        <w:rPr>
          <w:sz w:val="16"/>
          <w:szCs w:val="16"/>
        </w:rPr>
        <w:t xml:space="preserve">) </w:t>
      </w:r>
      <w:r w:rsidR="006E56DA" w:rsidRPr="00743BB4">
        <w:rPr>
          <w:sz w:val="16"/>
          <w:szCs w:val="16"/>
        </w:rPr>
        <w:t>um</w:t>
      </w:r>
      <w:r w:rsidR="006E56DA">
        <w:rPr>
          <w:sz w:val="16"/>
          <w:szCs w:val="16"/>
        </w:rPr>
        <w:t>owa</w:t>
      </w:r>
      <w:r w:rsidR="006E56DA" w:rsidRPr="00743BB4">
        <w:rPr>
          <w:sz w:val="16"/>
          <w:szCs w:val="16"/>
        </w:rPr>
        <w:t xml:space="preserve"> z 16</w:t>
      </w:r>
      <w:r w:rsidR="006E56DA">
        <w:rPr>
          <w:sz w:val="16"/>
          <w:szCs w:val="16"/>
        </w:rPr>
        <w:t xml:space="preserve"> maja </w:t>
      </w:r>
      <w:r w:rsidR="006E56DA" w:rsidRPr="00743BB4">
        <w:rPr>
          <w:sz w:val="16"/>
          <w:szCs w:val="16"/>
        </w:rPr>
        <w:t>2024</w:t>
      </w:r>
      <w:r w:rsidR="006E56DA">
        <w:rPr>
          <w:sz w:val="16"/>
          <w:szCs w:val="16"/>
        </w:rPr>
        <w:t> </w:t>
      </w:r>
      <w:r w:rsidR="006E56DA" w:rsidRPr="00743BB4">
        <w:rPr>
          <w:sz w:val="16"/>
          <w:szCs w:val="16"/>
        </w:rPr>
        <w:t>r. z K</w:t>
      </w:r>
      <w:r w:rsidR="006E56DA">
        <w:rPr>
          <w:sz w:val="16"/>
          <w:szCs w:val="16"/>
        </w:rPr>
        <w:t>ancelarią</w:t>
      </w:r>
      <w:r w:rsidR="006E56DA" w:rsidRPr="00743BB4">
        <w:rPr>
          <w:sz w:val="16"/>
          <w:szCs w:val="16"/>
        </w:rPr>
        <w:t xml:space="preserve"> Kowalski </w:t>
      </w:r>
      <w:r w:rsidR="006E56DA">
        <w:rPr>
          <w:sz w:val="16"/>
          <w:szCs w:val="16"/>
        </w:rPr>
        <w:t>na</w:t>
      </w:r>
      <w:r w:rsidR="00A369DE">
        <w:rPr>
          <w:sz w:val="16"/>
          <w:szCs w:val="16"/>
        </w:rPr>
        <w:t xml:space="preserve"> </w:t>
      </w:r>
      <w:r>
        <w:rPr>
          <w:sz w:val="16"/>
          <w:szCs w:val="16"/>
        </w:rPr>
        <w:t xml:space="preserve">zadania związane </w:t>
      </w:r>
      <w:r w:rsidR="00A369DE">
        <w:rPr>
          <w:sz w:val="16"/>
          <w:szCs w:val="16"/>
        </w:rPr>
        <w:t>z zawiadomieni</w:t>
      </w:r>
      <w:r w:rsidR="00D5075D">
        <w:rPr>
          <w:sz w:val="16"/>
          <w:szCs w:val="16"/>
        </w:rPr>
        <w:t>em</w:t>
      </w:r>
      <w:r w:rsidR="00A369DE">
        <w:rPr>
          <w:sz w:val="16"/>
          <w:szCs w:val="16"/>
        </w:rPr>
        <w:t xml:space="preserve"> </w:t>
      </w:r>
      <w:r w:rsidR="00A369DE" w:rsidRPr="00A369DE">
        <w:rPr>
          <w:sz w:val="16"/>
          <w:szCs w:val="16"/>
        </w:rPr>
        <w:t>o popełnieniu przestępstwa;</w:t>
      </w:r>
    </w:p>
    <w:p w14:paraId="0A08D0F1" w14:textId="325BB97F" w:rsidR="00155339" w:rsidRPr="00A369DE" w:rsidRDefault="00155339" w:rsidP="00155339">
      <w:pPr>
        <w:spacing w:after="0"/>
        <w:ind w:left="567" w:right="567"/>
        <w:rPr>
          <w:sz w:val="16"/>
          <w:szCs w:val="16"/>
        </w:rPr>
      </w:pPr>
      <w:r>
        <w:rPr>
          <w:sz w:val="16"/>
          <w:szCs w:val="16"/>
        </w:rPr>
        <w:t xml:space="preserve">3) </w:t>
      </w:r>
      <w:r w:rsidRPr="00743BB4">
        <w:rPr>
          <w:sz w:val="16"/>
          <w:szCs w:val="16"/>
        </w:rPr>
        <w:t>um</w:t>
      </w:r>
      <w:r>
        <w:rPr>
          <w:sz w:val="16"/>
          <w:szCs w:val="16"/>
        </w:rPr>
        <w:t>owa</w:t>
      </w:r>
      <w:r w:rsidRPr="00743BB4">
        <w:rPr>
          <w:sz w:val="16"/>
          <w:szCs w:val="16"/>
        </w:rPr>
        <w:t xml:space="preserve"> z 16</w:t>
      </w:r>
      <w:r>
        <w:rPr>
          <w:sz w:val="16"/>
          <w:szCs w:val="16"/>
        </w:rPr>
        <w:t xml:space="preserve"> maja </w:t>
      </w:r>
      <w:r w:rsidRPr="00743BB4">
        <w:rPr>
          <w:sz w:val="16"/>
          <w:szCs w:val="16"/>
        </w:rPr>
        <w:t>2024</w:t>
      </w:r>
      <w:r>
        <w:rPr>
          <w:sz w:val="16"/>
          <w:szCs w:val="16"/>
        </w:rPr>
        <w:t> </w:t>
      </w:r>
      <w:r w:rsidRPr="00743BB4">
        <w:rPr>
          <w:sz w:val="16"/>
          <w:szCs w:val="16"/>
        </w:rPr>
        <w:t>r. z K</w:t>
      </w:r>
      <w:r>
        <w:rPr>
          <w:sz w:val="16"/>
          <w:szCs w:val="16"/>
        </w:rPr>
        <w:t>ancelarią</w:t>
      </w:r>
      <w:r w:rsidRPr="00743BB4">
        <w:rPr>
          <w:sz w:val="16"/>
          <w:szCs w:val="16"/>
        </w:rPr>
        <w:t xml:space="preserve"> Kowalski </w:t>
      </w:r>
      <w:r>
        <w:rPr>
          <w:sz w:val="16"/>
          <w:szCs w:val="16"/>
        </w:rPr>
        <w:t>na zadania związane z kolejn</w:t>
      </w:r>
      <w:r w:rsidR="00D5075D">
        <w:rPr>
          <w:sz w:val="16"/>
          <w:szCs w:val="16"/>
        </w:rPr>
        <w:t>ym</w:t>
      </w:r>
      <w:r>
        <w:rPr>
          <w:sz w:val="16"/>
          <w:szCs w:val="16"/>
        </w:rPr>
        <w:t xml:space="preserve"> zawiadomieni</w:t>
      </w:r>
      <w:r w:rsidR="00D5075D">
        <w:rPr>
          <w:sz w:val="16"/>
          <w:szCs w:val="16"/>
        </w:rPr>
        <w:t xml:space="preserve">em </w:t>
      </w:r>
      <w:r w:rsidRPr="00A369DE">
        <w:rPr>
          <w:sz w:val="16"/>
          <w:szCs w:val="16"/>
        </w:rPr>
        <w:t>o popełnieniu przestępstwa;</w:t>
      </w:r>
    </w:p>
    <w:p w14:paraId="73932E69" w14:textId="03F3FB59" w:rsidR="006E56DA" w:rsidRDefault="006E56DA" w:rsidP="009571B6">
      <w:pPr>
        <w:spacing w:after="0"/>
        <w:ind w:left="567" w:right="567"/>
        <w:rPr>
          <w:sz w:val="16"/>
          <w:szCs w:val="16"/>
        </w:rPr>
      </w:pPr>
      <w:r>
        <w:rPr>
          <w:sz w:val="16"/>
          <w:szCs w:val="16"/>
        </w:rPr>
        <w:t xml:space="preserve">4) </w:t>
      </w:r>
      <w:r w:rsidRPr="00743BB4">
        <w:rPr>
          <w:sz w:val="16"/>
          <w:szCs w:val="16"/>
        </w:rPr>
        <w:t>um</w:t>
      </w:r>
      <w:r>
        <w:rPr>
          <w:sz w:val="16"/>
          <w:szCs w:val="16"/>
        </w:rPr>
        <w:t xml:space="preserve">owa </w:t>
      </w:r>
      <w:r w:rsidRPr="00743BB4">
        <w:rPr>
          <w:sz w:val="16"/>
          <w:szCs w:val="16"/>
        </w:rPr>
        <w:t>z 18</w:t>
      </w:r>
      <w:r>
        <w:rPr>
          <w:sz w:val="16"/>
          <w:szCs w:val="16"/>
        </w:rPr>
        <w:t xml:space="preserve"> lipca </w:t>
      </w:r>
      <w:r w:rsidRPr="00743BB4">
        <w:rPr>
          <w:sz w:val="16"/>
          <w:szCs w:val="16"/>
        </w:rPr>
        <w:t>2024 r. z K</w:t>
      </w:r>
      <w:r>
        <w:rPr>
          <w:sz w:val="16"/>
          <w:szCs w:val="16"/>
        </w:rPr>
        <w:t xml:space="preserve">ancelarią </w:t>
      </w:r>
      <w:r w:rsidRPr="00743BB4">
        <w:rPr>
          <w:sz w:val="16"/>
          <w:szCs w:val="16"/>
        </w:rPr>
        <w:t xml:space="preserve">Kowalski </w:t>
      </w:r>
      <w:r>
        <w:rPr>
          <w:sz w:val="16"/>
          <w:szCs w:val="16"/>
        </w:rPr>
        <w:t xml:space="preserve">na </w:t>
      </w:r>
      <w:r w:rsidRPr="00743BB4">
        <w:rPr>
          <w:sz w:val="16"/>
          <w:szCs w:val="16"/>
        </w:rPr>
        <w:t>doradztw</w:t>
      </w:r>
      <w:r>
        <w:rPr>
          <w:sz w:val="16"/>
          <w:szCs w:val="16"/>
        </w:rPr>
        <w:t>o</w:t>
      </w:r>
      <w:r w:rsidRPr="00743BB4">
        <w:rPr>
          <w:sz w:val="16"/>
          <w:szCs w:val="16"/>
        </w:rPr>
        <w:t xml:space="preserve"> karne </w:t>
      </w:r>
      <w:r w:rsidR="00155339">
        <w:rPr>
          <w:sz w:val="16"/>
          <w:szCs w:val="16"/>
        </w:rPr>
        <w:t xml:space="preserve">i karno-skarbowe </w:t>
      </w:r>
      <w:r w:rsidRPr="00743BB4">
        <w:rPr>
          <w:sz w:val="16"/>
          <w:szCs w:val="16"/>
        </w:rPr>
        <w:t>ws. programu „Dobre z Lasu”;</w:t>
      </w:r>
    </w:p>
    <w:p w14:paraId="12C662C7" w14:textId="69AF040B" w:rsidR="009571B6" w:rsidRDefault="009571B6" w:rsidP="00155339">
      <w:pPr>
        <w:spacing w:after="0"/>
        <w:ind w:left="567" w:right="567"/>
        <w:rPr>
          <w:sz w:val="16"/>
          <w:szCs w:val="16"/>
        </w:rPr>
      </w:pPr>
      <w:r>
        <w:rPr>
          <w:sz w:val="16"/>
          <w:szCs w:val="16"/>
        </w:rPr>
        <w:t xml:space="preserve">5) </w:t>
      </w:r>
      <w:r w:rsidR="006E56DA">
        <w:rPr>
          <w:sz w:val="16"/>
          <w:szCs w:val="16"/>
        </w:rPr>
        <w:t>umowa z 3 września 2024 r.</w:t>
      </w:r>
      <w:r w:rsidR="000A07BC">
        <w:rPr>
          <w:sz w:val="16"/>
          <w:szCs w:val="16"/>
        </w:rPr>
        <w:t xml:space="preserve"> z </w:t>
      </w:r>
      <w:r w:rsidR="00D5075D">
        <w:rPr>
          <w:sz w:val="16"/>
          <w:szCs w:val="16"/>
        </w:rPr>
        <w:t>K</w:t>
      </w:r>
      <w:r w:rsidR="000A07BC">
        <w:rPr>
          <w:sz w:val="16"/>
          <w:szCs w:val="16"/>
        </w:rPr>
        <w:t xml:space="preserve">ancelarią Graś </w:t>
      </w:r>
      <w:r w:rsidR="00D5075D">
        <w:rPr>
          <w:sz w:val="16"/>
          <w:szCs w:val="16"/>
        </w:rPr>
        <w:t xml:space="preserve">i Wspólnicy </w:t>
      </w:r>
      <w:r w:rsidR="000A07BC">
        <w:rPr>
          <w:sz w:val="16"/>
          <w:szCs w:val="16"/>
        </w:rPr>
        <w:t>na</w:t>
      </w:r>
      <w:r w:rsidR="006E56DA">
        <w:rPr>
          <w:sz w:val="16"/>
          <w:szCs w:val="16"/>
        </w:rPr>
        <w:t xml:space="preserve"> </w:t>
      </w:r>
      <w:r>
        <w:rPr>
          <w:sz w:val="16"/>
          <w:szCs w:val="16"/>
        </w:rPr>
        <w:t>d</w:t>
      </w:r>
      <w:r w:rsidRPr="00185B4C">
        <w:rPr>
          <w:sz w:val="16"/>
          <w:szCs w:val="16"/>
        </w:rPr>
        <w:t>oradztw</w:t>
      </w:r>
      <w:r w:rsidR="006E56DA">
        <w:rPr>
          <w:sz w:val="16"/>
          <w:szCs w:val="16"/>
        </w:rPr>
        <w:t>o</w:t>
      </w:r>
      <w:r w:rsidRPr="00185B4C">
        <w:rPr>
          <w:sz w:val="16"/>
          <w:szCs w:val="16"/>
        </w:rPr>
        <w:t xml:space="preserve"> prawne w zakresie prawa karnego i karno-skarbowego</w:t>
      </w:r>
      <w:r w:rsidR="00155339">
        <w:rPr>
          <w:sz w:val="16"/>
          <w:szCs w:val="16"/>
        </w:rPr>
        <w:t>.</w:t>
      </w:r>
    </w:p>
    <w:p w14:paraId="785B51BB" w14:textId="77777777" w:rsidR="006E56DA" w:rsidRDefault="006E56DA" w:rsidP="006E56DA">
      <w:pPr>
        <w:spacing w:after="0"/>
        <w:ind w:left="851" w:right="567"/>
        <w:rPr>
          <w:sz w:val="16"/>
          <w:szCs w:val="16"/>
        </w:rPr>
      </w:pPr>
    </w:p>
    <w:p w14:paraId="5FC81EA5" w14:textId="6AF87359" w:rsidR="009571B6" w:rsidRDefault="006E56DA" w:rsidP="009571B6">
      <w:pPr>
        <w:spacing w:after="0"/>
        <w:ind w:left="567" w:right="567"/>
        <w:rPr>
          <w:sz w:val="16"/>
          <w:szCs w:val="16"/>
        </w:rPr>
      </w:pPr>
      <w:r>
        <w:rPr>
          <w:sz w:val="16"/>
          <w:szCs w:val="16"/>
        </w:rPr>
        <w:t>W pozostałych obszarach DGLP zawarła 4</w:t>
      </w:r>
      <w:r w:rsidR="009571B6">
        <w:rPr>
          <w:sz w:val="16"/>
          <w:szCs w:val="16"/>
        </w:rPr>
        <w:t xml:space="preserve"> um</w:t>
      </w:r>
      <w:r>
        <w:rPr>
          <w:sz w:val="16"/>
          <w:szCs w:val="16"/>
        </w:rPr>
        <w:t>owy</w:t>
      </w:r>
      <w:r w:rsidR="009571B6">
        <w:rPr>
          <w:sz w:val="16"/>
          <w:szCs w:val="16"/>
        </w:rPr>
        <w:t>, tj.:</w:t>
      </w:r>
    </w:p>
    <w:p w14:paraId="3B2C9059" w14:textId="0B5F313A" w:rsidR="009571B6" w:rsidRDefault="009571B6" w:rsidP="00155339">
      <w:pPr>
        <w:spacing w:after="0"/>
        <w:ind w:left="567" w:right="567"/>
        <w:rPr>
          <w:sz w:val="16"/>
          <w:szCs w:val="16"/>
        </w:rPr>
      </w:pPr>
      <w:r>
        <w:rPr>
          <w:sz w:val="16"/>
          <w:szCs w:val="16"/>
        </w:rPr>
        <w:t xml:space="preserve">1) </w:t>
      </w:r>
      <w:r w:rsidR="006E56DA">
        <w:rPr>
          <w:sz w:val="16"/>
          <w:szCs w:val="16"/>
        </w:rPr>
        <w:t>umowa z 11 stycznia 2024 z Kancelarią Graś</w:t>
      </w:r>
      <w:r w:rsidR="006E56DA" w:rsidRPr="0092626B">
        <w:rPr>
          <w:sz w:val="16"/>
          <w:szCs w:val="16"/>
        </w:rPr>
        <w:t xml:space="preserve"> </w:t>
      </w:r>
      <w:r w:rsidR="00D5075D">
        <w:rPr>
          <w:sz w:val="16"/>
          <w:szCs w:val="16"/>
        </w:rPr>
        <w:t xml:space="preserve">i Wspólnicy </w:t>
      </w:r>
      <w:r w:rsidR="006E56DA">
        <w:rPr>
          <w:sz w:val="16"/>
          <w:szCs w:val="16"/>
        </w:rPr>
        <w:t xml:space="preserve">na </w:t>
      </w:r>
      <w:r w:rsidRPr="0092626B">
        <w:rPr>
          <w:sz w:val="16"/>
          <w:szCs w:val="16"/>
        </w:rPr>
        <w:t>doradztw</w:t>
      </w:r>
      <w:r w:rsidR="006E56DA">
        <w:rPr>
          <w:sz w:val="16"/>
          <w:szCs w:val="16"/>
        </w:rPr>
        <w:t>o</w:t>
      </w:r>
      <w:r w:rsidRPr="0092626B">
        <w:rPr>
          <w:sz w:val="16"/>
          <w:szCs w:val="16"/>
        </w:rPr>
        <w:t xml:space="preserve"> prawne w zakresie prawa pracy i prawa cywilnego</w:t>
      </w:r>
      <w:r w:rsidR="00155339">
        <w:rPr>
          <w:sz w:val="16"/>
          <w:szCs w:val="16"/>
        </w:rPr>
        <w:t>;</w:t>
      </w:r>
    </w:p>
    <w:p w14:paraId="37AA83D8" w14:textId="103AC1C6" w:rsidR="009571B6" w:rsidRDefault="009571B6" w:rsidP="009571B6">
      <w:pPr>
        <w:spacing w:after="0"/>
        <w:ind w:left="567" w:right="567"/>
        <w:rPr>
          <w:sz w:val="16"/>
          <w:szCs w:val="16"/>
        </w:rPr>
      </w:pPr>
      <w:r>
        <w:rPr>
          <w:sz w:val="16"/>
          <w:szCs w:val="16"/>
        </w:rPr>
        <w:t xml:space="preserve">2) </w:t>
      </w:r>
      <w:r w:rsidR="006E56DA">
        <w:rPr>
          <w:sz w:val="16"/>
          <w:szCs w:val="16"/>
        </w:rPr>
        <w:t>umowa z 11 stycznia 2024 r. z Kancelarią Graś</w:t>
      </w:r>
      <w:r w:rsidR="00D5075D">
        <w:rPr>
          <w:sz w:val="16"/>
          <w:szCs w:val="16"/>
        </w:rPr>
        <w:t xml:space="preserve"> i Wspólnicy</w:t>
      </w:r>
      <w:r w:rsidR="006E56DA" w:rsidRPr="0092626B">
        <w:rPr>
          <w:sz w:val="16"/>
          <w:szCs w:val="16"/>
        </w:rPr>
        <w:t xml:space="preserve"> </w:t>
      </w:r>
      <w:r w:rsidR="006E56DA">
        <w:rPr>
          <w:sz w:val="16"/>
          <w:szCs w:val="16"/>
        </w:rPr>
        <w:t xml:space="preserve">na </w:t>
      </w:r>
      <w:r w:rsidRPr="0092626B">
        <w:rPr>
          <w:sz w:val="16"/>
          <w:szCs w:val="16"/>
        </w:rPr>
        <w:t>doradztw</w:t>
      </w:r>
      <w:r>
        <w:rPr>
          <w:sz w:val="16"/>
          <w:szCs w:val="16"/>
        </w:rPr>
        <w:t>a</w:t>
      </w:r>
      <w:r w:rsidRPr="0092626B">
        <w:rPr>
          <w:sz w:val="16"/>
          <w:szCs w:val="16"/>
        </w:rPr>
        <w:t xml:space="preserve"> prawn</w:t>
      </w:r>
      <w:r>
        <w:rPr>
          <w:sz w:val="16"/>
          <w:szCs w:val="16"/>
        </w:rPr>
        <w:t>e</w:t>
      </w:r>
      <w:r w:rsidR="00155339">
        <w:rPr>
          <w:sz w:val="16"/>
          <w:szCs w:val="16"/>
        </w:rPr>
        <w:t xml:space="preserve"> </w:t>
      </w:r>
      <w:r w:rsidRPr="0092626B">
        <w:rPr>
          <w:sz w:val="16"/>
          <w:szCs w:val="16"/>
        </w:rPr>
        <w:t>z zakresu ochrony dóbr osobistych</w:t>
      </w:r>
      <w:r>
        <w:rPr>
          <w:sz w:val="16"/>
          <w:szCs w:val="16"/>
        </w:rPr>
        <w:t>;</w:t>
      </w:r>
    </w:p>
    <w:p w14:paraId="41CFBC28" w14:textId="0C891662" w:rsidR="009571B6" w:rsidRPr="00743BB4" w:rsidRDefault="009571B6" w:rsidP="00155339">
      <w:pPr>
        <w:spacing w:after="0"/>
        <w:ind w:left="567" w:right="567"/>
        <w:rPr>
          <w:sz w:val="16"/>
          <w:szCs w:val="16"/>
        </w:rPr>
      </w:pPr>
      <w:r>
        <w:rPr>
          <w:sz w:val="16"/>
          <w:szCs w:val="16"/>
        </w:rPr>
        <w:t xml:space="preserve">3) </w:t>
      </w:r>
      <w:r w:rsidR="006E56DA">
        <w:rPr>
          <w:sz w:val="16"/>
          <w:szCs w:val="16"/>
        </w:rPr>
        <w:t>umowa z 11 stycznia 2024 z Kancelarią Graś</w:t>
      </w:r>
      <w:r w:rsidR="006E56DA" w:rsidRPr="0092626B">
        <w:rPr>
          <w:sz w:val="16"/>
          <w:szCs w:val="16"/>
        </w:rPr>
        <w:t xml:space="preserve"> </w:t>
      </w:r>
      <w:r w:rsidR="00D5075D">
        <w:rPr>
          <w:sz w:val="16"/>
          <w:szCs w:val="16"/>
        </w:rPr>
        <w:t xml:space="preserve">i Wspólnicy </w:t>
      </w:r>
      <w:r w:rsidR="006E56DA">
        <w:rPr>
          <w:sz w:val="16"/>
          <w:szCs w:val="16"/>
        </w:rPr>
        <w:t xml:space="preserve">na </w:t>
      </w:r>
      <w:r w:rsidR="00155339">
        <w:rPr>
          <w:sz w:val="16"/>
          <w:szCs w:val="16"/>
        </w:rPr>
        <w:t xml:space="preserve">bieżące </w:t>
      </w:r>
      <w:r w:rsidRPr="0092626B">
        <w:rPr>
          <w:sz w:val="16"/>
          <w:szCs w:val="16"/>
        </w:rPr>
        <w:t>doradztw</w:t>
      </w:r>
      <w:r w:rsidR="006E56DA">
        <w:rPr>
          <w:sz w:val="16"/>
          <w:szCs w:val="16"/>
        </w:rPr>
        <w:t>o</w:t>
      </w:r>
      <w:r>
        <w:rPr>
          <w:sz w:val="16"/>
          <w:szCs w:val="16"/>
        </w:rPr>
        <w:t xml:space="preserve"> </w:t>
      </w:r>
      <w:r w:rsidRPr="0092626B">
        <w:rPr>
          <w:sz w:val="16"/>
          <w:szCs w:val="16"/>
        </w:rPr>
        <w:t>prawne</w:t>
      </w:r>
      <w:r w:rsidR="005A5550">
        <w:rPr>
          <w:sz w:val="16"/>
          <w:szCs w:val="16"/>
        </w:rPr>
        <w:t>;</w:t>
      </w:r>
      <w:r w:rsidRPr="0092626B">
        <w:rPr>
          <w:sz w:val="16"/>
          <w:szCs w:val="16"/>
        </w:rPr>
        <w:t xml:space="preserve"> </w:t>
      </w:r>
    </w:p>
    <w:p w14:paraId="5972141C" w14:textId="2E7340F4" w:rsidR="009571B6" w:rsidRDefault="009571B6" w:rsidP="009571B6">
      <w:pPr>
        <w:spacing w:after="0"/>
        <w:ind w:left="567" w:right="567"/>
        <w:rPr>
          <w:sz w:val="16"/>
          <w:szCs w:val="16"/>
        </w:rPr>
      </w:pPr>
      <w:r w:rsidRPr="00185B4C">
        <w:rPr>
          <w:sz w:val="16"/>
          <w:szCs w:val="16"/>
        </w:rPr>
        <w:t>4)</w:t>
      </w:r>
      <w:r w:rsidRPr="00185B4C">
        <w:rPr>
          <w:sz w:val="16"/>
          <w:szCs w:val="16"/>
        </w:rPr>
        <w:tab/>
        <w:t xml:space="preserve"> </w:t>
      </w:r>
      <w:r w:rsidR="006E56DA" w:rsidRPr="00185B4C">
        <w:rPr>
          <w:sz w:val="16"/>
          <w:szCs w:val="16"/>
        </w:rPr>
        <w:t>umowa z 16 maja 2024 r. z Kancelarią Graś</w:t>
      </w:r>
      <w:r w:rsidR="00D5075D">
        <w:rPr>
          <w:sz w:val="16"/>
          <w:szCs w:val="16"/>
        </w:rPr>
        <w:t xml:space="preserve"> i </w:t>
      </w:r>
      <w:r w:rsidR="00633D13">
        <w:rPr>
          <w:sz w:val="16"/>
          <w:szCs w:val="16"/>
        </w:rPr>
        <w:t>W</w:t>
      </w:r>
      <w:r w:rsidR="00D5075D">
        <w:rPr>
          <w:sz w:val="16"/>
          <w:szCs w:val="16"/>
        </w:rPr>
        <w:t>spólnicy</w:t>
      </w:r>
      <w:r w:rsidR="006E56DA" w:rsidRPr="00185B4C">
        <w:rPr>
          <w:sz w:val="16"/>
          <w:szCs w:val="16"/>
        </w:rPr>
        <w:t xml:space="preserve"> </w:t>
      </w:r>
      <w:r w:rsidR="006E56DA">
        <w:rPr>
          <w:sz w:val="16"/>
          <w:szCs w:val="16"/>
        </w:rPr>
        <w:t xml:space="preserve">na </w:t>
      </w:r>
      <w:r w:rsidRPr="00185B4C">
        <w:rPr>
          <w:sz w:val="16"/>
          <w:szCs w:val="16"/>
        </w:rPr>
        <w:t>doradztw</w:t>
      </w:r>
      <w:r w:rsidR="006E56DA">
        <w:rPr>
          <w:sz w:val="16"/>
          <w:szCs w:val="16"/>
        </w:rPr>
        <w:t>o</w:t>
      </w:r>
      <w:r w:rsidRPr="00185B4C">
        <w:rPr>
          <w:sz w:val="16"/>
          <w:szCs w:val="16"/>
        </w:rPr>
        <w:t xml:space="preserve"> prawne w</w:t>
      </w:r>
      <w:r w:rsidR="006E56DA">
        <w:rPr>
          <w:sz w:val="16"/>
          <w:szCs w:val="16"/>
        </w:rPr>
        <w:t> </w:t>
      </w:r>
      <w:r w:rsidRPr="00185B4C">
        <w:rPr>
          <w:sz w:val="16"/>
          <w:szCs w:val="16"/>
        </w:rPr>
        <w:t>sporze sądowym o</w:t>
      </w:r>
      <w:r w:rsidR="00155339">
        <w:rPr>
          <w:sz w:val="16"/>
          <w:szCs w:val="16"/>
        </w:rPr>
        <w:t> </w:t>
      </w:r>
      <w:r w:rsidRPr="00185B4C">
        <w:rPr>
          <w:sz w:val="16"/>
          <w:szCs w:val="16"/>
        </w:rPr>
        <w:t>odszkodowanie.</w:t>
      </w:r>
    </w:p>
    <w:p w14:paraId="76209BDC" w14:textId="60D26F0A" w:rsidR="00482004" w:rsidRDefault="00482004" w:rsidP="00B433D3">
      <w:pPr>
        <w:spacing w:before="120" w:after="120"/>
        <w:ind w:left="567" w:right="567"/>
        <w:rPr>
          <w:sz w:val="16"/>
          <w:szCs w:val="16"/>
        </w:rPr>
      </w:pPr>
      <w:r w:rsidRPr="00CC79A1">
        <w:rPr>
          <w:sz w:val="16"/>
          <w:szCs w:val="16"/>
        </w:rPr>
        <w:t>Czynności wykonywane w ramach umów, raportowane przy okazji przedkładanych do rozliczenia faktur, w </w:t>
      </w:r>
      <w:r w:rsidR="0014357F" w:rsidRPr="00CC79A1">
        <w:rPr>
          <w:sz w:val="16"/>
          <w:szCs w:val="16"/>
        </w:rPr>
        <w:t>części</w:t>
      </w:r>
      <w:r w:rsidRPr="00CC79A1">
        <w:rPr>
          <w:sz w:val="16"/>
          <w:szCs w:val="16"/>
        </w:rPr>
        <w:t xml:space="preserve"> opisywane były w sposób ogólny</w:t>
      </w:r>
      <w:r w:rsidR="0014357F" w:rsidRPr="00CC79A1">
        <w:rPr>
          <w:sz w:val="16"/>
          <w:szCs w:val="16"/>
        </w:rPr>
        <w:t>, np. „analiza przepisów, ustaw w sprawie klienta”, „wizyta w siedzibie klienta”, „praca nad aktami w siedzibie klienta”</w:t>
      </w:r>
      <w:r w:rsidRPr="00CC79A1">
        <w:rPr>
          <w:sz w:val="16"/>
          <w:szCs w:val="16"/>
        </w:rPr>
        <w:t>.</w:t>
      </w:r>
      <w:r w:rsidR="0014357F" w:rsidRPr="00CC79A1">
        <w:rPr>
          <w:sz w:val="16"/>
          <w:szCs w:val="16"/>
        </w:rPr>
        <w:t xml:space="preserve"> </w:t>
      </w:r>
      <w:r w:rsidR="00C52DC3" w:rsidRPr="00CC79A1">
        <w:rPr>
          <w:sz w:val="16"/>
          <w:szCs w:val="16"/>
        </w:rPr>
        <w:t>Wystąpił również przypadek, w którym Kancelaria Graś i Wspólnicy rozliczyła prace polegające na konsultacji z przedstawicielem Kancelarii Kowalski</w:t>
      </w:r>
      <w:r w:rsidR="00CC79A1" w:rsidRPr="00CC79A1">
        <w:rPr>
          <w:rStyle w:val="Odwoanieprzypisudolnego"/>
          <w:sz w:val="16"/>
          <w:szCs w:val="16"/>
        </w:rPr>
        <w:footnoteReference w:id="20"/>
      </w:r>
      <w:r w:rsidR="00CC79A1" w:rsidRPr="00CC79A1">
        <w:rPr>
          <w:sz w:val="16"/>
          <w:szCs w:val="16"/>
        </w:rPr>
        <w:t xml:space="preserve"> (sprawa dotycząca kwestii dyscyplinarnego rozwiązania umowy o pracę). </w:t>
      </w:r>
    </w:p>
    <w:p w14:paraId="646F2D74" w14:textId="056E5E34" w:rsidR="009571B6" w:rsidRPr="00114044" w:rsidRDefault="004C5C60" w:rsidP="00B433D3">
      <w:pPr>
        <w:spacing w:before="120" w:after="120"/>
        <w:ind w:left="567" w:right="567"/>
        <w:rPr>
          <w:sz w:val="16"/>
          <w:szCs w:val="16"/>
        </w:rPr>
      </w:pPr>
      <w:r>
        <w:rPr>
          <w:sz w:val="16"/>
          <w:szCs w:val="16"/>
        </w:rPr>
        <w:t>Jak wyjaśniono,</w:t>
      </w:r>
      <w:r w:rsidR="009571B6">
        <w:rPr>
          <w:sz w:val="16"/>
          <w:szCs w:val="16"/>
        </w:rPr>
        <w:t xml:space="preserve"> </w:t>
      </w:r>
      <w:r w:rsidR="009571B6" w:rsidRPr="00185B4C">
        <w:rPr>
          <w:sz w:val="16"/>
          <w:szCs w:val="16"/>
        </w:rPr>
        <w:t xml:space="preserve">konieczność zawarcia kolejnych (szczegółowych umów) wynikała </w:t>
      </w:r>
      <w:r w:rsidR="009571B6">
        <w:rPr>
          <w:sz w:val="16"/>
          <w:szCs w:val="16"/>
        </w:rPr>
        <w:t xml:space="preserve">m.in. </w:t>
      </w:r>
      <w:r w:rsidR="009571B6" w:rsidRPr="00185B4C">
        <w:rPr>
          <w:sz w:val="16"/>
          <w:szCs w:val="16"/>
        </w:rPr>
        <w:t>z tego, że</w:t>
      </w:r>
      <w:r>
        <w:rPr>
          <w:sz w:val="16"/>
          <w:szCs w:val="16"/>
        </w:rPr>
        <w:t> </w:t>
      </w:r>
      <w:r w:rsidR="009571B6" w:rsidRPr="006433E7">
        <w:rPr>
          <w:sz w:val="16"/>
          <w:szCs w:val="16"/>
        </w:rPr>
        <w:t>w</w:t>
      </w:r>
      <w:r w:rsidR="009571B6">
        <w:rPr>
          <w:sz w:val="16"/>
          <w:szCs w:val="16"/>
        </w:rPr>
        <w:t> </w:t>
      </w:r>
      <w:r w:rsidR="009571B6" w:rsidRPr="006433E7">
        <w:rPr>
          <w:sz w:val="16"/>
          <w:szCs w:val="16"/>
        </w:rPr>
        <w:t>momencie zawarcia umowy nie było możliwości ustalenia, jaki będzie zakres działań i ile godzin pracy konieczne będzie do wykonania umowy. Osiągnięcie</w:t>
      </w:r>
      <w:r w:rsidR="009571B6">
        <w:rPr>
          <w:sz w:val="16"/>
          <w:szCs w:val="16"/>
        </w:rPr>
        <w:t xml:space="preserve"> maksymalnych</w:t>
      </w:r>
      <w:r w:rsidR="009571B6" w:rsidRPr="006433E7">
        <w:rPr>
          <w:sz w:val="16"/>
          <w:szCs w:val="16"/>
        </w:rPr>
        <w:t xml:space="preserve"> kwot</w:t>
      </w:r>
      <w:r w:rsidR="009571B6">
        <w:rPr>
          <w:sz w:val="16"/>
          <w:szCs w:val="16"/>
        </w:rPr>
        <w:t xml:space="preserve"> określonych w</w:t>
      </w:r>
      <w:r w:rsidR="00155339">
        <w:rPr>
          <w:sz w:val="16"/>
          <w:szCs w:val="16"/>
        </w:rPr>
        <w:t> </w:t>
      </w:r>
      <w:r w:rsidR="009571B6">
        <w:rPr>
          <w:sz w:val="16"/>
          <w:szCs w:val="16"/>
        </w:rPr>
        <w:t>umowach</w:t>
      </w:r>
      <w:r w:rsidR="009571B6" w:rsidRPr="006433E7">
        <w:rPr>
          <w:sz w:val="16"/>
          <w:szCs w:val="16"/>
        </w:rPr>
        <w:t xml:space="preserve"> oznaczał, że ustawała możliwość dalszej realizacji czynności, będących przedmiotem zawartego kontraktu, niezależnie od faktu, </w:t>
      </w:r>
      <w:r w:rsidR="009571B6">
        <w:rPr>
          <w:sz w:val="16"/>
          <w:szCs w:val="16"/>
        </w:rPr>
        <w:t>że</w:t>
      </w:r>
      <w:r w:rsidR="009571B6" w:rsidRPr="004D0195">
        <w:rPr>
          <w:sz w:val="16"/>
          <w:szCs w:val="16"/>
        </w:rPr>
        <w:t xml:space="preserve"> nie upłynął jeszcze okres, na jaki zawarta została umowa. </w:t>
      </w:r>
      <w:r>
        <w:rPr>
          <w:sz w:val="16"/>
          <w:szCs w:val="16"/>
        </w:rPr>
        <w:t>Jak wskazano, o</w:t>
      </w:r>
      <w:r w:rsidR="009571B6" w:rsidRPr="004D0195">
        <w:rPr>
          <w:sz w:val="16"/>
          <w:szCs w:val="16"/>
        </w:rPr>
        <w:t xml:space="preserve">koliczność ta powodowała, </w:t>
      </w:r>
      <w:r w:rsidR="009571B6">
        <w:rPr>
          <w:sz w:val="16"/>
          <w:szCs w:val="16"/>
        </w:rPr>
        <w:t>że</w:t>
      </w:r>
      <w:r w:rsidR="009571B6" w:rsidRPr="004D0195">
        <w:rPr>
          <w:sz w:val="16"/>
          <w:szCs w:val="16"/>
        </w:rPr>
        <w:t xml:space="preserve"> konieczne było zawarcie nowych umów, niezbędnych do realizacji czynności związanych z postępowaniami wszczętymi na skutek wcześniejszych działań </w:t>
      </w:r>
      <w:r w:rsidR="009571B6" w:rsidRPr="00114044">
        <w:rPr>
          <w:sz w:val="16"/>
          <w:szCs w:val="16"/>
        </w:rPr>
        <w:t xml:space="preserve">kancelarii. </w:t>
      </w:r>
    </w:p>
    <w:p w14:paraId="182FAA30" w14:textId="7F86536D" w:rsidR="009571B6" w:rsidRPr="00C87EC6" w:rsidRDefault="009571B6" w:rsidP="009571B6">
      <w:pPr>
        <w:ind w:left="567"/>
        <w:rPr>
          <w:b/>
          <w:bCs/>
          <w:sz w:val="16"/>
          <w:szCs w:val="16"/>
        </w:rPr>
      </w:pPr>
      <w:r w:rsidRPr="00C87EC6">
        <w:rPr>
          <w:b/>
          <w:bCs/>
          <w:sz w:val="16"/>
          <w:szCs w:val="16"/>
        </w:rPr>
        <w:t>[akta kontroli</w:t>
      </w:r>
      <w:r w:rsidR="00C87EC6" w:rsidRPr="00C87EC6">
        <w:rPr>
          <w:b/>
          <w:bCs/>
          <w:sz w:val="16"/>
          <w:szCs w:val="16"/>
        </w:rPr>
        <w:t>:</w:t>
      </w:r>
      <w:r w:rsidRPr="00C87EC6">
        <w:rPr>
          <w:b/>
          <w:bCs/>
          <w:sz w:val="16"/>
          <w:szCs w:val="16"/>
        </w:rPr>
        <w:t xml:space="preserve"> </w:t>
      </w:r>
      <w:r w:rsidR="007B79E6" w:rsidRPr="00C87EC6">
        <w:rPr>
          <w:b/>
          <w:bCs/>
          <w:sz w:val="16"/>
          <w:szCs w:val="16"/>
        </w:rPr>
        <w:t>f2_f1_f1; f2_f2_p1 i p2</w:t>
      </w:r>
      <w:r w:rsidR="00C87EC6" w:rsidRPr="00C87EC6">
        <w:rPr>
          <w:b/>
          <w:bCs/>
          <w:sz w:val="16"/>
          <w:szCs w:val="16"/>
        </w:rPr>
        <w:t>]</w:t>
      </w:r>
    </w:p>
    <w:p w14:paraId="77A0AE41" w14:textId="2C1E6652" w:rsidR="009571B6" w:rsidRPr="008804BA" w:rsidRDefault="00B433D3" w:rsidP="009571B6">
      <w:r>
        <w:t xml:space="preserve">Zawieranie po kilka umów na usługi prawne z dwoma podmiotami w </w:t>
      </w:r>
      <w:r w:rsidR="00155339">
        <w:t xml:space="preserve">tych samych obszarach i </w:t>
      </w:r>
      <w:r>
        <w:t>okres</w:t>
      </w:r>
      <w:r w:rsidR="00155339">
        <w:t>ach</w:t>
      </w:r>
      <w:r>
        <w:t xml:space="preserve"> obowiązywania nie </w:t>
      </w:r>
      <w:r w:rsidR="00381B2B">
        <w:t xml:space="preserve">było </w:t>
      </w:r>
      <w:r>
        <w:t xml:space="preserve">działaniem transparentnym. </w:t>
      </w:r>
      <w:r w:rsidR="004C5C60">
        <w:t>Nie można zgodzić się z</w:t>
      </w:r>
      <w:r w:rsidR="00155339">
        <w:t> </w:t>
      </w:r>
      <w:r w:rsidR="004C5C60">
        <w:t xml:space="preserve">Kontrolowanym, </w:t>
      </w:r>
      <w:r w:rsidR="00155339">
        <w:t xml:space="preserve">że zawieranie kolejnych umów było konieczne z uwagi na możliwość aneksowania </w:t>
      </w:r>
      <w:r w:rsidR="004C5C60">
        <w:t xml:space="preserve">zawartych umów. </w:t>
      </w:r>
      <w:bookmarkStart w:id="11" w:name="_Hlk196239617"/>
      <w:r>
        <w:t>Zaznaczyć również należy, że</w:t>
      </w:r>
      <w:r w:rsidR="00D5075D">
        <w:t> </w:t>
      </w:r>
      <w:r>
        <w:t>s</w:t>
      </w:r>
      <w:r w:rsidR="002D481F">
        <w:t>porządzenie rzetelnego, udokumentowanego szacowania wartości zamówienia przed zawarciem umów ograniczałoby ryzyko określenia ich zbyt niskiej wartości.</w:t>
      </w:r>
    </w:p>
    <w:bookmarkEnd w:id="11"/>
    <w:p w14:paraId="2CDCAF4E" w14:textId="6FC55047" w:rsidR="004D0020" w:rsidRDefault="004D0020" w:rsidP="004D0020">
      <w:pPr>
        <w:rPr>
          <w:b/>
          <w:bCs/>
        </w:rPr>
      </w:pPr>
      <w:r>
        <w:rPr>
          <w:b/>
          <w:bCs/>
        </w:rPr>
        <w:t>7</w:t>
      </w:r>
      <w:r w:rsidRPr="00962D61">
        <w:rPr>
          <w:b/>
          <w:bCs/>
        </w:rPr>
        <w:t>.</w:t>
      </w:r>
      <w:r>
        <w:rPr>
          <w:b/>
          <w:bCs/>
        </w:rPr>
        <w:t xml:space="preserve"> [kontrola formalnoprawna i finansowa] </w:t>
      </w:r>
      <w:r w:rsidR="00B3140E">
        <w:t>Siedem p</w:t>
      </w:r>
      <w:r>
        <w:t>oddan</w:t>
      </w:r>
      <w:r w:rsidR="00B3140E">
        <w:t>ych</w:t>
      </w:r>
      <w:r>
        <w:t xml:space="preserve"> badaniu umów</w:t>
      </w:r>
      <w:r w:rsidR="00B3140E">
        <w:t xml:space="preserve"> (</w:t>
      </w:r>
      <w:r w:rsidR="006500BA">
        <w:t xml:space="preserve">z 9, tj. </w:t>
      </w:r>
      <w:r w:rsidR="00B3140E">
        <w:t>78%)</w:t>
      </w:r>
      <w:r w:rsidRPr="004552AB">
        <w:t xml:space="preserve"> nie zawierał</w:t>
      </w:r>
      <w:r>
        <w:t>o</w:t>
      </w:r>
      <w:r w:rsidRPr="004552AB">
        <w:t xml:space="preserve"> potwierdzeni</w:t>
      </w:r>
      <w:r>
        <w:t>a</w:t>
      </w:r>
      <w:r w:rsidRPr="004552AB">
        <w:t xml:space="preserve"> ich weryfikacji pod kątem prawnym</w:t>
      </w:r>
      <w:r>
        <w:t>, a wszystkie</w:t>
      </w:r>
      <w:r w:rsidR="000A07BC">
        <w:t xml:space="preserve"> </w:t>
      </w:r>
      <w:r>
        <w:t xml:space="preserve">9 umów – pod </w:t>
      </w:r>
      <w:r w:rsidR="00D5075D">
        <w:t>względem</w:t>
      </w:r>
      <w:r w:rsidR="00D5075D" w:rsidRPr="004552AB">
        <w:t xml:space="preserve"> </w:t>
      </w:r>
      <w:r w:rsidRPr="004552AB">
        <w:t>finansowym</w:t>
      </w:r>
      <w:r>
        <w:t>, co było działaniem nierzetelnym</w:t>
      </w:r>
      <w:r w:rsidRPr="004552AB">
        <w:t>.</w:t>
      </w:r>
      <w:r>
        <w:t xml:space="preserve"> B</w:t>
      </w:r>
      <w:r w:rsidRPr="007456F4">
        <w:t xml:space="preserve">rak formalnego potwierdzenia weryfikacji </w:t>
      </w:r>
      <w:r>
        <w:t xml:space="preserve">dokumentów przez osoby odpowiedzialne </w:t>
      </w:r>
      <w:r w:rsidRPr="007456F4">
        <w:t>może prowadzić do</w:t>
      </w:r>
      <w:r w:rsidR="00396633">
        <w:t> </w:t>
      </w:r>
      <w:r w:rsidRPr="007456F4">
        <w:t>ryzyka zawarcia umów, które nie spełniają wymogów prawnych lub finansowych</w:t>
      </w:r>
      <w:r w:rsidR="00D5075D">
        <w:t>, w szczególności w przypadku umów, które nie zawierały ich ogólnej wartości</w:t>
      </w:r>
      <w:r w:rsidR="005A5550">
        <w:t xml:space="preserve"> (3 z 9, tj. 33%)</w:t>
      </w:r>
      <w:r>
        <w:t>.</w:t>
      </w:r>
    </w:p>
    <w:p w14:paraId="4A37EF77" w14:textId="64175988" w:rsidR="004D0020" w:rsidRDefault="004D0020" w:rsidP="004D0020">
      <w:pPr>
        <w:ind w:left="567" w:right="850"/>
        <w:rPr>
          <w:sz w:val="16"/>
          <w:szCs w:val="16"/>
        </w:rPr>
      </w:pPr>
      <w:r w:rsidRPr="007456F4">
        <w:rPr>
          <w:sz w:val="16"/>
          <w:szCs w:val="16"/>
        </w:rPr>
        <w:t xml:space="preserve">Dyrektor Generalny wyjaśnił, że wszystkie umowy dotyczące pomocy prawnej poddawane są kontroli merytorycznej Wydziału Prawnego DGLP, a ich zawarcie poprzedzone jest uzyskaniem opinii radcy prawnego Dyrekcji. </w:t>
      </w:r>
      <w:r>
        <w:rPr>
          <w:sz w:val="16"/>
          <w:szCs w:val="16"/>
        </w:rPr>
        <w:t>Ponadto wskazano, że u</w:t>
      </w:r>
      <w:r w:rsidRPr="007456F4">
        <w:rPr>
          <w:sz w:val="16"/>
          <w:szCs w:val="16"/>
        </w:rPr>
        <w:t>mowy te, na etapie wniosku o</w:t>
      </w:r>
      <w:r w:rsidR="00B3140E">
        <w:rPr>
          <w:sz w:val="16"/>
          <w:szCs w:val="16"/>
        </w:rPr>
        <w:t> </w:t>
      </w:r>
      <w:r w:rsidRPr="007456F4">
        <w:rPr>
          <w:sz w:val="16"/>
          <w:szCs w:val="16"/>
        </w:rPr>
        <w:t xml:space="preserve">zamówienie, </w:t>
      </w:r>
      <w:r>
        <w:rPr>
          <w:sz w:val="16"/>
          <w:szCs w:val="16"/>
        </w:rPr>
        <w:t>poddawane są również badaniu przez komórkę właściwą ds.</w:t>
      </w:r>
      <w:r w:rsidRPr="007456F4">
        <w:rPr>
          <w:sz w:val="16"/>
          <w:szCs w:val="16"/>
        </w:rPr>
        <w:t xml:space="preserve"> zamówień publicznych.</w:t>
      </w:r>
      <w:r>
        <w:rPr>
          <w:sz w:val="16"/>
          <w:szCs w:val="16"/>
        </w:rPr>
        <w:t xml:space="preserve"> Dyrektor Generalny nie wyjaśnił, dlaczego umowy nie zawierały paraf głównej księgowej. Procedura dot. zamówień publicznych DGLP nie wymagała takiej weryfikacji.</w:t>
      </w:r>
    </w:p>
    <w:p w14:paraId="3D7B8FEE" w14:textId="70474BFD" w:rsidR="00114044" w:rsidRPr="006500BA" w:rsidRDefault="00114044" w:rsidP="00092A85">
      <w:pPr>
        <w:ind w:left="567"/>
        <w:rPr>
          <w:b/>
          <w:bCs/>
          <w:sz w:val="16"/>
          <w:szCs w:val="16"/>
        </w:rPr>
      </w:pPr>
      <w:r w:rsidRPr="006500BA">
        <w:rPr>
          <w:b/>
          <w:bCs/>
          <w:sz w:val="16"/>
          <w:szCs w:val="16"/>
        </w:rPr>
        <w:t>[akta kontroli]</w:t>
      </w:r>
      <w:r w:rsidR="007B79E6" w:rsidRPr="006500BA">
        <w:rPr>
          <w:b/>
          <w:bCs/>
          <w:sz w:val="16"/>
          <w:szCs w:val="16"/>
        </w:rPr>
        <w:t xml:space="preserve"> f2_f1_f1_f1</w:t>
      </w:r>
      <w:r w:rsidR="006500BA">
        <w:rPr>
          <w:b/>
          <w:bCs/>
          <w:sz w:val="16"/>
          <w:szCs w:val="16"/>
        </w:rPr>
        <w:t>]</w:t>
      </w:r>
    </w:p>
    <w:p w14:paraId="5EEA8A3C" w14:textId="7A3B0AB0" w:rsidR="004D0020" w:rsidRPr="002918FB" w:rsidRDefault="004D0020" w:rsidP="004D0020">
      <w:r>
        <w:t>B</w:t>
      </w:r>
      <w:r w:rsidRPr="007456F4">
        <w:t xml:space="preserve">rak formalnego potwierdzenia weryfikacji przez radcę prawnego i główną księgową </w:t>
      </w:r>
      <w:r>
        <w:t>ostatecznej wersji umowy nie zapewnia rozliczalności w realizacji zadań oraz świadczy o</w:t>
      </w:r>
      <w:r w:rsidR="00B3140E">
        <w:t> </w:t>
      </w:r>
      <w:r>
        <w:t>nie</w:t>
      </w:r>
      <w:r w:rsidRPr="007456F4">
        <w:t xml:space="preserve">należytej staranności i transparentności w procesie zawierania umów. Formalne potwierdzenie weryfikacji jest kluczowe dla zapewnienia, że </w:t>
      </w:r>
      <w:r>
        <w:t xml:space="preserve">przed zaciągnięciem zobowiązania, </w:t>
      </w:r>
      <w:r w:rsidRPr="007456F4">
        <w:t>wszystkie aspekty prawne i finansowe zostały odpowiednio przeanalizowane i</w:t>
      </w:r>
      <w:r w:rsidR="00B3140E">
        <w:t> </w:t>
      </w:r>
      <w:r>
        <w:t>potwierdzone</w:t>
      </w:r>
      <w:r w:rsidRPr="007456F4">
        <w:t>.</w:t>
      </w:r>
      <w:r>
        <w:t xml:space="preserve"> Zaznaczyć również należy, że do kontroli nie przedstawiono opinii radców prawnych, o których mowa w wyjaśnieniach, jak również w badanych umowach nie sporządzano wniosków, które podlegałyby weryfikacji komórki ds. zamówień publicznych. </w:t>
      </w:r>
    </w:p>
    <w:p w14:paraId="05A94ACA" w14:textId="526B1C87" w:rsidR="000C4692" w:rsidRPr="00A72739" w:rsidRDefault="000C4692" w:rsidP="000C4692">
      <w:pPr>
        <w:rPr>
          <w:b/>
          <w:bCs/>
          <w:color w:val="000000" w:themeColor="text1"/>
        </w:rPr>
      </w:pPr>
      <w:r w:rsidRPr="00A72739">
        <w:rPr>
          <w:b/>
          <w:bCs/>
          <w:color w:val="000000" w:themeColor="text1"/>
        </w:rPr>
        <w:t>Zaleceni</w:t>
      </w:r>
      <w:r w:rsidR="00114044">
        <w:rPr>
          <w:b/>
          <w:bCs/>
          <w:color w:val="000000" w:themeColor="text1"/>
        </w:rPr>
        <w:t xml:space="preserve">a </w:t>
      </w:r>
      <w:r w:rsidRPr="00A72739">
        <w:rPr>
          <w:b/>
          <w:bCs/>
          <w:color w:val="000000" w:themeColor="text1"/>
        </w:rPr>
        <w:t>pokontrolne:</w:t>
      </w:r>
    </w:p>
    <w:p w14:paraId="06B21EC4" w14:textId="77777777" w:rsidR="00114044" w:rsidRPr="00092A85" w:rsidRDefault="00114044" w:rsidP="00114044">
      <w:pPr>
        <w:rPr>
          <w:color w:val="000000" w:themeColor="text1"/>
          <w:szCs w:val="20"/>
        </w:rPr>
      </w:pPr>
      <w:bookmarkStart w:id="12" w:name="_Hlk186405524"/>
      <w:r w:rsidRPr="00092A85">
        <w:rPr>
          <w:color w:val="000000" w:themeColor="text1"/>
          <w:szCs w:val="20"/>
        </w:rPr>
        <w:t xml:space="preserve">W celu wyeliminowania stwierdzonych nieprawidłowości oraz wzmocnienia systemu kontroli wewnętrznej w jednostkach PGL LP zobowiązuję Pana Dyrektora do: </w:t>
      </w:r>
    </w:p>
    <w:p w14:paraId="6DC5C1D5" w14:textId="77777777" w:rsidR="0003278A" w:rsidRDefault="0003278A" w:rsidP="0003278A">
      <w:pPr>
        <w:pStyle w:val="Akapitzlist"/>
        <w:numPr>
          <w:ilvl w:val="0"/>
          <w:numId w:val="22"/>
        </w:numPr>
        <w:spacing w:line="259" w:lineRule="auto"/>
        <w:ind w:left="284" w:hanging="284"/>
        <w:jc w:val="both"/>
        <w:rPr>
          <w:rFonts w:ascii="Lato" w:hAnsi="Lato"/>
          <w:color w:val="000000" w:themeColor="text1"/>
          <w:sz w:val="20"/>
          <w:szCs w:val="20"/>
        </w:rPr>
      </w:pPr>
      <w:r w:rsidRPr="00650729">
        <w:rPr>
          <w:rFonts w:ascii="Lato" w:hAnsi="Lato"/>
          <w:color w:val="000000" w:themeColor="text1"/>
          <w:sz w:val="20"/>
          <w:szCs w:val="20"/>
        </w:rPr>
        <w:t xml:space="preserve">Wzmocnienia nadzoru nad obszarem zawierania umów </w:t>
      </w:r>
      <w:r>
        <w:rPr>
          <w:rFonts w:ascii="Lato" w:hAnsi="Lato"/>
          <w:color w:val="000000" w:themeColor="text1"/>
          <w:sz w:val="20"/>
          <w:szCs w:val="20"/>
        </w:rPr>
        <w:t>na obsługę prawną</w:t>
      </w:r>
      <w:r w:rsidRPr="00650729">
        <w:rPr>
          <w:rFonts w:ascii="Lato" w:hAnsi="Lato"/>
          <w:color w:val="000000" w:themeColor="text1"/>
          <w:sz w:val="20"/>
          <w:szCs w:val="20"/>
        </w:rPr>
        <w:t xml:space="preserve"> w celu zapewnieniu racjonalnego zlecania zadań i oszczędnego wydatkowania środków.</w:t>
      </w:r>
    </w:p>
    <w:p w14:paraId="39E3F105" w14:textId="77777777" w:rsidR="00260D90" w:rsidRDefault="00260D90" w:rsidP="00260D90">
      <w:pPr>
        <w:pStyle w:val="Akapitzlist"/>
        <w:numPr>
          <w:ilvl w:val="0"/>
          <w:numId w:val="22"/>
        </w:numPr>
        <w:spacing w:line="259" w:lineRule="auto"/>
        <w:ind w:left="284" w:hanging="284"/>
        <w:jc w:val="both"/>
        <w:rPr>
          <w:rFonts w:ascii="Lato" w:hAnsi="Lato"/>
          <w:color w:val="000000" w:themeColor="text1"/>
          <w:sz w:val="20"/>
          <w:szCs w:val="20"/>
        </w:rPr>
      </w:pPr>
      <w:r>
        <w:rPr>
          <w:rFonts w:ascii="Lato" w:hAnsi="Lato"/>
          <w:color w:val="000000" w:themeColor="text1"/>
          <w:sz w:val="20"/>
          <w:szCs w:val="20"/>
        </w:rPr>
        <w:t xml:space="preserve">Uwzględnienia w ramach </w:t>
      </w:r>
      <w:r w:rsidRPr="00533F8F">
        <w:rPr>
          <w:rFonts w:ascii="Lato" w:hAnsi="Lato"/>
          <w:color w:val="000000" w:themeColor="text1"/>
          <w:sz w:val="20"/>
          <w:szCs w:val="20"/>
        </w:rPr>
        <w:t xml:space="preserve">analizy umów na obsługę prawną </w:t>
      </w:r>
      <w:r>
        <w:rPr>
          <w:rFonts w:ascii="Lato" w:hAnsi="Lato"/>
          <w:color w:val="000000" w:themeColor="text1"/>
          <w:sz w:val="20"/>
          <w:szCs w:val="20"/>
        </w:rPr>
        <w:t xml:space="preserve">jednostek PGL LP kwestii udziału </w:t>
      </w:r>
      <w:r w:rsidRPr="0061716C">
        <w:rPr>
          <w:rFonts w:ascii="Lato" w:hAnsi="Lato"/>
          <w:color w:val="000000" w:themeColor="text1"/>
          <w:sz w:val="20"/>
          <w:szCs w:val="20"/>
        </w:rPr>
        <w:t>kadry kierowniczej</w:t>
      </w:r>
      <w:r>
        <w:rPr>
          <w:rFonts w:ascii="Lato" w:hAnsi="Lato"/>
          <w:color w:val="000000" w:themeColor="text1"/>
          <w:sz w:val="20"/>
          <w:szCs w:val="20"/>
        </w:rPr>
        <w:t xml:space="preserve"> </w:t>
      </w:r>
      <w:r w:rsidRPr="0061716C">
        <w:rPr>
          <w:rFonts w:ascii="Lato" w:hAnsi="Lato"/>
          <w:color w:val="000000" w:themeColor="text1"/>
          <w:sz w:val="20"/>
          <w:szCs w:val="20"/>
        </w:rPr>
        <w:t xml:space="preserve">w </w:t>
      </w:r>
      <w:r>
        <w:rPr>
          <w:rFonts w:ascii="Lato" w:hAnsi="Lato"/>
          <w:color w:val="000000" w:themeColor="text1"/>
          <w:sz w:val="20"/>
          <w:szCs w:val="20"/>
        </w:rPr>
        <w:t>zawieraniu i realizacji umów</w:t>
      </w:r>
      <w:r w:rsidRPr="0061716C">
        <w:rPr>
          <w:rFonts w:ascii="Lato" w:hAnsi="Lato"/>
          <w:color w:val="000000" w:themeColor="text1"/>
          <w:sz w:val="20"/>
          <w:szCs w:val="20"/>
        </w:rPr>
        <w:t>, które budz</w:t>
      </w:r>
      <w:r>
        <w:rPr>
          <w:rFonts w:ascii="Lato" w:hAnsi="Lato"/>
          <w:color w:val="000000" w:themeColor="text1"/>
          <w:sz w:val="20"/>
          <w:szCs w:val="20"/>
        </w:rPr>
        <w:t xml:space="preserve">ą </w:t>
      </w:r>
      <w:r w:rsidRPr="0061716C">
        <w:rPr>
          <w:rFonts w:ascii="Lato" w:hAnsi="Lato"/>
          <w:color w:val="000000" w:themeColor="text1"/>
          <w:sz w:val="20"/>
          <w:szCs w:val="20"/>
        </w:rPr>
        <w:t xml:space="preserve">uzasadnione wątpliwości co do </w:t>
      </w:r>
      <w:r>
        <w:rPr>
          <w:rFonts w:ascii="Lato" w:hAnsi="Lato"/>
          <w:color w:val="000000" w:themeColor="text1"/>
          <w:sz w:val="20"/>
          <w:szCs w:val="20"/>
        </w:rPr>
        <w:t>legalności, celowości</w:t>
      </w:r>
      <w:r w:rsidRPr="0061716C">
        <w:rPr>
          <w:rFonts w:ascii="Lato" w:hAnsi="Lato"/>
          <w:color w:val="000000" w:themeColor="text1"/>
          <w:sz w:val="20"/>
          <w:szCs w:val="20"/>
        </w:rPr>
        <w:t>, gospodarności</w:t>
      </w:r>
      <w:r>
        <w:rPr>
          <w:rFonts w:ascii="Lato" w:hAnsi="Lato"/>
          <w:color w:val="000000" w:themeColor="text1"/>
          <w:sz w:val="20"/>
          <w:szCs w:val="20"/>
        </w:rPr>
        <w:t xml:space="preserve"> i rzetelności tych procesów, ze szczególnym uwzględnieniem spraw prowadzonych przez P</w:t>
      </w:r>
      <w:r w:rsidRPr="0061716C">
        <w:rPr>
          <w:rFonts w:ascii="Lato" w:hAnsi="Lato"/>
          <w:color w:val="000000" w:themeColor="text1"/>
          <w:sz w:val="20"/>
          <w:szCs w:val="20"/>
        </w:rPr>
        <w:t>rokuratur</w:t>
      </w:r>
      <w:r>
        <w:rPr>
          <w:rFonts w:ascii="Lato" w:hAnsi="Lato"/>
          <w:color w:val="000000" w:themeColor="text1"/>
          <w:sz w:val="20"/>
          <w:szCs w:val="20"/>
        </w:rPr>
        <w:t>ę</w:t>
      </w:r>
      <w:r w:rsidRPr="0061716C">
        <w:rPr>
          <w:rFonts w:ascii="Lato" w:hAnsi="Lato"/>
          <w:color w:val="000000" w:themeColor="text1"/>
          <w:sz w:val="20"/>
          <w:szCs w:val="20"/>
        </w:rPr>
        <w:t>.</w:t>
      </w:r>
    </w:p>
    <w:p w14:paraId="5A8E4EBA" w14:textId="3FFC6984" w:rsidR="00114044" w:rsidRPr="00650729" w:rsidRDefault="00114044" w:rsidP="00114044">
      <w:pPr>
        <w:pStyle w:val="Akapitzlist"/>
        <w:numPr>
          <w:ilvl w:val="0"/>
          <w:numId w:val="22"/>
        </w:numPr>
        <w:spacing w:line="259" w:lineRule="auto"/>
        <w:ind w:left="284" w:hanging="284"/>
        <w:jc w:val="both"/>
        <w:rPr>
          <w:rFonts w:ascii="Lato" w:hAnsi="Lato"/>
          <w:color w:val="000000" w:themeColor="text1"/>
          <w:sz w:val="20"/>
          <w:szCs w:val="20"/>
        </w:rPr>
      </w:pPr>
      <w:r w:rsidRPr="00650729">
        <w:rPr>
          <w:rFonts w:ascii="Lato" w:hAnsi="Lato"/>
          <w:color w:val="000000" w:themeColor="text1"/>
          <w:sz w:val="20"/>
          <w:szCs w:val="20"/>
        </w:rPr>
        <w:t xml:space="preserve">Zapewnienia konkurencyjnego i rzetelnego wyboru wykonawców oraz wyeliminowania przypadków </w:t>
      </w:r>
      <w:r w:rsidR="00B0306F" w:rsidRPr="00650729">
        <w:rPr>
          <w:rFonts w:ascii="Lato" w:hAnsi="Lato"/>
          <w:color w:val="000000" w:themeColor="text1"/>
          <w:sz w:val="20"/>
          <w:szCs w:val="20"/>
        </w:rPr>
        <w:t>zlecania zadań</w:t>
      </w:r>
      <w:r w:rsidRPr="00650729">
        <w:rPr>
          <w:rFonts w:ascii="Lato" w:hAnsi="Lato"/>
          <w:color w:val="000000" w:themeColor="text1"/>
          <w:sz w:val="20"/>
          <w:szCs w:val="20"/>
        </w:rPr>
        <w:t xml:space="preserve"> niezgodnie z procedurami wewnętrznymi.</w:t>
      </w:r>
    </w:p>
    <w:p w14:paraId="206F2E95" w14:textId="46735FD1" w:rsidR="00114044" w:rsidRPr="00650729" w:rsidRDefault="00114044" w:rsidP="00114044">
      <w:pPr>
        <w:pStyle w:val="Akapitzlist"/>
        <w:numPr>
          <w:ilvl w:val="0"/>
          <w:numId w:val="22"/>
        </w:numPr>
        <w:spacing w:line="259" w:lineRule="auto"/>
        <w:ind w:left="284" w:hanging="284"/>
        <w:jc w:val="both"/>
        <w:rPr>
          <w:rFonts w:ascii="Lato" w:hAnsi="Lato"/>
          <w:color w:val="000000" w:themeColor="text1"/>
          <w:sz w:val="20"/>
          <w:szCs w:val="20"/>
        </w:rPr>
      </w:pPr>
      <w:r w:rsidRPr="00650729">
        <w:rPr>
          <w:rFonts w:ascii="Lato" w:hAnsi="Lato"/>
          <w:color w:val="000000" w:themeColor="text1"/>
          <w:sz w:val="20"/>
          <w:szCs w:val="20"/>
        </w:rPr>
        <w:t>Zapewnienia przejrzystości zawierania umów, bez</w:t>
      </w:r>
      <w:r w:rsidR="00D5075D">
        <w:rPr>
          <w:rFonts w:ascii="Lato" w:hAnsi="Lato"/>
          <w:color w:val="000000" w:themeColor="text1"/>
          <w:sz w:val="20"/>
          <w:szCs w:val="20"/>
        </w:rPr>
        <w:t xml:space="preserve"> nieuzasadnionego </w:t>
      </w:r>
      <w:r w:rsidRPr="00650729">
        <w:rPr>
          <w:rFonts w:ascii="Lato" w:hAnsi="Lato"/>
          <w:color w:val="000000" w:themeColor="text1"/>
          <w:sz w:val="20"/>
          <w:szCs w:val="20"/>
        </w:rPr>
        <w:t>powielania lub dzielenia przedmiotów umów.</w:t>
      </w:r>
    </w:p>
    <w:p w14:paraId="645ACB04" w14:textId="77777777" w:rsidR="00114044" w:rsidRPr="00650729" w:rsidRDefault="00114044" w:rsidP="00114044">
      <w:pPr>
        <w:pStyle w:val="Akapitzlist"/>
        <w:numPr>
          <w:ilvl w:val="0"/>
          <w:numId w:val="22"/>
        </w:numPr>
        <w:spacing w:line="259" w:lineRule="auto"/>
        <w:ind w:left="284" w:hanging="284"/>
        <w:jc w:val="both"/>
        <w:rPr>
          <w:rFonts w:ascii="Lato" w:hAnsi="Lato"/>
          <w:color w:val="000000" w:themeColor="text1"/>
          <w:sz w:val="20"/>
          <w:szCs w:val="20"/>
        </w:rPr>
      </w:pPr>
      <w:r w:rsidRPr="00650729">
        <w:rPr>
          <w:rFonts w:ascii="Lato" w:hAnsi="Lato"/>
          <w:color w:val="000000" w:themeColor="text1"/>
          <w:sz w:val="20"/>
          <w:szCs w:val="20"/>
        </w:rPr>
        <w:t>Zaprzestanie zlecania zadań regulaminowych wykonawcom zewnętrznym.</w:t>
      </w:r>
    </w:p>
    <w:p w14:paraId="0A2B3DD6" w14:textId="10BE63EF" w:rsidR="00114044" w:rsidRPr="00650729" w:rsidRDefault="00114044" w:rsidP="00114044">
      <w:pPr>
        <w:pStyle w:val="Akapitzlist"/>
        <w:numPr>
          <w:ilvl w:val="0"/>
          <w:numId w:val="22"/>
        </w:numPr>
        <w:spacing w:line="259" w:lineRule="auto"/>
        <w:ind w:left="284" w:hanging="284"/>
        <w:jc w:val="both"/>
        <w:rPr>
          <w:rFonts w:ascii="Lato" w:hAnsi="Lato"/>
          <w:color w:val="000000" w:themeColor="text1"/>
          <w:sz w:val="20"/>
          <w:szCs w:val="20"/>
        </w:rPr>
      </w:pPr>
      <w:r w:rsidRPr="00650729">
        <w:rPr>
          <w:rFonts w:ascii="Lato" w:hAnsi="Lato"/>
          <w:color w:val="000000" w:themeColor="text1"/>
          <w:sz w:val="20"/>
          <w:szCs w:val="20"/>
        </w:rPr>
        <w:t>Wzmocnienie nadzoru nad kontrolą formalnoprawną i finansową zawieranych umów.</w:t>
      </w:r>
    </w:p>
    <w:p w14:paraId="00F59B44" w14:textId="641577F8" w:rsidR="000C4692" w:rsidRPr="00092A85" w:rsidRDefault="000C4692" w:rsidP="000C4692">
      <w:r w:rsidRPr="00650729">
        <w:t>Proszę o przesłanie informacji o podjętych</w:t>
      </w:r>
      <w:r w:rsidRPr="00092A85">
        <w:t xml:space="preserve"> działaniach w celu realizacji zalece</w:t>
      </w:r>
      <w:r w:rsidR="00D5075D">
        <w:t>ń</w:t>
      </w:r>
      <w:r w:rsidRPr="00092A85">
        <w:t xml:space="preserve"> w terminie 14</w:t>
      </w:r>
      <w:r w:rsidR="00D5075D">
        <w:t> </w:t>
      </w:r>
      <w:r w:rsidRPr="00092A85">
        <w:t>dni od otrzymania sprawozdania.</w:t>
      </w:r>
    </w:p>
    <w:bookmarkEnd w:id="12"/>
    <w:p w14:paraId="69523846" w14:textId="77777777" w:rsidR="000C4692" w:rsidRPr="00A72739" w:rsidRDefault="000C4692" w:rsidP="000C4692">
      <w:pPr>
        <w:spacing w:after="200" w:line="240" w:lineRule="auto"/>
        <w:rPr>
          <w:b/>
          <w:bCs/>
          <w:color w:val="000000" w:themeColor="text1"/>
        </w:rPr>
      </w:pPr>
      <w:r w:rsidRPr="00A72739">
        <w:rPr>
          <w:b/>
          <w:bCs/>
          <w:color w:val="000000" w:themeColor="text1"/>
        </w:rPr>
        <w:t>Pouczenie:</w:t>
      </w:r>
    </w:p>
    <w:p w14:paraId="1245B498" w14:textId="77777777" w:rsidR="000C4692" w:rsidRPr="00A72739" w:rsidRDefault="000C4692" w:rsidP="000C4692">
      <w:pPr>
        <w:spacing w:after="120" w:line="240" w:lineRule="auto"/>
      </w:pPr>
      <w:bookmarkStart w:id="13" w:name="_Hlk186405490"/>
      <w:r w:rsidRPr="00A72739">
        <w:t>Kierownik jednostki kontrolowanej ma prawo w terminie 3 dni roboczych od dnia otrzymania sprawozdania przedstawić do niego stanowisko, nie wstrzymuje to jednak realizacji ustaleń kontroli</w:t>
      </w:r>
      <w:r w:rsidRPr="00A72739">
        <w:rPr>
          <w:rStyle w:val="Odwoanieprzypisudolnego"/>
        </w:rPr>
        <w:footnoteReference w:id="21"/>
      </w:r>
      <w:r w:rsidRPr="00A72739">
        <w:t>.</w:t>
      </w:r>
    </w:p>
    <w:bookmarkEnd w:id="13"/>
    <w:p w14:paraId="595BAC4E" w14:textId="77777777" w:rsidR="00D5075D" w:rsidRPr="00621A60" w:rsidRDefault="00D5075D" w:rsidP="000C4692">
      <w:pPr>
        <w:spacing w:after="200" w:line="240" w:lineRule="auto"/>
        <w:jc w:val="left"/>
      </w:pPr>
    </w:p>
    <w:p w14:paraId="55AB4580" w14:textId="77777777" w:rsidR="000C4692" w:rsidRPr="00621A60" w:rsidRDefault="000C4692" w:rsidP="000C4692">
      <w:pPr>
        <w:spacing w:after="0" w:line="240" w:lineRule="auto"/>
        <w:jc w:val="left"/>
      </w:pPr>
      <w:r>
        <w:t>Paulina Hennig-Kloska</w:t>
      </w:r>
    </w:p>
    <w:p w14:paraId="2696179E" w14:textId="77777777" w:rsidR="000C4692" w:rsidRPr="00621A60" w:rsidRDefault="000C4692" w:rsidP="000C4692">
      <w:pPr>
        <w:spacing w:after="0" w:line="240" w:lineRule="auto"/>
        <w:jc w:val="left"/>
      </w:pPr>
      <w:r>
        <w:t>Minister Klimatu i Środowiska</w:t>
      </w:r>
    </w:p>
    <w:p w14:paraId="6714D340" w14:textId="77777777" w:rsidR="000C4692" w:rsidRPr="00621A60" w:rsidRDefault="000C4692" w:rsidP="000C4692">
      <w:pPr>
        <w:spacing w:after="0" w:line="240" w:lineRule="auto"/>
        <w:jc w:val="left"/>
      </w:pPr>
      <w:r w:rsidRPr="00621A60">
        <w:t>Ministerstwo Klimatu i Środowiska</w:t>
      </w:r>
      <w:r w:rsidRPr="00621A60">
        <w:br/>
        <w:t>/ – podpisany cyfrowo/</w:t>
      </w:r>
      <w:bookmarkStart w:id="14" w:name="mip72740446"/>
      <w:bookmarkStart w:id="15" w:name="mip72740447"/>
      <w:bookmarkStart w:id="16" w:name="mip72740448"/>
      <w:bookmarkStart w:id="17" w:name="mip72740449"/>
      <w:bookmarkStart w:id="18" w:name="mip72740450"/>
      <w:bookmarkStart w:id="19" w:name="mip72740451"/>
      <w:bookmarkStart w:id="20" w:name="mip72740452"/>
      <w:bookmarkStart w:id="21" w:name="mip72740453"/>
      <w:bookmarkStart w:id="22" w:name="mip72740454"/>
      <w:bookmarkStart w:id="23" w:name="mip72740455"/>
      <w:bookmarkStart w:id="24" w:name="mip72740456"/>
      <w:bookmarkStart w:id="25" w:name="mip72740905"/>
      <w:bookmarkEnd w:id="14"/>
      <w:bookmarkEnd w:id="15"/>
      <w:bookmarkEnd w:id="16"/>
      <w:bookmarkEnd w:id="17"/>
      <w:bookmarkEnd w:id="18"/>
      <w:bookmarkEnd w:id="19"/>
      <w:bookmarkEnd w:id="20"/>
      <w:bookmarkEnd w:id="21"/>
      <w:bookmarkEnd w:id="22"/>
      <w:bookmarkEnd w:id="23"/>
      <w:bookmarkEnd w:id="24"/>
      <w:bookmarkEnd w:id="25"/>
    </w:p>
    <w:p w14:paraId="4F4D3F45" w14:textId="77777777" w:rsidR="005455AE" w:rsidRDefault="005455AE" w:rsidP="00CE621F">
      <w:pPr>
        <w:spacing w:after="200" w:line="240" w:lineRule="auto"/>
      </w:pPr>
    </w:p>
    <w:p w14:paraId="6181280F" w14:textId="77777777" w:rsidR="005455AE" w:rsidRDefault="005455AE" w:rsidP="00CE621F">
      <w:pPr>
        <w:spacing w:after="200" w:line="240" w:lineRule="auto"/>
      </w:pPr>
    </w:p>
    <w:p w14:paraId="0C36CD58" w14:textId="217EA6B1" w:rsidR="005455AE" w:rsidRDefault="005455AE" w:rsidP="00114044">
      <w:pPr>
        <w:spacing w:after="200" w:line="240" w:lineRule="auto"/>
      </w:pPr>
    </w:p>
    <w:sectPr w:rsidR="005455AE" w:rsidSect="006433E7">
      <w:headerReference w:type="default" r:id="rId8"/>
      <w:footerReference w:type="default" r:id="rId9"/>
      <w:headerReference w:type="first" r:id="rId10"/>
      <w:footerReference w:type="first" r:id="rId11"/>
      <w:pgSz w:w="11906" w:h="16838"/>
      <w:pgMar w:top="2113" w:right="1841" w:bottom="1985"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58E3C" w14:textId="77777777" w:rsidR="00154B22" w:rsidRDefault="00154B22">
      <w:pPr>
        <w:spacing w:after="0" w:line="240" w:lineRule="auto"/>
      </w:pPr>
      <w:r>
        <w:separator/>
      </w:r>
    </w:p>
  </w:endnote>
  <w:endnote w:type="continuationSeparator" w:id="0">
    <w:p w14:paraId="51DFD6EC" w14:textId="77777777" w:rsidR="00154B22" w:rsidRDefault="00154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embedRegular r:id="rId1" w:fontKey="{74ED7A52-E93B-4FD5-BABD-D23DFB476DD0}"/>
    <w:embedBold r:id="rId2" w:fontKey="{AF9C9D4E-C961-4FBF-B128-9CEF3A304D9F}"/>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embedRegular r:id="rId3" w:subsetted="1" w:fontKey="{16A3F021-96D1-4F86-8922-B0424962D8C2}"/>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934634"/>
      <w:docPartObj>
        <w:docPartGallery w:val="Page Numbers (Bottom of Page)"/>
        <w:docPartUnique/>
      </w:docPartObj>
    </w:sdtPr>
    <w:sdtEndPr/>
    <w:sdtContent>
      <w:p w14:paraId="0F663550" w14:textId="01D2E354" w:rsidR="00CC79A1" w:rsidRDefault="00CC79A1">
        <w:pPr>
          <w:pStyle w:val="Stopka"/>
          <w:jc w:val="right"/>
        </w:pPr>
        <w:r>
          <w:fldChar w:fldCharType="begin"/>
        </w:r>
        <w:r>
          <w:instrText>PAGE   \* MERGEFORMAT</w:instrText>
        </w:r>
        <w:r>
          <w:fldChar w:fldCharType="separate"/>
        </w:r>
        <w:r>
          <w:t>2</w:t>
        </w:r>
        <w:r>
          <w:fldChar w:fldCharType="end"/>
        </w:r>
      </w:p>
    </w:sdtContent>
  </w:sdt>
  <w:p w14:paraId="31DF7520" w14:textId="77777777" w:rsidR="005455AE" w:rsidRPr="00590C4E" w:rsidRDefault="005455AE">
    <w:pPr>
      <w:pStyle w:val="Stopka"/>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8C757" w14:textId="77777777" w:rsidR="005455AE" w:rsidRPr="009204C9" w:rsidRDefault="005455AE" w:rsidP="009204C9">
    <w:pPr>
      <w:tabs>
        <w:tab w:val="center" w:pos="4536"/>
        <w:tab w:val="left" w:pos="5954"/>
        <w:tab w:val="right" w:pos="9072"/>
      </w:tabs>
      <w:spacing w:after="0" w:line="240" w:lineRule="auto"/>
      <w:rPr>
        <w:sz w:val="16"/>
      </w:rPr>
    </w:pPr>
  </w:p>
  <w:p w14:paraId="0AE3F7D3" w14:textId="77777777" w:rsidR="005455AE" w:rsidRPr="009204C9" w:rsidRDefault="00416940" w:rsidP="009204C9">
    <w:pPr>
      <w:tabs>
        <w:tab w:val="left" w:pos="5103"/>
      </w:tabs>
      <w:spacing w:after="0" w:line="240" w:lineRule="auto"/>
      <w:rPr>
        <w:rFonts w:cstheme="minorHAnsi"/>
        <w:sz w:val="16"/>
      </w:rPr>
    </w:pPr>
    <w:r w:rsidRPr="009204C9">
      <w:rPr>
        <w:rFonts w:cstheme="minorHAnsi"/>
        <w:noProof/>
        <w:sz w:val="14"/>
        <w:lang w:eastAsia="pl-PL"/>
      </w:rPr>
      <mc:AlternateContent>
        <mc:Choice Requires="wps">
          <w:drawing>
            <wp:anchor distT="0" distB="0" distL="114300" distR="114300" simplePos="0" relativeHeight="251658240" behindDoc="0" locked="0" layoutInCell="1" allowOverlap="1" wp14:anchorId="14996BC5" wp14:editId="5CC8181E">
              <wp:simplePos x="0" y="0"/>
              <wp:positionH relativeFrom="margin">
                <wp:posOffset>0</wp:posOffset>
              </wp:positionH>
              <wp:positionV relativeFrom="paragraph">
                <wp:posOffset>-120650</wp:posOffset>
              </wp:positionV>
              <wp:extent cx="5040000" cy="0"/>
              <wp:effectExtent l="0" t="0" r="27305" b="19050"/>
              <wp:wrapNone/>
              <wp:docPr id="1" name="Łącznik prosty 1"/>
              <wp:cNvGraphicFramePr/>
              <a:graphic xmlns:a="http://schemas.openxmlformats.org/drawingml/2006/main">
                <a:graphicData uri="http://schemas.microsoft.com/office/word/2010/wordprocessingShape">
                  <wps:wsp>
                    <wps:cNvCnPr/>
                    <wps:spPr>
                      <a:xfrm>
                        <a:off x="0" y="0"/>
                        <a:ext cx="5040000" cy="0"/>
                      </a:xfrm>
                      <a:prstGeom prst="line">
                        <a:avLst/>
                      </a:prstGeom>
                      <a:noFill/>
                      <a:ln w="6350">
                        <a:solidFill>
                          <a:sysClr val="windowText" lastClr="000000"/>
                        </a:solidFill>
                        <a:miter lim="800000"/>
                      </a:ln>
                    </wps:spPr>
                    <wps:bodyPr/>
                  </wps:wsp>
                </a:graphicData>
              </a:graphic>
              <wp14:sizeRelH relativeFrom="margin">
                <wp14:pctWidth>0</wp14:pctWidth>
              </wp14:sizeRelH>
              <wp14:sizeRelV relativeFrom="margin">
                <wp14:pctHeight>0</wp14:pctHeight>
              </wp14:sizeRelV>
            </wp:anchor>
          </w:drawing>
        </mc:Choice>
        <mc:Fallback>
          <w:pict>
            <v:line id="Łącznik prosty 1" o:spid="_x0000_s2049" style="mso-height-percent:0;mso-height-relative:margin;mso-position-horizontal-relative:margin;mso-width-percent:0;mso-width-relative:margin;mso-wrap-distance-bottom:0;mso-wrap-distance-left:9pt;mso-wrap-distance-right:9pt;mso-wrap-distance-top:0;mso-wrap-style:square;position:absolute;visibility:visible;z-index:251659264" from="0,-9.5pt" to="396.85pt,-9.5pt" strokecolor="black" strokeweight="0.5pt">
              <v:stroke joinstyle="miter"/>
              <w10:wrap anchorx="margin"/>
            </v:line>
          </w:pict>
        </mc:Fallback>
      </mc:AlternateContent>
    </w:r>
    <w:r w:rsidRPr="009204C9">
      <w:rPr>
        <w:rFonts w:cstheme="minorHAnsi"/>
        <w:sz w:val="16"/>
      </w:rPr>
      <w:t xml:space="preserve">Telefon: </w:t>
    </w:r>
    <w:bookmarkStart w:id="26" w:name="ezdAutorWydzialAtrybut2"/>
    <w:r w:rsidRPr="009204C9">
      <w:rPr>
        <w:rFonts w:cstheme="minorHAnsi"/>
        <w:sz w:val="16"/>
      </w:rPr>
      <w:t>(+48) 223-692-432</w:t>
    </w:r>
    <w:bookmarkEnd w:id="26"/>
    <w:r w:rsidRPr="009204C9">
      <w:rPr>
        <w:rFonts w:cstheme="minorHAnsi"/>
        <w:sz w:val="16"/>
      </w:rPr>
      <w:tab/>
      <w:t xml:space="preserve">ul. Wawelska 52/54, 00-922 Warszawa  </w:t>
    </w:r>
  </w:p>
  <w:p w14:paraId="66A71B5D" w14:textId="266B8218" w:rsidR="005455AE" w:rsidRPr="009204C9" w:rsidRDefault="00416940" w:rsidP="009204C9">
    <w:pPr>
      <w:tabs>
        <w:tab w:val="left" w:pos="5387"/>
      </w:tabs>
      <w:spacing w:after="0" w:line="240" w:lineRule="auto"/>
      <w:rPr>
        <w:rFonts w:cstheme="minorHAnsi"/>
        <w:sz w:val="16"/>
      </w:rPr>
    </w:pPr>
    <w:bookmarkStart w:id="27" w:name="ezdAutorWydzialAtrybut1"/>
    <w:r w:rsidRPr="009204C9">
      <w:rPr>
        <w:rFonts w:cstheme="minorHAnsi"/>
        <w:sz w:val="16"/>
      </w:rPr>
      <w:t>biuro.kontroli.i.audytu.wewnetrznego@klimat.gov.pl</w:t>
    </w:r>
    <w:bookmarkEnd w:id="27"/>
    <w:r w:rsidRPr="009204C9">
      <w:rPr>
        <w:rFonts w:cstheme="minorHAnsi"/>
        <w:sz w:val="16"/>
      </w:rPr>
      <w:tab/>
      <w:t xml:space="preserve">Ministerstwo Klimatu i Środowiska </w:t>
    </w:r>
  </w:p>
  <w:p w14:paraId="33D1A417" w14:textId="77777777" w:rsidR="005455AE" w:rsidRPr="009204C9" w:rsidRDefault="00416940" w:rsidP="009204C9">
    <w:pPr>
      <w:tabs>
        <w:tab w:val="center" w:pos="4536"/>
        <w:tab w:val="left" w:pos="5954"/>
        <w:tab w:val="right" w:pos="9072"/>
      </w:tabs>
      <w:spacing w:after="0" w:line="240" w:lineRule="auto"/>
      <w:rPr>
        <w:rFonts w:cstheme="minorHAnsi"/>
        <w:sz w:val="16"/>
      </w:rPr>
    </w:pPr>
    <w:r w:rsidRPr="009204C9">
      <w:rPr>
        <w:rFonts w:cstheme="minorHAnsi"/>
        <w:sz w:val="16"/>
      </w:rPr>
      <w:t>www.gov.pl/klimat</w:t>
    </w:r>
  </w:p>
  <w:p w14:paraId="0C90D003" w14:textId="77777777" w:rsidR="005455AE" w:rsidRPr="005775A9" w:rsidRDefault="00416940" w:rsidP="00C07964">
    <w:pPr>
      <w:pStyle w:val="Stopka"/>
      <w:jc w:val="center"/>
      <w:rPr>
        <w:sz w:val="14"/>
      </w:rPr>
    </w:pPr>
    <w:r w:rsidRPr="0078775A">
      <w:rPr>
        <w:sz w:val="14"/>
      </w:rPr>
      <w:t>Działamy zgodnie z EMAS - zarządzając instytucją, dbamy o środowisko</w:t>
    </w:r>
  </w:p>
  <w:p w14:paraId="2A88CBC6" w14:textId="77777777" w:rsidR="005455AE" w:rsidRPr="00C07964" w:rsidRDefault="005455AE">
    <w:pPr>
      <w:pStyle w:val="Stopka"/>
      <w:rPr>
        <w:rFonts w:asciiTheme="minorHAnsi" w:hAnsiTheme="minorHAnsi" w:cstheme="minorHAns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6193C" w14:textId="77777777" w:rsidR="00154B22" w:rsidRDefault="00154B22">
      <w:pPr>
        <w:spacing w:after="0" w:line="240" w:lineRule="auto"/>
      </w:pPr>
      <w:r>
        <w:separator/>
      </w:r>
    </w:p>
  </w:footnote>
  <w:footnote w:type="continuationSeparator" w:id="0">
    <w:p w14:paraId="7E5E50D0" w14:textId="77777777" w:rsidR="00154B22" w:rsidRDefault="00154B22">
      <w:pPr>
        <w:spacing w:after="0" w:line="240" w:lineRule="auto"/>
      </w:pPr>
      <w:r>
        <w:continuationSeparator/>
      </w:r>
    </w:p>
  </w:footnote>
  <w:footnote w:id="1">
    <w:p w14:paraId="05C17DA4" w14:textId="625E4B75" w:rsidR="000C4692" w:rsidRPr="005A5550" w:rsidRDefault="000C4692" w:rsidP="00511AD2">
      <w:pPr>
        <w:pStyle w:val="Tekstprzypisudolnego"/>
        <w:jc w:val="both"/>
        <w:rPr>
          <w:rFonts w:ascii="Lato" w:hAnsi="Lato"/>
          <w:sz w:val="16"/>
          <w:szCs w:val="16"/>
        </w:rPr>
      </w:pPr>
      <w:r w:rsidRPr="005A5550">
        <w:rPr>
          <w:rStyle w:val="Odwoanieprzypisudolnego"/>
          <w:rFonts w:ascii="Lato" w:hAnsi="Lato"/>
          <w:sz w:val="16"/>
          <w:szCs w:val="16"/>
        </w:rPr>
        <w:footnoteRef/>
      </w:r>
      <w:r w:rsidRPr="005A5550">
        <w:rPr>
          <w:rFonts w:ascii="Lato" w:hAnsi="Lato"/>
          <w:sz w:val="16"/>
          <w:szCs w:val="16"/>
        </w:rPr>
        <w:t xml:space="preserve"> </w:t>
      </w:r>
      <w:r w:rsidRPr="005A5550">
        <w:rPr>
          <w:rFonts w:ascii="Lato" w:hAnsi="Lato"/>
          <w:color w:val="000000" w:themeColor="text1"/>
          <w:sz w:val="16"/>
          <w:szCs w:val="16"/>
        </w:rPr>
        <w:t xml:space="preserve">Kontrolę prowadził </w:t>
      </w:r>
      <w:r w:rsidR="002653CE" w:rsidRPr="005A5550">
        <w:rPr>
          <w:rFonts w:ascii="Lato" w:hAnsi="Lato"/>
          <w:color w:val="000000" w:themeColor="text1"/>
          <w:sz w:val="16"/>
          <w:szCs w:val="16"/>
        </w:rPr>
        <w:t xml:space="preserve">w okresie 12-28 marca 2025 r. </w:t>
      </w:r>
      <w:r w:rsidRPr="005A5550">
        <w:rPr>
          <w:rFonts w:ascii="Lato" w:hAnsi="Lato"/>
          <w:color w:val="000000" w:themeColor="text1"/>
          <w:sz w:val="16"/>
          <w:szCs w:val="16"/>
        </w:rPr>
        <w:t>Krzysztof Stasiak</w:t>
      </w:r>
      <w:r w:rsidR="000A6F23" w:rsidRPr="005A5550">
        <w:rPr>
          <w:rFonts w:ascii="Lato" w:hAnsi="Lato"/>
          <w:color w:val="000000" w:themeColor="text1"/>
          <w:sz w:val="16"/>
          <w:szCs w:val="16"/>
        </w:rPr>
        <w:t xml:space="preserve">, </w:t>
      </w:r>
      <w:r w:rsidR="002653CE" w:rsidRPr="005A5550">
        <w:rPr>
          <w:rFonts w:ascii="Lato" w:hAnsi="Lato"/>
          <w:color w:val="000000" w:themeColor="text1"/>
          <w:sz w:val="16"/>
          <w:szCs w:val="16"/>
        </w:rPr>
        <w:t>n</w:t>
      </w:r>
      <w:r w:rsidRPr="005A5550">
        <w:rPr>
          <w:rFonts w:ascii="Lato" w:hAnsi="Lato"/>
          <w:color w:val="000000" w:themeColor="text1"/>
          <w:sz w:val="16"/>
          <w:szCs w:val="16"/>
        </w:rPr>
        <w:t>aczelnik</w:t>
      </w:r>
      <w:r w:rsidRPr="005A5550">
        <w:rPr>
          <w:rFonts w:ascii="Lato" w:hAnsi="Lato"/>
          <w:sz w:val="16"/>
          <w:szCs w:val="16"/>
        </w:rPr>
        <w:t> </w:t>
      </w:r>
      <w:r w:rsidRPr="005A5550">
        <w:rPr>
          <w:rFonts w:ascii="Lato" w:hAnsi="Lato"/>
          <w:color w:val="000000" w:themeColor="text1"/>
          <w:sz w:val="16"/>
          <w:szCs w:val="16"/>
        </w:rPr>
        <w:t>Wydziału Kontroli Resortowej I</w:t>
      </w:r>
      <w:r w:rsidR="002653CE" w:rsidRPr="005A5550">
        <w:rPr>
          <w:rFonts w:ascii="Lato" w:hAnsi="Lato"/>
          <w:color w:val="000000" w:themeColor="text1"/>
          <w:sz w:val="16"/>
          <w:szCs w:val="16"/>
        </w:rPr>
        <w:t>.</w:t>
      </w:r>
    </w:p>
  </w:footnote>
  <w:footnote w:id="2">
    <w:p w14:paraId="6AFDA63C" w14:textId="77777777" w:rsidR="000C4692" w:rsidRPr="005A5550" w:rsidRDefault="000C4692" w:rsidP="00511AD2">
      <w:pPr>
        <w:pStyle w:val="Tekstprzypisudolnego"/>
        <w:jc w:val="both"/>
        <w:rPr>
          <w:rFonts w:ascii="Lato" w:hAnsi="Lato"/>
          <w:color w:val="000000" w:themeColor="text1"/>
          <w:sz w:val="16"/>
          <w:szCs w:val="16"/>
        </w:rPr>
      </w:pPr>
      <w:r w:rsidRPr="005A5550">
        <w:rPr>
          <w:rStyle w:val="Odwoanieprzypisudolnego"/>
          <w:rFonts w:ascii="Lato" w:hAnsi="Lato"/>
          <w:color w:val="000000" w:themeColor="text1"/>
          <w:sz w:val="16"/>
          <w:szCs w:val="16"/>
        </w:rPr>
        <w:footnoteRef/>
      </w:r>
      <w:r w:rsidRPr="005A5550">
        <w:rPr>
          <w:rFonts w:ascii="Lato" w:hAnsi="Lato"/>
          <w:color w:val="000000" w:themeColor="text1"/>
          <w:sz w:val="16"/>
          <w:szCs w:val="16"/>
        </w:rPr>
        <w:t xml:space="preserve"> Z wykorzystaniem dowodów sporządzonych przed i po tym okresie, jeżeli miały one związek z zakresem kontroli.</w:t>
      </w:r>
    </w:p>
  </w:footnote>
  <w:footnote w:id="3">
    <w:p w14:paraId="1FDF4BB4" w14:textId="77777777" w:rsidR="000C4692" w:rsidRPr="005A5550" w:rsidRDefault="000C4692" w:rsidP="00511AD2">
      <w:pPr>
        <w:pStyle w:val="Tekstprzypisudolnego"/>
        <w:jc w:val="both"/>
        <w:rPr>
          <w:rFonts w:ascii="Lato" w:hAnsi="Lato"/>
          <w:sz w:val="16"/>
          <w:szCs w:val="16"/>
        </w:rPr>
      </w:pPr>
      <w:r w:rsidRPr="005A5550">
        <w:rPr>
          <w:rStyle w:val="Odwoanieprzypisudolnego"/>
          <w:rFonts w:ascii="Lato" w:hAnsi="Lato"/>
          <w:sz w:val="16"/>
          <w:szCs w:val="16"/>
        </w:rPr>
        <w:footnoteRef/>
      </w:r>
      <w:r w:rsidRPr="005A5550">
        <w:rPr>
          <w:rFonts w:ascii="Lato" w:hAnsi="Lato"/>
          <w:sz w:val="16"/>
          <w:szCs w:val="16"/>
        </w:rPr>
        <w:t xml:space="preserve"> Dz. U. z 2020 r. poz. 224. </w:t>
      </w:r>
    </w:p>
  </w:footnote>
  <w:footnote w:id="4">
    <w:p w14:paraId="5467EE43" w14:textId="77777777" w:rsidR="000C4692" w:rsidRPr="005A5550" w:rsidRDefault="000C4692" w:rsidP="00511AD2">
      <w:pPr>
        <w:pStyle w:val="Tekstprzypisudolnego"/>
        <w:jc w:val="both"/>
        <w:rPr>
          <w:rFonts w:ascii="Lato" w:hAnsi="Lato"/>
          <w:sz w:val="16"/>
          <w:szCs w:val="16"/>
        </w:rPr>
      </w:pPr>
      <w:r w:rsidRPr="005A5550">
        <w:rPr>
          <w:rStyle w:val="Odwoanieprzypisudolnego"/>
          <w:rFonts w:ascii="Lato" w:hAnsi="Lato"/>
          <w:sz w:val="16"/>
          <w:szCs w:val="16"/>
        </w:rPr>
        <w:footnoteRef/>
      </w:r>
      <w:r w:rsidRPr="005A5550">
        <w:rPr>
          <w:rFonts w:ascii="Lato" w:hAnsi="Lato"/>
          <w:sz w:val="16"/>
          <w:szCs w:val="16"/>
        </w:rPr>
        <w:t xml:space="preserve"> Dz.U. z 2024 r. poz. 530.</w:t>
      </w:r>
    </w:p>
  </w:footnote>
  <w:footnote w:id="5">
    <w:p w14:paraId="322C712F" w14:textId="77777777" w:rsidR="000C4692" w:rsidRPr="005A5550" w:rsidRDefault="000C4692" w:rsidP="00511AD2">
      <w:pPr>
        <w:pStyle w:val="Tekstprzypisudolnego"/>
        <w:jc w:val="both"/>
        <w:rPr>
          <w:rFonts w:ascii="Lato" w:hAnsi="Lato"/>
          <w:color w:val="000000" w:themeColor="text1"/>
          <w:sz w:val="16"/>
          <w:szCs w:val="16"/>
        </w:rPr>
      </w:pPr>
      <w:r w:rsidRPr="005A5550">
        <w:rPr>
          <w:rStyle w:val="Odwoanieprzypisudolnego"/>
          <w:rFonts w:ascii="Lato" w:hAnsi="Lato"/>
          <w:color w:val="000000" w:themeColor="text1"/>
          <w:sz w:val="16"/>
          <w:szCs w:val="16"/>
        </w:rPr>
        <w:footnoteRef/>
      </w:r>
      <w:r w:rsidRPr="005A5550">
        <w:rPr>
          <w:rFonts w:ascii="Lato" w:hAnsi="Lato"/>
          <w:color w:val="000000" w:themeColor="text1"/>
          <w:sz w:val="16"/>
          <w:szCs w:val="16"/>
        </w:rPr>
        <w:t xml:space="preserve"> M.P. poz. 796.</w:t>
      </w:r>
    </w:p>
  </w:footnote>
  <w:footnote w:id="6">
    <w:p w14:paraId="22603CA6" w14:textId="6FBCC310" w:rsidR="004F7490" w:rsidRPr="005A5550" w:rsidRDefault="004F7490" w:rsidP="00511AD2">
      <w:pPr>
        <w:pStyle w:val="Tekstprzypisudolnego"/>
        <w:jc w:val="both"/>
        <w:rPr>
          <w:rFonts w:ascii="Lato" w:hAnsi="Lato"/>
          <w:sz w:val="16"/>
          <w:szCs w:val="16"/>
        </w:rPr>
      </w:pPr>
      <w:r w:rsidRPr="005A5550">
        <w:rPr>
          <w:rStyle w:val="Odwoanieprzypisudolnego"/>
          <w:rFonts w:ascii="Lato" w:hAnsi="Lato"/>
          <w:sz w:val="16"/>
          <w:szCs w:val="16"/>
        </w:rPr>
        <w:footnoteRef/>
      </w:r>
      <w:r w:rsidRPr="005A5550">
        <w:rPr>
          <w:rFonts w:ascii="Lato" w:hAnsi="Lato"/>
          <w:sz w:val="16"/>
          <w:szCs w:val="16"/>
        </w:rPr>
        <w:t xml:space="preserve"> W tym: zakłady o zasięgu regionalnym, podległe RDLP, jak np. gospodarstw</w:t>
      </w:r>
      <w:r w:rsidR="00102C5B" w:rsidRPr="005A5550">
        <w:rPr>
          <w:rFonts w:ascii="Lato" w:hAnsi="Lato"/>
          <w:sz w:val="16"/>
          <w:szCs w:val="16"/>
        </w:rPr>
        <w:t>a</w:t>
      </w:r>
      <w:r w:rsidRPr="005A5550">
        <w:rPr>
          <w:rFonts w:ascii="Lato" w:hAnsi="Lato"/>
          <w:sz w:val="16"/>
          <w:szCs w:val="16"/>
        </w:rPr>
        <w:t xml:space="preserve"> rybackie (15)</w:t>
      </w:r>
      <w:r w:rsidR="002653CE" w:rsidRPr="005A5550">
        <w:rPr>
          <w:rFonts w:ascii="Lato" w:hAnsi="Lato"/>
          <w:sz w:val="16"/>
          <w:szCs w:val="16"/>
        </w:rPr>
        <w:t xml:space="preserve"> oraz</w:t>
      </w:r>
      <w:r w:rsidRPr="005A5550">
        <w:rPr>
          <w:rFonts w:ascii="Lato" w:hAnsi="Lato"/>
          <w:sz w:val="16"/>
          <w:szCs w:val="16"/>
        </w:rPr>
        <w:t xml:space="preserve"> zakłady o zasięgu krajowym, jak np. Ośrodek Kultury Leśnej w Gołuchowie</w:t>
      </w:r>
      <w:r w:rsidR="006428A0" w:rsidRPr="005A5550">
        <w:rPr>
          <w:rFonts w:ascii="Lato" w:hAnsi="Lato"/>
          <w:sz w:val="16"/>
          <w:szCs w:val="16"/>
        </w:rPr>
        <w:t xml:space="preserve"> </w:t>
      </w:r>
      <w:r w:rsidRPr="005A5550">
        <w:rPr>
          <w:rFonts w:ascii="Lato" w:hAnsi="Lato"/>
          <w:sz w:val="16"/>
          <w:szCs w:val="16"/>
        </w:rPr>
        <w:t>(7).</w:t>
      </w:r>
    </w:p>
  </w:footnote>
  <w:footnote w:id="7">
    <w:p w14:paraId="76C53FAD" w14:textId="77777777" w:rsidR="00AA5335" w:rsidRPr="005A5550" w:rsidRDefault="00AA5335" w:rsidP="000A3848">
      <w:pPr>
        <w:pStyle w:val="Tekstprzypisudolnego"/>
        <w:jc w:val="both"/>
        <w:rPr>
          <w:rFonts w:ascii="Lato" w:hAnsi="Lato"/>
          <w:sz w:val="16"/>
          <w:szCs w:val="16"/>
        </w:rPr>
      </w:pPr>
      <w:r w:rsidRPr="005A5550">
        <w:rPr>
          <w:rStyle w:val="Odwoanieprzypisudolnego"/>
          <w:rFonts w:ascii="Lato" w:hAnsi="Lato"/>
          <w:sz w:val="16"/>
          <w:szCs w:val="16"/>
        </w:rPr>
        <w:footnoteRef/>
      </w:r>
      <w:r w:rsidRPr="005A5550">
        <w:rPr>
          <w:rFonts w:ascii="Lato" w:hAnsi="Lato"/>
          <w:sz w:val="16"/>
          <w:szCs w:val="16"/>
        </w:rPr>
        <w:t xml:space="preserve"> Umowy zawarte na czas nieokreślony, na czas prowadzonego postępowania, wg ryczałtu lub stawki za wykonanie czynności.</w:t>
      </w:r>
    </w:p>
  </w:footnote>
  <w:footnote w:id="8">
    <w:p w14:paraId="135CE76C" w14:textId="44505BB3" w:rsidR="00D00EA2" w:rsidRPr="005A5550" w:rsidRDefault="00D00EA2" w:rsidP="000A3848">
      <w:pPr>
        <w:pStyle w:val="Tekstprzypisudolnego"/>
        <w:jc w:val="both"/>
        <w:rPr>
          <w:rFonts w:ascii="Lato" w:hAnsi="Lato"/>
          <w:sz w:val="16"/>
          <w:szCs w:val="16"/>
        </w:rPr>
      </w:pPr>
      <w:r w:rsidRPr="005A5550">
        <w:rPr>
          <w:rStyle w:val="Odwoanieprzypisudolnego"/>
          <w:rFonts w:ascii="Lato" w:hAnsi="Lato"/>
          <w:sz w:val="16"/>
          <w:szCs w:val="16"/>
        </w:rPr>
        <w:footnoteRef/>
      </w:r>
      <w:r w:rsidRPr="005A5550">
        <w:rPr>
          <w:rFonts w:ascii="Lato" w:hAnsi="Lato"/>
          <w:sz w:val="16"/>
          <w:szCs w:val="16"/>
        </w:rPr>
        <w:t xml:space="preserve"> Wg raportu płacowego firmy rekrutacyjnej Antal przeciętne wynagrodzenie proponowane w Polsce doświadczonym i wyspecjalizowanym prawnikom z kancelarii i firm wynosiło w 2024 r. 15 458 zł (https://rynekprawniczy.pl/2024/10/25/raport-antal-zarobki-prawnikow-biznesowych-nadal-szly-w-gore/) </w:t>
      </w:r>
    </w:p>
  </w:footnote>
  <w:footnote w:id="9">
    <w:p w14:paraId="0A8761EC" w14:textId="0A97CDEC" w:rsidR="002653CE" w:rsidRPr="005A5550" w:rsidRDefault="002653CE">
      <w:pPr>
        <w:pStyle w:val="Tekstprzypisudolnego"/>
        <w:rPr>
          <w:rFonts w:ascii="Lato" w:hAnsi="Lato"/>
          <w:sz w:val="16"/>
          <w:szCs w:val="16"/>
        </w:rPr>
      </w:pPr>
      <w:r w:rsidRPr="005A5550">
        <w:rPr>
          <w:rStyle w:val="Odwoanieprzypisudolnego"/>
          <w:rFonts w:ascii="Lato" w:hAnsi="Lato"/>
          <w:sz w:val="16"/>
          <w:szCs w:val="16"/>
        </w:rPr>
        <w:footnoteRef/>
      </w:r>
      <w:r w:rsidRPr="005A5550">
        <w:rPr>
          <w:rFonts w:ascii="Lato" w:hAnsi="Lato"/>
          <w:sz w:val="16"/>
          <w:szCs w:val="16"/>
        </w:rPr>
        <w:t xml:space="preserve"> </w:t>
      </w:r>
      <w:r w:rsidR="0003278A">
        <w:rPr>
          <w:rFonts w:ascii="Lato" w:hAnsi="Lato"/>
          <w:sz w:val="16"/>
          <w:szCs w:val="16"/>
        </w:rPr>
        <w:t>U</w:t>
      </w:r>
      <w:r w:rsidRPr="005A5550">
        <w:rPr>
          <w:rFonts w:ascii="Lato" w:hAnsi="Lato"/>
          <w:sz w:val="16"/>
          <w:szCs w:val="16"/>
        </w:rPr>
        <w:t>m</w:t>
      </w:r>
      <w:r w:rsidR="0003278A">
        <w:rPr>
          <w:rFonts w:ascii="Lato" w:hAnsi="Lato"/>
          <w:sz w:val="16"/>
          <w:szCs w:val="16"/>
        </w:rPr>
        <w:t>owy</w:t>
      </w:r>
      <w:r w:rsidRPr="005A5550">
        <w:rPr>
          <w:rFonts w:ascii="Lato" w:hAnsi="Lato"/>
          <w:sz w:val="16"/>
          <w:szCs w:val="16"/>
        </w:rPr>
        <w:t xml:space="preserve"> nie podlegał</w:t>
      </w:r>
      <w:r w:rsidR="0003278A">
        <w:rPr>
          <w:rFonts w:ascii="Lato" w:hAnsi="Lato"/>
          <w:sz w:val="16"/>
          <w:szCs w:val="16"/>
        </w:rPr>
        <w:t>y</w:t>
      </w:r>
      <w:r w:rsidRPr="005A5550">
        <w:rPr>
          <w:rFonts w:ascii="Lato" w:hAnsi="Lato"/>
          <w:sz w:val="16"/>
          <w:szCs w:val="16"/>
        </w:rPr>
        <w:t xml:space="preserve"> regulacjom ustawy Prawo zamówień publicznych.</w:t>
      </w:r>
    </w:p>
  </w:footnote>
  <w:footnote w:id="10">
    <w:p w14:paraId="7A6313E2" w14:textId="52932EE3" w:rsidR="00EB5338" w:rsidRPr="005A5550" w:rsidRDefault="00EB5338" w:rsidP="00E2633E">
      <w:pPr>
        <w:pStyle w:val="Tekstprzypisudolnego"/>
        <w:jc w:val="both"/>
        <w:rPr>
          <w:rFonts w:ascii="Lato" w:hAnsi="Lato"/>
          <w:sz w:val="16"/>
          <w:szCs w:val="16"/>
        </w:rPr>
      </w:pPr>
      <w:r w:rsidRPr="005A5550">
        <w:rPr>
          <w:rStyle w:val="Odwoanieprzypisudolnego"/>
          <w:rFonts w:ascii="Lato" w:hAnsi="Lato"/>
          <w:sz w:val="16"/>
          <w:szCs w:val="16"/>
        </w:rPr>
        <w:footnoteRef/>
      </w:r>
      <w:r w:rsidRPr="005A5550">
        <w:rPr>
          <w:rFonts w:ascii="Lato" w:hAnsi="Lato"/>
          <w:sz w:val="16"/>
          <w:szCs w:val="16"/>
        </w:rPr>
        <w:t xml:space="preserve"> Skala tych nieprawidłowości doprowadziła do powołania w Prokuraturze Regionalnej w Krakowie zespołu do</w:t>
      </w:r>
      <w:r w:rsidR="002653CE" w:rsidRPr="005A5550">
        <w:rPr>
          <w:rFonts w:ascii="Lato" w:hAnsi="Lato"/>
          <w:sz w:val="16"/>
          <w:szCs w:val="16"/>
        </w:rPr>
        <w:t> </w:t>
      </w:r>
      <w:r w:rsidRPr="005A5550">
        <w:rPr>
          <w:rFonts w:ascii="Lato" w:hAnsi="Lato"/>
          <w:sz w:val="16"/>
          <w:szCs w:val="16"/>
        </w:rPr>
        <w:t xml:space="preserve">zbadania gospodarności, legalności i zasadności działań PGL LP </w:t>
      </w:r>
      <w:r w:rsidR="002653CE" w:rsidRPr="005A5550">
        <w:rPr>
          <w:rFonts w:ascii="Lato" w:hAnsi="Lato"/>
          <w:sz w:val="16"/>
          <w:szCs w:val="16"/>
        </w:rPr>
        <w:t>w latach 2015-2023. W</w:t>
      </w:r>
      <w:r w:rsidRPr="005A5550">
        <w:rPr>
          <w:rFonts w:ascii="Lato" w:hAnsi="Lato"/>
          <w:sz w:val="16"/>
          <w:szCs w:val="16"/>
        </w:rPr>
        <w:t xml:space="preserve"> 2024 r. do</w:t>
      </w:r>
      <w:r w:rsidR="000A3848" w:rsidRPr="005A5550">
        <w:rPr>
          <w:rFonts w:ascii="Lato" w:hAnsi="Lato"/>
          <w:sz w:val="16"/>
          <w:szCs w:val="16"/>
        </w:rPr>
        <w:t> </w:t>
      </w:r>
      <w:r w:rsidRPr="005A5550">
        <w:rPr>
          <w:rFonts w:ascii="Lato" w:hAnsi="Lato"/>
          <w:sz w:val="16"/>
          <w:szCs w:val="16"/>
        </w:rPr>
        <w:t xml:space="preserve">Prokuratury </w:t>
      </w:r>
      <w:r w:rsidR="002653CE" w:rsidRPr="005A5550">
        <w:rPr>
          <w:rFonts w:ascii="Lato" w:hAnsi="Lato"/>
          <w:sz w:val="16"/>
          <w:szCs w:val="16"/>
        </w:rPr>
        <w:t xml:space="preserve">trafiło </w:t>
      </w:r>
      <w:r w:rsidRPr="005A5550">
        <w:rPr>
          <w:rFonts w:ascii="Lato" w:hAnsi="Lato"/>
          <w:sz w:val="16"/>
          <w:szCs w:val="16"/>
        </w:rPr>
        <w:t>67 zawiadomień o możliwości popełnienia przestępstwa (wg</w:t>
      </w:r>
      <w:r w:rsidR="002653CE" w:rsidRPr="005A5550">
        <w:rPr>
          <w:rFonts w:ascii="Lato" w:hAnsi="Lato"/>
          <w:sz w:val="16"/>
          <w:szCs w:val="16"/>
        </w:rPr>
        <w:t> </w:t>
      </w:r>
      <w:r w:rsidRPr="005A5550">
        <w:rPr>
          <w:rFonts w:ascii="Lato" w:hAnsi="Lato"/>
          <w:sz w:val="16"/>
          <w:szCs w:val="16"/>
        </w:rPr>
        <w:t xml:space="preserve">analizy własnej MKiŚ </w:t>
      </w:r>
      <w:r w:rsidR="002C4AFC" w:rsidRPr="005A5550">
        <w:rPr>
          <w:rFonts w:ascii="Lato" w:hAnsi="Lato"/>
          <w:sz w:val="16"/>
          <w:szCs w:val="16"/>
        </w:rPr>
        <w:t>z</w:t>
      </w:r>
      <w:r w:rsidRPr="005A5550">
        <w:rPr>
          <w:rFonts w:ascii="Lato" w:hAnsi="Lato"/>
          <w:sz w:val="16"/>
          <w:szCs w:val="16"/>
        </w:rPr>
        <w:t xml:space="preserve"> 24 stycznia 2025 r.).</w:t>
      </w:r>
    </w:p>
  </w:footnote>
  <w:footnote w:id="11">
    <w:p w14:paraId="1651FB28" w14:textId="77777777" w:rsidR="00AA5335" w:rsidRPr="005A5550" w:rsidRDefault="00AA5335" w:rsidP="00511AD2">
      <w:pPr>
        <w:pStyle w:val="Tekstprzypisudolnego"/>
        <w:jc w:val="both"/>
        <w:rPr>
          <w:rFonts w:ascii="Lato" w:hAnsi="Lato"/>
          <w:sz w:val="16"/>
          <w:szCs w:val="16"/>
        </w:rPr>
      </w:pPr>
      <w:r w:rsidRPr="005A5550">
        <w:rPr>
          <w:rStyle w:val="Odwoanieprzypisudolnego"/>
          <w:rFonts w:ascii="Lato" w:hAnsi="Lato"/>
          <w:sz w:val="16"/>
          <w:szCs w:val="16"/>
        </w:rPr>
        <w:footnoteRef/>
      </w:r>
      <w:r w:rsidRPr="005A5550">
        <w:rPr>
          <w:rFonts w:ascii="Lato" w:hAnsi="Lato"/>
          <w:sz w:val="16"/>
          <w:szCs w:val="16"/>
        </w:rPr>
        <w:t xml:space="preserve"> Umowy zawarte na czas nieokreślony, na czas prowadzonego postępowania, wg ryczałtu lub stawki za wykonanie czynności.</w:t>
      </w:r>
    </w:p>
  </w:footnote>
  <w:footnote w:id="12">
    <w:p w14:paraId="0C9117DB" w14:textId="314CB383" w:rsidR="007F7888" w:rsidRPr="005A5550" w:rsidRDefault="007F7888" w:rsidP="00511AD2">
      <w:pPr>
        <w:pStyle w:val="Tekstprzypisudolnego"/>
        <w:jc w:val="both"/>
        <w:rPr>
          <w:rFonts w:ascii="Lato" w:hAnsi="Lato"/>
          <w:sz w:val="16"/>
          <w:szCs w:val="16"/>
        </w:rPr>
      </w:pPr>
      <w:r w:rsidRPr="005A5550">
        <w:rPr>
          <w:rStyle w:val="Odwoanieprzypisudolnego"/>
          <w:rFonts w:ascii="Lato" w:hAnsi="Lato"/>
          <w:sz w:val="16"/>
          <w:szCs w:val="16"/>
        </w:rPr>
        <w:footnoteRef/>
      </w:r>
      <w:r w:rsidRPr="005A5550">
        <w:rPr>
          <w:rFonts w:ascii="Lato" w:hAnsi="Lato"/>
          <w:sz w:val="16"/>
          <w:szCs w:val="16"/>
        </w:rPr>
        <w:t xml:space="preserve"> </w:t>
      </w:r>
      <w:r w:rsidRPr="005A5550">
        <w:rPr>
          <w:rFonts w:ascii="Lato" w:hAnsi="Lato"/>
          <w:color w:val="000000" w:themeColor="text1"/>
          <w:sz w:val="16"/>
          <w:szCs w:val="16"/>
        </w:rPr>
        <w:t>Kancelaria Prawna Graś i Wspólnicy Spółka komandytowa ul. Bieniewicka 26, 01-632 Warszawa (REGON 146120350, NIP 8521724035)</w:t>
      </w:r>
    </w:p>
  </w:footnote>
  <w:footnote w:id="13">
    <w:p w14:paraId="2A074D95" w14:textId="4E0711F3" w:rsidR="007F7888" w:rsidRPr="005A5550" w:rsidRDefault="007F7888" w:rsidP="00511AD2">
      <w:pPr>
        <w:pStyle w:val="Tekstprzypisudolnego"/>
        <w:jc w:val="both"/>
        <w:rPr>
          <w:rFonts w:ascii="Lato" w:hAnsi="Lato"/>
          <w:sz w:val="16"/>
          <w:szCs w:val="16"/>
        </w:rPr>
      </w:pPr>
      <w:r w:rsidRPr="005A5550">
        <w:rPr>
          <w:rStyle w:val="Odwoanieprzypisudolnego"/>
          <w:rFonts w:ascii="Lato" w:hAnsi="Lato"/>
          <w:sz w:val="16"/>
          <w:szCs w:val="16"/>
        </w:rPr>
        <w:footnoteRef/>
      </w:r>
      <w:r w:rsidRPr="005A5550">
        <w:rPr>
          <w:rFonts w:ascii="Lato" w:hAnsi="Lato"/>
          <w:sz w:val="16"/>
          <w:szCs w:val="16"/>
        </w:rPr>
        <w:t xml:space="preserve"> Kancelaria Adwokacka Adwokat Marcin Kowalski (jednoosobowa działalność gospodarcza), ul. Kaszubska 4/6, 71-403 Szczecin (REGON 32 0430508, NIP 8521724035).</w:t>
      </w:r>
    </w:p>
  </w:footnote>
  <w:footnote w:id="14">
    <w:p w14:paraId="3D3EA9FA" w14:textId="66DB2E8F" w:rsidR="00B7608D" w:rsidRPr="005A5550" w:rsidRDefault="00BA7BE2" w:rsidP="00511AD2">
      <w:pPr>
        <w:pStyle w:val="Tekstprzypisudolnego"/>
        <w:tabs>
          <w:tab w:val="left" w:pos="0"/>
        </w:tabs>
        <w:jc w:val="both"/>
        <w:rPr>
          <w:rFonts w:ascii="Lato" w:hAnsi="Lato"/>
          <w:sz w:val="16"/>
          <w:szCs w:val="16"/>
        </w:rPr>
      </w:pPr>
      <w:r w:rsidRPr="005A5550">
        <w:rPr>
          <w:rStyle w:val="Odwoanieprzypisudolnego"/>
          <w:rFonts w:ascii="Lato" w:hAnsi="Lato"/>
          <w:sz w:val="16"/>
          <w:szCs w:val="16"/>
        </w:rPr>
        <w:footnoteRef/>
      </w:r>
      <w:r w:rsidRPr="005A5550">
        <w:rPr>
          <w:rFonts w:ascii="Lato" w:hAnsi="Lato"/>
          <w:sz w:val="16"/>
          <w:szCs w:val="16"/>
        </w:rPr>
        <w:t xml:space="preserve"> </w:t>
      </w:r>
      <w:r w:rsidR="0037719A" w:rsidRPr="005A5550">
        <w:rPr>
          <w:rFonts w:ascii="Lato" w:hAnsi="Lato"/>
          <w:sz w:val="16"/>
          <w:szCs w:val="16"/>
        </w:rPr>
        <w:t>Umowy</w:t>
      </w:r>
      <w:r w:rsidR="00B7608D" w:rsidRPr="005A5550">
        <w:rPr>
          <w:rFonts w:ascii="Lato" w:hAnsi="Lato"/>
          <w:sz w:val="16"/>
          <w:szCs w:val="16"/>
        </w:rPr>
        <w:t xml:space="preserve"> z </w:t>
      </w:r>
      <w:r w:rsidR="002A0710" w:rsidRPr="005A5550">
        <w:rPr>
          <w:rFonts w:ascii="Lato" w:hAnsi="Lato"/>
          <w:sz w:val="16"/>
          <w:szCs w:val="16"/>
        </w:rPr>
        <w:t>Ka</w:t>
      </w:r>
      <w:r w:rsidR="00B7608D" w:rsidRPr="005A5550">
        <w:rPr>
          <w:rFonts w:ascii="Lato" w:hAnsi="Lato"/>
          <w:sz w:val="16"/>
          <w:szCs w:val="16"/>
        </w:rPr>
        <w:t>ncelarią Graś</w:t>
      </w:r>
      <w:r w:rsidR="0037719A" w:rsidRPr="005A5550">
        <w:rPr>
          <w:rFonts w:ascii="Lato" w:hAnsi="Lato"/>
          <w:sz w:val="16"/>
          <w:szCs w:val="16"/>
        </w:rPr>
        <w:t>: MZ.271.2.1</w:t>
      </w:r>
      <w:r w:rsidR="00B7608D" w:rsidRPr="005A5550">
        <w:rPr>
          <w:rFonts w:ascii="Lato" w:hAnsi="Lato"/>
          <w:sz w:val="16"/>
          <w:szCs w:val="16"/>
        </w:rPr>
        <w:t>5</w:t>
      </w:r>
      <w:r w:rsidR="0037719A" w:rsidRPr="005A5550">
        <w:rPr>
          <w:rFonts w:ascii="Lato" w:hAnsi="Lato"/>
          <w:sz w:val="16"/>
          <w:szCs w:val="16"/>
        </w:rPr>
        <w:t>.2024 z 11 stycznia2024 r., MZ.27</w:t>
      </w:r>
      <w:r w:rsidR="00B7608D" w:rsidRPr="005A5550">
        <w:rPr>
          <w:rFonts w:ascii="Lato" w:hAnsi="Lato"/>
          <w:sz w:val="16"/>
          <w:szCs w:val="16"/>
        </w:rPr>
        <w:t>1</w:t>
      </w:r>
      <w:r w:rsidR="0037719A" w:rsidRPr="005A5550">
        <w:rPr>
          <w:rFonts w:ascii="Lato" w:hAnsi="Lato"/>
          <w:sz w:val="16"/>
          <w:szCs w:val="16"/>
        </w:rPr>
        <w:t>.2.1</w:t>
      </w:r>
      <w:r w:rsidR="00B7608D" w:rsidRPr="005A5550">
        <w:rPr>
          <w:rFonts w:ascii="Lato" w:hAnsi="Lato"/>
          <w:sz w:val="16"/>
          <w:szCs w:val="16"/>
        </w:rPr>
        <w:t>6</w:t>
      </w:r>
      <w:r w:rsidR="0037719A" w:rsidRPr="005A5550">
        <w:rPr>
          <w:rFonts w:ascii="Lato" w:hAnsi="Lato"/>
          <w:sz w:val="16"/>
          <w:szCs w:val="16"/>
        </w:rPr>
        <w:t xml:space="preserve">.2024 z </w:t>
      </w:r>
      <w:r w:rsidR="00B7608D" w:rsidRPr="005A5550">
        <w:rPr>
          <w:rFonts w:ascii="Lato" w:hAnsi="Lato"/>
          <w:sz w:val="16"/>
          <w:szCs w:val="16"/>
        </w:rPr>
        <w:t>11 stycznia</w:t>
      </w:r>
      <w:r w:rsidR="0037719A" w:rsidRPr="005A5550">
        <w:rPr>
          <w:rFonts w:ascii="Lato" w:hAnsi="Lato"/>
          <w:sz w:val="16"/>
          <w:szCs w:val="16"/>
        </w:rPr>
        <w:t xml:space="preserve"> 2024 r. EZ.271.</w:t>
      </w:r>
      <w:r w:rsidR="00B7608D" w:rsidRPr="005A5550">
        <w:rPr>
          <w:rFonts w:ascii="Lato" w:hAnsi="Lato"/>
          <w:sz w:val="16"/>
          <w:szCs w:val="16"/>
        </w:rPr>
        <w:t>2</w:t>
      </w:r>
      <w:r w:rsidR="0037719A" w:rsidRPr="005A5550">
        <w:rPr>
          <w:rFonts w:ascii="Lato" w:hAnsi="Lato"/>
          <w:sz w:val="16"/>
          <w:szCs w:val="16"/>
        </w:rPr>
        <w:t>.1</w:t>
      </w:r>
      <w:r w:rsidR="00B7608D" w:rsidRPr="005A5550">
        <w:rPr>
          <w:rFonts w:ascii="Lato" w:hAnsi="Lato"/>
          <w:sz w:val="16"/>
          <w:szCs w:val="16"/>
        </w:rPr>
        <w:t>7</w:t>
      </w:r>
      <w:r w:rsidR="0037719A" w:rsidRPr="005A5550">
        <w:rPr>
          <w:rFonts w:ascii="Lato" w:hAnsi="Lato"/>
          <w:sz w:val="16"/>
          <w:szCs w:val="16"/>
        </w:rPr>
        <w:t>.2024</w:t>
      </w:r>
      <w:r w:rsidR="00B7608D" w:rsidRPr="005A5550">
        <w:rPr>
          <w:rFonts w:ascii="Lato" w:hAnsi="Lato"/>
          <w:sz w:val="16"/>
          <w:szCs w:val="16"/>
        </w:rPr>
        <w:t xml:space="preserve"> </w:t>
      </w:r>
      <w:r w:rsidR="0037719A" w:rsidRPr="005A5550">
        <w:rPr>
          <w:rFonts w:ascii="Lato" w:hAnsi="Lato"/>
          <w:sz w:val="16"/>
          <w:szCs w:val="16"/>
        </w:rPr>
        <w:t>z </w:t>
      </w:r>
      <w:r w:rsidR="00B7608D" w:rsidRPr="005A5550">
        <w:rPr>
          <w:rFonts w:ascii="Lato" w:hAnsi="Lato"/>
          <w:sz w:val="16"/>
          <w:szCs w:val="16"/>
        </w:rPr>
        <w:t>11 stycznia</w:t>
      </w:r>
      <w:r w:rsidR="0037719A" w:rsidRPr="005A5550">
        <w:rPr>
          <w:rFonts w:ascii="Lato" w:hAnsi="Lato"/>
          <w:sz w:val="16"/>
          <w:szCs w:val="16"/>
        </w:rPr>
        <w:t xml:space="preserve"> 2024 r., </w:t>
      </w:r>
      <w:r w:rsidR="00B7608D" w:rsidRPr="005A5550">
        <w:rPr>
          <w:rFonts w:ascii="Lato" w:hAnsi="Lato"/>
          <w:sz w:val="16"/>
          <w:szCs w:val="16"/>
        </w:rPr>
        <w:t>EZ.271.3.3.2024 z 16 maja 2024 r., EZ.271.4.6.2024  3 września 2024 r.</w:t>
      </w:r>
    </w:p>
    <w:p w14:paraId="6587EC42" w14:textId="5C4A8FEA" w:rsidR="00BA7BE2" w:rsidRPr="005A5550" w:rsidRDefault="00B7608D" w:rsidP="00511AD2">
      <w:pPr>
        <w:pStyle w:val="Tekstprzypisudolnego"/>
        <w:tabs>
          <w:tab w:val="left" w:pos="0"/>
        </w:tabs>
        <w:jc w:val="both"/>
        <w:rPr>
          <w:rFonts w:ascii="Lato" w:hAnsi="Lato"/>
          <w:sz w:val="16"/>
          <w:szCs w:val="16"/>
        </w:rPr>
      </w:pPr>
      <w:r w:rsidRPr="005A5550">
        <w:rPr>
          <w:rFonts w:ascii="Lato" w:hAnsi="Lato"/>
          <w:sz w:val="16"/>
          <w:szCs w:val="16"/>
        </w:rPr>
        <w:t xml:space="preserve">Umowy z </w:t>
      </w:r>
      <w:r w:rsidR="00F54D12" w:rsidRPr="005A5550">
        <w:rPr>
          <w:rFonts w:ascii="Lato" w:hAnsi="Lato"/>
          <w:sz w:val="16"/>
          <w:szCs w:val="16"/>
        </w:rPr>
        <w:t>K</w:t>
      </w:r>
      <w:r w:rsidRPr="005A5550">
        <w:rPr>
          <w:rFonts w:ascii="Lato" w:hAnsi="Lato"/>
          <w:sz w:val="16"/>
          <w:szCs w:val="16"/>
        </w:rPr>
        <w:t>ancelarią Kowalski</w:t>
      </w:r>
      <w:r w:rsidR="00F54D12" w:rsidRPr="005A5550">
        <w:rPr>
          <w:rFonts w:ascii="Lato" w:hAnsi="Lato"/>
          <w:sz w:val="16"/>
          <w:szCs w:val="16"/>
        </w:rPr>
        <w:t xml:space="preserve">: </w:t>
      </w:r>
      <w:r w:rsidR="0037719A" w:rsidRPr="005A5550">
        <w:rPr>
          <w:rFonts w:ascii="Lato" w:hAnsi="Lato"/>
          <w:sz w:val="16"/>
          <w:szCs w:val="16"/>
        </w:rPr>
        <w:t>EZ.271.</w:t>
      </w:r>
      <w:r w:rsidRPr="005A5550">
        <w:rPr>
          <w:rFonts w:ascii="Lato" w:hAnsi="Lato"/>
          <w:sz w:val="16"/>
          <w:szCs w:val="16"/>
        </w:rPr>
        <w:t>2</w:t>
      </w:r>
      <w:r w:rsidR="0037719A" w:rsidRPr="005A5550">
        <w:rPr>
          <w:rFonts w:ascii="Lato" w:hAnsi="Lato"/>
          <w:sz w:val="16"/>
          <w:szCs w:val="16"/>
        </w:rPr>
        <w:t>.</w:t>
      </w:r>
      <w:r w:rsidRPr="005A5550">
        <w:rPr>
          <w:rFonts w:ascii="Lato" w:hAnsi="Lato"/>
          <w:sz w:val="16"/>
          <w:szCs w:val="16"/>
        </w:rPr>
        <w:t>18</w:t>
      </w:r>
      <w:r w:rsidR="0037719A" w:rsidRPr="005A5550">
        <w:rPr>
          <w:rFonts w:ascii="Lato" w:hAnsi="Lato"/>
          <w:sz w:val="16"/>
          <w:szCs w:val="16"/>
        </w:rPr>
        <w:t xml:space="preserve">.2024 z </w:t>
      </w:r>
      <w:r w:rsidRPr="005A5550">
        <w:rPr>
          <w:rFonts w:ascii="Lato" w:hAnsi="Lato"/>
          <w:sz w:val="16"/>
          <w:szCs w:val="16"/>
        </w:rPr>
        <w:t xml:space="preserve">11 stycznia 2024 r., </w:t>
      </w:r>
      <w:r w:rsidR="00354E74" w:rsidRPr="005A5550">
        <w:rPr>
          <w:rFonts w:ascii="Lato" w:hAnsi="Lato"/>
          <w:sz w:val="16"/>
          <w:szCs w:val="16"/>
        </w:rPr>
        <w:t>EZ.271.3.1.2024 z 16 maja 2024 r., EZ.271.3.2.2024 z 16 maja 2024 r., EZ.271.4.4.2024 z 18 lipca 2024 r.</w:t>
      </w:r>
    </w:p>
  </w:footnote>
  <w:footnote w:id="15">
    <w:p w14:paraId="47BFDCFC" w14:textId="484731BA" w:rsidR="00854B5C" w:rsidRPr="005A5550" w:rsidRDefault="00854B5C" w:rsidP="00511AD2">
      <w:pPr>
        <w:pStyle w:val="Tekstprzypisudolnego"/>
        <w:jc w:val="both"/>
        <w:rPr>
          <w:rFonts w:ascii="Lato" w:hAnsi="Lato"/>
          <w:sz w:val="16"/>
          <w:szCs w:val="16"/>
        </w:rPr>
      </w:pPr>
      <w:r w:rsidRPr="005A5550">
        <w:rPr>
          <w:rStyle w:val="Odwoanieprzypisudolnego"/>
          <w:rFonts w:ascii="Lato" w:hAnsi="Lato"/>
          <w:sz w:val="16"/>
          <w:szCs w:val="16"/>
        </w:rPr>
        <w:footnoteRef/>
      </w:r>
      <w:r w:rsidRPr="005A5550">
        <w:rPr>
          <w:rFonts w:ascii="Lato" w:hAnsi="Lato"/>
          <w:sz w:val="16"/>
          <w:szCs w:val="16"/>
        </w:rPr>
        <w:t xml:space="preserve"> Wg raportu płacowego firmy rekrutacyjnej Antal przeciętne wynagrodzenie proponowane w Polsce doświadczonym i wyspecjalizowanym prawnikom z kancelarii i firm wynosiło w 2024 r. 15 458 zł (https://rynekprawniczy.pl/2024/10/25/raport-antal-zarobki-prawnikow-biznesowych-nadal-szly-w-gore/) </w:t>
      </w:r>
    </w:p>
  </w:footnote>
  <w:footnote w:id="16">
    <w:p w14:paraId="2FE91910" w14:textId="55920A43" w:rsidR="00CF6485" w:rsidRPr="005A5550" w:rsidRDefault="00CF6485" w:rsidP="00605CA6">
      <w:pPr>
        <w:pStyle w:val="Tekstprzypisudolnego"/>
        <w:jc w:val="both"/>
        <w:rPr>
          <w:rFonts w:ascii="Lato" w:hAnsi="Lato"/>
          <w:sz w:val="16"/>
          <w:szCs w:val="16"/>
        </w:rPr>
      </w:pPr>
      <w:r w:rsidRPr="005A5550">
        <w:rPr>
          <w:rStyle w:val="Odwoanieprzypisudolnego"/>
          <w:rFonts w:ascii="Lato" w:hAnsi="Lato"/>
          <w:sz w:val="16"/>
          <w:szCs w:val="16"/>
        </w:rPr>
        <w:footnoteRef/>
      </w:r>
      <w:r w:rsidRPr="005A5550">
        <w:rPr>
          <w:rFonts w:ascii="Lato" w:hAnsi="Lato"/>
          <w:sz w:val="16"/>
          <w:szCs w:val="16"/>
        </w:rPr>
        <w:t xml:space="preserve"> Nie wydatkowano środków na umowę z Kancelarią Radców Prawnych Bartosz Rakoczy i Krzysztof Bukowski Sp. J. z/s w Inowrocławiu.</w:t>
      </w:r>
    </w:p>
  </w:footnote>
  <w:footnote w:id="17">
    <w:p w14:paraId="6CB67010" w14:textId="27A4B197" w:rsidR="00C72423" w:rsidRPr="005A5550" w:rsidRDefault="00C72423" w:rsidP="00511AD2">
      <w:pPr>
        <w:pStyle w:val="Tekstprzypisudolnego"/>
        <w:jc w:val="both"/>
        <w:rPr>
          <w:rFonts w:ascii="Lato" w:hAnsi="Lato"/>
          <w:sz w:val="16"/>
          <w:szCs w:val="16"/>
        </w:rPr>
      </w:pPr>
      <w:r w:rsidRPr="005A5550">
        <w:rPr>
          <w:rStyle w:val="Odwoanieprzypisudolnego"/>
          <w:rFonts w:ascii="Lato" w:hAnsi="Lato"/>
          <w:sz w:val="16"/>
          <w:szCs w:val="16"/>
        </w:rPr>
        <w:footnoteRef/>
      </w:r>
      <w:r w:rsidRPr="005A5550">
        <w:rPr>
          <w:rFonts w:ascii="Lato" w:hAnsi="Lato"/>
          <w:sz w:val="16"/>
          <w:szCs w:val="16"/>
        </w:rPr>
        <w:t xml:space="preserve"> </w:t>
      </w:r>
      <w:r w:rsidR="0003278A">
        <w:rPr>
          <w:rFonts w:ascii="Lato" w:hAnsi="Lato"/>
          <w:sz w:val="16"/>
          <w:szCs w:val="16"/>
        </w:rPr>
        <w:t>Stosownie do art. 11 ust. 1 pkt 2 oraz art. 2 ust. 1 pkt 1 ww. ustawy (</w:t>
      </w:r>
      <w:r w:rsidR="0003278A" w:rsidRPr="005A5550">
        <w:rPr>
          <w:rFonts w:ascii="Lato" w:hAnsi="Lato"/>
          <w:sz w:val="16"/>
          <w:szCs w:val="16"/>
        </w:rPr>
        <w:t>Dz.U. z 2024 r. poz. 1320</w:t>
      </w:r>
      <w:r w:rsidR="0003278A">
        <w:rPr>
          <w:rFonts w:ascii="Lato" w:hAnsi="Lato"/>
          <w:sz w:val="16"/>
          <w:szCs w:val="16"/>
        </w:rPr>
        <w:t>)</w:t>
      </w:r>
      <w:r w:rsidR="0003278A" w:rsidRPr="005A5550">
        <w:rPr>
          <w:rFonts w:ascii="Lato" w:hAnsi="Lato"/>
          <w:sz w:val="16"/>
          <w:szCs w:val="16"/>
        </w:rPr>
        <w:t>.</w:t>
      </w:r>
    </w:p>
  </w:footnote>
  <w:footnote w:id="18">
    <w:p w14:paraId="40EB4EE2" w14:textId="2FF99165" w:rsidR="00A83103" w:rsidRPr="005A5550" w:rsidRDefault="00A83103" w:rsidP="00511AD2">
      <w:pPr>
        <w:pStyle w:val="Tekstprzypisudolnego"/>
        <w:jc w:val="both"/>
        <w:rPr>
          <w:rFonts w:ascii="Lato" w:hAnsi="Lato"/>
          <w:sz w:val="16"/>
          <w:szCs w:val="16"/>
        </w:rPr>
      </w:pPr>
      <w:r w:rsidRPr="005A5550">
        <w:rPr>
          <w:rStyle w:val="Odwoanieprzypisudolnego"/>
          <w:rFonts w:ascii="Lato" w:hAnsi="Lato"/>
          <w:sz w:val="16"/>
          <w:szCs w:val="16"/>
        </w:rPr>
        <w:footnoteRef/>
      </w:r>
      <w:r w:rsidRPr="005A5550">
        <w:rPr>
          <w:rFonts w:ascii="Lato" w:hAnsi="Lato"/>
          <w:sz w:val="16"/>
          <w:szCs w:val="16"/>
        </w:rPr>
        <w:t xml:space="preserve"> Nr MZ.271.2.17.2024.</w:t>
      </w:r>
    </w:p>
  </w:footnote>
  <w:footnote w:id="19">
    <w:p w14:paraId="2E2CE7A3" w14:textId="7BB2BF03" w:rsidR="00D43309" w:rsidRPr="005A5550" w:rsidRDefault="00D43309" w:rsidP="007C15FE">
      <w:pPr>
        <w:pStyle w:val="Tekstprzypisudolnego"/>
        <w:jc w:val="both"/>
        <w:rPr>
          <w:rFonts w:ascii="Lato" w:hAnsi="Lato"/>
          <w:sz w:val="16"/>
          <w:szCs w:val="16"/>
        </w:rPr>
      </w:pPr>
      <w:r w:rsidRPr="005A5550">
        <w:rPr>
          <w:rStyle w:val="Odwoanieprzypisudolnego"/>
          <w:rFonts w:ascii="Lato" w:hAnsi="Lato"/>
          <w:sz w:val="16"/>
          <w:szCs w:val="16"/>
        </w:rPr>
        <w:footnoteRef/>
      </w:r>
      <w:r w:rsidRPr="005A5550">
        <w:rPr>
          <w:rFonts w:ascii="Lato" w:hAnsi="Lato"/>
          <w:sz w:val="16"/>
          <w:szCs w:val="16"/>
        </w:rPr>
        <w:t xml:space="preserve"> Przedstawiciel Kancelarii Kowalski w 2024 r</w:t>
      </w:r>
      <w:r w:rsidR="00D5075D" w:rsidRPr="005A5550">
        <w:rPr>
          <w:rFonts w:ascii="Lato" w:hAnsi="Lato"/>
          <w:sz w:val="16"/>
          <w:szCs w:val="16"/>
        </w:rPr>
        <w:t>. współpracował</w:t>
      </w:r>
      <w:r w:rsidRPr="005A5550">
        <w:rPr>
          <w:rFonts w:ascii="Lato" w:hAnsi="Lato"/>
          <w:sz w:val="16"/>
          <w:szCs w:val="16"/>
        </w:rPr>
        <w:t xml:space="preserve"> z Kancelarią Graś i Wspólnicy</w:t>
      </w:r>
      <w:r w:rsidR="00D5075D" w:rsidRPr="005A5550">
        <w:rPr>
          <w:rFonts w:ascii="Lato" w:hAnsi="Lato"/>
          <w:sz w:val="16"/>
          <w:szCs w:val="16"/>
        </w:rPr>
        <w:t xml:space="preserve"> </w:t>
      </w:r>
      <w:r w:rsidRPr="005A5550">
        <w:rPr>
          <w:rFonts w:ascii="Lato" w:hAnsi="Lato"/>
          <w:sz w:val="16"/>
          <w:szCs w:val="16"/>
        </w:rPr>
        <w:t>wg</w:t>
      </w:r>
      <w:r w:rsidR="00D5075D" w:rsidRPr="005A5550">
        <w:rPr>
          <w:rFonts w:ascii="Lato" w:hAnsi="Lato"/>
          <w:sz w:val="16"/>
          <w:szCs w:val="16"/>
        </w:rPr>
        <w:t> </w:t>
      </w:r>
      <w:r w:rsidRPr="005A5550">
        <w:rPr>
          <w:rFonts w:ascii="Lato" w:hAnsi="Lato"/>
          <w:sz w:val="16"/>
          <w:szCs w:val="16"/>
        </w:rPr>
        <w:t>https://kglegal.pl/zespol/kowalski-marcin/ (dostęp: 2024 r.; wg stanu na 25 kwietnia 2025 r. z zakładki „Zespół” usunięto informację o współpracy z p. Marcinem Kowalskim, a przywołaną stronę usunięto).</w:t>
      </w:r>
    </w:p>
  </w:footnote>
  <w:footnote w:id="20">
    <w:p w14:paraId="57C98EE2" w14:textId="7000FA6D" w:rsidR="00CC79A1" w:rsidRPr="005A5550" w:rsidRDefault="00CC79A1">
      <w:pPr>
        <w:pStyle w:val="Tekstprzypisudolnego"/>
        <w:rPr>
          <w:rFonts w:ascii="Lato" w:hAnsi="Lato"/>
          <w:sz w:val="16"/>
          <w:szCs w:val="16"/>
        </w:rPr>
      </w:pPr>
      <w:r w:rsidRPr="005A5550">
        <w:rPr>
          <w:rStyle w:val="Odwoanieprzypisudolnego"/>
          <w:rFonts w:ascii="Lato" w:hAnsi="Lato"/>
          <w:sz w:val="16"/>
          <w:szCs w:val="16"/>
        </w:rPr>
        <w:footnoteRef/>
      </w:r>
      <w:r w:rsidRPr="005A5550">
        <w:rPr>
          <w:rFonts w:ascii="Lato" w:hAnsi="Lato"/>
          <w:sz w:val="16"/>
          <w:szCs w:val="16"/>
        </w:rPr>
        <w:t xml:space="preserve"> Załącznik do faktury VAT z 6 marca 2024 r. nr 29/03/2024 (2 godziny doradztwa zrealizowane 12 lutego 2024 r.)</w:t>
      </w:r>
    </w:p>
  </w:footnote>
  <w:footnote w:id="21">
    <w:p w14:paraId="7A51AE96" w14:textId="77777777" w:rsidR="000C4692" w:rsidRPr="005A5550" w:rsidRDefault="000C4692" w:rsidP="00511AD2">
      <w:pPr>
        <w:pStyle w:val="Tekstprzypisudolnego"/>
        <w:jc w:val="both"/>
        <w:rPr>
          <w:rFonts w:ascii="Lato" w:hAnsi="Lato"/>
          <w:sz w:val="16"/>
          <w:szCs w:val="16"/>
        </w:rPr>
      </w:pPr>
      <w:r w:rsidRPr="005A5550">
        <w:rPr>
          <w:rStyle w:val="Odwoanieprzypisudolnego"/>
          <w:rFonts w:ascii="Lato" w:hAnsi="Lato"/>
          <w:sz w:val="16"/>
          <w:szCs w:val="16"/>
        </w:rPr>
        <w:footnoteRef/>
      </w:r>
      <w:r w:rsidRPr="005A5550">
        <w:rPr>
          <w:rFonts w:ascii="Lato" w:hAnsi="Lato"/>
          <w:sz w:val="16"/>
          <w:szCs w:val="16"/>
        </w:rPr>
        <w:t xml:space="preserve"> Zgodnie z art. 52 ust. 5 ustawy o kontroli w administracji rządowej.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97D3" w14:textId="77777777" w:rsidR="005455AE" w:rsidRDefault="005455AE" w:rsidP="009276B2">
    <w:pPr>
      <w:pStyle w:val="Nagwek"/>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722" w14:textId="608E7970" w:rsidR="005455AE" w:rsidRDefault="00DD3E7D">
    <w:pPr>
      <w:pStyle w:val="Nagwek"/>
    </w:pPr>
    <w:r>
      <w:rPr>
        <w:noProof/>
        <w:lang w:eastAsia="pl-PL"/>
      </w:rPr>
      <w:drawing>
        <wp:anchor distT="0" distB="0" distL="114300" distR="114300" simplePos="0" relativeHeight="251660288" behindDoc="0" locked="0" layoutInCell="1" allowOverlap="1" wp14:anchorId="54D5B127" wp14:editId="6A876237">
          <wp:simplePos x="0" y="0"/>
          <wp:positionH relativeFrom="column">
            <wp:posOffset>-330200</wp:posOffset>
          </wp:positionH>
          <wp:positionV relativeFrom="paragraph">
            <wp:posOffset>-172085</wp:posOffset>
          </wp:positionV>
          <wp:extent cx="3146425" cy="1061720"/>
          <wp:effectExtent l="0" t="0" r="0" b="0"/>
          <wp:wrapThrough wrapText="bothSides">
            <wp:wrapPolygon edited="0">
              <wp:start x="3139" y="2325"/>
              <wp:lineTo x="1700" y="3876"/>
              <wp:lineTo x="785" y="6589"/>
              <wp:lineTo x="1308" y="17053"/>
              <wp:lineTo x="3531" y="18215"/>
              <wp:lineTo x="6016" y="18990"/>
              <wp:lineTo x="20532" y="18990"/>
              <wp:lineTo x="20794" y="15890"/>
              <wp:lineTo x="5493" y="15502"/>
              <wp:lineTo x="20401" y="13952"/>
              <wp:lineTo x="20663" y="9689"/>
              <wp:lineTo x="13470" y="9301"/>
              <wp:lineTo x="13601" y="6589"/>
              <wp:lineTo x="10331" y="4651"/>
              <wp:lineTo x="3662" y="2325"/>
              <wp:lineTo x="3139" y="2325"/>
            </wp:wrapPolygon>
          </wp:wrapThrough>
          <wp:docPr id="7" name="Obraz 7" descr="Obraz zawierający symbol, design&#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Obraz zawierający symbol, design&#10;&#10;Zawartość wygenerowana przez sztuczną inteligencję może być niepoprawna."/>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tretch>
                    <a:fillRect/>
                  </a:stretch>
                </pic:blipFill>
                <pic:spPr bwMode="auto">
                  <a:xfrm>
                    <a:off x="0" y="0"/>
                    <a:ext cx="3146425"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39894B6"/>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1F129FA"/>
    <w:multiLevelType w:val="hybridMultilevel"/>
    <w:tmpl w:val="480A2D84"/>
    <w:lvl w:ilvl="0" w:tplc="8EFCE538">
      <w:start w:val="1"/>
      <w:numFmt w:val="decimal"/>
      <w:lvlText w:val="%1)"/>
      <w:lvlJc w:val="left"/>
      <w:pPr>
        <w:ind w:left="1020" w:hanging="360"/>
      </w:pPr>
    </w:lvl>
    <w:lvl w:ilvl="1" w:tplc="1B085474">
      <w:start w:val="1"/>
      <w:numFmt w:val="decimal"/>
      <w:lvlText w:val="%2)"/>
      <w:lvlJc w:val="left"/>
      <w:pPr>
        <w:ind w:left="1020" w:hanging="360"/>
      </w:pPr>
    </w:lvl>
    <w:lvl w:ilvl="2" w:tplc="56766C2C">
      <w:start w:val="1"/>
      <w:numFmt w:val="decimal"/>
      <w:lvlText w:val="%3)"/>
      <w:lvlJc w:val="left"/>
      <w:pPr>
        <w:ind w:left="1020" w:hanging="360"/>
      </w:pPr>
    </w:lvl>
    <w:lvl w:ilvl="3" w:tplc="2E724BD6">
      <w:start w:val="1"/>
      <w:numFmt w:val="decimal"/>
      <w:lvlText w:val="%4)"/>
      <w:lvlJc w:val="left"/>
      <w:pPr>
        <w:ind w:left="1020" w:hanging="360"/>
      </w:pPr>
    </w:lvl>
    <w:lvl w:ilvl="4" w:tplc="AFCA4BBA">
      <w:start w:val="1"/>
      <w:numFmt w:val="decimal"/>
      <w:lvlText w:val="%5)"/>
      <w:lvlJc w:val="left"/>
      <w:pPr>
        <w:ind w:left="1020" w:hanging="360"/>
      </w:pPr>
    </w:lvl>
    <w:lvl w:ilvl="5" w:tplc="74CAF108">
      <w:start w:val="1"/>
      <w:numFmt w:val="decimal"/>
      <w:lvlText w:val="%6)"/>
      <w:lvlJc w:val="left"/>
      <w:pPr>
        <w:ind w:left="1020" w:hanging="360"/>
      </w:pPr>
    </w:lvl>
    <w:lvl w:ilvl="6" w:tplc="495E0E82">
      <w:start w:val="1"/>
      <w:numFmt w:val="decimal"/>
      <w:lvlText w:val="%7)"/>
      <w:lvlJc w:val="left"/>
      <w:pPr>
        <w:ind w:left="1020" w:hanging="360"/>
      </w:pPr>
    </w:lvl>
    <w:lvl w:ilvl="7" w:tplc="ECF06E94">
      <w:start w:val="1"/>
      <w:numFmt w:val="decimal"/>
      <w:lvlText w:val="%8)"/>
      <w:lvlJc w:val="left"/>
      <w:pPr>
        <w:ind w:left="1020" w:hanging="360"/>
      </w:pPr>
    </w:lvl>
    <w:lvl w:ilvl="8" w:tplc="97147290">
      <w:start w:val="1"/>
      <w:numFmt w:val="decimal"/>
      <w:lvlText w:val="%9)"/>
      <w:lvlJc w:val="left"/>
      <w:pPr>
        <w:ind w:left="1020" w:hanging="360"/>
      </w:pPr>
    </w:lvl>
  </w:abstractNum>
  <w:abstractNum w:abstractNumId="2" w15:restartNumberingAfterBreak="0">
    <w:nsid w:val="03882EB0"/>
    <w:multiLevelType w:val="hybridMultilevel"/>
    <w:tmpl w:val="83DC052E"/>
    <w:lvl w:ilvl="0" w:tplc="FB908B9C">
      <w:start w:val="1"/>
      <w:numFmt w:val="decimal"/>
      <w:lvlText w:val="%1."/>
      <w:lvlJc w:val="left"/>
      <w:pPr>
        <w:ind w:left="720" w:hanging="360"/>
      </w:pPr>
      <w:rPr>
        <w:rFonts w:ascii="Lato" w:hAnsi="Lato"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9F11C2"/>
    <w:multiLevelType w:val="hybridMultilevel"/>
    <w:tmpl w:val="37EA89F6"/>
    <w:lvl w:ilvl="0" w:tplc="8DF09BB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08A95EBF"/>
    <w:multiLevelType w:val="hybridMultilevel"/>
    <w:tmpl w:val="12F82F5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0A297B00"/>
    <w:multiLevelType w:val="hybridMultilevel"/>
    <w:tmpl w:val="81B43E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825A41"/>
    <w:multiLevelType w:val="hybridMultilevel"/>
    <w:tmpl w:val="6F9E79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F557D1"/>
    <w:multiLevelType w:val="hybridMultilevel"/>
    <w:tmpl w:val="720CBF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D94AD0"/>
    <w:multiLevelType w:val="hybridMultilevel"/>
    <w:tmpl w:val="8BEA0CA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894C5E"/>
    <w:multiLevelType w:val="hybridMultilevel"/>
    <w:tmpl w:val="8F6ED2C4"/>
    <w:lvl w:ilvl="0" w:tplc="04150017">
      <w:start w:val="1"/>
      <w:numFmt w:val="lowerLetter"/>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0" w15:restartNumberingAfterBreak="0">
    <w:nsid w:val="22E15223"/>
    <w:multiLevelType w:val="hybridMultilevel"/>
    <w:tmpl w:val="C2DAC8F4"/>
    <w:lvl w:ilvl="0" w:tplc="FFFFFFFF">
      <w:start w:val="1"/>
      <w:numFmt w:val="lowerLetter"/>
      <w:lvlText w:val="%1)"/>
      <w:lvlJc w:val="left"/>
      <w:pPr>
        <w:ind w:left="1287"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2CA2782F"/>
    <w:multiLevelType w:val="hybridMultilevel"/>
    <w:tmpl w:val="06900370"/>
    <w:lvl w:ilvl="0" w:tplc="3B548364">
      <w:start w:val="1"/>
      <w:numFmt w:val="lowerLetter"/>
      <w:lvlText w:val="%1)"/>
      <w:lvlJc w:val="left"/>
      <w:pPr>
        <w:ind w:left="762" w:hanging="6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2CE041A4"/>
    <w:multiLevelType w:val="hybridMultilevel"/>
    <w:tmpl w:val="8C449136"/>
    <w:lvl w:ilvl="0" w:tplc="6C3E1A38">
      <w:start w:val="1"/>
      <w:numFmt w:val="lowerLetter"/>
      <w:lvlText w:val="%1)"/>
      <w:lvlJc w:val="left"/>
      <w:pPr>
        <w:ind w:left="3763" w:hanging="360"/>
      </w:pPr>
      <w:rPr>
        <w:rFonts w:ascii="Lato" w:eastAsiaTheme="minorHAnsi" w:hAnsi="Lato" w:cstheme="minorBidi"/>
      </w:rPr>
    </w:lvl>
    <w:lvl w:ilvl="1" w:tplc="04150019" w:tentative="1">
      <w:start w:val="1"/>
      <w:numFmt w:val="lowerLetter"/>
      <w:lvlText w:val="%2."/>
      <w:lvlJc w:val="left"/>
      <w:pPr>
        <w:ind w:left="4483" w:hanging="360"/>
      </w:pPr>
    </w:lvl>
    <w:lvl w:ilvl="2" w:tplc="0415001B" w:tentative="1">
      <w:start w:val="1"/>
      <w:numFmt w:val="lowerRoman"/>
      <w:lvlText w:val="%3."/>
      <w:lvlJc w:val="right"/>
      <w:pPr>
        <w:ind w:left="5203" w:hanging="180"/>
      </w:pPr>
    </w:lvl>
    <w:lvl w:ilvl="3" w:tplc="0415000F" w:tentative="1">
      <w:start w:val="1"/>
      <w:numFmt w:val="decimal"/>
      <w:lvlText w:val="%4."/>
      <w:lvlJc w:val="left"/>
      <w:pPr>
        <w:ind w:left="5923" w:hanging="360"/>
      </w:pPr>
    </w:lvl>
    <w:lvl w:ilvl="4" w:tplc="04150019" w:tentative="1">
      <w:start w:val="1"/>
      <w:numFmt w:val="lowerLetter"/>
      <w:lvlText w:val="%5."/>
      <w:lvlJc w:val="left"/>
      <w:pPr>
        <w:ind w:left="6643" w:hanging="360"/>
      </w:pPr>
    </w:lvl>
    <w:lvl w:ilvl="5" w:tplc="0415001B" w:tentative="1">
      <w:start w:val="1"/>
      <w:numFmt w:val="lowerRoman"/>
      <w:lvlText w:val="%6."/>
      <w:lvlJc w:val="right"/>
      <w:pPr>
        <w:ind w:left="7363" w:hanging="180"/>
      </w:pPr>
    </w:lvl>
    <w:lvl w:ilvl="6" w:tplc="0415000F" w:tentative="1">
      <w:start w:val="1"/>
      <w:numFmt w:val="decimal"/>
      <w:lvlText w:val="%7."/>
      <w:lvlJc w:val="left"/>
      <w:pPr>
        <w:ind w:left="8083" w:hanging="360"/>
      </w:pPr>
    </w:lvl>
    <w:lvl w:ilvl="7" w:tplc="04150019" w:tentative="1">
      <w:start w:val="1"/>
      <w:numFmt w:val="lowerLetter"/>
      <w:lvlText w:val="%8."/>
      <w:lvlJc w:val="left"/>
      <w:pPr>
        <w:ind w:left="8803" w:hanging="360"/>
      </w:pPr>
    </w:lvl>
    <w:lvl w:ilvl="8" w:tplc="0415001B" w:tentative="1">
      <w:start w:val="1"/>
      <w:numFmt w:val="lowerRoman"/>
      <w:lvlText w:val="%9."/>
      <w:lvlJc w:val="right"/>
      <w:pPr>
        <w:ind w:left="9523" w:hanging="180"/>
      </w:pPr>
    </w:lvl>
  </w:abstractNum>
  <w:abstractNum w:abstractNumId="13" w15:restartNumberingAfterBreak="0">
    <w:nsid w:val="2E5A7678"/>
    <w:multiLevelType w:val="hybridMultilevel"/>
    <w:tmpl w:val="531A7FAC"/>
    <w:lvl w:ilvl="0" w:tplc="6E9E1E5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0F2BC3"/>
    <w:multiLevelType w:val="hybridMultilevel"/>
    <w:tmpl w:val="F5182C20"/>
    <w:lvl w:ilvl="0" w:tplc="BAB8B108">
      <w:start w:val="1"/>
      <w:numFmt w:val="decimal"/>
      <w:lvlText w:val="%1)"/>
      <w:lvlJc w:val="left"/>
      <w:pPr>
        <w:ind w:left="927" w:hanging="360"/>
      </w:pPr>
      <w:rPr>
        <w:rFonts w:hint="default"/>
        <w:b w:val="0"/>
        <w:bCs w:val="0"/>
      </w:rPr>
    </w:lvl>
    <w:lvl w:ilvl="1" w:tplc="354AE29E">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5EA038F"/>
    <w:multiLevelType w:val="hybridMultilevel"/>
    <w:tmpl w:val="8DCC4F62"/>
    <w:lvl w:ilvl="0" w:tplc="9418F7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491364"/>
    <w:multiLevelType w:val="hybridMultilevel"/>
    <w:tmpl w:val="63C63F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4637E4"/>
    <w:multiLevelType w:val="hybridMultilevel"/>
    <w:tmpl w:val="14C8BA2E"/>
    <w:lvl w:ilvl="0" w:tplc="634846E2">
      <w:start w:val="1"/>
      <w:numFmt w:val="bullet"/>
      <w:lvlText w:val="-"/>
      <w:lvlJc w:val="left"/>
      <w:pPr>
        <w:ind w:left="720" w:hanging="360"/>
      </w:pPr>
      <w:rPr>
        <w:rFonts w:ascii="Courier New" w:hAnsi="Courier New" w:hint="default"/>
        <w:sz w:val="16"/>
        <w:szCs w:val="1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3E130DFB"/>
    <w:multiLevelType w:val="hybridMultilevel"/>
    <w:tmpl w:val="1BA274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B27DC1"/>
    <w:multiLevelType w:val="hybridMultilevel"/>
    <w:tmpl w:val="E6724B1E"/>
    <w:lvl w:ilvl="0" w:tplc="143CBA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D46858"/>
    <w:multiLevelType w:val="hybridMultilevel"/>
    <w:tmpl w:val="6AD86F90"/>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D95B07"/>
    <w:multiLevelType w:val="hybridMultilevel"/>
    <w:tmpl w:val="BA3AF74C"/>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55277AFF"/>
    <w:multiLevelType w:val="hybridMultilevel"/>
    <w:tmpl w:val="BF360532"/>
    <w:lvl w:ilvl="0" w:tplc="DEB68C6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5FD67132"/>
    <w:multiLevelType w:val="hybridMultilevel"/>
    <w:tmpl w:val="0E1A41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0BE308B"/>
    <w:multiLevelType w:val="hybridMultilevel"/>
    <w:tmpl w:val="393ABB5E"/>
    <w:lvl w:ilvl="0" w:tplc="01509CB4">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1132D9E"/>
    <w:multiLevelType w:val="hybridMultilevel"/>
    <w:tmpl w:val="B69C10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62427184">
    <w:abstractNumId w:val="17"/>
  </w:num>
  <w:num w:numId="2" w16cid:durableId="2100907097">
    <w:abstractNumId w:val="5"/>
  </w:num>
  <w:num w:numId="3" w16cid:durableId="2121604659">
    <w:abstractNumId w:val="18"/>
  </w:num>
  <w:num w:numId="4" w16cid:durableId="1938445137">
    <w:abstractNumId w:val="7"/>
  </w:num>
  <w:num w:numId="5" w16cid:durableId="805705660">
    <w:abstractNumId w:val="15"/>
  </w:num>
  <w:num w:numId="6" w16cid:durableId="506287246">
    <w:abstractNumId w:val="4"/>
  </w:num>
  <w:num w:numId="7" w16cid:durableId="1907957452">
    <w:abstractNumId w:val="11"/>
  </w:num>
  <w:num w:numId="8" w16cid:durableId="785200382">
    <w:abstractNumId w:val="12"/>
  </w:num>
  <w:num w:numId="9" w16cid:durableId="2075661251">
    <w:abstractNumId w:val="25"/>
  </w:num>
  <w:num w:numId="10" w16cid:durableId="2032759281">
    <w:abstractNumId w:val="19"/>
  </w:num>
  <w:num w:numId="11" w16cid:durableId="1392803648">
    <w:abstractNumId w:val="6"/>
  </w:num>
  <w:num w:numId="12" w16cid:durableId="973025610">
    <w:abstractNumId w:val="16"/>
  </w:num>
  <w:num w:numId="13" w16cid:durableId="1133913477">
    <w:abstractNumId w:val="13"/>
  </w:num>
  <w:num w:numId="14" w16cid:durableId="844633467">
    <w:abstractNumId w:val="3"/>
  </w:num>
  <w:num w:numId="15" w16cid:durableId="1961839686">
    <w:abstractNumId w:val="14"/>
  </w:num>
  <w:num w:numId="16" w16cid:durableId="1667247727">
    <w:abstractNumId w:val="9"/>
  </w:num>
  <w:num w:numId="17" w16cid:durableId="1895501624">
    <w:abstractNumId w:val="24"/>
  </w:num>
  <w:num w:numId="18" w16cid:durableId="1188174375">
    <w:abstractNumId w:val="22"/>
  </w:num>
  <w:num w:numId="19" w16cid:durableId="1070661717">
    <w:abstractNumId w:val="1"/>
  </w:num>
  <w:num w:numId="20" w16cid:durableId="1898397351">
    <w:abstractNumId w:val="8"/>
  </w:num>
  <w:num w:numId="21" w16cid:durableId="447824114">
    <w:abstractNumId w:val="20"/>
  </w:num>
  <w:num w:numId="22" w16cid:durableId="244459635">
    <w:abstractNumId w:val="23"/>
  </w:num>
  <w:num w:numId="23" w16cid:durableId="104161082">
    <w:abstractNumId w:val="2"/>
  </w:num>
  <w:num w:numId="24" w16cid:durableId="1712074946">
    <w:abstractNumId w:val="21"/>
  </w:num>
  <w:num w:numId="25" w16cid:durableId="1115174560">
    <w:abstractNumId w:val="10"/>
  </w:num>
  <w:num w:numId="26" w16cid:durableId="1091659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692"/>
    <w:rsid w:val="00004D6D"/>
    <w:rsid w:val="00007AD4"/>
    <w:rsid w:val="0003278A"/>
    <w:rsid w:val="00036409"/>
    <w:rsid w:val="000525F1"/>
    <w:rsid w:val="000554DB"/>
    <w:rsid w:val="00063327"/>
    <w:rsid w:val="000649A6"/>
    <w:rsid w:val="000744D7"/>
    <w:rsid w:val="0007679F"/>
    <w:rsid w:val="00080060"/>
    <w:rsid w:val="00092A85"/>
    <w:rsid w:val="000A07BC"/>
    <w:rsid w:val="000A3848"/>
    <w:rsid w:val="000A3C7A"/>
    <w:rsid w:val="000A4349"/>
    <w:rsid w:val="000A6F23"/>
    <w:rsid w:val="000B0B85"/>
    <w:rsid w:val="000B26F9"/>
    <w:rsid w:val="000C367A"/>
    <w:rsid w:val="000C4692"/>
    <w:rsid w:val="000D7206"/>
    <w:rsid w:val="000F43A9"/>
    <w:rsid w:val="001008AD"/>
    <w:rsid w:val="00101E7F"/>
    <w:rsid w:val="00102C5B"/>
    <w:rsid w:val="00111407"/>
    <w:rsid w:val="00114044"/>
    <w:rsid w:val="0011768D"/>
    <w:rsid w:val="001343CE"/>
    <w:rsid w:val="0014357F"/>
    <w:rsid w:val="00143A33"/>
    <w:rsid w:val="00154B22"/>
    <w:rsid w:val="00155339"/>
    <w:rsid w:val="0016727B"/>
    <w:rsid w:val="001765E7"/>
    <w:rsid w:val="00180BD9"/>
    <w:rsid w:val="00185B4C"/>
    <w:rsid w:val="00186EF6"/>
    <w:rsid w:val="0019374C"/>
    <w:rsid w:val="001A46DC"/>
    <w:rsid w:val="001B76E0"/>
    <w:rsid w:val="001C192A"/>
    <w:rsid w:val="001F2D62"/>
    <w:rsid w:val="002117C9"/>
    <w:rsid w:val="00217364"/>
    <w:rsid w:val="002173FE"/>
    <w:rsid w:val="00254CBC"/>
    <w:rsid w:val="00260D90"/>
    <w:rsid w:val="002653CE"/>
    <w:rsid w:val="00277616"/>
    <w:rsid w:val="0028769E"/>
    <w:rsid w:val="002918FB"/>
    <w:rsid w:val="002A0710"/>
    <w:rsid w:val="002B77E4"/>
    <w:rsid w:val="002C4AFC"/>
    <w:rsid w:val="002D481F"/>
    <w:rsid w:val="002E6668"/>
    <w:rsid w:val="002E688C"/>
    <w:rsid w:val="00302843"/>
    <w:rsid w:val="0030624A"/>
    <w:rsid w:val="00343637"/>
    <w:rsid w:val="00354E74"/>
    <w:rsid w:val="00364127"/>
    <w:rsid w:val="003714B7"/>
    <w:rsid w:val="003729E5"/>
    <w:rsid w:val="0037719A"/>
    <w:rsid w:val="00381B2B"/>
    <w:rsid w:val="003845A7"/>
    <w:rsid w:val="00396633"/>
    <w:rsid w:val="003A1C2A"/>
    <w:rsid w:val="003A1E9F"/>
    <w:rsid w:val="003C1201"/>
    <w:rsid w:val="003D4240"/>
    <w:rsid w:val="003E3CBD"/>
    <w:rsid w:val="003E4CDB"/>
    <w:rsid w:val="00416940"/>
    <w:rsid w:val="00422062"/>
    <w:rsid w:val="004234C2"/>
    <w:rsid w:val="0044656F"/>
    <w:rsid w:val="00450E39"/>
    <w:rsid w:val="004800E8"/>
    <w:rsid w:val="00482004"/>
    <w:rsid w:val="00484B5C"/>
    <w:rsid w:val="0049746B"/>
    <w:rsid w:val="004B34F6"/>
    <w:rsid w:val="004C5C60"/>
    <w:rsid w:val="004D0020"/>
    <w:rsid w:val="004D0195"/>
    <w:rsid w:val="004D5A6C"/>
    <w:rsid w:val="004F7490"/>
    <w:rsid w:val="00500072"/>
    <w:rsid w:val="00511AD2"/>
    <w:rsid w:val="005132CD"/>
    <w:rsid w:val="00523A96"/>
    <w:rsid w:val="005335C6"/>
    <w:rsid w:val="005455AE"/>
    <w:rsid w:val="00545FAA"/>
    <w:rsid w:val="00561AE3"/>
    <w:rsid w:val="00567C26"/>
    <w:rsid w:val="005801C4"/>
    <w:rsid w:val="00594970"/>
    <w:rsid w:val="005A0B9D"/>
    <w:rsid w:val="005A5550"/>
    <w:rsid w:val="005C7C82"/>
    <w:rsid w:val="005D52E4"/>
    <w:rsid w:val="00605CA6"/>
    <w:rsid w:val="00617CCE"/>
    <w:rsid w:val="00632D2E"/>
    <w:rsid w:val="00633D13"/>
    <w:rsid w:val="00637449"/>
    <w:rsid w:val="006428A0"/>
    <w:rsid w:val="006433E7"/>
    <w:rsid w:val="006500BA"/>
    <w:rsid w:val="00650729"/>
    <w:rsid w:val="0066482E"/>
    <w:rsid w:val="00683C2C"/>
    <w:rsid w:val="006842F8"/>
    <w:rsid w:val="0069107F"/>
    <w:rsid w:val="006A29B0"/>
    <w:rsid w:val="006D49DB"/>
    <w:rsid w:val="006E2B9B"/>
    <w:rsid w:val="006E4718"/>
    <w:rsid w:val="006E56DA"/>
    <w:rsid w:val="006F00CA"/>
    <w:rsid w:val="006F4541"/>
    <w:rsid w:val="0071686E"/>
    <w:rsid w:val="0072041D"/>
    <w:rsid w:val="00733180"/>
    <w:rsid w:val="007377F0"/>
    <w:rsid w:val="00743BB4"/>
    <w:rsid w:val="00751E1C"/>
    <w:rsid w:val="007565B8"/>
    <w:rsid w:val="00767C0E"/>
    <w:rsid w:val="00782C14"/>
    <w:rsid w:val="007900FA"/>
    <w:rsid w:val="0079058B"/>
    <w:rsid w:val="0079339F"/>
    <w:rsid w:val="007A119E"/>
    <w:rsid w:val="007A2A74"/>
    <w:rsid w:val="007B2171"/>
    <w:rsid w:val="007B79E6"/>
    <w:rsid w:val="007C15FE"/>
    <w:rsid w:val="007D1388"/>
    <w:rsid w:val="007E4FB9"/>
    <w:rsid w:val="007F46D6"/>
    <w:rsid w:val="007F7888"/>
    <w:rsid w:val="0083077B"/>
    <w:rsid w:val="00851B1C"/>
    <w:rsid w:val="00854B5C"/>
    <w:rsid w:val="00861EE7"/>
    <w:rsid w:val="0087013A"/>
    <w:rsid w:val="008804BA"/>
    <w:rsid w:val="00881BD8"/>
    <w:rsid w:val="008A3E1B"/>
    <w:rsid w:val="008A62B3"/>
    <w:rsid w:val="008D29EC"/>
    <w:rsid w:val="008D7AA3"/>
    <w:rsid w:val="00901CD7"/>
    <w:rsid w:val="009231C8"/>
    <w:rsid w:val="0092626B"/>
    <w:rsid w:val="009571B6"/>
    <w:rsid w:val="00962D61"/>
    <w:rsid w:val="00963748"/>
    <w:rsid w:val="00971FAF"/>
    <w:rsid w:val="00992319"/>
    <w:rsid w:val="009B15E5"/>
    <w:rsid w:val="009C022E"/>
    <w:rsid w:val="009D43AC"/>
    <w:rsid w:val="00A04A98"/>
    <w:rsid w:val="00A2471E"/>
    <w:rsid w:val="00A24DF4"/>
    <w:rsid w:val="00A35E2E"/>
    <w:rsid w:val="00A3699A"/>
    <w:rsid w:val="00A369DE"/>
    <w:rsid w:val="00A448D7"/>
    <w:rsid w:val="00A467FB"/>
    <w:rsid w:val="00A52128"/>
    <w:rsid w:val="00A56044"/>
    <w:rsid w:val="00A83103"/>
    <w:rsid w:val="00A83692"/>
    <w:rsid w:val="00AA152A"/>
    <w:rsid w:val="00AA5335"/>
    <w:rsid w:val="00AA6B83"/>
    <w:rsid w:val="00AC319B"/>
    <w:rsid w:val="00AC666B"/>
    <w:rsid w:val="00B0306F"/>
    <w:rsid w:val="00B1291B"/>
    <w:rsid w:val="00B250F2"/>
    <w:rsid w:val="00B3140E"/>
    <w:rsid w:val="00B3359A"/>
    <w:rsid w:val="00B433D3"/>
    <w:rsid w:val="00B44DFC"/>
    <w:rsid w:val="00B73913"/>
    <w:rsid w:val="00B7608D"/>
    <w:rsid w:val="00B85D6C"/>
    <w:rsid w:val="00B95A6B"/>
    <w:rsid w:val="00BA7BE2"/>
    <w:rsid w:val="00BB25C5"/>
    <w:rsid w:val="00BC5DF2"/>
    <w:rsid w:val="00BE5B0B"/>
    <w:rsid w:val="00C21220"/>
    <w:rsid w:val="00C348A0"/>
    <w:rsid w:val="00C409CA"/>
    <w:rsid w:val="00C52DC3"/>
    <w:rsid w:val="00C53228"/>
    <w:rsid w:val="00C612B3"/>
    <w:rsid w:val="00C64D39"/>
    <w:rsid w:val="00C6615A"/>
    <w:rsid w:val="00C72423"/>
    <w:rsid w:val="00C74C7A"/>
    <w:rsid w:val="00C76425"/>
    <w:rsid w:val="00C87EC6"/>
    <w:rsid w:val="00CA2BE7"/>
    <w:rsid w:val="00CC673C"/>
    <w:rsid w:val="00CC79A1"/>
    <w:rsid w:val="00CE05EE"/>
    <w:rsid w:val="00CF3515"/>
    <w:rsid w:val="00CF6485"/>
    <w:rsid w:val="00D00EA2"/>
    <w:rsid w:val="00D12CD2"/>
    <w:rsid w:val="00D213C7"/>
    <w:rsid w:val="00D27D8F"/>
    <w:rsid w:val="00D3026E"/>
    <w:rsid w:val="00D43309"/>
    <w:rsid w:val="00D447CF"/>
    <w:rsid w:val="00D5075D"/>
    <w:rsid w:val="00D57B5E"/>
    <w:rsid w:val="00D607FB"/>
    <w:rsid w:val="00D60D88"/>
    <w:rsid w:val="00D627EA"/>
    <w:rsid w:val="00D86DB6"/>
    <w:rsid w:val="00D91303"/>
    <w:rsid w:val="00D97D3D"/>
    <w:rsid w:val="00DB6ECF"/>
    <w:rsid w:val="00DD2E52"/>
    <w:rsid w:val="00DD3E7D"/>
    <w:rsid w:val="00DD6920"/>
    <w:rsid w:val="00DD71F6"/>
    <w:rsid w:val="00DF2539"/>
    <w:rsid w:val="00E121FC"/>
    <w:rsid w:val="00E23F15"/>
    <w:rsid w:val="00E2633E"/>
    <w:rsid w:val="00E509E3"/>
    <w:rsid w:val="00E63CDC"/>
    <w:rsid w:val="00E6650A"/>
    <w:rsid w:val="00E80E12"/>
    <w:rsid w:val="00EA5FA9"/>
    <w:rsid w:val="00EB0F15"/>
    <w:rsid w:val="00EB5338"/>
    <w:rsid w:val="00EC41BE"/>
    <w:rsid w:val="00ED4473"/>
    <w:rsid w:val="00EE2CA5"/>
    <w:rsid w:val="00EF2CFB"/>
    <w:rsid w:val="00F045A7"/>
    <w:rsid w:val="00F34E04"/>
    <w:rsid w:val="00F351FF"/>
    <w:rsid w:val="00F46C93"/>
    <w:rsid w:val="00F5379B"/>
    <w:rsid w:val="00F54D12"/>
    <w:rsid w:val="00F5690B"/>
    <w:rsid w:val="00F60803"/>
    <w:rsid w:val="00F91CF0"/>
    <w:rsid w:val="00FA2AFC"/>
    <w:rsid w:val="00FB40C6"/>
    <w:rsid w:val="00FD1337"/>
    <w:rsid w:val="00FD3583"/>
    <w:rsid w:val="00FD7EA8"/>
    <w:rsid w:val="00FE0589"/>
    <w:rsid w:val="00FE286E"/>
    <w:rsid w:val="00FE5015"/>
    <w:rsid w:val="00FE742D"/>
    <w:rsid w:val="00FF04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AF666"/>
  <w15:docId w15:val="{41604DAF-CE0B-4C8B-9384-9720BAEF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204C9"/>
    <w:pPr>
      <w:jc w:val="both"/>
    </w:pPr>
    <w:rPr>
      <w:rFonts w:ascii="Lato" w:hAnsi="Lato"/>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76B2"/>
  </w:style>
  <w:style w:type="paragraph" w:styleId="Stopka">
    <w:name w:val="footer"/>
    <w:basedOn w:val="Normalny"/>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6B2"/>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Tekst przypisu Znak"/>
    <w:basedOn w:val="Domylnaczcionkaakapitu"/>
    <w:link w:val="Tekstprzypisudolnego"/>
    <w:uiPriority w:val="99"/>
    <w:qFormat/>
    <w:locked/>
    <w:rsid w:val="000C4692"/>
    <w:rPr>
      <w:kern w:val="2"/>
      <w:sz w:val="20"/>
      <w:szCs w:val="20"/>
      <w14:ligatures w14:val="standardContextua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Tekst przypisu"/>
    <w:basedOn w:val="Normalny"/>
    <w:link w:val="TekstprzypisudolnegoZnak"/>
    <w:uiPriority w:val="99"/>
    <w:unhideWhenUsed/>
    <w:qFormat/>
    <w:rsid w:val="000C4692"/>
    <w:pPr>
      <w:spacing w:after="0" w:line="240" w:lineRule="auto"/>
      <w:jc w:val="left"/>
    </w:pPr>
    <w:rPr>
      <w:rFonts w:asciiTheme="minorHAnsi" w:hAnsiTheme="minorHAnsi"/>
      <w:kern w:val="2"/>
      <w:szCs w:val="20"/>
      <w14:ligatures w14:val="standardContextual"/>
    </w:rPr>
  </w:style>
  <w:style w:type="character" w:customStyle="1" w:styleId="TekstprzypisudolnegoZnak1">
    <w:name w:val="Tekst przypisu dolnego Znak1"/>
    <w:basedOn w:val="Domylnaczcionkaakapitu"/>
    <w:uiPriority w:val="99"/>
    <w:semiHidden/>
    <w:rsid w:val="000C4692"/>
    <w:rPr>
      <w:rFonts w:ascii="Lato" w:hAnsi="Lato"/>
      <w:sz w:val="20"/>
      <w:szCs w:val="20"/>
    </w:rPr>
  </w:style>
  <w:style w:type="character" w:styleId="Odwoanieprzypisudolnego">
    <w:name w:val="footnote reference"/>
    <w:aliases w:val="Odwołanie przypisu,1_przypis,Footnote Reference Number,Footnote symbol,Footnote reference number,note TESI,Footnote Reference Superscript,SUPERS,EN Footnote Reference,Footnote number"/>
    <w:basedOn w:val="Domylnaczcionkaakapitu"/>
    <w:uiPriority w:val="99"/>
    <w:unhideWhenUsed/>
    <w:qFormat/>
    <w:rsid w:val="000C4692"/>
    <w:rPr>
      <w:vertAlign w:val="superscript"/>
    </w:rPr>
  </w:style>
  <w:style w:type="character" w:customStyle="1" w:styleId="AkapitzlistZnak">
    <w:name w:val="Akapit z listą Znak"/>
    <w:aliases w:val="Dot pt Znak,No Spacing1 Znak,List Paragraph Char Char Char Znak,Indicator Text Znak,Numbered Para 1 Znak,List Paragraph à moi Znak,LISTA Znak,Listaszerű bekezdés2 Znak,Listaszerű bekezdés1 Znak,Listaszerű bekezdés3 Znak,L1 Znak"/>
    <w:link w:val="Akapitzlist"/>
    <w:uiPriority w:val="34"/>
    <w:qFormat/>
    <w:locked/>
    <w:rsid w:val="000C4692"/>
    <w:rPr>
      <w:kern w:val="2"/>
      <w14:ligatures w14:val="standardContextual"/>
    </w:rPr>
  </w:style>
  <w:style w:type="paragraph" w:styleId="Akapitzlist">
    <w:name w:val="List Paragraph"/>
    <w:aliases w:val="Dot pt,No Spacing1,List Paragraph Char Char Char,Indicator Text,Numbered Para 1,List Paragraph à moi,LISTA,Listaszerű bekezdés2,Listaszerű bekezdés1,Listaszerű bekezdés3,F5 List Paragraph,List Paragraph1,Recommendation,List Paragraph11,L1"/>
    <w:basedOn w:val="Normalny"/>
    <w:link w:val="AkapitzlistZnak"/>
    <w:uiPriority w:val="34"/>
    <w:qFormat/>
    <w:rsid w:val="000C4692"/>
    <w:pPr>
      <w:spacing w:line="256" w:lineRule="auto"/>
      <w:ind w:left="720"/>
      <w:contextualSpacing/>
      <w:jc w:val="left"/>
    </w:pPr>
    <w:rPr>
      <w:rFonts w:asciiTheme="minorHAnsi" w:hAnsiTheme="minorHAnsi"/>
      <w:kern w:val="2"/>
      <w:sz w:val="22"/>
      <w14:ligatures w14:val="standardContextual"/>
    </w:rPr>
  </w:style>
  <w:style w:type="character" w:styleId="Odwoaniedokomentarza">
    <w:name w:val="annotation reference"/>
    <w:basedOn w:val="Domylnaczcionkaakapitu"/>
    <w:uiPriority w:val="99"/>
    <w:semiHidden/>
    <w:unhideWhenUsed/>
    <w:rsid w:val="000C4692"/>
    <w:rPr>
      <w:sz w:val="16"/>
      <w:szCs w:val="16"/>
    </w:rPr>
  </w:style>
  <w:style w:type="paragraph" w:styleId="Tekstkomentarza">
    <w:name w:val="annotation text"/>
    <w:basedOn w:val="Normalny"/>
    <w:link w:val="TekstkomentarzaZnak"/>
    <w:uiPriority w:val="99"/>
    <w:unhideWhenUsed/>
    <w:rsid w:val="000C4692"/>
    <w:pPr>
      <w:spacing w:line="240" w:lineRule="auto"/>
    </w:pPr>
    <w:rPr>
      <w:szCs w:val="20"/>
    </w:rPr>
  </w:style>
  <w:style w:type="character" w:customStyle="1" w:styleId="TekstkomentarzaZnak">
    <w:name w:val="Tekst komentarza Znak"/>
    <w:basedOn w:val="Domylnaczcionkaakapitu"/>
    <w:link w:val="Tekstkomentarza"/>
    <w:uiPriority w:val="99"/>
    <w:rsid w:val="000C4692"/>
    <w:rPr>
      <w:rFonts w:ascii="Lato" w:hAnsi="Lato"/>
      <w:sz w:val="20"/>
      <w:szCs w:val="20"/>
    </w:rPr>
  </w:style>
  <w:style w:type="paragraph" w:styleId="Poprawka">
    <w:name w:val="Revision"/>
    <w:hidden/>
    <w:uiPriority w:val="99"/>
    <w:semiHidden/>
    <w:rsid w:val="000F43A9"/>
    <w:pPr>
      <w:spacing w:after="0" w:line="240" w:lineRule="auto"/>
    </w:pPr>
    <w:rPr>
      <w:rFonts w:ascii="Lato" w:hAnsi="Lato"/>
      <w:sz w:val="20"/>
    </w:rPr>
  </w:style>
  <w:style w:type="paragraph" w:styleId="Tematkomentarza">
    <w:name w:val="annotation subject"/>
    <w:basedOn w:val="Tekstkomentarza"/>
    <w:next w:val="Tekstkomentarza"/>
    <w:link w:val="TematkomentarzaZnak"/>
    <w:uiPriority w:val="99"/>
    <w:semiHidden/>
    <w:unhideWhenUsed/>
    <w:rsid w:val="00881BD8"/>
    <w:rPr>
      <w:b/>
      <w:bCs/>
    </w:rPr>
  </w:style>
  <w:style w:type="character" w:customStyle="1" w:styleId="TematkomentarzaZnak">
    <w:name w:val="Temat komentarza Znak"/>
    <w:basedOn w:val="TekstkomentarzaZnak"/>
    <w:link w:val="Tematkomentarza"/>
    <w:uiPriority w:val="99"/>
    <w:semiHidden/>
    <w:rsid w:val="00881BD8"/>
    <w:rPr>
      <w:rFonts w:ascii="Lato" w:hAnsi="Lato"/>
      <w:b/>
      <w:bCs/>
      <w:sz w:val="20"/>
      <w:szCs w:val="20"/>
    </w:rPr>
  </w:style>
  <w:style w:type="character" w:styleId="Hipercze">
    <w:name w:val="Hyperlink"/>
    <w:basedOn w:val="Domylnaczcionkaakapitu"/>
    <w:uiPriority w:val="99"/>
    <w:unhideWhenUsed/>
    <w:rsid w:val="004F7490"/>
    <w:rPr>
      <w:color w:val="0563C1" w:themeColor="hyperlink"/>
      <w:u w:val="single"/>
    </w:rPr>
  </w:style>
  <w:style w:type="character" w:styleId="Nierozpoznanawzmianka">
    <w:name w:val="Unresolved Mention"/>
    <w:basedOn w:val="Domylnaczcionkaakapitu"/>
    <w:uiPriority w:val="99"/>
    <w:rsid w:val="004F7490"/>
    <w:rPr>
      <w:color w:val="605E5C"/>
      <w:shd w:val="clear" w:color="auto" w:fill="E1DFDD"/>
    </w:rPr>
  </w:style>
  <w:style w:type="paragraph" w:styleId="Listapunktowana">
    <w:name w:val="List Bullet"/>
    <w:basedOn w:val="Normalny"/>
    <w:uiPriority w:val="99"/>
    <w:unhideWhenUsed/>
    <w:rsid w:val="006428A0"/>
    <w:pPr>
      <w:numPr>
        <w:numId w:val="26"/>
      </w:numPr>
      <w:contextualSpacing/>
    </w:pPr>
  </w:style>
  <w:style w:type="paragraph" w:styleId="Tekstprzypisukocowego">
    <w:name w:val="endnote text"/>
    <w:basedOn w:val="Normalny"/>
    <w:link w:val="TekstprzypisukocowegoZnak"/>
    <w:uiPriority w:val="99"/>
    <w:semiHidden/>
    <w:unhideWhenUsed/>
    <w:rsid w:val="00482004"/>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82004"/>
    <w:rPr>
      <w:rFonts w:ascii="Lato" w:hAnsi="Lato"/>
      <w:sz w:val="20"/>
      <w:szCs w:val="20"/>
    </w:rPr>
  </w:style>
  <w:style w:type="character" w:styleId="Odwoanieprzypisukocowego">
    <w:name w:val="endnote reference"/>
    <w:basedOn w:val="Domylnaczcionkaakapitu"/>
    <w:uiPriority w:val="99"/>
    <w:semiHidden/>
    <w:unhideWhenUsed/>
    <w:rsid w:val="004820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0974">
      <w:bodyDiv w:val="1"/>
      <w:marLeft w:val="0"/>
      <w:marRight w:val="0"/>
      <w:marTop w:val="0"/>
      <w:marBottom w:val="0"/>
      <w:divBdr>
        <w:top w:val="none" w:sz="0" w:space="0" w:color="auto"/>
        <w:left w:val="none" w:sz="0" w:space="0" w:color="auto"/>
        <w:bottom w:val="none" w:sz="0" w:space="0" w:color="auto"/>
        <w:right w:val="none" w:sz="0" w:space="0" w:color="auto"/>
      </w:divBdr>
    </w:div>
    <w:div w:id="286741626">
      <w:bodyDiv w:val="1"/>
      <w:marLeft w:val="0"/>
      <w:marRight w:val="0"/>
      <w:marTop w:val="0"/>
      <w:marBottom w:val="0"/>
      <w:divBdr>
        <w:top w:val="none" w:sz="0" w:space="0" w:color="auto"/>
        <w:left w:val="none" w:sz="0" w:space="0" w:color="auto"/>
        <w:bottom w:val="none" w:sz="0" w:space="0" w:color="auto"/>
        <w:right w:val="none" w:sz="0" w:space="0" w:color="auto"/>
      </w:divBdr>
    </w:div>
    <w:div w:id="583687795">
      <w:bodyDiv w:val="1"/>
      <w:marLeft w:val="0"/>
      <w:marRight w:val="0"/>
      <w:marTop w:val="0"/>
      <w:marBottom w:val="0"/>
      <w:divBdr>
        <w:top w:val="none" w:sz="0" w:space="0" w:color="auto"/>
        <w:left w:val="none" w:sz="0" w:space="0" w:color="auto"/>
        <w:bottom w:val="none" w:sz="0" w:space="0" w:color="auto"/>
        <w:right w:val="none" w:sz="0" w:space="0" w:color="auto"/>
      </w:divBdr>
    </w:div>
    <w:div w:id="725567415">
      <w:bodyDiv w:val="1"/>
      <w:marLeft w:val="0"/>
      <w:marRight w:val="0"/>
      <w:marTop w:val="0"/>
      <w:marBottom w:val="0"/>
      <w:divBdr>
        <w:top w:val="none" w:sz="0" w:space="0" w:color="auto"/>
        <w:left w:val="none" w:sz="0" w:space="0" w:color="auto"/>
        <w:bottom w:val="none" w:sz="0" w:space="0" w:color="auto"/>
        <w:right w:val="none" w:sz="0" w:space="0" w:color="auto"/>
      </w:divBdr>
    </w:div>
    <w:div w:id="785468293">
      <w:bodyDiv w:val="1"/>
      <w:marLeft w:val="0"/>
      <w:marRight w:val="0"/>
      <w:marTop w:val="0"/>
      <w:marBottom w:val="0"/>
      <w:divBdr>
        <w:top w:val="none" w:sz="0" w:space="0" w:color="auto"/>
        <w:left w:val="none" w:sz="0" w:space="0" w:color="auto"/>
        <w:bottom w:val="none" w:sz="0" w:space="0" w:color="auto"/>
        <w:right w:val="none" w:sz="0" w:space="0" w:color="auto"/>
      </w:divBdr>
    </w:div>
    <w:div w:id="850800278">
      <w:bodyDiv w:val="1"/>
      <w:marLeft w:val="0"/>
      <w:marRight w:val="0"/>
      <w:marTop w:val="0"/>
      <w:marBottom w:val="0"/>
      <w:divBdr>
        <w:top w:val="none" w:sz="0" w:space="0" w:color="auto"/>
        <w:left w:val="none" w:sz="0" w:space="0" w:color="auto"/>
        <w:bottom w:val="none" w:sz="0" w:space="0" w:color="auto"/>
        <w:right w:val="none" w:sz="0" w:space="0" w:color="auto"/>
      </w:divBdr>
    </w:div>
    <w:div w:id="990477243">
      <w:bodyDiv w:val="1"/>
      <w:marLeft w:val="0"/>
      <w:marRight w:val="0"/>
      <w:marTop w:val="0"/>
      <w:marBottom w:val="0"/>
      <w:divBdr>
        <w:top w:val="none" w:sz="0" w:space="0" w:color="auto"/>
        <w:left w:val="none" w:sz="0" w:space="0" w:color="auto"/>
        <w:bottom w:val="none" w:sz="0" w:space="0" w:color="auto"/>
        <w:right w:val="none" w:sz="0" w:space="0" w:color="auto"/>
      </w:divBdr>
    </w:div>
    <w:div w:id="1100880365">
      <w:bodyDiv w:val="1"/>
      <w:marLeft w:val="0"/>
      <w:marRight w:val="0"/>
      <w:marTop w:val="0"/>
      <w:marBottom w:val="0"/>
      <w:divBdr>
        <w:top w:val="none" w:sz="0" w:space="0" w:color="auto"/>
        <w:left w:val="none" w:sz="0" w:space="0" w:color="auto"/>
        <w:bottom w:val="none" w:sz="0" w:space="0" w:color="auto"/>
        <w:right w:val="none" w:sz="0" w:space="0" w:color="auto"/>
      </w:divBdr>
    </w:div>
    <w:div w:id="1170634840">
      <w:bodyDiv w:val="1"/>
      <w:marLeft w:val="0"/>
      <w:marRight w:val="0"/>
      <w:marTop w:val="0"/>
      <w:marBottom w:val="0"/>
      <w:divBdr>
        <w:top w:val="none" w:sz="0" w:space="0" w:color="auto"/>
        <w:left w:val="none" w:sz="0" w:space="0" w:color="auto"/>
        <w:bottom w:val="none" w:sz="0" w:space="0" w:color="auto"/>
        <w:right w:val="none" w:sz="0" w:space="0" w:color="auto"/>
      </w:divBdr>
    </w:div>
    <w:div w:id="1286696791">
      <w:bodyDiv w:val="1"/>
      <w:marLeft w:val="0"/>
      <w:marRight w:val="0"/>
      <w:marTop w:val="0"/>
      <w:marBottom w:val="0"/>
      <w:divBdr>
        <w:top w:val="none" w:sz="0" w:space="0" w:color="auto"/>
        <w:left w:val="none" w:sz="0" w:space="0" w:color="auto"/>
        <w:bottom w:val="none" w:sz="0" w:space="0" w:color="auto"/>
        <w:right w:val="none" w:sz="0" w:space="0" w:color="auto"/>
      </w:divBdr>
    </w:div>
    <w:div w:id="1441993553">
      <w:bodyDiv w:val="1"/>
      <w:marLeft w:val="0"/>
      <w:marRight w:val="0"/>
      <w:marTop w:val="0"/>
      <w:marBottom w:val="0"/>
      <w:divBdr>
        <w:top w:val="none" w:sz="0" w:space="0" w:color="auto"/>
        <w:left w:val="none" w:sz="0" w:space="0" w:color="auto"/>
        <w:bottom w:val="none" w:sz="0" w:space="0" w:color="auto"/>
        <w:right w:val="none" w:sz="0" w:space="0" w:color="auto"/>
      </w:divBdr>
    </w:div>
    <w:div w:id="210819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2D3AC-0BE1-4B5B-AC95-AE3CE1C54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3442</Words>
  <Characters>20656</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Uniwersalny szablondepartamentu/biura kolor</vt:lpstr>
    </vt:vector>
  </TitlesOfParts>
  <Company>Ministerstwo Klimatu i Środowiska</Company>
  <LinksUpToDate>false</LinksUpToDate>
  <CharactersWithSpaces>24050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Uniwersalny szablondepartamentu/biura kolor</dc:title>
  <dc:creator>Stasiak Krzysztof</dc:creator>
  <cp:keywords>PL, KOLOR</cp:keywords>
  <dc:description>Wersja 5.1, dostępny od 11.04.2023</dc:description>
  <cp:lastModifiedBy>Żebrowska Katarzyna</cp:lastModifiedBy>
  <cp:revision>2</cp:revision>
  <cp:lastPrinted>2025-04-25T16:48:00Z</cp:lastPrinted>
  <dcterms:created xsi:type="dcterms:W3CDTF">2025-05-26T07:36:00Z</dcterms:created>
  <dcterms:modified xsi:type="dcterms:W3CDTF">2025-05-26T07:36:00Z</dcterms:modified>
  <cp:category>DEPARTAMENTY</cp:category>
</cp:coreProperties>
</file>