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D58" w:rsidRPr="00294D58" w:rsidRDefault="00294D58" w:rsidP="00294D58">
      <w:pPr>
        <w:spacing w:after="60" w:line="240" w:lineRule="auto"/>
        <w:jc w:val="right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4D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5</w:t>
      </w:r>
    </w:p>
    <w:p w:rsidR="00294D58" w:rsidRPr="00294D58" w:rsidRDefault="00294D58" w:rsidP="00294D58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294D58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294D58" w:rsidRPr="00294D58" w:rsidRDefault="00294D58" w:rsidP="00294D58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294D58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294D58" w:rsidRPr="00294D58" w:rsidRDefault="00294D58" w:rsidP="00294D5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94D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O PROWADZONEJ DZIAŁALNOŚCI </w:t>
      </w:r>
    </w:p>
    <w:p w:rsidR="00294D58" w:rsidRPr="00294D58" w:rsidRDefault="00294D58" w:rsidP="00294D58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294D58" w:rsidRPr="00294D58" w:rsidTr="00483D15">
        <w:trPr>
          <w:cantSplit/>
        </w:trPr>
        <w:tc>
          <w:tcPr>
            <w:tcW w:w="5103" w:type="dxa"/>
            <w:shd w:val="clear" w:color="auto" w:fill="D9D9D9"/>
            <w:vAlign w:val="center"/>
          </w:tcPr>
          <w:p w:rsidR="00294D58" w:rsidRPr="00294D58" w:rsidRDefault="00294D58" w:rsidP="00294D58">
            <w:pPr>
              <w:keepNext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o Oferencie </w:t>
            </w:r>
          </w:p>
        </w:tc>
        <w:tc>
          <w:tcPr>
            <w:tcW w:w="4962" w:type="dxa"/>
            <w:shd w:val="clear" w:color="auto" w:fill="D9D9D9"/>
          </w:tcPr>
          <w:p w:rsidR="00294D58" w:rsidRPr="00294D58" w:rsidRDefault="00294D58" w:rsidP="00294D58">
            <w:pPr>
              <w:keepNext/>
              <w:spacing w:before="120" w:after="120" w:line="240" w:lineRule="auto"/>
              <w:ind w:left="7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Opisać spełnienie wymagań</w:t>
            </w:r>
          </w:p>
        </w:tc>
      </w:tr>
      <w:tr w:rsidR="00294D58" w:rsidRPr="00294D58" w:rsidTr="00483D15">
        <w:trPr>
          <w:cantSplit/>
          <w:trHeight w:val="1359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12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zatrudnienie kierownika poradni – wymagany lekarz ze specjalizacją z zakresu onkologii lub lekarz ze specjalizacją z genetyki klinicznej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  <w:p w:rsidR="00294D58" w:rsidRPr="00294D58" w:rsidRDefault="00294D58" w:rsidP="00294D58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wskazanie czy kierownik poradni jest również konsultantem poradni</w:t>
            </w:r>
          </w:p>
          <w:p w:rsidR="00294D58" w:rsidRPr="00294D58" w:rsidRDefault="00294D58" w:rsidP="00294D58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- imię i nazwisko kierownika poradni,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- specjalizacja,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- staż zawodowy,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- staż w zakresie poradnictwa kierownika poradni.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certyfikatów.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Kierownik poradni jest również konsultantem poradni</w:t>
            </w:r>
          </w:p>
          <w:p w:rsidR="00294D58" w:rsidRPr="00294D58" w:rsidRDefault="00294D58" w:rsidP="00294D58">
            <w:pPr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</w:tc>
      </w:tr>
      <w:tr w:rsidR="00294D58" w:rsidRPr="00294D58" w:rsidTr="00483D15">
        <w:trPr>
          <w:trHeight w:val="144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12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zatrudnienie lekarzy konsultantów: specjalisty genetyka klinicznego i specjalisty z zakresu onkologii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imię i nazwisko lekarzy konsultantów 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specjalizacja (przy nazwisku każdego z lekarzy należy wskazać posiadane kwalifikacje (specjalizacja), 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certyfikatów)</w:t>
            </w:r>
          </w:p>
        </w:tc>
      </w:tr>
      <w:tr w:rsidR="00294D58" w:rsidRPr="00294D58" w:rsidTr="00483D15">
        <w:trPr>
          <w:trHeight w:val="144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12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zatrudnienie lekarzy, którzy ukończyli pierwszy rok specjalizacji z genetyki </w:t>
            </w:r>
            <w:r w:rsidR="00BE26F5">
              <w:rPr>
                <w:rFonts w:ascii="Times New Roman" w:eastAsia="Times New Roman" w:hAnsi="Times New Roman" w:cs="Times New Roman"/>
                <w:lang w:eastAsia="pl-PL"/>
              </w:rPr>
              <w:t xml:space="preserve">klinicznej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lub </w:t>
            </w:r>
            <w:r w:rsidR="00BE26F5"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onkologii oraz uzyskali potwierdzenie przez kierownika specjalizacji wiedzy i umiejętności umożliwiających samodzielną pracę w poradni specjalistycznej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imię i nazwisko i kwalifikacje lekarzy konsultantów (przy nazwisku każdego z lekarzy należy wskazać posiadane kwalifikacje - rodzaj i rok specjalizacji (nie jest wymagane przesyłanie kopii dyplomów i certyfikatów)</w:t>
            </w:r>
          </w:p>
        </w:tc>
      </w:tr>
      <w:tr w:rsidR="00294D58" w:rsidRPr="00294D58" w:rsidTr="00483D15">
        <w:trPr>
          <w:trHeight w:val="144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12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potwierdzenie, ze wskazani w pkt. 3) lekarze w trakcie specjalizacji z genetyki </w:t>
            </w:r>
            <w:r w:rsidR="00BE26F5">
              <w:rPr>
                <w:rFonts w:ascii="Times New Roman" w:eastAsia="Times New Roman" w:hAnsi="Times New Roman" w:cs="Times New Roman"/>
                <w:lang w:eastAsia="pl-PL"/>
              </w:rPr>
              <w:t xml:space="preserve">klinicznej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lub </w:t>
            </w:r>
            <w:r w:rsidR="00BE26F5"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bookmarkStart w:id="0" w:name="_GoBack"/>
            <w:bookmarkEnd w:id="0"/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onkologii, uzyskali potwierdzenie przez kierownika specjalizacji wiedzy i umiejętności umożliwiających samodzielną pracę w poradni specjalistycznej `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Lekarze uzyskali potwierdzenie przez kierownika specjalizacji wiedzy i umiejętności umożliwiających samodzielną pracę w poradni specjalistycznej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Liczba porad genetycznych udzielonych w poradni ogółem oraz średnio miesięcznie w 2017 r.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 porad z zaznaczeniem, która dotyczy porad ogółem i średnio miesięcznie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Liczba probantów skierowanych w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2017 r. roku do molekularnych badań nosicielstwa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genów APC, MLH1, MSH2, MSH6, PMS2, STK11, SMAD4, BMPR1A, MUTYH i EPCAM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liczbę.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Liczba nosicieli mutacji genu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APC, MLH1, MSH2, MSH6, PMS2, STK11, SMAD4, BMPR1A, MUTYH i EPCAM,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wykrytych w 2017 r.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Liczba zarejestrowanych w poradni rodzin wysokiego ryzyka zachorowania na raka jelita grubego i raka błony śluzowej trzonu macicy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Liczba nosicieli mutacji genu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APC, MLH1, MSH2, MSH6, PMS2, STK11, SMAD4, BMPR1A, MUTYH i EPCAM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 które były objęte programem opieki w roku 2017 r.</w:t>
            </w:r>
          </w:p>
        </w:tc>
        <w:tc>
          <w:tcPr>
            <w:tcW w:w="4962" w:type="dxa"/>
            <w:shd w:val="clear" w:color="auto" w:fill="auto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spacing w:before="40" w:after="12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b/>
                <w:lang w:eastAsia="pl-PL"/>
              </w:rPr>
              <w:t>Dane o jednostkach współpracujących</w:t>
            </w:r>
          </w:p>
        </w:tc>
        <w:tc>
          <w:tcPr>
            <w:tcW w:w="4962" w:type="dxa"/>
            <w:shd w:val="pct12" w:color="auto" w:fill="auto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Opisać spełnienie wymagań 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nazwa współpracującej pracowni diagnostyki molekularnej</w:t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posiadającej doświadczenie w badaniach genów APC, MLH1, MSH2, MSH6, PMS2, STK11, SMAD4, BMPR1A, MUTYH i EPCAM, imię i nazwisko kierownika, liczba badań nosicielstwa mutacji genu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APC, MLH1, MSH2, MSH6, PMS2, STK11, SMAD4, BMPR1A, MUTYH i EPCAM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wykonanych w roku 2017 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nazwa i adres współpracującej jednostki endoskopowej ze wskazaniem:</w:t>
            </w:r>
          </w:p>
          <w:p w:rsidR="00294D58" w:rsidRPr="00294D58" w:rsidRDefault="00294D58" w:rsidP="00294D58">
            <w:pPr>
              <w:spacing w:before="40"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- liczby badań </w:t>
            </w:r>
            <w:proofErr w:type="spellStart"/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kolonoskopowych</w:t>
            </w:r>
            <w:proofErr w:type="spellEnd"/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 wykonanych w jednostce w roku 2017 </w:t>
            </w:r>
          </w:p>
          <w:p w:rsidR="00294D58" w:rsidRPr="00294D58" w:rsidRDefault="00294D58" w:rsidP="00294D58">
            <w:pPr>
              <w:spacing w:before="40"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- czy pracownia prowadzi badania gastroskopowe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nazwa i adres współpracującego zakładu/pracowni patologii (patomorfologii) – w zakresie badań immunohistochemicznych (jeśli takie są wykonywane)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współpraca z ginekologiem: nazwa i adres jednostki, wyposażenie do badań (USG </w:t>
            </w:r>
            <w:proofErr w:type="spellStart"/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, USG dopplerowskie)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nazwa i adres palcówki do której będą kierowani chorzy, u których rozpoznano raki jelita grubego, duże polipy w jelicie grubym, raki  jajnika i trzonu macicy,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liczba pierwszorazowych chorych na raka jelita grubego, z polipami jelitowymi i na raka błony śluzowej trzonu macicy leczonych w 2017 roku w placówce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</w:tbl>
    <w:p w:rsidR="00294D58" w:rsidRPr="00294D58" w:rsidRDefault="00294D58" w:rsidP="00294D58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294D58" w:rsidRPr="00294D58" w:rsidRDefault="00294D58" w:rsidP="00294D58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294D5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* właściwe zaznaczyć „X”</w:t>
      </w:r>
    </w:p>
    <w:p w:rsidR="00294D58" w:rsidRPr="00294D58" w:rsidRDefault="00294D58" w:rsidP="00294D58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294D58" w:rsidRPr="00294D58" w:rsidRDefault="00294D58" w:rsidP="00294D58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294D58" w:rsidRPr="00294D58" w:rsidRDefault="00294D58" w:rsidP="00294D58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068B8"/>
    <w:multiLevelType w:val="hybridMultilevel"/>
    <w:tmpl w:val="368848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58"/>
    <w:rsid w:val="00294D58"/>
    <w:rsid w:val="006B04BD"/>
    <w:rsid w:val="00B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FBE0B-763B-4275-B9DD-8ADA653A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3577</Characters>
  <Application>Microsoft Office Word</Application>
  <DocSecurity>0</DocSecurity>
  <Lines>29</Lines>
  <Paragraphs>8</Paragraphs>
  <ScaleCrop>false</ScaleCrop>
  <Company>Ministerstwo Zdrowia</Company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2018-04-12T15:08:00Z</dcterms:created>
  <dcterms:modified xsi:type="dcterms:W3CDTF">2018-04-16T10:50:00Z</dcterms:modified>
</cp:coreProperties>
</file>