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37FA4" w14:textId="637F437C" w:rsidR="00F565DF" w:rsidRDefault="00F565DF"/>
    <w:p w14:paraId="02BA7E77" w14:textId="4B108288" w:rsidR="00907C94" w:rsidRDefault="005B1EA6" w:rsidP="00907C94">
      <w:pPr>
        <w:pStyle w:val="Tytu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OCHRONA MIĘDZYNARODOWA</w:t>
      </w:r>
    </w:p>
    <w:p w14:paraId="536C7458" w14:textId="004437D4" w:rsidR="002E0B78" w:rsidRPr="002E0B78" w:rsidRDefault="002E0B78" w:rsidP="002E0B78">
      <w:pPr>
        <w:jc w:val="center"/>
        <w:rPr>
          <w:rFonts w:asciiTheme="majorHAnsi" w:eastAsiaTheme="majorEastAsia" w:hAnsiTheme="majorHAnsi" w:cstheme="majorBidi"/>
          <w:color w:val="002060"/>
          <w:spacing w:val="-10"/>
          <w:kern w:val="28"/>
        </w:rPr>
      </w:pPr>
      <w:r w:rsidRPr="002E0B78">
        <w:rPr>
          <w:rFonts w:asciiTheme="majorHAnsi" w:eastAsiaTheme="majorEastAsia" w:hAnsiTheme="majorHAnsi" w:cstheme="majorBidi"/>
          <w:color w:val="002060"/>
          <w:spacing w:val="-10"/>
          <w:kern w:val="28"/>
        </w:rPr>
        <w:t xml:space="preserve">(wg stanu na </w:t>
      </w:r>
      <w:r w:rsidR="00320B0D">
        <w:rPr>
          <w:rFonts w:asciiTheme="majorHAnsi" w:eastAsiaTheme="majorEastAsia" w:hAnsiTheme="majorHAnsi" w:cstheme="majorBidi"/>
          <w:color w:val="002060"/>
          <w:spacing w:val="-10"/>
          <w:kern w:val="28"/>
        </w:rPr>
        <w:t>1</w:t>
      </w:r>
      <w:r w:rsidRPr="002E0B78">
        <w:rPr>
          <w:rFonts w:asciiTheme="majorHAnsi" w:eastAsiaTheme="majorEastAsia" w:hAnsiTheme="majorHAnsi" w:cstheme="majorBidi"/>
          <w:color w:val="002060"/>
          <w:spacing w:val="-10"/>
          <w:kern w:val="28"/>
        </w:rPr>
        <w:t>.</w:t>
      </w:r>
      <w:r w:rsidR="00191E07">
        <w:rPr>
          <w:rFonts w:asciiTheme="majorHAnsi" w:eastAsiaTheme="majorEastAsia" w:hAnsiTheme="majorHAnsi" w:cstheme="majorBidi"/>
          <w:color w:val="002060"/>
          <w:spacing w:val="-10"/>
          <w:kern w:val="28"/>
        </w:rPr>
        <w:t>10</w:t>
      </w:r>
      <w:r w:rsidRPr="002E0B78">
        <w:rPr>
          <w:rFonts w:asciiTheme="majorHAnsi" w:eastAsiaTheme="majorEastAsia" w:hAnsiTheme="majorHAnsi" w:cstheme="majorBidi"/>
          <w:color w:val="002060"/>
          <w:spacing w:val="-10"/>
          <w:kern w:val="28"/>
        </w:rPr>
        <w:t>.202</w:t>
      </w:r>
      <w:r w:rsidR="00320B0D">
        <w:rPr>
          <w:rFonts w:asciiTheme="majorHAnsi" w:eastAsiaTheme="majorEastAsia" w:hAnsiTheme="majorHAnsi" w:cstheme="majorBidi"/>
          <w:color w:val="002060"/>
          <w:spacing w:val="-10"/>
          <w:kern w:val="28"/>
        </w:rPr>
        <w:t>6</w:t>
      </w:r>
      <w:r w:rsidRPr="002E0B78">
        <w:rPr>
          <w:rFonts w:asciiTheme="majorHAnsi" w:eastAsiaTheme="majorEastAsia" w:hAnsiTheme="majorHAnsi" w:cstheme="majorBidi"/>
          <w:color w:val="002060"/>
          <w:spacing w:val="-10"/>
          <w:kern w:val="28"/>
        </w:rPr>
        <w:t>)</w:t>
      </w:r>
    </w:p>
    <w:p w14:paraId="361D616C" w14:textId="77777777" w:rsidR="00E652B3" w:rsidRDefault="00E652B3" w:rsidP="00334995">
      <w:pPr>
        <w:ind w:firstLine="708"/>
        <w:jc w:val="both"/>
      </w:pPr>
    </w:p>
    <w:p w14:paraId="59D40AF7" w14:textId="1A11AA04" w:rsidR="00213190" w:rsidRPr="00213190" w:rsidRDefault="00213190" w:rsidP="00213190">
      <w:pPr>
        <w:jc w:val="both"/>
        <w:rPr>
          <w:b/>
          <w:color w:val="002060"/>
        </w:rPr>
      </w:pPr>
      <w:r w:rsidRPr="00213190">
        <w:rPr>
          <w:b/>
          <w:color w:val="002060"/>
        </w:rPr>
        <w:t>DYNAMIKA NAPŁYWU W POLSCE</w:t>
      </w:r>
    </w:p>
    <w:p w14:paraId="7F23CA4F" w14:textId="73E957A3" w:rsidR="00373A08" w:rsidRDefault="009F2B97" w:rsidP="00334995">
      <w:pPr>
        <w:ind w:firstLine="708"/>
        <w:jc w:val="both"/>
      </w:pPr>
      <w:r w:rsidRPr="00E902BC">
        <w:t xml:space="preserve">Analiza danych </w:t>
      </w:r>
      <w:r w:rsidR="00B13CB8" w:rsidRPr="00E902BC">
        <w:t xml:space="preserve">na </w:t>
      </w:r>
      <w:r w:rsidR="00191E07">
        <w:t>1 października</w:t>
      </w:r>
      <w:r w:rsidR="00445EBA" w:rsidRPr="00E902BC">
        <w:t xml:space="preserve"> </w:t>
      </w:r>
      <w:r w:rsidRPr="00E902BC">
        <w:t xml:space="preserve">2026 r. wskazuje na istotną zmianę dynamiki napływu wniosków </w:t>
      </w:r>
      <w:r w:rsidR="00BE5AA9" w:rsidRPr="00E902BC">
        <w:t xml:space="preserve">o udzielenie ochrony międzynarodowej. W omawianym okresie </w:t>
      </w:r>
      <w:r w:rsidR="00373A08" w:rsidRPr="00373A08">
        <w:t xml:space="preserve">dziewięciu miesięcy </w:t>
      </w:r>
      <w:r w:rsidR="0057704E">
        <w:t>(styczeń-</w:t>
      </w:r>
      <w:r w:rsidR="00191E07">
        <w:t>wrzesień</w:t>
      </w:r>
      <w:r w:rsidR="0057704E">
        <w:t xml:space="preserve"> 2026) </w:t>
      </w:r>
      <w:r w:rsidR="00BE5AA9" w:rsidRPr="00E902BC">
        <w:t xml:space="preserve">o ochronę </w:t>
      </w:r>
      <w:r w:rsidR="00373A08" w:rsidRPr="00373A08">
        <w:t xml:space="preserve">w Rzeczypospolitej Polskiej </w:t>
      </w:r>
      <w:r w:rsidR="00C20062" w:rsidRPr="00E902BC">
        <w:t>wystąpiło</w:t>
      </w:r>
      <w:r w:rsidRPr="00E902BC">
        <w:t xml:space="preserve"> </w:t>
      </w:r>
      <w:r w:rsidR="00191E07" w:rsidRPr="00191E07">
        <w:rPr>
          <w:b/>
        </w:rPr>
        <w:t>4</w:t>
      </w:r>
      <w:r w:rsidR="00191E07">
        <w:rPr>
          <w:b/>
        </w:rPr>
        <w:t xml:space="preserve">,4 tys. </w:t>
      </w:r>
      <w:r w:rsidR="00C20062" w:rsidRPr="00E902BC">
        <w:rPr>
          <w:b/>
        </w:rPr>
        <w:t>cudzoziemców</w:t>
      </w:r>
      <w:r w:rsidR="00373A08">
        <w:t xml:space="preserve">. </w:t>
      </w:r>
      <w:r w:rsidR="00373A08">
        <w:br/>
        <w:t xml:space="preserve">W porównaniu do analogicznego okresu 2025 roku, kiedy zarejestrowano </w:t>
      </w:r>
      <w:r w:rsidR="00373A08" w:rsidRPr="00373A08">
        <w:rPr>
          <w:b/>
          <w:bCs/>
        </w:rPr>
        <w:t>11 tys.</w:t>
      </w:r>
      <w:r w:rsidR="00373A08">
        <w:t xml:space="preserve"> wnioskodawców, odnotowano </w:t>
      </w:r>
      <w:r w:rsidR="00373A08" w:rsidRPr="00373A08">
        <w:rPr>
          <w:b/>
          <w:bCs/>
        </w:rPr>
        <w:t>spadek stopy napływu o 60%</w:t>
      </w:r>
      <w:r w:rsidR="00373A08">
        <w:t>.</w:t>
      </w:r>
    </w:p>
    <w:p w14:paraId="7D3AFA01" w14:textId="522A9EEC" w:rsidR="00E652B3" w:rsidRDefault="00191E07" w:rsidP="00B721DF">
      <w:pPr>
        <w:jc w:val="center"/>
      </w:pPr>
      <w:r>
        <w:rPr>
          <w:noProof/>
        </w:rPr>
        <w:drawing>
          <wp:inline distT="0" distB="0" distL="0" distR="0" wp14:anchorId="5485A7D9" wp14:editId="451BBF8F">
            <wp:extent cx="5583555" cy="2152650"/>
            <wp:effectExtent l="0" t="0" r="0" b="0"/>
            <wp:docPr id="7" name="Wykres 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3FD6EBA" w14:textId="730365F8" w:rsidR="00BF45E6" w:rsidRPr="002A2CD6" w:rsidRDefault="00373A08" w:rsidP="00E652B3">
      <w:pPr>
        <w:ind w:firstLine="708"/>
        <w:jc w:val="both"/>
      </w:pPr>
      <w:r>
        <w:t>Rozkład miesięczny w 2026 r. charakteryzuje się dużą stabilnością. Zjawisko to kontrastuje</w:t>
      </w:r>
      <w:r>
        <w:br/>
        <w:t xml:space="preserve"> z rokiem 2025, który cechował się bardzo wysokim pułapem wyjściowym w pierwszym kwartale (średnio ponad 1,7 tys. wniosków miesięcznie), po czym następował stopniowy, liniowy spadek liczby rejestracji aż do końca roku. W 2026 roku napływ przez pierwsze dziewięć miesięcy stabilnie oscylował wokół średniej </w:t>
      </w:r>
      <w:r w:rsidRPr="00373A08">
        <w:rPr>
          <w:b/>
          <w:bCs/>
        </w:rPr>
        <w:t>485</w:t>
      </w:r>
      <w:r>
        <w:t xml:space="preserve"> osób miesięcznie, wykazując pełną odporność na wahania sezonowe. Najniższy miesięczny wolumen w całym analizowanym okresie odnotowano w sierpniu 2026 r. (</w:t>
      </w:r>
      <w:r w:rsidRPr="00373A08">
        <w:rPr>
          <w:b/>
          <w:bCs/>
        </w:rPr>
        <w:t>366</w:t>
      </w:r>
      <w:r>
        <w:t xml:space="preserve"> wniosków)</w:t>
      </w:r>
      <w:r>
        <w:br/>
        <w:t xml:space="preserve"> i był to najniższy wynik od czerwca 2021 r.</w:t>
      </w:r>
    </w:p>
    <w:p w14:paraId="4916146A" w14:textId="481F9CAD" w:rsidR="00334995" w:rsidRDefault="00B721DF" w:rsidP="00B721DF">
      <w:r>
        <w:rPr>
          <w:noProof/>
        </w:rPr>
        <w:drawing>
          <wp:inline distT="0" distB="0" distL="0" distR="0" wp14:anchorId="33245AF2" wp14:editId="2276C306">
            <wp:extent cx="5760720" cy="2559050"/>
            <wp:effectExtent l="0" t="0" r="0" b="0"/>
            <wp:docPr id="8" name="Wykres 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34E3246" w14:textId="16CEBAF5" w:rsidR="00F26765" w:rsidRPr="00F26765" w:rsidRDefault="00F26765" w:rsidP="00F26765">
      <w:pPr>
        <w:ind w:firstLine="360"/>
        <w:jc w:val="both"/>
      </w:pPr>
      <w:r w:rsidRPr="00F26765">
        <w:lastRenderedPageBreak/>
        <w:t xml:space="preserve">W okresie od 1 stycznia do 30 września 2026 r. wnioski zostały złożone przez obywateli 84 państw. Trzon krajów pochodzenia pozostaje niezmienny i jest zdominowany przez obywateli trzech państw (Ukraina, Białoruś, Rosja), którzy odpowiadają łącznie za </w:t>
      </w:r>
      <w:r w:rsidRPr="00F26765">
        <w:rPr>
          <w:b/>
        </w:rPr>
        <w:t xml:space="preserve">75% </w:t>
      </w:r>
      <w:r w:rsidRPr="00F26765">
        <w:t xml:space="preserve">wszystkich zarejestrowanych spraw </w:t>
      </w:r>
      <w:r>
        <w:br/>
      </w:r>
      <w:r w:rsidRPr="00F26765">
        <w:t>w kraju. Zderzenie tych danych z analogicznym okresem 2025 roku pozwala na precyzyjne wyliczenie spadków w poszczególnych grupach:</w:t>
      </w:r>
    </w:p>
    <w:p w14:paraId="40EAB108" w14:textId="27B4EAF0" w:rsidR="00F26765" w:rsidRPr="00F26765" w:rsidRDefault="00F26765" w:rsidP="00F26765">
      <w:pPr>
        <w:pStyle w:val="z1qcye"/>
        <w:spacing w:before="0" w:beforeAutospacing="0" w:after="0" w:afterAutospacing="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val="pl-PL" w:eastAsia="en-US"/>
        </w:rPr>
      </w:pPr>
      <w:r w:rsidRPr="00F26765">
        <w:rPr>
          <w:rFonts w:asciiTheme="minorHAnsi" w:eastAsiaTheme="minorHAnsi" w:hAnsiTheme="minorHAnsi" w:cstheme="minorBidi"/>
          <w:b/>
          <w:sz w:val="22"/>
          <w:szCs w:val="22"/>
          <w:lang w:val="pl-PL" w:eastAsia="en-US"/>
        </w:rPr>
        <w:t xml:space="preserve">Ukraina – 1,6 tys. 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 xml:space="preserve">osób w 2026 r. w porównaniu do </w:t>
      </w:r>
      <w:r w:rsidRPr="00F26765">
        <w:rPr>
          <w:rFonts w:asciiTheme="minorHAnsi" w:eastAsiaTheme="minorHAnsi" w:hAnsiTheme="minorHAnsi" w:cstheme="minorBidi"/>
          <w:b/>
          <w:sz w:val="22"/>
          <w:szCs w:val="22"/>
          <w:lang w:val="pl-PL" w:eastAsia="en-US"/>
        </w:rPr>
        <w:t>6,3 tys.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 xml:space="preserve"> osób w analogicznym okresie 2025 r. </w:t>
      </w:r>
      <w:r w:rsidRPr="00F26765">
        <w:rPr>
          <w:rFonts w:asciiTheme="minorHAnsi" w:eastAsiaTheme="minorHAnsi" w:hAnsiTheme="minorHAnsi" w:cstheme="minorBidi"/>
          <w:b/>
          <w:sz w:val="22"/>
          <w:szCs w:val="22"/>
          <w:lang w:val="pl-PL" w:eastAsia="en-US"/>
        </w:rPr>
        <w:t>(spadek o 74%).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 xml:space="preserve"> Udział Ukraińców w ogóle spraw spadł z 56% w 2025 r. do 37% w 2026 r. Jest to bezpośredni efekt systemowej ewolucji przepisów o ochronie czasowej, która umożliwia migrantom płynne przechodzenie do standardowych procedur pobytu czasowego u wojewodów.</w:t>
      </w:r>
    </w:p>
    <w:p w14:paraId="4A7DEE47" w14:textId="77777777" w:rsidR="00F26765" w:rsidRDefault="00F26765" w:rsidP="00F26765">
      <w:pPr>
        <w:pStyle w:val="z1qcye"/>
        <w:spacing w:before="0" w:beforeAutospacing="0" w:after="0" w:afterAutospacing="0"/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</w:pPr>
    </w:p>
    <w:p w14:paraId="0696642A" w14:textId="6E16337A" w:rsidR="00F26765" w:rsidRPr="00F26765" w:rsidRDefault="00F26765" w:rsidP="00F26765">
      <w:pPr>
        <w:pStyle w:val="z1qcye"/>
        <w:spacing w:before="0" w:beforeAutospacing="0" w:after="0" w:afterAutospacing="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val="pl-PL" w:eastAsia="en-US"/>
        </w:rPr>
      </w:pPr>
      <w:r w:rsidRPr="00F26765"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Białoruś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 xml:space="preserve"> – </w:t>
      </w:r>
      <w:r w:rsidRPr="00F26765"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1</w:t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,</w:t>
      </w:r>
      <w:r w:rsidRPr="00F26765"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2</w:t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 xml:space="preserve"> tys.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 xml:space="preserve"> os</w:t>
      </w:r>
      <w:r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>ób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 xml:space="preserve"> w 2026 r. w porównaniu do </w:t>
      </w:r>
      <w:r w:rsidRPr="00F26765"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2</w:t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,2 tys.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 xml:space="preserve"> osób w analogicznym okresie 2025 r. (</w:t>
      </w:r>
      <w:r w:rsidRPr="00F26765"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spadek o 4</w:t>
      </w:r>
      <w:r w:rsidR="008D47BF"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7</w:t>
      </w:r>
      <w:r w:rsidRPr="00F26765"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%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>). Białorusini stanowią obecnie 2</w:t>
      </w:r>
      <w:r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>9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>% ogółu wnioskodawców w Polsce.</w:t>
      </w:r>
    </w:p>
    <w:p w14:paraId="22D43557" w14:textId="77777777" w:rsidR="00F26765" w:rsidRDefault="00F26765" w:rsidP="00F26765">
      <w:pPr>
        <w:pStyle w:val="z1qcye"/>
        <w:spacing w:before="0" w:beforeAutospacing="0" w:after="0" w:afterAutospacing="0"/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</w:pPr>
    </w:p>
    <w:p w14:paraId="528D5415" w14:textId="687AB5E4" w:rsidR="00F26765" w:rsidRDefault="00F26765" w:rsidP="00F26765">
      <w:pPr>
        <w:pStyle w:val="z1qcye"/>
        <w:spacing w:before="0" w:beforeAutospacing="0" w:after="0" w:afterAutospacing="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val="pl-PL" w:eastAsia="en-US"/>
        </w:rPr>
      </w:pPr>
      <w:r w:rsidRPr="00F26765"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Rosja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 xml:space="preserve"> – </w:t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0,4 tys.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 xml:space="preserve"> osób w 2026 r. w porównaniu do </w:t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0,5 tys.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 xml:space="preserve"> osób w analogicznym okresie 2025 r. (</w:t>
      </w:r>
      <w:r w:rsidRPr="00F26765"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spadek o 2</w:t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4</w:t>
      </w:r>
      <w:r w:rsidRPr="00F26765"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%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>). Obywatele Rosji generują obecnie 9% wszystkich krajowych postępowań.</w:t>
      </w:r>
    </w:p>
    <w:p w14:paraId="572D1B28" w14:textId="77777777" w:rsidR="00F26765" w:rsidRPr="00F26765" w:rsidRDefault="00F26765" w:rsidP="00F26765">
      <w:pPr>
        <w:pStyle w:val="z1qcye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val="pl-PL" w:eastAsia="en-US"/>
        </w:rPr>
      </w:pPr>
    </w:p>
    <w:p w14:paraId="12DF85A5" w14:textId="7CB465AA" w:rsidR="00F26765" w:rsidRDefault="00F26765" w:rsidP="00F26765">
      <w:pPr>
        <w:pStyle w:val="z1qcye"/>
        <w:spacing w:before="0" w:beforeAutospacing="0" w:after="0" w:afterAutospacing="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val="pl-PL" w:eastAsia="en-US"/>
        </w:rPr>
      </w:pPr>
      <w:r w:rsidRPr="00F26765"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Tadżykistan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 xml:space="preserve"> – </w:t>
      </w:r>
      <w:r w:rsidRPr="00F26765"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80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 xml:space="preserve"> osób w 2026 r. w porównaniu do </w:t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0,2 tys.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 xml:space="preserve"> osób w analogicznym okresie 2025 r. (</w:t>
      </w:r>
      <w:r w:rsidRPr="00F26765"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 xml:space="preserve">spadek o </w:t>
      </w:r>
      <w:r w:rsidR="008D47BF"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62</w:t>
      </w:r>
      <w:r w:rsidRPr="00F26765">
        <w:rPr>
          <w:rFonts w:asciiTheme="minorHAnsi" w:eastAsiaTheme="minorHAnsi" w:hAnsiTheme="minorHAnsi" w:cstheme="minorBidi"/>
          <w:b/>
          <w:bCs/>
          <w:sz w:val="22"/>
          <w:szCs w:val="22"/>
          <w:lang w:val="pl-PL" w:eastAsia="en-US"/>
        </w:rPr>
        <w:t>%</w:t>
      </w:r>
      <w:r w:rsidRPr="00F26765">
        <w:rPr>
          <w:rFonts w:asciiTheme="minorHAnsi" w:eastAsiaTheme="minorHAnsi" w:hAnsiTheme="minorHAnsi" w:cstheme="minorBidi"/>
          <w:sz w:val="22"/>
          <w:szCs w:val="22"/>
          <w:lang w:val="pl-PL" w:eastAsia="en-US"/>
        </w:rPr>
        <w:t>).</w:t>
      </w:r>
    </w:p>
    <w:p w14:paraId="59EB707C" w14:textId="6ECCDA44" w:rsidR="00F26765" w:rsidRPr="00F26765" w:rsidRDefault="00F26765" w:rsidP="00F26765">
      <w:pPr>
        <w:spacing w:after="180" w:line="240" w:lineRule="auto"/>
      </w:pPr>
    </w:p>
    <w:p w14:paraId="43DE45D5" w14:textId="216CF015" w:rsidR="00F26765" w:rsidRDefault="00F26765" w:rsidP="00F26765">
      <w:pPr>
        <w:spacing w:after="180" w:line="276" w:lineRule="auto"/>
        <w:jc w:val="both"/>
      </w:pPr>
      <w:r>
        <w:t>Wyraźne spadki wolumenów na kierunku białoruskim, rosyjskim oraz tadżyckim są bezpośrednią pochodną skutecznego uszczelnienia granicy państwowej na odcinku polsko-białoruskim przez służby mundurowe, co przełożyło się na zablokowanie i ograniczenie napływu migrantów za pośrednictwem sztucznie stymulowanego szlaku migracyjnego.</w:t>
      </w:r>
    </w:p>
    <w:p w14:paraId="078A2DEC" w14:textId="77777777" w:rsidR="00700416" w:rsidRDefault="00700416" w:rsidP="0070041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Państwa pochodzenia osób ubiegających się o udzielenie ochrony międzynarodowej w RP</w:t>
      </w:r>
    </w:p>
    <w:p w14:paraId="5B1066C3" w14:textId="77777777" w:rsidR="00700416" w:rsidRDefault="00700416" w:rsidP="00700416">
      <w:pPr>
        <w:jc w:val="center"/>
        <w:rPr>
          <w:noProof/>
        </w:rPr>
      </w:pPr>
      <w:r>
        <w:rPr>
          <w:noProof/>
          <w:lang w:eastAsia="pl-PL"/>
        </w:rPr>
        <w:drawing>
          <wp:inline distT="0" distB="0" distL="0" distR="0" wp14:anchorId="6B451553" wp14:editId="71B51872">
            <wp:extent cx="2520000" cy="1800000"/>
            <wp:effectExtent l="0" t="0" r="0" b="0"/>
            <wp:docPr id="3" name="Wykres 3">
              <a:extLst xmlns:a="http://schemas.openxmlformats.org/drawingml/2006/main">
                <a:ext uri="{FF2B5EF4-FFF2-40B4-BE49-F238E27FC236}">
                  <a16:creationId xmlns:a16="http://schemas.microsoft.com/office/drawing/2014/main" id="{2523DC47-409F-49A7-B9BA-3FB3EDF02A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507363">
        <w:rPr>
          <w:noProof/>
        </w:rPr>
        <w:t xml:space="preserve"> </w:t>
      </w:r>
      <w:r>
        <w:rPr>
          <w:noProof/>
          <w:lang w:eastAsia="pl-PL"/>
        </w:rPr>
        <w:drawing>
          <wp:inline distT="0" distB="0" distL="0" distR="0" wp14:anchorId="1DE7AB1F" wp14:editId="5B9C7411">
            <wp:extent cx="2520000" cy="1800000"/>
            <wp:effectExtent l="0" t="0" r="0" b="0"/>
            <wp:docPr id="1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F43313E" w14:textId="3BC326A9" w:rsidR="00700416" w:rsidRDefault="003D61A5" w:rsidP="00700416">
      <w:pPr>
        <w:jc w:val="center"/>
        <w:rPr>
          <w:noProof/>
          <w:lang w:eastAsia="pl-PL"/>
        </w:rPr>
      </w:pPr>
      <w:r>
        <w:rPr>
          <w:noProof/>
        </w:rPr>
        <w:drawing>
          <wp:inline distT="0" distB="0" distL="0" distR="0" wp14:anchorId="48AEFE01" wp14:editId="0D3A59FC">
            <wp:extent cx="2520000" cy="1800000"/>
            <wp:effectExtent l="0" t="0" r="0" b="0"/>
            <wp:docPr id="2" name="Wykres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0844DBC" w14:textId="4BCFB366" w:rsidR="008D47BF" w:rsidRPr="00F26765" w:rsidRDefault="008D47BF" w:rsidP="00F26765">
      <w:pPr>
        <w:spacing w:after="180" w:line="276" w:lineRule="auto"/>
        <w:jc w:val="both"/>
      </w:pPr>
      <w:r>
        <w:lastRenderedPageBreak/>
        <w:t xml:space="preserve">Geograficzny rozkład przyjmowania wniosków w Polsce wykazuje silną koncentrację w aglomeracji stołecznej. Węzeł warszawski odpowiada za </w:t>
      </w:r>
      <w:r w:rsidRPr="008D47BF">
        <w:rPr>
          <w:b/>
          <w:bCs/>
        </w:rPr>
        <w:t>43%</w:t>
      </w:r>
      <w:r>
        <w:t xml:space="preserve"> rejestracji, z czego na poszczególne placówki Straży Granicznej przypada: PSG Warszawa (38%), PSG Warszawa-Modlin (3%) oraz PSG Warszawa-Okęcie (2%). Pozostały ruch rozkłada się równomiernie (po ok. 4%) pomiędzy kluczowy punkt recepcyjny na wschodzie (PSG Biała Podlaska) oraz duże aglomeracje miejskie (Gdańsk, Poznań, Wrocław, Kraków).</w:t>
      </w:r>
    </w:p>
    <w:p w14:paraId="54A3B02D" w14:textId="77777777" w:rsidR="00213190" w:rsidRPr="00213190" w:rsidRDefault="00213190" w:rsidP="00213190">
      <w:pPr>
        <w:jc w:val="both"/>
        <w:rPr>
          <w:b/>
          <w:color w:val="002060"/>
        </w:rPr>
      </w:pPr>
    </w:p>
    <w:p w14:paraId="39BAA52F" w14:textId="5B39D4C0" w:rsidR="008D47BF" w:rsidRPr="00213190" w:rsidRDefault="00213190" w:rsidP="00213190">
      <w:pPr>
        <w:jc w:val="both"/>
        <w:rPr>
          <w:b/>
          <w:color w:val="002060"/>
        </w:rPr>
      </w:pPr>
      <w:r w:rsidRPr="00213190">
        <w:rPr>
          <w:b/>
          <w:color w:val="002060"/>
        </w:rPr>
        <w:t>KONTEKST EUROPEJSKI</w:t>
      </w:r>
    </w:p>
    <w:p w14:paraId="78F4F710" w14:textId="77777777" w:rsidR="00213190" w:rsidRDefault="00213190" w:rsidP="00837876">
      <w:pPr>
        <w:ind w:firstLine="708"/>
        <w:jc w:val="both"/>
      </w:pPr>
    </w:p>
    <w:p w14:paraId="7F682E7E" w14:textId="26AA93CD" w:rsidR="00FB46B1" w:rsidRDefault="00413CD9" w:rsidP="00837876">
      <w:pPr>
        <w:ind w:firstLine="708"/>
        <w:jc w:val="both"/>
      </w:pPr>
      <w:r w:rsidRPr="00413CD9">
        <w:t xml:space="preserve">Z analizy wstępnych danych Agencji Unii Europejskiej ds. Azylu (EUAA) wynika, że w skali całej Europy (UE+) skumulowana liczba wniosków o ochronę międzynarodową złożonych od początku roku do końca </w:t>
      </w:r>
      <w:r w:rsidR="0035054E">
        <w:t>września</w:t>
      </w:r>
      <w:r w:rsidRPr="00413CD9">
        <w:t xml:space="preserve"> 2026 r. wyniosła </w:t>
      </w:r>
      <w:r w:rsidR="00D25312" w:rsidRPr="00413CD9">
        <w:rPr>
          <w:b/>
        </w:rPr>
        <w:t>4</w:t>
      </w:r>
      <w:r w:rsidR="00092D10">
        <w:rPr>
          <w:b/>
        </w:rPr>
        <w:t>6</w:t>
      </w:r>
      <w:r w:rsidR="008D47BF">
        <w:rPr>
          <w:b/>
        </w:rPr>
        <w:t>4</w:t>
      </w:r>
      <w:r w:rsidR="008E4FA0" w:rsidRPr="00413CD9">
        <w:rPr>
          <w:b/>
        </w:rPr>
        <w:t xml:space="preserve"> </w:t>
      </w:r>
      <w:r w:rsidR="00E13AE1" w:rsidRPr="00413CD9">
        <w:rPr>
          <w:b/>
        </w:rPr>
        <w:t xml:space="preserve"> tys. </w:t>
      </w:r>
      <w:r w:rsidR="00E13AE1" w:rsidRPr="00413CD9">
        <w:t xml:space="preserve">Statystyki potwierdzają zjawisko silnej koncentracji geograficznej </w:t>
      </w:r>
      <w:r w:rsidR="008D47BF" w:rsidRPr="008D47BF">
        <w:t xml:space="preserve">– zaledwie pięć państw przyjmuje aż </w:t>
      </w:r>
      <w:r w:rsidR="008D47BF" w:rsidRPr="008D47BF">
        <w:rPr>
          <w:b/>
        </w:rPr>
        <w:t>77%</w:t>
      </w:r>
      <w:r w:rsidR="008D47BF" w:rsidRPr="008D47BF">
        <w:t xml:space="preserve"> całego ciężaru migracyjnego Europy:</w:t>
      </w:r>
    </w:p>
    <w:p w14:paraId="016EC941" w14:textId="20D10101" w:rsidR="00D112EA" w:rsidRPr="00D25312" w:rsidRDefault="0054092F" w:rsidP="00D112EA">
      <w:pPr>
        <w:pStyle w:val="Akapitzlist"/>
        <w:numPr>
          <w:ilvl w:val="0"/>
          <w:numId w:val="3"/>
        </w:numPr>
        <w:jc w:val="both"/>
      </w:pPr>
      <w:r w:rsidRPr="00D25312">
        <w:rPr>
          <w:b/>
        </w:rPr>
        <w:t>Francja</w:t>
      </w:r>
      <w:r w:rsidR="00D112EA" w:rsidRPr="00D25312">
        <w:rPr>
          <w:b/>
        </w:rPr>
        <w:t>:</w:t>
      </w:r>
      <w:r w:rsidR="00D112EA" w:rsidRPr="00D25312">
        <w:t xml:space="preserve"> </w:t>
      </w:r>
      <w:r w:rsidR="00E44FEB">
        <w:t>102</w:t>
      </w:r>
      <w:r w:rsidR="00D112EA" w:rsidRPr="00D25312">
        <w:t xml:space="preserve"> tys. wniosków (</w:t>
      </w:r>
      <w:r w:rsidR="00633E3C" w:rsidRPr="00D25312">
        <w:t>2</w:t>
      </w:r>
      <w:r w:rsidR="00E44FEB">
        <w:t>2</w:t>
      </w:r>
      <w:r w:rsidR="00D112EA" w:rsidRPr="00D25312">
        <w:t>% ogółu),</w:t>
      </w:r>
    </w:p>
    <w:p w14:paraId="122B65C2" w14:textId="237AB967" w:rsidR="00D112EA" w:rsidRPr="00D25312" w:rsidRDefault="0054092F" w:rsidP="00D112EA">
      <w:pPr>
        <w:pStyle w:val="Akapitzlist"/>
        <w:numPr>
          <w:ilvl w:val="0"/>
          <w:numId w:val="3"/>
        </w:numPr>
        <w:jc w:val="both"/>
      </w:pPr>
      <w:r w:rsidRPr="00D25312">
        <w:rPr>
          <w:b/>
        </w:rPr>
        <w:t>Włochy:</w:t>
      </w:r>
      <w:r w:rsidR="00D112EA" w:rsidRPr="00D25312">
        <w:t xml:space="preserve"> </w:t>
      </w:r>
      <w:r w:rsidR="008E4FA0" w:rsidRPr="00D25312">
        <w:t>7</w:t>
      </w:r>
      <w:r w:rsidR="00C44877">
        <w:t>9</w:t>
      </w:r>
      <w:r w:rsidR="00D112EA" w:rsidRPr="00D25312">
        <w:t xml:space="preserve"> tys. wniosków (</w:t>
      </w:r>
      <w:r w:rsidR="00D25312" w:rsidRPr="00D25312">
        <w:t>1</w:t>
      </w:r>
      <w:r w:rsidR="00E44FEB">
        <w:t>7</w:t>
      </w:r>
      <w:r w:rsidR="00D112EA" w:rsidRPr="00D25312">
        <w:t>% ogółu),</w:t>
      </w:r>
    </w:p>
    <w:p w14:paraId="25EB7E39" w14:textId="219F989F" w:rsidR="00D112EA" w:rsidRPr="00D25312" w:rsidRDefault="008E4FA0" w:rsidP="00D112EA">
      <w:pPr>
        <w:pStyle w:val="Akapitzlist"/>
        <w:numPr>
          <w:ilvl w:val="0"/>
          <w:numId w:val="3"/>
        </w:numPr>
        <w:jc w:val="both"/>
      </w:pPr>
      <w:r w:rsidRPr="00D25312">
        <w:rPr>
          <w:b/>
        </w:rPr>
        <w:t>Niemcy</w:t>
      </w:r>
      <w:r w:rsidR="00D112EA" w:rsidRPr="00D25312">
        <w:rPr>
          <w:b/>
        </w:rPr>
        <w:t>:</w:t>
      </w:r>
      <w:r w:rsidR="00D112EA" w:rsidRPr="00D25312">
        <w:t xml:space="preserve"> </w:t>
      </w:r>
      <w:r w:rsidR="00E44FEB">
        <w:t>72</w:t>
      </w:r>
      <w:r w:rsidR="00D112EA" w:rsidRPr="00D25312">
        <w:t xml:space="preserve"> tys. wniosków (</w:t>
      </w:r>
      <w:r w:rsidRPr="00D25312">
        <w:t>1</w:t>
      </w:r>
      <w:r w:rsidR="00C44877">
        <w:t>6</w:t>
      </w:r>
      <w:r w:rsidR="00D112EA" w:rsidRPr="00D25312">
        <w:t>% ogółu),</w:t>
      </w:r>
    </w:p>
    <w:p w14:paraId="5DB09002" w14:textId="5B35356A" w:rsidR="00D112EA" w:rsidRDefault="008E4FA0" w:rsidP="00D112EA">
      <w:pPr>
        <w:pStyle w:val="Akapitzlist"/>
        <w:numPr>
          <w:ilvl w:val="0"/>
          <w:numId w:val="3"/>
        </w:numPr>
        <w:jc w:val="both"/>
      </w:pPr>
      <w:r w:rsidRPr="00D25312">
        <w:rPr>
          <w:b/>
        </w:rPr>
        <w:t>Hiszpania</w:t>
      </w:r>
      <w:r w:rsidR="00D112EA" w:rsidRPr="00D25312">
        <w:rPr>
          <w:b/>
        </w:rPr>
        <w:t>:</w:t>
      </w:r>
      <w:r w:rsidR="00D112EA" w:rsidRPr="00D25312">
        <w:t xml:space="preserve"> </w:t>
      </w:r>
      <w:r w:rsidR="00D25312" w:rsidRPr="00D25312">
        <w:t>6</w:t>
      </w:r>
      <w:r w:rsidR="00E44FEB">
        <w:t>5</w:t>
      </w:r>
      <w:r w:rsidR="00D112EA" w:rsidRPr="00D25312">
        <w:t xml:space="preserve"> tys. wniosków (1</w:t>
      </w:r>
      <w:r w:rsidR="00E44FEB">
        <w:t>4</w:t>
      </w:r>
      <w:r w:rsidR="007E413E" w:rsidRPr="00D25312">
        <w:t>%</w:t>
      </w:r>
      <w:r w:rsidR="00D112EA" w:rsidRPr="00D25312">
        <w:t xml:space="preserve"> ogółu)</w:t>
      </w:r>
      <w:r w:rsidR="00413CD9">
        <w:t>,</w:t>
      </w:r>
    </w:p>
    <w:p w14:paraId="0BDFBD9C" w14:textId="4F63A0BF" w:rsidR="008D47BF" w:rsidRDefault="00413CD9" w:rsidP="00C44877">
      <w:pPr>
        <w:pStyle w:val="Akapitzlist"/>
        <w:numPr>
          <w:ilvl w:val="0"/>
          <w:numId w:val="3"/>
        </w:numPr>
        <w:jc w:val="both"/>
      </w:pPr>
      <w:r>
        <w:rPr>
          <w:b/>
        </w:rPr>
        <w:t>Grecja:</w:t>
      </w:r>
      <w:r>
        <w:t xml:space="preserve"> </w:t>
      </w:r>
      <w:r w:rsidR="00E44FEB">
        <w:t>40</w:t>
      </w:r>
      <w:r>
        <w:t xml:space="preserve"> tys. wniosków (</w:t>
      </w:r>
      <w:r w:rsidR="00E44FEB">
        <w:t>9</w:t>
      </w:r>
      <w:r>
        <w:t>% ogółu)</w:t>
      </w:r>
    </w:p>
    <w:p w14:paraId="5F5D8E3F" w14:textId="77E1612C" w:rsidR="00C44877" w:rsidRDefault="00E13AE1" w:rsidP="00C44877">
      <w:pPr>
        <w:jc w:val="both"/>
      </w:pPr>
      <w:r w:rsidRPr="00E13AE1">
        <w:t>Polska z</w:t>
      </w:r>
      <w:r w:rsidR="00C44877">
        <w:t xml:space="preserve"> w</w:t>
      </w:r>
      <w:r w:rsidRPr="00E13AE1">
        <w:t xml:space="preserve">ynikiem </w:t>
      </w:r>
      <w:r w:rsidR="00814F28">
        <w:rPr>
          <w:b/>
        </w:rPr>
        <w:t>4</w:t>
      </w:r>
      <w:r w:rsidR="00E44FEB">
        <w:rPr>
          <w:b/>
        </w:rPr>
        <w:t>,4</w:t>
      </w:r>
      <w:r w:rsidRPr="00E13AE1">
        <w:rPr>
          <w:b/>
        </w:rPr>
        <w:t xml:space="preserve"> tys. wniosków</w:t>
      </w:r>
      <w:r w:rsidRPr="00E13AE1">
        <w:t xml:space="preserve"> plasuje się na </w:t>
      </w:r>
      <w:r w:rsidRPr="00E13AE1">
        <w:rPr>
          <w:b/>
        </w:rPr>
        <w:t>1</w:t>
      </w:r>
      <w:r w:rsidR="00D25312">
        <w:rPr>
          <w:b/>
        </w:rPr>
        <w:t>3</w:t>
      </w:r>
      <w:r w:rsidRPr="00E13AE1">
        <w:rPr>
          <w:b/>
        </w:rPr>
        <w:t xml:space="preserve">. </w:t>
      </w:r>
      <w:r w:rsidR="00C44877" w:rsidRPr="00E13AE1">
        <w:rPr>
          <w:b/>
        </w:rPr>
        <w:t>P</w:t>
      </w:r>
      <w:r w:rsidRPr="00E13AE1">
        <w:rPr>
          <w:b/>
        </w:rPr>
        <w:t>ozycji</w:t>
      </w:r>
      <w:r w:rsidR="00C44877">
        <w:rPr>
          <w:b/>
        </w:rPr>
        <w:t xml:space="preserve"> </w:t>
      </w:r>
      <w:r w:rsidR="00C44877" w:rsidRPr="00C44877">
        <w:rPr>
          <w:b/>
        </w:rPr>
        <w:t>w Europie</w:t>
      </w:r>
      <w:r w:rsidR="00413CD9">
        <w:rPr>
          <w:b/>
        </w:rPr>
        <w:t xml:space="preserve">, </w:t>
      </w:r>
      <w:r w:rsidR="00C44877">
        <w:t xml:space="preserve">odpowiadając za </w:t>
      </w:r>
      <w:r w:rsidR="00413CD9" w:rsidRPr="00413CD9">
        <w:t xml:space="preserve"> </w:t>
      </w:r>
      <w:r w:rsidR="00413CD9" w:rsidRPr="009B5722">
        <w:rPr>
          <w:b/>
        </w:rPr>
        <w:t>niespełna 1%</w:t>
      </w:r>
      <w:r w:rsidR="00413CD9" w:rsidRPr="00413CD9">
        <w:t xml:space="preserve"> </w:t>
      </w:r>
      <w:r w:rsidR="00C44877" w:rsidRPr="00C44877">
        <w:t xml:space="preserve">ogólnoeuropejskiego </w:t>
      </w:r>
      <w:r w:rsidR="00413CD9" w:rsidRPr="00413CD9">
        <w:t xml:space="preserve">napływu. </w:t>
      </w:r>
      <w:r w:rsidR="00C44877">
        <w:t xml:space="preserve">Zestawienie EUAA </w:t>
      </w:r>
      <w:r w:rsidR="00213190" w:rsidRPr="00213190">
        <w:t xml:space="preserve">dotyczące 30 głównych obywatelstw (TOP 30) uwypukla </w:t>
      </w:r>
      <w:r w:rsidR="00C44877">
        <w:t xml:space="preserve">asymetrię strukturalną Polski względem Europy Zachodniej i Południowej. Główne państwa pochodzenia generujące </w:t>
      </w:r>
      <w:r w:rsidR="00213190" w:rsidRPr="00213190">
        <w:t>presję w UE+ stanowią w Polsce margines statystyczny:</w:t>
      </w:r>
    </w:p>
    <w:p w14:paraId="12AFC9DA" w14:textId="65184DEC" w:rsidR="00313064" w:rsidRDefault="00313064" w:rsidP="00C44877">
      <w:pPr>
        <w:jc w:val="both"/>
      </w:pPr>
      <w:r w:rsidRPr="00213190">
        <w:rPr>
          <w:b/>
          <w:bCs/>
        </w:rPr>
        <w:t>Afganistan (</w:t>
      </w:r>
      <w:r w:rsidR="00213190">
        <w:rPr>
          <w:b/>
          <w:bCs/>
        </w:rPr>
        <w:t>l</w:t>
      </w:r>
      <w:r w:rsidRPr="00213190">
        <w:rPr>
          <w:b/>
          <w:bCs/>
        </w:rPr>
        <w:t xml:space="preserve">ider UE+ – </w:t>
      </w:r>
      <w:r w:rsidR="00213190">
        <w:rPr>
          <w:b/>
          <w:bCs/>
        </w:rPr>
        <w:t>54 tys. wniosków</w:t>
      </w:r>
      <w:r w:rsidRPr="00213190">
        <w:rPr>
          <w:b/>
          <w:bCs/>
        </w:rPr>
        <w:t>):</w:t>
      </w:r>
      <w:r>
        <w:t xml:space="preserve"> </w:t>
      </w:r>
      <w:r w:rsidR="00213190" w:rsidRPr="00213190">
        <w:t xml:space="preserve">Stanowi główną oś napływu do Niemiec (44% wniosków </w:t>
      </w:r>
      <w:r w:rsidR="00213190">
        <w:t>afgańskich</w:t>
      </w:r>
      <w:r w:rsidR="00213190" w:rsidRPr="00213190">
        <w:t>), Francji (17%) oraz Grecji (12%). W strukturze rejestracji w Polsce obywatele Afganistanu stanowią zaledwie 1% udziału (52 wnioski).</w:t>
      </w:r>
    </w:p>
    <w:p w14:paraId="70724A45" w14:textId="467D1996" w:rsidR="00213190" w:rsidRDefault="00213190" w:rsidP="00C44877">
      <w:pPr>
        <w:jc w:val="both"/>
      </w:pPr>
      <w:r w:rsidRPr="00213190">
        <w:rPr>
          <w:b/>
          <w:bCs/>
        </w:rPr>
        <w:t>Wenezuela (</w:t>
      </w:r>
      <w:r>
        <w:rPr>
          <w:b/>
          <w:bCs/>
        </w:rPr>
        <w:t>d</w:t>
      </w:r>
      <w:r w:rsidRPr="00213190">
        <w:rPr>
          <w:b/>
          <w:bCs/>
        </w:rPr>
        <w:t xml:space="preserve">rugi kierunek </w:t>
      </w:r>
      <w:r>
        <w:rPr>
          <w:b/>
          <w:bCs/>
        </w:rPr>
        <w:t xml:space="preserve">napływu do </w:t>
      </w:r>
      <w:r w:rsidRPr="00213190">
        <w:rPr>
          <w:b/>
          <w:bCs/>
        </w:rPr>
        <w:t>UE+ – 38</w:t>
      </w:r>
      <w:r>
        <w:rPr>
          <w:b/>
          <w:bCs/>
        </w:rPr>
        <w:t xml:space="preserve"> tys.</w:t>
      </w:r>
      <w:r w:rsidRPr="00213190">
        <w:rPr>
          <w:b/>
          <w:bCs/>
        </w:rPr>
        <w:t xml:space="preserve"> wniosków):</w:t>
      </w:r>
      <w:r>
        <w:t xml:space="preserve"> Wykazuje najwyższą koncentrację geograficzną na kontynencie – aż </w:t>
      </w:r>
      <w:r w:rsidRPr="00213190">
        <w:rPr>
          <w:b/>
          <w:bCs/>
        </w:rPr>
        <w:t>92% wszystkich wniosków składanych jest w Hiszpanii</w:t>
      </w:r>
      <w:r>
        <w:t>. W Polsce grupa ta ma charakter śladowy (</w:t>
      </w:r>
      <w:r w:rsidRPr="00213190">
        <w:rPr>
          <w:b/>
          <w:bCs/>
        </w:rPr>
        <w:t>17 wniosków</w:t>
      </w:r>
      <w:r>
        <w:t>).</w:t>
      </w:r>
    </w:p>
    <w:p w14:paraId="484B6A28" w14:textId="67DF38E2" w:rsidR="00213190" w:rsidRDefault="00213190" w:rsidP="00C44877">
      <w:pPr>
        <w:jc w:val="both"/>
      </w:pPr>
      <w:r w:rsidRPr="00213190">
        <w:rPr>
          <w:b/>
          <w:bCs/>
        </w:rPr>
        <w:t>Bangladesz (</w:t>
      </w:r>
      <w:r>
        <w:rPr>
          <w:b/>
          <w:bCs/>
        </w:rPr>
        <w:t>t</w:t>
      </w:r>
      <w:r w:rsidRPr="00213190">
        <w:rPr>
          <w:b/>
          <w:bCs/>
        </w:rPr>
        <w:t xml:space="preserve">rzeci kierunek UE+ – 27 </w:t>
      </w:r>
      <w:r w:rsidR="00C416E0">
        <w:rPr>
          <w:b/>
          <w:bCs/>
        </w:rPr>
        <w:t>tys.</w:t>
      </w:r>
      <w:r w:rsidRPr="00213190">
        <w:rPr>
          <w:b/>
          <w:bCs/>
        </w:rPr>
        <w:t xml:space="preserve"> wniosków) i Sudan (Czwarty kierunek UE+ – </w:t>
      </w:r>
      <w:r w:rsidR="00C416E0">
        <w:rPr>
          <w:b/>
          <w:bCs/>
        </w:rPr>
        <w:t>20 tys.</w:t>
      </w:r>
      <w:r w:rsidRPr="00213190">
        <w:rPr>
          <w:b/>
          <w:bCs/>
        </w:rPr>
        <w:t xml:space="preserve"> wniosków):</w:t>
      </w:r>
      <w:r>
        <w:t xml:space="preserve"> Są kluczowymi grupami dla południa Europy. Bangladesz kieruje się głównie do Włoch (52%) i Grecji (26%). Sudan wybiera Grecję (38%) i Francję (35%). W Polsce w okresie 9 miesięcy odnotowano znikome rejestracje: Bangladesz – </w:t>
      </w:r>
      <w:r w:rsidRPr="00213190">
        <w:rPr>
          <w:b/>
          <w:bCs/>
        </w:rPr>
        <w:t>26 wniosków</w:t>
      </w:r>
      <w:r>
        <w:t xml:space="preserve">, Sudan – </w:t>
      </w:r>
      <w:r w:rsidRPr="00213190">
        <w:rPr>
          <w:b/>
          <w:bCs/>
        </w:rPr>
        <w:t>18 wniosków</w:t>
      </w:r>
      <w:r>
        <w:t>.</w:t>
      </w:r>
    </w:p>
    <w:p w14:paraId="7996206C" w14:textId="77777777" w:rsidR="00700416" w:rsidRDefault="00700416" w:rsidP="00C44877">
      <w:pPr>
        <w:jc w:val="both"/>
      </w:pPr>
    </w:p>
    <w:p w14:paraId="53D2F577" w14:textId="5D89D90B" w:rsidR="00C416E0" w:rsidRDefault="00C416E0" w:rsidP="00C416E0">
      <w:pPr>
        <w:spacing w:line="276" w:lineRule="auto"/>
        <w:jc w:val="both"/>
      </w:pPr>
      <w:r>
        <w:t>Porównanie raportów wykazuje, że Polska (obok Czech i Litwy) działa jako specyficzny absorber migracji z Europy Wschodniej, co całkowicie odróżnia ją od reszty kontynentu:</w:t>
      </w:r>
    </w:p>
    <w:p w14:paraId="0C5856F0" w14:textId="1B20E13F" w:rsidR="00700416" w:rsidRDefault="00700416" w:rsidP="00C416E0">
      <w:pPr>
        <w:spacing w:line="276" w:lineRule="auto"/>
        <w:jc w:val="both"/>
      </w:pPr>
      <w:r w:rsidRPr="00700416">
        <w:rPr>
          <w:b/>
          <w:bCs/>
        </w:rPr>
        <w:t>Obywatele Ukrainy:</w:t>
      </w:r>
      <w:r>
        <w:t xml:space="preserve"> W całej UE+ złożyli </w:t>
      </w:r>
      <w:r w:rsidRPr="00700416">
        <w:rPr>
          <w:b/>
          <w:bCs/>
        </w:rPr>
        <w:t>1</w:t>
      </w:r>
      <w:r>
        <w:rPr>
          <w:b/>
          <w:bCs/>
        </w:rPr>
        <w:t>3 tys.</w:t>
      </w:r>
      <w:r>
        <w:t xml:space="preserve"> wniosków o ochronę międzynarodową (10. miejsce w Europie). Głównym krajem przyjmującym w tym trybie jest Francja (49%), a </w:t>
      </w:r>
      <w:r w:rsidRPr="00700416">
        <w:rPr>
          <w:b/>
          <w:bCs/>
        </w:rPr>
        <w:t>Polska zajmuje 2. miejsce w Europie (13% udziału)</w:t>
      </w:r>
      <w:r>
        <w:t>. W samej Polsce stanowią oni największą grupę wnioskodawców (37% krajowego udziału).</w:t>
      </w:r>
    </w:p>
    <w:p w14:paraId="576DE170" w14:textId="422968E0" w:rsidR="00700416" w:rsidRDefault="00700416" w:rsidP="00C416E0">
      <w:pPr>
        <w:spacing w:line="276" w:lineRule="auto"/>
        <w:jc w:val="both"/>
      </w:pPr>
      <w:r w:rsidRPr="00700416">
        <w:rPr>
          <w:b/>
          <w:bCs/>
        </w:rPr>
        <w:lastRenderedPageBreak/>
        <w:t>Obywatele Rosji:</w:t>
      </w:r>
      <w:r>
        <w:t xml:space="preserve"> W całej UE+ złożyli </w:t>
      </w:r>
      <w:r w:rsidRPr="00700416">
        <w:rPr>
          <w:b/>
          <w:bCs/>
        </w:rPr>
        <w:t>6</w:t>
      </w:r>
      <w:r>
        <w:rPr>
          <w:b/>
          <w:bCs/>
        </w:rPr>
        <w:t>,</w:t>
      </w:r>
      <w:r w:rsidRPr="00700416">
        <w:rPr>
          <w:b/>
          <w:bCs/>
        </w:rPr>
        <w:t>6</w:t>
      </w:r>
      <w:r>
        <w:rPr>
          <w:b/>
          <w:bCs/>
        </w:rPr>
        <w:t xml:space="preserve"> tys.</w:t>
      </w:r>
      <w:r>
        <w:t xml:space="preserve"> wniosków (26. miejsce w Europie). Głównymi państwami przyjmującymi są Francja (29%) i Niemcy (27%). </w:t>
      </w:r>
      <w:r w:rsidRPr="00700416">
        <w:rPr>
          <w:b/>
          <w:bCs/>
        </w:rPr>
        <w:t>Polska plasuje się na 4. pozycji w Europie, przyjmując 6% wszystkich rosyjskich wniosków</w:t>
      </w:r>
      <w:r>
        <w:t xml:space="preserve"> (w kraju generują one 9% postępowań).</w:t>
      </w:r>
    </w:p>
    <w:p w14:paraId="49A92919" w14:textId="32A3C8A2" w:rsidR="00700416" w:rsidRPr="00C416E0" w:rsidRDefault="00700416" w:rsidP="00C416E0">
      <w:pPr>
        <w:spacing w:line="276" w:lineRule="auto"/>
        <w:jc w:val="both"/>
      </w:pPr>
      <w:r w:rsidRPr="00700416">
        <w:rPr>
          <w:b/>
          <w:bCs/>
        </w:rPr>
        <w:t>Obywatele Białorusi:</w:t>
      </w:r>
      <w:r>
        <w:t xml:space="preserve"> To państwo pochodzenia stanowi unikalną specyfikę regionu – nie mieści się </w:t>
      </w:r>
      <w:r>
        <w:br/>
        <w:t>w ogólnym zestawieniu TOP 30 raportu EUAA dla całej Europy, jednak w Polsce stanowi drugą największą grupę (</w:t>
      </w:r>
      <w:r w:rsidRPr="00700416">
        <w:rPr>
          <w:b/>
          <w:bCs/>
        </w:rPr>
        <w:t>1</w:t>
      </w:r>
      <w:r>
        <w:rPr>
          <w:b/>
          <w:bCs/>
        </w:rPr>
        <w:t>,</w:t>
      </w:r>
      <w:r w:rsidRPr="00700416">
        <w:rPr>
          <w:b/>
          <w:bCs/>
        </w:rPr>
        <w:t>2</w:t>
      </w:r>
      <w:r>
        <w:rPr>
          <w:b/>
          <w:bCs/>
        </w:rPr>
        <w:t xml:space="preserve"> tys.</w:t>
      </w:r>
      <w:r w:rsidRPr="00700416">
        <w:rPr>
          <w:b/>
          <w:bCs/>
        </w:rPr>
        <w:t xml:space="preserve"> wniosk</w:t>
      </w:r>
      <w:r>
        <w:rPr>
          <w:b/>
          <w:bCs/>
        </w:rPr>
        <w:t>ów</w:t>
      </w:r>
      <w:r w:rsidRPr="00700416">
        <w:rPr>
          <w:b/>
          <w:bCs/>
        </w:rPr>
        <w:t xml:space="preserve"> – 2</w:t>
      </w:r>
      <w:r>
        <w:rPr>
          <w:b/>
          <w:bCs/>
        </w:rPr>
        <w:t>9</w:t>
      </w:r>
      <w:r w:rsidRPr="00700416">
        <w:rPr>
          <w:b/>
          <w:bCs/>
        </w:rPr>
        <w:t>% ogółu</w:t>
      </w:r>
      <w:r>
        <w:t>). Obok Polski, Białorusini stanowią trzon systemowy jedynie na Litwie (27% ich napływu) oraz Słowacji (6%).</w:t>
      </w:r>
    </w:p>
    <w:p w14:paraId="7C51E489" w14:textId="77777777" w:rsidR="0003760A" w:rsidRDefault="0003760A" w:rsidP="0003760A">
      <w:pPr>
        <w:jc w:val="both"/>
      </w:pPr>
    </w:p>
    <w:p w14:paraId="37BED9E5" w14:textId="33541032" w:rsidR="00322014" w:rsidRPr="007807E7" w:rsidRDefault="007807E7" w:rsidP="0063626B">
      <w:pPr>
        <w:jc w:val="both"/>
        <w:rPr>
          <w:b/>
          <w:color w:val="002060"/>
        </w:rPr>
      </w:pPr>
      <w:r w:rsidRPr="007807E7">
        <w:rPr>
          <w:b/>
          <w:color w:val="002060"/>
        </w:rPr>
        <w:t>BILANS DECYZJI SZEFA UDSC</w:t>
      </w:r>
    </w:p>
    <w:p w14:paraId="247DAE57" w14:textId="63E09F47" w:rsidR="0003760A" w:rsidRDefault="007807E7" w:rsidP="0003760A">
      <w:pPr>
        <w:ind w:firstLine="708"/>
        <w:jc w:val="both"/>
      </w:pPr>
      <w:r w:rsidRPr="007807E7">
        <w:t xml:space="preserve">W analizowanym okresie trzech kwartałów 2026 roku Szef Urzędu do Spraw Cudzoziemców </w:t>
      </w:r>
      <w:r w:rsidR="0003760A" w:rsidRPr="002A2CD6">
        <w:t xml:space="preserve">wydał decyzje i rozstrzygnięcia wobec </w:t>
      </w:r>
      <w:r w:rsidR="00116518" w:rsidRPr="002A2CD6">
        <w:rPr>
          <w:b/>
        </w:rPr>
        <w:t>6</w:t>
      </w:r>
      <w:r w:rsidR="00124691">
        <w:rPr>
          <w:b/>
        </w:rPr>
        <w:t>,7</w:t>
      </w:r>
      <w:r w:rsidR="0003760A" w:rsidRPr="002A2CD6">
        <w:rPr>
          <w:b/>
        </w:rPr>
        <w:t xml:space="preserve"> tys. osób</w:t>
      </w:r>
      <w:r w:rsidR="0003760A" w:rsidRPr="002A2CD6">
        <w:t xml:space="preserve">. Ochronę międzynarodową w różnych formach </w:t>
      </w:r>
      <w:r w:rsidR="00A3692F" w:rsidRPr="002A2CD6">
        <w:t xml:space="preserve">(status uchodźcy lub ochrona uzupełniająca) </w:t>
      </w:r>
      <w:r w:rsidR="0003760A" w:rsidRPr="002A2CD6">
        <w:t>przyznano</w:t>
      </w:r>
      <w:r w:rsidR="00116518" w:rsidRPr="002A2CD6">
        <w:t xml:space="preserve"> </w:t>
      </w:r>
      <w:r w:rsidR="00116518" w:rsidRPr="002A2CD6">
        <w:rPr>
          <w:b/>
        </w:rPr>
        <w:t>1</w:t>
      </w:r>
      <w:r w:rsidR="00124691">
        <w:rPr>
          <w:b/>
        </w:rPr>
        <w:t>,1</w:t>
      </w:r>
      <w:r w:rsidR="00116518" w:rsidRPr="002A2CD6">
        <w:rPr>
          <w:b/>
        </w:rPr>
        <w:t xml:space="preserve"> tys.</w:t>
      </w:r>
      <w:r w:rsidR="0003760A" w:rsidRPr="002A2CD6">
        <w:rPr>
          <w:b/>
        </w:rPr>
        <w:t xml:space="preserve"> os</w:t>
      </w:r>
      <w:r w:rsidR="00A3692F" w:rsidRPr="002A2CD6">
        <w:rPr>
          <w:b/>
        </w:rPr>
        <w:t>ó</w:t>
      </w:r>
      <w:r w:rsidR="0003760A" w:rsidRPr="002A2CD6">
        <w:rPr>
          <w:b/>
        </w:rPr>
        <w:t>b</w:t>
      </w:r>
      <w:r w:rsidR="0003760A" w:rsidRPr="002A2CD6">
        <w:t>.</w:t>
      </w:r>
    </w:p>
    <w:p w14:paraId="3B4B5936" w14:textId="6070D145" w:rsidR="00795D60" w:rsidRDefault="00795D60" w:rsidP="00795D60">
      <w:pPr>
        <w:jc w:val="both"/>
      </w:pPr>
      <w:r>
        <w:rPr>
          <w:noProof/>
        </w:rPr>
        <w:drawing>
          <wp:inline distT="0" distB="0" distL="0" distR="0" wp14:anchorId="631931FC" wp14:editId="39C8595E">
            <wp:extent cx="5715000" cy="2755900"/>
            <wp:effectExtent l="0" t="0" r="0" b="0"/>
            <wp:docPr id="10" name="Wykres 1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5A422BC" w14:textId="21175DFE" w:rsidR="0063626B" w:rsidRPr="002A2CD6" w:rsidRDefault="0063626B" w:rsidP="00A3692F">
      <w:pPr>
        <w:spacing w:line="276" w:lineRule="auto"/>
        <w:jc w:val="both"/>
      </w:pPr>
      <w:r w:rsidRPr="002A2CD6">
        <w:rPr>
          <w:b/>
        </w:rPr>
        <w:t xml:space="preserve">Ochrona uzupełniająca (łącznie </w:t>
      </w:r>
      <w:r w:rsidR="00116518" w:rsidRPr="002A2CD6">
        <w:rPr>
          <w:b/>
        </w:rPr>
        <w:t>6</w:t>
      </w:r>
      <w:r w:rsidR="00124691">
        <w:rPr>
          <w:b/>
        </w:rPr>
        <w:t>74</w:t>
      </w:r>
      <w:r w:rsidRPr="002A2CD6">
        <w:rPr>
          <w:b/>
        </w:rPr>
        <w:t xml:space="preserve"> osób)</w:t>
      </w:r>
      <w:r w:rsidR="00A3692F" w:rsidRPr="002A2CD6">
        <w:rPr>
          <w:b/>
        </w:rPr>
        <w:t xml:space="preserve">: </w:t>
      </w:r>
      <w:r w:rsidR="007807E7" w:rsidRPr="007807E7">
        <w:t xml:space="preserve">Pozostaje najczęściej przyznawaną formą </w:t>
      </w:r>
      <w:r w:rsidRPr="002A2CD6">
        <w:t>wsparcia.</w:t>
      </w:r>
      <w:r w:rsidR="00A3692F" w:rsidRPr="002A2CD6">
        <w:t xml:space="preserve"> </w:t>
      </w:r>
      <w:r w:rsidRPr="002A2CD6">
        <w:t xml:space="preserve">Tegoroczny trzon beneficjentów </w:t>
      </w:r>
      <w:r w:rsidR="007807E7" w:rsidRPr="007807E7">
        <w:t xml:space="preserve">tej kategorii </w:t>
      </w:r>
      <w:r w:rsidRPr="002A2CD6">
        <w:t>tworzą:</w:t>
      </w:r>
    </w:p>
    <w:p w14:paraId="64D5695A" w14:textId="5FA662C2" w:rsidR="0063626B" w:rsidRPr="0063626B" w:rsidRDefault="0063626B" w:rsidP="00A21515">
      <w:pPr>
        <w:pStyle w:val="Akapitzlist"/>
        <w:numPr>
          <w:ilvl w:val="0"/>
          <w:numId w:val="19"/>
        </w:numPr>
        <w:spacing w:after="0" w:line="240" w:lineRule="auto"/>
      </w:pPr>
      <w:r w:rsidRPr="002A2CD6">
        <w:t>Białoruś: 3</w:t>
      </w:r>
      <w:r w:rsidR="00124691">
        <w:t>80</w:t>
      </w:r>
      <w:r w:rsidRPr="002A2CD6">
        <w:t xml:space="preserve"> osób (</w:t>
      </w:r>
      <w:r w:rsidR="00124691">
        <w:t>56</w:t>
      </w:r>
      <w:r w:rsidRPr="002A2CD6">
        <w:t xml:space="preserve">% </w:t>
      </w:r>
      <w:r w:rsidRPr="0063626B">
        <w:t>tej kategorii)</w:t>
      </w:r>
      <w:r w:rsidR="003B5F30">
        <w:t>,</w:t>
      </w:r>
    </w:p>
    <w:p w14:paraId="6A37807A" w14:textId="27506819" w:rsidR="0063626B" w:rsidRPr="0063626B" w:rsidRDefault="0063626B" w:rsidP="00A21515">
      <w:pPr>
        <w:pStyle w:val="Akapitzlist"/>
        <w:numPr>
          <w:ilvl w:val="0"/>
          <w:numId w:val="19"/>
        </w:numPr>
        <w:spacing w:after="0" w:line="240" w:lineRule="auto"/>
      </w:pPr>
      <w:r w:rsidRPr="0063626B">
        <w:t xml:space="preserve">Ukraina: </w:t>
      </w:r>
      <w:r w:rsidR="00124691">
        <w:t>219</w:t>
      </w:r>
      <w:r w:rsidRPr="0063626B">
        <w:t xml:space="preserve"> os</w:t>
      </w:r>
      <w:r w:rsidR="00124691">
        <w:t>ób</w:t>
      </w:r>
      <w:r w:rsidRPr="0063626B">
        <w:t xml:space="preserve"> (</w:t>
      </w:r>
      <w:r w:rsidR="003B5F30">
        <w:t>3</w:t>
      </w:r>
      <w:r w:rsidR="007807E7">
        <w:t>3</w:t>
      </w:r>
      <w:r w:rsidRPr="0063626B">
        <w:t>% kategorii)</w:t>
      </w:r>
      <w:r w:rsidR="003B5F30">
        <w:t>,</w:t>
      </w:r>
    </w:p>
    <w:p w14:paraId="41D373C7" w14:textId="63230424" w:rsidR="00116518" w:rsidRDefault="00116518" w:rsidP="00A21515">
      <w:pPr>
        <w:pStyle w:val="Akapitzlist"/>
        <w:numPr>
          <w:ilvl w:val="0"/>
          <w:numId w:val="19"/>
        </w:numPr>
        <w:spacing w:after="0" w:line="240" w:lineRule="auto"/>
      </w:pPr>
      <w:r>
        <w:t>Sudan: 16 osób</w:t>
      </w:r>
      <w:r w:rsidR="003B5F30">
        <w:t>,</w:t>
      </w:r>
    </w:p>
    <w:p w14:paraId="6E48BFE7" w14:textId="5162BF5B" w:rsidR="0063626B" w:rsidRDefault="0063626B" w:rsidP="00A21515">
      <w:pPr>
        <w:pStyle w:val="Akapitzlist"/>
        <w:numPr>
          <w:ilvl w:val="0"/>
          <w:numId w:val="19"/>
        </w:numPr>
        <w:spacing w:after="0" w:line="240" w:lineRule="auto"/>
      </w:pPr>
      <w:r w:rsidRPr="0063626B">
        <w:t>Rosj</w:t>
      </w:r>
      <w:r w:rsidR="00A21515">
        <w:t>a</w:t>
      </w:r>
      <w:r w:rsidR="00116518">
        <w:t>:</w:t>
      </w:r>
      <w:r w:rsidR="00A21515">
        <w:t xml:space="preserve"> 15 osób</w:t>
      </w:r>
      <w:r w:rsidR="003B5F30">
        <w:t>,</w:t>
      </w:r>
    </w:p>
    <w:p w14:paraId="0DBFCC23" w14:textId="49E935E3" w:rsidR="00A21515" w:rsidRDefault="00A21515" w:rsidP="00A21515">
      <w:pPr>
        <w:pStyle w:val="Akapitzlist"/>
        <w:numPr>
          <w:ilvl w:val="0"/>
          <w:numId w:val="19"/>
        </w:numPr>
        <w:spacing w:after="0" w:line="240" w:lineRule="auto"/>
      </w:pPr>
      <w:r>
        <w:t>Tadżykistan 14 osób.</w:t>
      </w:r>
    </w:p>
    <w:p w14:paraId="42397F01" w14:textId="77777777" w:rsidR="0063626B" w:rsidRDefault="0063626B" w:rsidP="00722A9D">
      <w:pPr>
        <w:jc w:val="both"/>
        <w:rPr>
          <w:b/>
        </w:rPr>
      </w:pPr>
    </w:p>
    <w:p w14:paraId="06DFC64A" w14:textId="350519FF" w:rsidR="00A21515" w:rsidRPr="002A2CD6" w:rsidRDefault="00A21515" w:rsidP="00A21515">
      <w:pPr>
        <w:spacing w:line="276" w:lineRule="auto"/>
        <w:jc w:val="both"/>
      </w:pPr>
      <w:r w:rsidRPr="00A21515">
        <w:rPr>
          <w:b/>
        </w:rPr>
        <w:t xml:space="preserve">Status uchodźcy (łącznie </w:t>
      </w:r>
      <w:r w:rsidR="003B5F30">
        <w:rPr>
          <w:b/>
        </w:rPr>
        <w:t xml:space="preserve">417 </w:t>
      </w:r>
      <w:r w:rsidRPr="002A2CD6">
        <w:rPr>
          <w:b/>
        </w:rPr>
        <w:t>osób)</w:t>
      </w:r>
      <w:r w:rsidR="00A3692F" w:rsidRPr="002A2CD6">
        <w:rPr>
          <w:b/>
        </w:rPr>
        <w:t xml:space="preserve">: </w:t>
      </w:r>
      <w:r w:rsidRPr="002A2CD6">
        <w:t>Głównymi beneficjentami tej formy ochrony pozostają:</w:t>
      </w:r>
    </w:p>
    <w:p w14:paraId="51C6A793" w14:textId="66BF94E7" w:rsidR="00A21515" w:rsidRPr="002A2CD6" w:rsidRDefault="00A21515" w:rsidP="00A21515">
      <w:pPr>
        <w:pStyle w:val="Akapitzlist"/>
        <w:numPr>
          <w:ilvl w:val="0"/>
          <w:numId w:val="21"/>
        </w:numPr>
        <w:spacing w:after="0" w:line="276" w:lineRule="auto"/>
        <w:jc w:val="both"/>
      </w:pPr>
      <w:r w:rsidRPr="002A2CD6">
        <w:t xml:space="preserve">Białoruś: </w:t>
      </w:r>
      <w:r w:rsidR="003B5F30">
        <w:t>302</w:t>
      </w:r>
      <w:r w:rsidRPr="002A2CD6">
        <w:t xml:space="preserve"> osób (7</w:t>
      </w:r>
      <w:r w:rsidR="003B5F30">
        <w:t>2</w:t>
      </w:r>
      <w:r w:rsidRPr="002A2CD6">
        <w:t>% wszystkich nadanych statusów)</w:t>
      </w:r>
      <w:r w:rsidR="003B5F30">
        <w:t>,</w:t>
      </w:r>
    </w:p>
    <w:p w14:paraId="4D179010" w14:textId="3068303D" w:rsidR="00A21515" w:rsidRPr="002A2CD6" w:rsidRDefault="00A21515" w:rsidP="00A21515">
      <w:pPr>
        <w:pStyle w:val="Akapitzlist"/>
        <w:numPr>
          <w:ilvl w:val="0"/>
          <w:numId w:val="21"/>
        </w:numPr>
        <w:spacing w:after="0" w:line="276" w:lineRule="auto"/>
        <w:jc w:val="both"/>
      </w:pPr>
      <w:r w:rsidRPr="002A2CD6">
        <w:t>Afganistan: 1</w:t>
      </w:r>
      <w:r w:rsidR="00116518" w:rsidRPr="002A2CD6">
        <w:t>9</w:t>
      </w:r>
      <w:r w:rsidRPr="002A2CD6">
        <w:t xml:space="preserve"> osób</w:t>
      </w:r>
      <w:r w:rsidR="003B5F30">
        <w:t>,</w:t>
      </w:r>
    </w:p>
    <w:p w14:paraId="1BFE919A" w14:textId="280F53DA" w:rsidR="00A21515" w:rsidRPr="002A2CD6" w:rsidRDefault="00A21515" w:rsidP="00A21515">
      <w:pPr>
        <w:pStyle w:val="Akapitzlist"/>
        <w:numPr>
          <w:ilvl w:val="0"/>
          <w:numId w:val="21"/>
        </w:numPr>
        <w:spacing w:after="0" w:line="276" w:lineRule="auto"/>
        <w:jc w:val="both"/>
      </w:pPr>
      <w:r w:rsidRPr="002A2CD6">
        <w:t>Rosja: 1</w:t>
      </w:r>
      <w:r w:rsidR="00116518" w:rsidRPr="002A2CD6">
        <w:t>8</w:t>
      </w:r>
      <w:r w:rsidRPr="002A2CD6">
        <w:t xml:space="preserve"> osób</w:t>
      </w:r>
      <w:r w:rsidR="003B5F30">
        <w:t>,</w:t>
      </w:r>
    </w:p>
    <w:p w14:paraId="68D102F3" w14:textId="62C8C6CA" w:rsidR="00A3692F" w:rsidRDefault="00A21515" w:rsidP="003B5F30">
      <w:pPr>
        <w:pStyle w:val="Akapitzlist"/>
        <w:numPr>
          <w:ilvl w:val="0"/>
          <w:numId w:val="21"/>
        </w:numPr>
        <w:spacing w:after="0" w:line="276" w:lineRule="auto"/>
        <w:jc w:val="both"/>
      </w:pPr>
      <w:r w:rsidRPr="002A2CD6">
        <w:t>Nigeria</w:t>
      </w:r>
      <w:r w:rsidR="003D61A5">
        <w:t xml:space="preserve">, </w:t>
      </w:r>
      <w:r w:rsidRPr="002A2CD6">
        <w:t>Tadżykistan</w:t>
      </w:r>
      <w:r w:rsidR="003D61A5">
        <w:t xml:space="preserve"> i osoby </w:t>
      </w:r>
      <w:r w:rsidR="003F39F7">
        <w:t>bez obywatelstwa</w:t>
      </w:r>
      <w:r w:rsidRPr="002A2CD6">
        <w:t>: po 8 osób</w:t>
      </w:r>
      <w:r w:rsidR="00A3692F" w:rsidRPr="002A2CD6">
        <w:t>.</w:t>
      </w:r>
    </w:p>
    <w:p w14:paraId="2EA8358D" w14:textId="77777777" w:rsidR="00795D60" w:rsidRDefault="00795D60" w:rsidP="00A21515">
      <w:pPr>
        <w:spacing w:line="276" w:lineRule="auto"/>
        <w:jc w:val="both"/>
        <w:rPr>
          <w:b/>
        </w:rPr>
      </w:pPr>
    </w:p>
    <w:p w14:paraId="324DD701" w14:textId="1C777AA1" w:rsidR="00A21515" w:rsidRDefault="00A21515" w:rsidP="00A21515">
      <w:pPr>
        <w:spacing w:line="276" w:lineRule="auto"/>
        <w:jc w:val="both"/>
      </w:pPr>
      <w:r w:rsidRPr="002A2CD6">
        <w:rPr>
          <w:b/>
        </w:rPr>
        <w:lastRenderedPageBreak/>
        <w:t>Decyzje negatywne</w:t>
      </w:r>
      <w:r w:rsidR="007807E7">
        <w:rPr>
          <w:b/>
        </w:rPr>
        <w:t xml:space="preserve"> </w:t>
      </w:r>
      <w:r w:rsidRPr="002A2CD6">
        <w:t xml:space="preserve">objęły </w:t>
      </w:r>
      <w:r w:rsidR="003B5F30">
        <w:rPr>
          <w:b/>
        </w:rPr>
        <w:t>4,3</w:t>
      </w:r>
      <w:r w:rsidRPr="002A2CD6">
        <w:rPr>
          <w:b/>
        </w:rPr>
        <w:t xml:space="preserve"> tys. osób</w:t>
      </w:r>
      <w:r w:rsidRPr="002A2CD6">
        <w:t xml:space="preserve">, co stanowi </w:t>
      </w:r>
      <w:r w:rsidRPr="002A2CD6">
        <w:rPr>
          <w:b/>
        </w:rPr>
        <w:t>6</w:t>
      </w:r>
      <w:r w:rsidR="003B5F30">
        <w:rPr>
          <w:b/>
        </w:rPr>
        <w:t>5</w:t>
      </w:r>
      <w:r w:rsidRPr="002A2CD6">
        <w:rPr>
          <w:b/>
        </w:rPr>
        <w:t>% ogółu rozstrzygnięć.</w:t>
      </w:r>
      <w:r w:rsidRPr="002A2CD6">
        <w:t xml:space="preserve"> Statystykę tę </w:t>
      </w:r>
      <w:r w:rsidR="007807E7" w:rsidRPr="007807E7">
        <w:t xml:space="preserve">w sposób dominujący </w:t>
      </w:r>
      <w:r w:rsidRPr="002A2CD6">
        <w:t>kształtuje sytuacja obywateli Ukrainy.</w:t>
      </w:r>
    </w:p>
    <w:p w14:paraId="3948125C" w14:textId="541C3ABA" w:rsidR="00A21515" w:rsidRDefault="00A21515" w:rsidP="00795D60">
      <w:pPr>
        <w:pStyle w:val="Akapitzlist"/>
        <w:numPr>
          <w:ilvl w:val="0"/>
          <w:numId w:val="38"/>
        </w:numPr>
        <w:spacing w:line="276" w:lineRule="auto"/>
        <w:jc w:val="both"/>
      </w:pPr>
      <w:r w:rsidRPr="00795D60">
        <w:rPr>
          <w:b/>
        </w:rPr>
        <w:t>Ukraina:</w:t>
      </w:r>
      <w:r w:rsidRPr="002A2CD6">
        <w:t xml:space="preserve"> Wydano wobec nich </w:t>
      </w:r>
      <w:r w:rsidR="00116518" w:rsidRPr="00795D60">
        <w:rPr>
          <w:b/>
        </w:rPr>
        <w:t>3</w:t>
      </w:r>
      <w:r w:rsidR="003B5F30" w:rsidRPr="00795D60">
        <w:rPr>
          <w:b/>
        </w:rPr>
        <w:t>,3</w:t>
      </w:r>
      <w:r w:rsidRPr="00795D60">
        <w:rPr>
          <w:b/>
        </w:rPr>
        <w:t xml:space="preserve"> tys. decyzji negatywnych</w:t>
      </w:r>
      <w:r w:rsidRPr="002A2CD6">
        <w:t xml:space="preserve">, co stanowi </w:t>
      </w:r>
      <w:r w:rsidRPr="00795D60">
        <w:rPr>
          <w:b/>
        </w:rPr>
        <w:t>7</w:t>
      </w:r>
      <w:r w:rsidR="00116518" w:rsidRPr="00795D60">
        <w:rPr>
          <w:b/>
        </w:rPr>
        <w:t>6</w:t>
      </w:r>
      <w:r w:rsidRPr="00795D60">
        <w:rPr>
          <w:b/>
        </w:rPr>
        <w:t>%</w:t>
      </w:r>
      <w:r w:rsidRPr="002A2CD6">
        <w:t xml:space="preserve"> wszystkich odmów </w:t>
      </w:r>
      <w:r w:rsidRPr="002A2CD6">
        <w:br/>
      </w:r>
      <w:r w:rsidR="007807E7" w:rsidRPr="007807E7">
        <w:t xml:space="preserve">wydanych </w:t>
      </w:r>
      <w:r w:rsidRPr="002A2CD6">
        <w:t xml:space="preserve">w Polsce. </w:t>
      </w:r>
    </w:p>
    <w:p w14:paraId="1CF535A8" w14:textId="2E1C6D01" w:rsidR="00A21515" w:rsidRDefault="00A21515" w:rsidP="00795D60">
      <w:pPr>
        <w:pStyle w:val="Akapitzlist"/>
        <w:numPr>
          <w:ilvl w:val="0"/>
          <w:numId w:val="38"/>
        </w:numPr>
        <w:spacing w:line="276" w:lineRule="auto"/>
        <w:jc w:val="both"/>
      </w:pPr>
      <w:r w:rsidRPr="00795D60">
        <w:rPr>
          <w:b/>
        </w:rPr>
        <w:t>Pozostałe wysokie wolumeny odmów:</w:t>
      </w:r>
      <w:r w:rsidRPr="00A21515">
        <w:t xml:space="preserve"> </w:t>
      </w:r>
      <w:r w:rsidR="00641794" w:rsidRPr="00A21515">
        <w:t>Białoruś (</w:t>
      </w:r>
      <w:r w:rsidR="00641794">
        <w:t>266</w:t>
      </w:r>
      <w:r w:rsidR="00641794" w:rsidRPr="00A21515">
        <w:t xml:space="preserve"> decyzji</w:t>
      </w:r>
      <w:r w:rsidR="00641794">
        <w:t xml:space="preserve"> negatywnych</w:t>
      </w:r>
      <w:r w:rsidR="00641794" w:rsidRPr="00A21515">
        <w:t>)</w:t>
      </w:r>
      <w:r w:rsidR="00641794">
        <w:t xml:space="preserve">, </w:t>
      </w:r>
      <w:r w:rsidRPr="00A21515">
        <w:t>Rosja (2</w:t>
      </w:r>
      <w:r w:rsidR="00641794">
        <w:t>44</w:t>
      </w:r>
      <w:r w:rsidRPr="00A21515">
        <w:t>),</w:t>
      </w:r>
      <w:r w:rsidR="00641794">
        <w:t xml:space="preserve"> </w:t>
      </w:r>
      <w:r>
        <w:t>Afganistan (</w:t>
      </w:r>
      <w:r w:rsidR="00641794">
        <w:t>52</w:t>
      </w:r>
      <w:r w:rsidR="00CD35F7">
        <w:t>)</w:t>
      </w:r>
      <w:r w:rsidRPr="00A21515">
        <w:t xml:space="preserve"> oraz </w:t>
      </w:r>
      <w:r w:rsidR="00641794">
        <w:t>Tadżykistan</w:t>
      </w:r>
      <w:r w:rsidRPr="00A21515">
        <w:t xml:space="preserve"> (3</w:t>
      </w:r>
      <w:r w:rsidR="00641794">
        <w:t>6</w:t>
      </w:r>
      <w:r w:rsidRPr="00A21515">
        <w:t>).</w:t>
      </w:r>
    </w:p>
    <w:p w14:paraId="0B52CB7A" w14:textId="736BFD15" w:rsidR="00CD35F7" w:rsidRDefault="00CD35F7" w:rsidP="00CD35F7">
      <w:pPr>
        <w:spacing w:line="276" w:lineRule="auto"/>
        <w:jc w:val="both"/>
      </w:pPr>
      <w:r w:rsidRPr="00CD35F7">
        <w:rPr>
          <w:b/>
        </w:rPr>
        <w:t>Umorzenia postępowań</w:t>
      </w:r>
      <w:r w:rsidR="006541C6">
        <w:rPr>
          <w:b/>
        </w:rPr>
        <w:t xml:space="preserve">: </w:t>
      </w:r>
      <w:r w:rsidRPr="00CD35F7">
        <w:t xml:space="preserve">Umorzenia procedur objęły </w:t>
      </w:r>
      <w:r w:rsidRPr="00CD35F7">
        <w:rPr>
          <w:b/>
        </w:rPr>
        <w:t>1</w:t>
      </w:r>
      <w:r w:rsidR="00116518">
        <w:rPr>
          <w:b/>
        </w:rPr>
        <w:t>,</w:t>
      </w:r>
      <w:r w:rsidR="006C685B">
        <w:rPr>
          <w:b/>
        </w:rPr>
        <w:t>2</w:t>
      </w:r>
      <w:r w:rsidRPr="00CD35F7">
        <w:rPr>
          <w:b/>
        </w:rPr>
        <w:t xml:space="preserve"> tys. osób</w:t>
      </w:r>
      <w:r w:rsidR="00065D97">
        <w:rPr>
          <w:b/>
        </w:rPr>
        <w:t xml:space="preserve">, </w:t>
      </w:r>
      <w:r w:rsidR="00065D97" w:rsidRPr="00065D97">
        <w:t>co stanowi</w:t>
      </w:r>
      <w:r w:rsidR="00065D97">
        <w:rPr>
          <w:b/>
        </w:rPr>
        <w:t xml:space="preserve"> </w:t>
      </w:r>
      <w:r w:rsidR="00116518">
        <w:rPr>
          <w:b/>
        </w:rPr>
        <w:t>1</w:t>
      </w:r>
      <w:r w:rsidR="006C685B">
        <w:rPr>
          <w:b/>
        </w:rPr>
        <w:t>8</w:t>
      </w:r>
      <w:r w:rsidRPr="00CD35F7">
        <w:rPr>
          <w:b/>
        </w:rPr>
        <w:t>%</w:t>
      </w:r>
      <w:r w:rsidRPr="00CD35F7">
        <w:t xml:space="preserve"> wszystkich zamkniętych spraw. </w:t>
      </w:r>
      <w:r w:rsidR="00795D60" w:rsidRPr="00795D60">
        <w:t xml:space="preserve">Dane te potwierdzają, </w:t>
      </w:r>
      <w:r w:rsidRPr="00CD35F7">
        <w:t xml:space="preserve">że </w:t>
      </w:r>
      <w:r w:rsidR="00065D97" w:rsidRPr="00065D97">
        <w:t xml:space="preserve">blisko </w:t>
      </w:r>
      <w:r w:rsidRPr="00CD35F7">
        <w:t xml:space="preserve">co piąty wnioskodawca </w:t>
      </w:r>
      <w:r w:rsidR="00065D97" w:rsidRPr="00065D97">
        <w:t>opuszcza terytorium kraju przed zakończeniem postępowania, traktując Polskę jako państwo tranzytowe.</w:t>
      </w:r>
      <w:r w:rsidR="00065D97">
        <w:t xml:space="preserve"> Kraje pochodzenia </w:t>
      </w:r>
      <w:r w:rsidR="00795D60">
        <w:br/>
      </w:r>
      <w:r w:rsidR="00065D97">
        <w:t xml:space="preserve">o najwyższej liczbie umorzeń </w:t>
      </w:r>
      <w:r w:rsidR="00795D60">
        <w:t>to</w:t>
      </w:r>
      <w:r w:rsidR="00065D97">
        <w:t>:</w:t>
      </w:r>
    </w:p>
    <w:p w14:paraId="0891AA25" w14:textId="43C55266" w:rsidR="00CD35F7" w:rsidRPr="00CD35F7" w:rsidRDefault="00CD35F7" w:rsidP="00CD35F7">
      <w:pPr>
        <w:pStyle w:val="Akapitzlist"/>
        <w:numPr>
          <w:ilvl w:val="0"/>
          <w:numId w:val="24"/>
        </w:numPr>
        <w:spacing w:line="276" w:lineRule="auto"/>
        <w:jc w:val="both"/>
      </w:pPr>
      <w:r w:rsidRPr="00CD35F7">
        <w:t xml:space="preserve">Ukraina: </w:t>
      </w:r>
      <w:r w:rsidR="00795D60" w:rsidRPr="00795D60">
        <w:t xml:space="preserve">374 umorzenia </w:t>
      </w:r>
      <w:r w:rsidRPr="00CD35F7">
        <w:t>(przy 3</w:t>
      </w:r>
      <w:r w:rsidR="000B5A8E">
        <w:t>,</w:t>
      </w:r>
      <w:r w:rsidR="00FC47AE">
        <w:t>9</w:t>
      </w:r>
      <w:r w:rsidRPr="00CD35F7">
        <w:t xml:space="preserve"> </w:t>
      </w:r>
      <w:r>
        <w:t>tys.</w:t>
      </w:r>
      <w:r w:rsidRPr="00CD35F7">
        <w:t xml:space="preserve"> </w:t>
      </w:r>
      <w:bookmarkStart w:id="0" w:name="_Hlk237356422"/>
      <w:r>
        <w:t>rozstrzygnięć</w:t>
      </w:r>
      <w:bookmarkEnd w:id="0"/>
      <w:r w:rsidRPr="00CD35F7">
        <w:t xml:space="preserve"> ogółem)</w:t>
      </w:r>
      <w:r w:rsidR="003C7076">
        <w:t>,</w:t>
      </w:r>
    </w:p>
    <w:p w14:paraId="57390D35" w14:textId="49F440FA" w:rsidR="00CD35F7" w:rsidRPr="00CD35F7" w:rsidRDefault="00CD35F7" w:rsidP="00CD35F7">
      <w:pPr>
        <w:pStyle w:val="Akapitzlist"/>
        <w:numPr>
          <w:ilvl w:val="0"/>
          <w:numId w:val="24"/>
        </w:numPr>
        <w:spacing w:line="276" w:lineRule="auto"/>
        <w:jc w:val="both"/>
      </w:pPr>
      <w:r w:rsidRPr="00CD35F7">
        <w:t>Białoruś: 1</w:t>
      </w:r>
      <w:r w:rsidR="00FC47AE">
        <w:t>50</w:t>
      </w:r>
      <w:r w:rsidRPr="00CD35F7">
        <w:t xml:space="preserve"> umorzeń (przy </w:t>
      </w:r>
      <w:r w:rsidR="000B5A8E">
        <w:t>1</w:t>
      </w:r>
      <w:r w:rsidR="00FC47AE">
        <w:t>,1</w:t>
      </w:r>
      <w:r>
        <w:t xml:space="preserve"> tys.</w:t>
      </w:r>
      <w:r w:rsidRPr="00CD35F7">
        <w:t xml:space="preserve"> rozstrzygnięć ogółem)</w:t>
      </w:r>
      <w:r w:rsidR="003C7076">
        <w:t>,</w:t>
      </w:r>
    </w:p>
    <w:p w14:paraId="42BC8AD4" w14:textId="3A6D845F" w:rsidR="00CD35F7" w:rsidRPr="00CD35F7" w:rsidRDefault="00CD35F7" w:rsidP="00CD35F7">
      <w:pPr>
        <w:pStyle w:val="Akapitzlist"/>
        <w:numPr>
          <w:ilvl w:val="0"/>
          <w:numId w:val="24"/>
        </w:numPr>
        <w:spacing w:line="276" w:lineRule="auto"/>
        <w:jc w:val="both"/>
      </w:pPr>
      <w:r w:rsidRPr="00CD35F7">
        <w:t>Tadżykistan: 8</w:t>
      </w:r>
      <w:r w:rsidR="00FC47AE">
        <w:t>5</w:t>
      </w:r>
      <w:r w:rsidRPr="00CD35F7">
        <w:t xml:space="preserve"> umorzeń (przy </w:t>
      </w:r>
      <w:r>
        <w:t>0,</w:t>
      </w:r>
      <w:r w:rsidRPr="00CD35F7">
        <w:t>1</w:t>
      </w:r>
      <w:r>
        <w:t xml:space="preserve"> tys.</w:t>
      </w:r>
      <w:r w:rsidRPr="00CD35F7">
        <w:t xml:space="preserve"> </w:t>
      </w:r>
      <w:r>
        <w:t>rozstrzygnięć</w:t>
      </w:r>
      <w:r w:rsidRPr="00CD35F7">
        <w:t xml:space="preserve"> ogółem)</w:t>
      </w:r>
      <w:r w:rsidR="003C7076">
        <w:t>,</w:t>
      </w:r>
    </w:p>
    <w:p w14:paraId="5626B6BD" w14:textId="1DA3150C" w:rsidR="00CD35F7" w:rsidRPr="00CD35F7" w:rsidRDefault="00CD35F7" w:rsidP="00CD35F7">
      <w:pPr>
        <w:pStyle w:val="Akapitzlist"/>
        <w:numPr>
          <w:ilvl w:val="0"/>
          <w:numId w:val="24"/>
        </w:numPr>
        <w:spacing w:line="276" w:lineRule="auto"/>
        <w:jc w:val="both"/>
      </w:pPr>
      <w:r w:rsidRPr="00CD35F7">
        <w:t>Rosja: 7</w:t>
      </w:r>
      <w:r w:rsidR="00FC47AE">
        <w:t>6</w:t>
      </w:r>
      <w:r w:rsidRPr="00CD35F7">
        <w:t xml:space="preserve"> </w:t>
      </w:r>
      <w:r w:rsidR="00795D60" w:rsidRPr="00795D60">
        <w:t>umorzeń</w:t>
      </w:r>
      <w:r w:rsidRPr="00CD35F7">
        <w:t xml:space="preserve"> (przy </w:t>
      </w:r>
      <w:r>
        <w:t>0,</w:t>
      </w:r>
      <w:r w:rsidR="00795D60">
        <w:t>4</w:t>
      </w:r>
      <w:r>
        <w:t xml:space="preserve"> tys.</w:t>
      </w:r>
      <w:r w:rsidRPr="00CD35F7">
        <w:t xml:space="preserve"> </w:t>
      </w:r>
      <w:r>
        <w:t>rozstrzygnięć</w:t>
      </w:r>
      <w:r w:rsidRPr="00CD35F7">
        <w:t xml:space="preserve"> ogółem)</w:t>
      </w:r>
      <w:r w:rsidR="003C7076">
        <w:t>,</w:t>
      </w:r>
    </w:p>
    <w:p w14:paraId="263D54B1" w14:textId="503329F3" w:rsidR="00CD35F7" w:rsidRPr="00CD35F7" w:rsidRDefault="00CD35F7" w:rsidP="00CD35F7">
      <w:pPr>
        <w:pStyle w:val="Akapitzlist"/>
        <w:numPr>
          <w:ilvl w:val="0"/>
          <w:numId w:val="24"/>
        </w:numPr>
        <w:spacing w:line="276" w:lineRule="auto"/>
        <w:jc w:val="both"/>
      </w:pPr>
      <w:r w:rsidRPr="00CD35F7">
        <w:t>Somalia: 6</w:t>
      </w:r>
      <w:r w:rsidR="00FC47AE">
        <w:t>5</w:t>
      </w:r>
      <w:r w:rsidRPr="00CD35F7">
        <w:t xml:space="preserve"> </w:t>
      </w:r>
      <w:r w:rsidR="00795D60" w:rsidRPr="00795D60">
        <w:t xml:space="preserve">umorzeń </w:t>
      </w:r>
      <w:r w:rsidR="00795D60">
        <w:t>(</w:t>
      </w:r>
      <w:r w:rsidRPr="00CD35F7">
        <w:t>przy 7</w:t>
      </w:r>
      <w:r w:rsidR="003C7076">
        <w:t>4</w:t>
      </w:r>
      <w:r w:rsidRPr="00CD35F7">
        <w:t xml:space="preserve"> </w:t>
      </w:r>
      <w:r w:rsidR="003C7076">
        <w:t>rozstrzygnięć</w:t>
      </w:r>
      <w:r w:rsidRPr="00CD35F7">
        <w:t xml:space="preserve"> ogółem)</w:t>
      </w:r>
      <w:r w:rsidR="003C7076">
        <w:t>.</w:t>
      </w:r>
    </w:p>
    <w:p w14:paraId="29B51B9A" w14:textId="04E1ACFA" w:rsidR="00795D60" w:rsidRDefault="00795D60" w:rsidP="00CD35F7">
      <w:pPr>
        <w:spacing w:line="276" w:lineRule="auto"/>
        <w:jc w:val="both"/>
      </w:pPr>
      <w:r>
        <w:t xml:space="preserve">Wspomniana </w:t>
      </w:r>
      <w:r w:rsidRPr="00795D60">
        <w:rPr>
          <w:b/>
          <w:bCs/>
        </w:rPr>
        <w:t>Somalia</w:t>
      </w:r>
      <w:r>
        <w:t xml:space="preserve"> stanowi przykład tranzytowego charakteru migracji – wobec jej obywateli wydano zaledwie 9 decyzji merytorycznych (3 pozytywne w postaci ochrony uzupełniającej oraz </w:t>
      </w:r>
      <w:r w:rsidR="00C60231">
        <w:br/>
      </w:r>
      <w:r>
        <w:t xml:space="preserve">6 negatywnych) przy aż 65 umorzeniach. Oznacza to, że blisko </w:t>
      </w:r>
      <w:r w:rsidRPr="00795D60">
        <w:rPr>
          <w:b/>
          <w:bCs/>
        </w:rPr>
        <w:t>88%</w:t>
      </w:r>
      <w:r>
        <w:t xml:space="preserve"> postępowań dotyczących Somalijczyków zostało porzuconych przed wydaniem decyzji merytorycznej.</w:t>
      </w:r>
    </w:p>
    <w:p w14:paraId="5272B31C" w14:textId="77777777" w:rsidR="004B6630" w:rsidRDefault="004B6630" w:rsidP="00CD35F7">
      <w:pPr>
        <w:spacing w:line="276" w:lineRule="auto"/>
        <w:jc w:val="both"/>
      </w:pPr>
    </w:p>
    <w:p w14:paraId="0B38D160" w14:textId="1FD3EE71" w:rsidR="004B6630" w:rsidRDefault="004B6630" w:rsidP="00CD35F7">
      <w:pPr>
        <w:spacing w:line="276" w:lineRule="auto"/>
        <w:jc w:val="both"/>
      </w:pPr>
      <w:r>
        <w:rPr>
          <w:noProof/>
        </w:rPr>
        <w:drawing>
          <wp:inline distT="0" distB="0" distL="0" distR="0" wp14:anchorId="206F2079" wp14:editId="6A3352DF">
            <wp:extent cx="5760720" cy="3232150"/>
            <wp:effectExtent l="0" t="0" r="0" b="0"/>
            <wp:docPr id="11" name="Wykres 1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0EBF483" w14:textId="0729B01D" w:rsidR="00795D60" w:rsidRPr="002A2CD6" w:rsidRDefault="00795D60" w:rsidP="00C837E7">
      <w:pPr>
        <w:jc w:val="both"/>
      </w:pPr>
      <w:r>
        <w:t>Zgodnie z metodologią Eurostatu oraz EUAA, wskaźnik uznawalności obliczany jest jako stosunek decyzji pozytywnych (status uchodźcy i ochrona uzupełniająca) do sumy wszystkich decyzji merytorycznych (pozytywne i negatywne), z pominięciem formalnych umorzeń. Oficjalne wskaźniki dla głównych państw pochodzenia kształtują się następująco:</w:t>
      </w:r>
    </w:p>
    <w:p w14:paraId="45B020ED" w14:textId="25B67B53" w:rsidR="00C6407C" w:rsidRPr="002A2CD6" w:rsidRDefault="00C6407C" w:rsidP="004B6630">
      <w:pPr>
        <w:pStyle w:val="Akapitzlist"/>
        <w:numPr>
          <w:ilvl w:val="0"/>
          <w:numId w:val="41"/>
        </w:numPr>
        <w:spacing w:after="0" w:line="276" w:lineRule="auto"/>
        <w:jc w:val="both"/>
      </w:pPr>
      <w:r w:rsidRPr="004B6630">
        <w:rPr>
          <w:b/>
        </w:rPr>
        <w:lastRenderedPageBreak/>
        <w:t>Białoruś: 7</w:t>
      </w:r>
      <w:r w:rsidR="00CA433B" w:rsidRPr="004B6630">
        <w:rPr>
          <w:b/>
        </w:rPr>
        <w:t>2</w:t>
      </w:r>
      <w:r w:rsidRPr="004B6630">
        <w:rPr>
          <w:b/>
        </w:rPr>
        <w:t>%</w:t>
      </w:r>
      <w:r w:rsidRPr="002A2CD6">
        <w:t xml:space="preserve"> –</w:t>
      </w:r>
      <w:r w:rsidR="00576301">
        <w:t xml:space="preserve"> </w:t>
      </w:r>
      <w:r w:rsidRPr="002A2CD6">
        <w:t>ochron</w:t>
      </w:r>
      <w:r w:rsidR="00576301">
        <w:t>a</w:t>
      </w:r>
      <w:r w:rsidRPr="002A2CD6">
        <w:t xml:space="preserve"> dla ofiar represji politycznych reżimu w Mińsku</w:t>
      </w:r>
      <w:r w:rsidR="00576301">
        <w:t>,</w:t>
      </w:r>
    </w:p>
    <w:p w14:paraId="10EC086E" w14:textId="595B63A1" w:rsidR="00C6407C" w:rsidRPr="002A2CD6" w:rsidRDefault="00C6407C" w:rsidP="004B6630">
      <w:pPr>
        <w:pStyle w:val="Akapitzlist"/>
        <w:numPr>
          <w:ilvl w:val="0"/>
          <w:numId w:val="41"/>
        </w:numPr>
        <w:spacing w:after="0" w:line="276" w:lineRule="auto"/>
        <w:jc w:val="both"/>
      </w:pPr>
      <w:r w:rsidRPr="004B6630">
        <w:rPr>
          <w:b/>
        </w:rPr>
        <w:t xml:space="preserve">Tadżykistan: </w:t>
      </w:r>
      <w:r w:rsidR="00CE0C90" w:rsidRPr="004B6630">
        <w:rPr>
          <w:b/>
        </w:rPr>
        <w:t>3</w:t>
      </w:r>
      <w:r w:rsidR="00576301" w:rsidRPr="004B6630">
        <w:rPr>
          <w:b/>
        </w:rPr>
        <w:t>8</w:t>
      </w:r>
      <w:r w:rsidRPr="004B6630">
        <w:rPr>
          <w:b/>
        </w:rPr>
        <w:t>%</w:t>
      </w:r>
      <w:r w:rsidRPr="002A2CD6">
        <w:t xml:space="preserve"> –uwarunkowan</w:t>
      </w:r>
      <w:r w:rsidR="00795D60">
        <w:t>y</w:t>
      </w:r>
      <w:r w:rsidRPr="002A2CD6">
        <w:t xml:space="preserve"> ochroną członków opozycji politycznej i religijnej</w:t>
      </w:r>
      <w:r w:rsidR="00576301">
        <w:t>,</w:t>
      </w:r>
      <w:r w:rsidRPr="002A2CD6">
        <w:t xml:space="preserve"> </w:t>
      </w:r>
    </w:p>
    <w:p w14:paraId="4A0C1FC1" w14:textId="7B580992" w:rsidR="00C6407C" w:rsidRPr="002A2CD6" w:rsidRDefault="00C6407C" w:rsidP="004B6630">
      <w:pPr>
        <w:pStyle w:val="Akapitzlist"/>
        <w:numPr>
          <w:ilvl w:val="0"/>
          <w:numId w:val="41"/>
        </w:numPr>
        <w:spacing w:after="0" w:line="276" w:lineRule="auto"/>
        <w:jc w:val="both"/>
      </w:pPr>
      <w:r w:rsidRPr="004B6630">
        <w:rPr>
          <w:b/>
        </w:rPr>
        <w:t>Somalia: 33%</w:t>
      </w:r>
      <w:r w:rsidRPr="002A2CD6">
        <w:t xml:space="preserve"> – ochrona o charakterze humanitarnym przyznawana w indywidualnych przypadkach</w:t>
      </w:r>
      <w:r w:rsidR="00576301">
        <w:t>,</w:t>
      </w:r>
      <w:r w:rsidRPr="002A2CD6">
        <w:t xml:space="preserve"> </w:t>
      </w:r>
    </w:p>
    <w:p w14:paraId="4E2B0701" w14:textId="36643638" w:rsidR="00C6407C" w:rsidRPr="002A2CD6" w:rsidRDefault="00C6407C" w:rsidP="004B6630">
      <w:pPr>
        <w:pStyle w:val="Akapitzlist"/>
        <w:numPr>
          <w:ilvl w:val="0"/>
          <w:numId w:val="41"/>
        </w:numPr>
        <w:spacing w:after="0" w:line="276" w:lineRule="auto"/>
        <w:jc w:val="both"/>
      </w:pPr>
      <w:r w:rsidRPr="004B6630">
        <w:rPr>
          <w:b/>
        </w:rPr>
        <w:t>Afganistan: 2</w:t>
      </w:r>
      <w:r w:rsidR="00576301" w:rsidRPr="004B6630">
        <w:rPr>
          <w:b/>
        </w:rPr>
        <w:t>7</w:t>
      </w:r>
      <w:r w:rsidRPr="004B6630">
        <w:rPr>
          <w:b/>
        </w:rPr>
        <w:t>%</w:t>
      </w:r>
      <w:r w:rsidRPr="002A2CD6">
        <w:t xml:space="preserve"> – stabilny poziom ochrony</w:t>
      </w:r>
      <w:r w:rsidR="00576301">
        <w:t>,</w:t>
      </w:r>
    </w:p>
    <w:p w14:paraId="63B88DAC" w14:textId="27A8C4D4" w:rsidR="00C6407C" w:rsidRPr="002A2CD6" w:rsidRDefault="00C6407C" w:rsidP="004B6630">
      <w:pPr>
        <w:pStyle w:val="Akapitzlist"/>
        <w:numPr>
          <w:ilvl w:val="0"/>
          <w:numId w:val="41"/>
        </w:numPr>
        <w:spacing w:after="0" w:line="276" w:lineRule="auto"/>
        <w:jc w:val="both"/>
      </w:pPr>
      <w:r w:rsidRPr="004B6630">
        <w:rPr>
          <w:b/>
        </w:rPr>
        <w:t>Rosja: 1</w:t>
      </w:r>
      <w:r w:rsidR="00576301" w:rsidRPr="004B6630">
        <w:rPr>
          <w:b/>
        </w:rPr>
        <w:t>2</w:t>
      </w:r>
      <w:r w:rsidRPr="004B6630">
        <w:rPr>
          <w:b/>
        </w:rPr>
        <w:t>%</w:t>
      </w:r>
      <w:r w:rsidRPr="002A2CD6">
        <w:t xml:space="preserve"> – niski wskaźnik, wynikający z rygorystycznej weryfikacji wniosków pod kątem bezpieczeństwa państwa</w:t>
      </w:r>
      <w:r w:rsidR="00576301">
        <w:t>,</w:t>
      </w:r>
    </w:p>
    <w:p w14:paraId="3A1FF74C" w14:textId="6ABCAE6B" w:rsidR="00C6407C" w:rsidRDefault="00C6407C" w:rsidP="004B6630">
      <w:pPr>
        <w:pStyle w:val="Akapitzlist"/>
        <w:numPr>
          <w:ilvl w:val="0"/>
          <w:numId w:val="41"/>
        </w:numPr>
        <w:spacing w:after="0" w:line="276" w:lineRule="auto"/>
        <w:jc w:val="both"/>
      </w:pPr>
      <w:r w:rsidRPr="004B6630">
        <w:rPr>
          <w:b/>
        </w:rPr>
        <w:t xml:space="preserve">Ukraina: </w:t>
      </w:r>
      <w:r w:rsidR="006541C6" w:rsidRPr="004B6630">
        <w:rPr>
          <w:b/>
        </w:rPr>
        <w:t>6</w:t>
      </w:r>
      <w:r w:rsidRPr="004B6630">
        <w:rPr>
          <w:b/>
        </w:rPr>
        <w:t>%</w:t>
      </w:r>
      <w:r w:rsidRPr="002A2CD6">
        <w:t xml:space="preserve"> – niski wskaźnik</w:t>
      </w:r>
      <w:r w:rsidR="00795D60">
        <w:t>,</w:t>
      </w:r>
      <w:r w:rsidRPr="002A2CD6">
        <w:t xml:space="preserve"> </w:t>
      </w:r>
      <w:r w:rsidR="00795D60" w:rsidRPr="00795D60">
        <w:t xml:space="preserve">wynikający z faktu, że obywatele Ukrainy mają powszechnie zapewniony legalny pobyt i ochronę czasową na mocy ustawy specjalnej (PESEL UKR), </w:t>
      </w:r>
      <w:r w:rsidR="004B6630">
        <w:br/>
      </w:r>
      <w:r w:rsidR="00795D60" w:rsidRPr="00795D60">
        <w:t>a indywidualna ścieżka uchodźcza jest uruchamiana przez Szefa UdSC jedynie w sytuacjach wyjątkowych.</w:t>
      </w:r>
    </w:p>
    <w:p w14:paraId="28F7CB3E" w14:textId="13A3AB5F" w:rsidR="00E902BC" w:rsidRPr="00F96C81" w:rsidRDefault="004B6630" w:rsidP="00F96C81">
      <w:pPr>
        <w:jc w:val="both"/>
        <w:rPr>
          <w:b/>
        </w:rPr>
      </w:pPr>
      <w:r>
        <w:rPr>
          <w:noProof/>
        </w:rPr>
        <w:drawing>
          <wp:inline distT="0" distB="0" distL="0" distR="0" wp14:anchorId="08F2222C" wp14:editId="08F1B4B7">
            <wp:extent cx="5760720" cy="2714625"/>
            <wp:effectExtent l="0" t="0" r="0" b="0"/>
            <wp:docPr id="12" name="Wykres 1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9D31D3D" w14:textId="2EE1BF57" w:rsidR="004D156C" w:rsidRPr="002A2CD6" w:rsidRDefault="004D156C" w:rsidP="004D156C">
      <w:pPr>
        <w:jc w:val="both"/>
        <w:rPr>
          <w:b/>
        </w:rPr>
      </w:pPr>
      <w:r w:rsidRPr="00322014">
        <w:rPr>
          <w:b/>
        </w:rPr>
        <w:t xml:space="preserve">Obciążenie </w:t>
      </w:r>
      <w:r w:rsidR="00322014" w:rsidRPr="00322014">
        <w:rPr>
          <w:b/>
        </w:rPr>
        <w:t>U</w:t>
      </w:r>
      <w:r w:rsidRPr="00322014">
        <w:rPr>
          <w:b/>
        </w:rPr>
        <w:t xml:space="preserve">rzędu i </w:t>
      </w:r>
      <w:r w:rsidR="006174CE">
        <w:rPr>
          <w:b/>
        </w:rPr>
        <w:t>efektywność</w:t>
      </w:r>
    </w:p>
    <w:p w14:paraId="2DE67761" w14:textId="23657F0F" w:rsidR="00DF5C86" w:rsidRDefault="00DF5C86" w:rsidP="004D156C">
      <w:pPr>
        <w:jc w:val="both"/>
      </w:pPr>
      <w:r w:rsidRPr="002A2CD6">
        <w:rPr>
          <w:b/>
        </w:rPr>
        <w:t xml:space="preserve">Redukcja zaległości: </w:t>
      </w:r>
      <w:r w:rsidRPr="002A2CD6">
        <w:t xml:space="preserve">Przy napływie </w:t>
      </w:r>
      <w:r w:rsidR="00F96C81" w:rsidRPr="002A2CD6">
        <w:t xml:space="preserve">nowych wniosków </w:t>
      </w:r>
      <w:r w:rsidRPr="002A2CD6">
        <w:t xml:space="preserve">na poziomie </w:t>
      </w:r>
      <w:r w:rsidR="006541C6" w:rsidRPr="002A2CD6">
        <w:t>4</w:t>
      </w:r>
      <w:r w:rsidR="00576301">
        <w:t>,4</w:t>
      </w:r>
      <w:r w:rsidRPr="002A2CD6">
        <w:t xml:space="preserve"> tys. i jednoczesnym rozstrzygnięciu </w:t>
      </w:r>
      <w:r w:rsidR="0056346E" w:rsidRPr="002A2CD6">
        <w:rPr>
          <w:b/>
        </w:rPr>
        <w:t>6</w:t>
      </w:r>
      <w:r w:rsidR="00576301">
        <w:rPr>
          <w:b/>
        </w:rPr>
        <w:t>,7</w:t>
      </w:r>
      <w:r w:rsidRPr="002A2CD6">
        <w:rPr>
          <w:b/>
        </w:rPr>
        <w:t xml:space="preserve"> tys. </w:t>
      </w:r>
      <w:r w:rsidR="00F96C81" w:rsidRPr="002A2CD6">
        <w:rPr>
          <w:b/>
        </w:rPr>
        <w:t>spraw</w:t>
      </w:r>
      <w:r w:rsidR="006541C6" w:rsidRPr="002A2CD6">
        <w:rPr>
          <w:b/>
        </w:rPr>
        <w:t xml:space="preserve"> </w:t>
      </w:r>
      <w:r w:rsidR="006541C6" w:rsidRPr="002A2CD6">
        <w:t>w okresie styczeń–</w:t>
      </w:r>
      <w:r w:rsidR="00576301">
        <w:t>wrzesień</w:t>
      </w:r>
      <w:r w:rsidR="006541C6" w:rsidRPr="002A2CD6">
        <w:t xml:space="preserve"> 2026 r.,</w:t>
      </w:r>
      <w:r w:rsidRPr="002A2CD6">
        <w:t xml:space="preserve"> Urząd sukcesywnie zmniejsza bazę spraw </w:t>
      </w:r>
      <w:r w:rsidR="00F96C81" w:rsidRPr="002A2CD6">
        <w:t>w toku</w:t>
      </w:r>
      <w:r w:rsidR="004B6630">
        <w:t>,</w:t>
      </w:r>
      <w:r w:rsidRPr="002A2CD6">
        <w:t xml:space="preserve"> </w:t>
      </w:r>
      <w:r w:rsidR="004B6630" w:rsidRPr="004B6630">
        <w:t xml:space="preserve">niwelując nawis decyzyjny z rekordowych lat 2024–2025. Wskaźnik likwidacji zaległości utrzymuje się na wysokim poziomie wynoszącym </w:t>
      </w:r>
      <w:r w:rsidR="004B6630" w:rsidRPr="004B6630">
        <w:rPr>
          <w:b/>
        </w:rPr>
        <w:t>151%</w:t>
      </w:r>
      <w:r w:rsidR="004B6630" w:rsidRPr="004B6630">
        <w:t xml:space="preserve"> (Urząd zamyka o połowę więcej postępowań, niż w tym samym czasie do niego wpływa).</w:t>
      </w:r>
    </w:p>
    <w:p w14:paraId="3315934A" w14:textId="0C46A514" w:rsidR="004D156C" w:rsidRDefault="004D156C" w:rsidP="004D156C">
      <w:pPr>
        <w:jc w:val="both"/>
      </w:pPr>
      <w:r w:rsidRPr="002A2CD6">
        <w:rPr>
          <w:b/>
        </w:rPr>
        <w:t>Sprawy w toku:</w:t>
      </w:r>
      <w:r w:rsidRPr="002A2CD6">
        <w:t xml:space="preserve"> </w:t>
      </w:r>
      <w:r w:rsidR="00DF5C86" w:rsidRPr="002A2CD6">
        <w:t xml:space="preserve">Na dzień </w:t>
      </w:r>
      <w:r w:rsidR="00E902BC" w:rsidRPr="002A2CD6">
        <w:t xml:space="preserve">1 </w:t>
      </w:r>
      <w:r w:rsidR="00576301">
        <w:t>października</w:t>
      </w:r>
      <w:r w:rsidR="00DF5C86" w:rsidRPr="002A2CD6">
        <w:t xml:space="preserve"> 2026 r. </w:t>
      </w:r>
      <w:r w:rsidR="004B6630" w:rsidRPr="004B6630">
        <w:t xml:space="preserve">baza spraw w toku została zredukowana do poziomu </w:t>
      </w:r>
      <w:r w:rsidR="00576301" w:rsidRPr="00576301">
        <w:rPr>
          <w:b/>
        </w:rPr>
        <w:t>6,</w:t>
      </w:r>
      <w:r w:rsidR="00DF5C86" w:rsidRPr="00576301">
        <w:rPr>
          <w:b/>
        </w:rPr>
        <w:t>7</w:t>
      </w:r>
      <w:r w:rsidR="00DF5C86" w:rsidRPr="002A2CD6">
        <w:rPr>
          <w:b/>
        </w:rPr>
        <w:t xml:space="preserve"> tys. spraw</w:t>
      </w:r>
      <w:r w:rsidR="00F96C81" w:rsidRPr="002A2CD6">
        <w:t>.</w:t>
      </w:r>
      <w:r w:rsidR="00DF5C86" w:rsidRPr="002A2CD6">
        <w:t xml:space="preserve"> </w:t>
      </w:r>
      <w:r w:rsidR="00F96C81" w:rsidRPr="002A2CD6">
        <w:t>Jest to pułap uznawany za w pełni bezpieczny pod względem wydolności systemu recepcyjnego i logistycznego</w:t>
      </w:r>
      <w:r w:rsidR="009D71DD" w:rsidRPr="002A2CD6">
        <w:t xml:space="preserve">, </w:t>
      </w:r>
      <w:r w:rsidR="00F96C81" w:rsidRPr="002A2CD6">
        <w:t xml:space="preserve">gwarantujący stabilność budżetową w zakresie wypłat świadczeń socjalnych </w:t>
      </w:r>
      <w:r w:rsidR="009D71DD" w:rsidRPr="002A2CD6">
        <w:t>i opieki medycznej</w:t>
      </w:r>
      <w:r w:rsidR="004B6630">
        <w:t>.</w:t>
      </w:r>
    </w:p>
    <w:p w14:paraId="0CCF14EF" w14:textId="7947CB61" w:rsidR="00C837E7" w:rsidRDefault="00C837E7" w:rsidP="00C837E7">
      <w:pPr>
        <w:jc w:val="both"/>
      </w:pPr>
      <w:r w:rsidRPr="00C837E7">
        <w:rPr>
          <w:b/>
        </w:rPr>
        <w:t>Czas trwania procedury:</w:t>
      </w:r>
      <w:r>
        <w:t xml:space="preserve"> </w:t>
      </w:r>
      <w:r w:rsidR="00DF5C86" w:rsidRPr="00DF5C86">
        <w:t xml:space="preserve">Średni czas trwania postępowania wynosi </w:t>
      </w:r>
      <w:r w:rsidR="00DF5C86" w:rsidRPr="00DF5C86">
        <w:rPr>
          <w:b/>
        </w:rPr>
        <w:t>301 dni (ok. 10 miesięcy).</w:t>
      </w:r>
      <w:r w:rsidR="00DF5C86" w:rsidRPr="00DF5C86">
        <w:t xml:space="preserve"> </w:t>
      </w:r>
      <w:r w:rsidR="009D71DD" w:rsidRPr="009D71DD">
        <w:t xml:space="preserve">Wskaźnik ten odzwierciedla konieczność prowadzenia skomplikowanych, wieloaspektowych weryfikacji pod kątem bezpieczeństwa państwa oraz porządku publicznego </w:t>
      </w:r>
      <w:r w:rsidR="004B6630" w:rsidRPr="004B6630">
        <w:t xml:space="preserve">we współpracy ze służbami, </w:t>
      </w:r>
      <w:r w:rsidR="00DF5C86" w:rsidRPr="00DF5C86">
        <w:t>przy jednoczesnym zachowaniu unijnych standardów rzetelności</w:t>
      </w:r>
      <w:r w:rsidR="009D71DD">
        <w:t>.</w:t>
      </w:r>
    </w:p>
    <w:p w14:paraId="712D1138" w14:textId="3855702A" w:rsidR="00F51FAF" w:rsidRDefault="00F51FAF" w:rsidP="00FD0BD2">
      <w:pPr>
        <w:jc w:val="center"/>
        <w:rPr>
          <w:b/>
          <w:sz w:val="20"/>
          <w:szCs w:val="20"/>
        </w:rPr>
      </w:pPr>
    </w:p>
    <w:p w14:paraId="6173E87A" w14:textId="77777777" w:rsidR="00CC0405" w:rsidRDefault="00CC0405" w:rsidP="00FD0BD2">
      <w:pPr>
        <w:jc w:val="center"/>
        <w:rPr>
          <w:b/>
          <w:sz w:val="20"/>
          <w:szCs w:val="20"/>
        </w:rPr>
      </w:pPr>
    </w:p>
    <w:p w14:paraId="4269DC0F" w14:textId="7C04A7AE" w:rsidR="00CC0405" w:rsidRDefault="00CC0405" w:rsidP="00FD0BD2">
      <w:pPr>
        <w:jc w:val="center"/>
        <w:rPr>
          <w:b/>
          <w:sz w:val="20"/>
          <w:szCs w:val="20"/>
        </w:rPr>
      </w:pPr>
    </w:p>
    <w:p w14:paraId="2E996488" w14:textId="77777777" w:rsidR="001E1C14" w:rsidRDefault="00FD0BD2" w:rsidP="001E1C14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Decyzje Szefa UdSC w sprawach o udzielenie ochrony międzynarodowej w 202</w:t>
      </w:r>
      <w:r w:rsidR="00723FB9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r</w:t>
      </w:r>
      <w:r w:rsidR="001E1C14">
        <w:rPr>
          <w:b/>
          <w:sz w:val="20"/>
          <w:szCs w:val="20"/>
        </w:rPr>
        <w:t>.</w:t>
      </w:r>
    </w:p>
    <w:p w14:paraId="7584D1DA" w14:textId="3CB54B12" w:rsidR="00717E6D" w:rsidRDefault="001E1C14" w:rsidP="001E1C14">
      <w:pPr>
        <w:rPr>
          <w:b/>
          <w:sz w:val="20"/>
          <w:szCs w:val="20"/>
        </w:rPr>
      </w:pPr>
      <w:r>
        <w:rPr>
          <w:noProof/>
        </w:rPr>
        <w:drawing>
          <wp:inline distT="0" distB="0" distL="0" distR="0" wp14:anchorId="64318C33" wp14:editId="2CD30EF6">
            <wp:extent cx="2520000" cy="1800000"/>
            <wp:effectExtent l="0" t="0" r="0" b="0"/>
            <wp:docPr id="4" name="Wykres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="00BE6489">
        <w:rPr>
          <w:noProof/>
        </w:rPr>
        <w:drawing>
          <wp:inline distT="0" distB="0" distL="0" distR="0" wp14:anchorId="120DCB02" wp14:editId="1E8E7A3E">
            <wp:extent cx="2520000" cy="1800000"/>
            <wp:effectExtent l="0" t="0" r="0" b="0"/>
            <wp:docPr id="6" name="Wykres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bookmarkStart w:id="1" w:name="_GoBack"/>
      <w:bookmarkEnd w:id="1"/>
    </w:p>
    <w:p w14:paraId="5C6230F8" w14:textId="1A356D58" w:rsidR="00E54CAF" w:rsidRPr="00E902BC" w:rsidRDefault="00497E22" w:rsidP="00497E22">
      <w:pPr>
        <w:rPr>
          <w:noProof/>
          <w:lang w:eastAsia="pl-PL"/>
        </w:rPr>
      </w:pPr>
      <w:r>
        <w:rPr>
          <w:noProof/>
        </w:rPr>
        <w:drawing>
          <wp:inline distT="0" distB="0" distL="0" distR="0" wp14:anchorId="4A1A6618" wp14:editId="0EB0965F">
            <wp:extent cx="2520000" cy="1800000"/>
            <wp:effectExtent l="0" t="0" r="0" b="0"/>
            <wp:docPr id="19" name="Wykres 19">
              <a:extLst xmlns:a="http://schemas.openxmlformats.org/drawingml/2006/main">
                <a:ext uri="{FF2B5EF4-FFF2-40B4-BE49-F238E27FC236}">
                  <a16:creationId xmlns:a16="http://schemas.microsoft.com/office/drawing/2014/main" id="{CD840E35-D66E-40E2-ACDD-D578A45DAFC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41FBAD" wp14:editId="209B6796">
            <wp:extent cx="2520000" cy="1800000"/>
            <wp:effectExtent l="0" t="0" r="0" b="0"/>
            <wp:docPr id="20" name="Wykres 2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sectPr w:rsidR="00E54CAF" w:rsidRPr="00E902BC" w:rsidSect="00456A31">
      <w:headerReference w:type="first" r:id="rId2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6EEBD5" w14:textId="77777777" w:rsidR="00A17709" w:rsidRDefault="00A17709" w:rsidP="00F565DF">
      <w:pPr>
        <w:spacing w:after="0" w:line="240" w:lineRule="auto"/>
      </w:pPr>
      <w:r>
        <w:separator/>
      </w:r>
    </w:p>
  </w:endnote>
  <w:endnote w:type="continuationSeparator" w:id="0">
    <w:p w14:paraId="3600D4F0" w14:textId="77777777" w:rsidR="00A17709" w:rsidRDefault="00A17709" w:rsidP="00F56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C25C1" w14:textId="77777777" w:rsidR="00A17709" w:rsidRDefault="00A17709" w:rsidP="00F565DF">
      <w:pPr>
        <w:spacing w:after="0" w:line="240" w:lineRule="auto"/>
      </w:pPr>
      <w:r>
        <w:separator/>
      </w:r>
    </w:p>
  </w:footnote>
  <w:footnote w:type="continuationSeparator" w:id="0">
    <w:p w14:paraId="4B0C76AC" w14:textId="77777777" w:rsidR="00A17709" w:rsidRDefault="00A17709" w:rsidP="00F565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0BFFF" w14:textId="77777777" w:rsidR="00A93972" w:rsidRPr="00A93972" w:rsidRDefault="00A93972" w:rsidP="00A93972">
    <w:pPr>
      <w:pStyle w:val="Nagwek"/>
    </w:pPr>
    <w:r>
      <w:rPr>
        <w:noProof/>
        <w:lang w:eastAsia="pl-PL"/>
      </w:rPr>
      <w:drawing>
        <wp:inline distT="0" distB="0" distL="0" distR="0" wp14:anchorId="2226DCB3" wp14:editId="47ED7619">
          <wp:extent cx="2540000" cy="572599"/>
          <wp:effectExtent l="0" t="0" r="0" b="0"/>
          <wp:docPr id="28" name="Obraz 27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1C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7">
                    <a:extLst>
                      <a:ext uri="{FF2B5EF4-FFF2-40B4-BE49-F238E27FC236}">
                        <a16:creationId xmlns:a16="http://schemas.microsoft.com/office/drawing/2014/main" id="{00000000-0008-0000-0000-00001C000000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0000" cy="572599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C1A04"/>
    <w:multiLevelType w:val="hybridMultilevel"/>
    <w:tmpl w:val="73B67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93199"/>
    <w:multiLevelType w:val="hybridMultilevel"/>
    <w:tmpl w:val="06DA5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41B24"/>
    <w:multiLevelType w:val="multilevel"/>
    <w:tmpl w:val="D5221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F2831"/>
    <w:multiLevelType w:val="hybridMultilevel"/>
    <w:tmpl w:val="1AFA6218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F1846A5"/>
    <w:multiLevelType w:val="multilevel"/>
    <w:tmpl w:val="F172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9C01EA"/>
    <w:multiLevelType w:val="multilevel"/>
    <w:tmpl w:val="2FDE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90263A"/>
    <w:multiLevelType w:val="hybridMultilevel"/>
    <w:tmpl w:val="648A5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1509E"/>
    <w:multiLevelType w:val="hybridMultilevel"/>
    <w:tmpl w:val="16D65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013A8"/>
    <w:multiLevelType w:val="multilevel"/>
    <w:tmpl w:val="7C542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110492"/>
    <w:multiLevelType w:val="hybridMultilevel"/>
    <w:tmpl w:val="22020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47A6D"/>
    <w:multiLevelType w:val="multilevel"/>
    <w:tmpl w:val="EDB0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A771C6"/>
    <w:multiLevelType w:val="multilevel"/>
    <w:tmpl w:val="074C6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F34243"/>
    <w:multiLevelType w:val="multilevel"/>
    <w:tmpl w:val="AAC49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16743E"/>
    <w:multiLevelType w:val="hybridMultilevel"/>
    <w:tmpl w:val="5C521CBA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F5571E4"/>
    <w:multiLevelType w:val="hybridMultilevel"/>
    <w:tmpl w:val="1728BA6A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04A2991"/>
    <w:multiLevelType w:val="hybridMultilevel"/>
    <w:tmpl w:val="C624FFE2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091292B"/>
    <w:multiLevelType w:val="multilevel"/>
    <w:tmpl w:val="FE968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631665"/>
    <w:multiLevelType w:val="hybridMultilevel"/>
    <w:tmpl w:val="CA4A2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A56F9"/>
    <w:multiLevelType w:val="hybridMultilevel"/>
    <w:tmpl w:val="C638E6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8B39FE"/>
    <w:multiLevelType w:val="multilevel"/>
    <w:tmpl w:val="F2900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EF1AE7"/>
    <w:multiLevelType w:val="multilevel"/>
    <w:tmpl w:val="6C18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911E69"/>
    <w:multiLevelType w:val="multilevel"/>
    <w:tmpl w:val="C504D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F712DE"/>
    <w:multiLevelType w:val="multilevel"/>
    <w:tmpl w:val="E4D0A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B1618B"/>
    <w:multiLevelType w:val="multilevel"/>
    <w:tmpl w:val="A4029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F905A5"/>
    <w:multiLevelType w:val="multilevel"/>
    <w:tmpl w:val="6A62A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5131A1"/>
    <w:multiLevelType w:val="hybridMultilevel"/>
    <w:tmpl w:val="4BA43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4A5119"/>
    <w:multiLevelType w:val="multilevel"/>
    <w:tmpl w:val="E176F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98497E"/>
    <w:multiLevelType w:val="multilevel"/>
    <w:tmpl w:val="567AE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0F68ED"/>
    <w:multiLevelType w:val="multilevel"/>
    <w:tmpl w:val="5246D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636E6C"/>
    <w:multiLevelType w:val="multilevel"/>
    <w:tmpl w:val="C4B8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AE7D5C"/>
    <w:multiLevelType w:val="multilevel"/>
    <w:tmpl w:val="15327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4518AE"/>
    <w:multiLevelType w:val="multilevel"/>
    <w:tmpl w:val="1A581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9E4F83"/>
    <w:multiLevelType w:val="multilevel"/>
    <w:tmpl w:val="1DCE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B857BE"/>
    <w:multiLevelType w:val="multilevel"/>
    <w:tmpl w:val="C06A1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BB4B26"/>
    <w:multiLevelType w:val="multilevel"/>
    <w:tmpl w:val="597E8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C65581"/>
    <w:multiLevelType w:val="multilevel"/>
    <w:tmpl w:val="1058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32045A"/>
    <w:multiLevelType w:val="multilevel"/>
    <w:tmpl w:val="5EDA2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8953DE"/>
    <w:multiLevelType w:val="multilevel"/>
    <w:tmpl w:val="446A0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9812E5"/>
    <w:multiLevelType w:val="multilevel"/>
    <w:tmpl w:val="3D00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CA0EB7"/>
    <w:multiLevelType w:val="hybridMultilevel"/>
    <w:tmpl w:val="65583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526830"/>
    <w:multiLevelType w:val="hybridMultilevel"/>
    <w:tmpl w:val="A9CEF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5"/>
  </w:num>
  <w:num w:numId="3">
    <w:abstractNumId w:val="14"/>
  </w:num>
  <w:num w:numId="4">
    <w:abstractNumId w:val="0"/>
  </w:num>
  <w:num w:numId="5">
    <w:abstractNumId w:val="15"/>
  </w:num>
  <w:num w:numId="6">
    <w:abstractNumId w:val="3"/>
  </w:num>
  <w:num w:numId="7">
    <w:abstractNumId w:val="8"/>
  </w:num>
  <w:num w:numId="8">
    <w:abstractNumId w:val="17"/>
  </w:num>
  <w:num w:numId="9">
    <w:abstractNumId w:val="22"/>
  </w:num>
  <w:num w:numId="10">
    <w:abstractNumId w:val="13"/>
  </w:num>
  <w:num w:numId="11">
    <w:abstractNumId w:val="36"/>
  </w:num>
  <w:num w:numId="12">
    <w:abstractNumId w:val="9"/>
  </w:num>
  <w:num w:numId="13">
    <w:abstractNumId w:val="28"/>
  </w:num>
  <w:num w:numId="14">
    <w:abstractNumId w:val="19"/>
  </w:num>
  <w:num w:numId="15">
    <w:abstractNumId w:val="5"/>
  </w:num>
  <w:num w:numId="16">
    <w:abstractNumId w:val="29"/>
  </w:num>
  <w:num w:numId="17">
    <w:abstractNumId w:val="21"/>
  </w:num>
  <w:num w:numId="18">
    <w:abstractNumId w:val="4"/>
  </w:num>
  <w:num w:numId="19">
    <w:abstractNumId w:val="7"/>
  </w:num>
  <w:num w:numId="20">
    <w:abstractNumId w:val="27"/>
  </w:num>
  <w:num w:numId="21">
    <w:abstractNumId w:val="40"/>
  </w:num>
  <w:num w:numId="22">
    <w:abstractNumId w:val="20"/>
  </w:num>
  <w:num w:numId="23">
    <w:abstractNumId w:val="26"/>
  </w:num>
  <w:num w:numId="24">
    <w:abstractNumId w:val="6"/>
  </w:num>
  <w:num w:numId="25">
    <w:abstractNumId w:val="37"/>
  </w:num>
  <w:num w:numId="26">
    <w:abstractNumId w:val="38"/>
  </w:num>
  <w:num w:numId="27">
    <w:abstractNumId w:val="33"/>
  </w:num>
  <w:num w:numId="28">
    <w:abstractNumId w:val="23"/>
  </w:num>
  <w:num w:numId="29">
    <w:abstractNumId w:val="30"/>
  </w:num>
  <w:num w:numId="30">
    <w:abstractNumId w:val="2"/>
  </w:num>
  <w:num w:numId="31">
    <w:abstractNumId w:val="32"/>
  </w:num>
  <w:num w:numId="32">
    <w:abstractNumId w:val="35"/>
  </w:num>
  <w:num w:numId="33">
    <w:abstractNumId w:val="16"/>
  </w:num>
  <w:num w:numId="34">
    <w:abstractNumId w:val="24"/>
  </w:num>
  <w:num w:numId="35">
    <w:abstractNumId w:val="12"/>
  </w:num>
  <w:num w:numId="36">
    <w:abstractNumId w:val="10"/>
  </w:num>
  <w:num w:numId="37">
    <w:abstractNumId w:val="34"/>
  </w:num>
  <w:num w:numId="38">
    <w:abstractNumId w:val="1"/>
  </w:num>
  <w:num w:numId="39">
    <w:abstractNumId w:val="31"/>
  </w:num>
  <w:num w:numId="40">
    <w:abstractNumId w:val="11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5DF"/>
    <w:rsid w:val="0000713D"/>
    <w:rsid w:val="00012F38"/>
    <w:rsid w:val="00014422"/>
    <w:rsid w:val="000220A0"/>
    <w:rsid w:val="00023332"/>
    <w:rsid w:val="00024F92"/>
    <w:rsid w:val="00027AF7"/>
    <w:rsid w:val="00033882"/>
    <w:rsid w:val="000369F8"/>
    <w:rsid w:val="0003760A"/>
    <w:rsid w:val="000429D3"/>
    <w:rsid w:val="00046FB8"/>
    <w:rsid w:val="00060E35"/>
    <w:rsid w:val="00063AED"/>
    <w:rsid w:val="00065D97"/>
    <w:rsid w:val="00074ED3"/>
    <w:rsid w:val="000774AE"/>
    <w:rsid w:val="00084DAE"/>
    <w:rsid w:val="00092464"/>
    <w:rsid w:val="00092D10"/>
    <w:rsid w:val="00093D6F"/>
    <w:rsid w:val="000A0612"/>
    <w:rsid w:val="000A4BB3"/>
    <w:rsid w:val="000B2FE7"/>
    <w:rsid w:val="000B5A8E"/>
    <w:rsid w:val="000C6E05"/>
    <w:rsid w:val="000C743F"/>
    <w:rsid w:val="000D0005"/>
    <w:rsid w:val="000D0ABE"/>
    <w:rsid w:val="000D613C"/>
    <w:rsid w:val="000E0706"/>
    <w:rsid w:val="000E0B30"/>
    <w:rsid w:val="000F0285"/>
    <w:rsid w:val="000F4884"/>
    <w:rsid w:val="000F4D27"/>
    <w:rsid w:val="00111882"/>
    <w:rsid w:val="00111897"/>
    <w:rsid w:val="001131E4"/>
    <w:rsid w:val="00114DCE"/>
    <w:rsid w:val="00115F50"/>
    <w:rsid w:val="00116518"/>
    <w:rsid w:val="00124691"/>
    <w:rsid w:val="00132467"/>
    <w:rsid w:val="00133D2E"/>
    <w:rsid w:val="001352FD"/>
    <w:rsid w:val="001369C8"/>
    <w:rsid w:val="0014404D"/>
    <w:rsid w:val="001458C8"/>
    <w:rsid w:val="00147393"/>
    <w:rsid w:val="0015052B"/>
    <w:rsid w:val="00150772"/>
    <w:rsid w:val="001526B2"/>
    <w:rsid w:val="00152E8F"/>
    <w:rsid w:val="00157F43"/>
    <w:rsid w:val="00161062"/>
    <w:rsid w:val="00162E74"/>
    <w:rsid w:val="00176DB9"/>
    <w:rsid w:val="00183F32"/>
    <w:rsid w:val="00190551"/>
    <w:rsid w:val="00190F46"/>
    <w:rsid w:val="00191ADD"/>
    <w:rsid w:val="00191E07"/>
    <w:rsid w:val="00195BFD"/>
    <w:rsid w:val="001A19FE"/>
    <w:rsid w:val="001B0275"/>
    <w:rsid w:val="001C56F6"/>
    <w:rsid w:val="001D1809"/>
    <w:rsid w:val="001D575F"/>
    <w:rsid w:val="001D6EE5"/>
    <w:rsid w:val="001E1C14"/>
    <w:rsid w:val="001E232F"/>
    <w:rsid w:val="001E4F75"/>
    <w:rsid w:val="001E7F70"/>
    <w:rsid w:val="001F12B8"/>
    <w:rsid w:val="001F1C9C"/>
    <w:rsid w:val="0020107F"/>
    <w:rsid w:val="0020327E"/>
    <w:rsid w:val="00203544"/>
    <w:rsid w:val="0020463D"/>
    <w:rsid w:val="002050BC"/>
    <w:rsid w:val="0021062E"/>
    <w:rsid w:val="002121F6"/>
    <w:rsid w:val="00212774"/>
    <w:rsid w:val="00213190"/>
    <w:rsid w:val="002165C3"/>
    <w:rsid w:val="0021698D"/>
    <w:rsid w:val="00222B77"/>
    <w:rsid w:val="00223A85"/>
    <w:rsid w:val="00225D0B"/>
    <w:rsid w:val="00226B62"/>
    <w:rsid w:val="002400D6"/>
    <w:rsid w:val="002419B8"/>
    <w:rsid w:val="0025547F"/>
    <w:rsid w:val="00255DF5"/>
    <w:rsid w:val="0026048D"/>
    <w:rsid w:val="00262395"/>
    <w:rsid w:val="00266E89"/>
    <w:rsid w:val="00272BA6"/>
    <w:rsid w:val="0028534F"/>
    <w:rsid w:val="00285C7D"/>
    <w:rsid w:val="00287D87"/>
    <w:rsid w:val="0029155E"/>
    <w:rsid w:val="00293873"/>
    <w:rsid w:val="002A2CD6"/>
    <w:rsid w:val="002A6193"/>
    <w:rsid w:val="002A6F3E"/>
    <w:rsid w:val="002B0351"/>
    <w:rsid w:val="002B15BD"/>
    <w:rsid w:val="002C1796"/>
    <w:rsid w:val="002D2696"/>
    <w:rsid w:val="002E0B78"/>
    <w:rsid w:val="002E2A7A"/>
    <w:rsid w:val="002E3E04"/>
    <w:rsid w:val="002E7D3E"/>
    <w:rsid w:val="002F1452"/>
    <w:rsid w:val="002F1BBD"/>
    <w:rsid w:val="002F2AF2"/>
    <w:rsid w:val="002F3D87"/>
    <w:rsid w:val="003062E2"/>
    <w:rsid w:val="00310D3E"/>
    <w:rsid w:val="003112FE"/>
    <w:rsid w:val="00313064"/>
    <w:rsid w:val="00320B0D"/>
    <w:rsid w:val="00322014"/>
    <w:rsid w:val="003230BE"/>
    <w:rsid w:val="00324BD8"/>
    <w:rsid w:val="003265C1"/>
    <w:rsid w:val="003315B0"/>
    <w:rsid w:val="003318BD"/>
    <w:rsid w:val="00331BBC"/>
    <w:rsid w:val="00334995"/>
    <w:rsid w:val="003354FF"/>
    <w:rsid w:val="00336D3D"/>
    <w:rsid w:val="003434E2"/>
    <w:rsid w:val="00343BA6"/>
    <w:rsid w:val="00344D94"/>
    <w:rsid w:val="0035054E"/>
    <w:rsid w:val="00361829"/>
    <w:rsid w:val="00364E0D"/>
    <w:rsid w:val="003656CB"/>
    <w:rsid w:val="00367B9F"/>
    <w:rsid w:val="00373A08"/>
    <w:rsid w:val="003742AB"/>
    <w:rsid w:val="00384B62"/>
    <w:rsid w:val="003859F4"/>
    <w:rsid w:val="0038707D"/>
    <w:rsid w:val="00387DF0"/>
    <w:rsid w:val="00391F40"/>
    <w:rsid w:val="00392373"/>
    <w:rsid w:val="003926EF"/>
    <w:rsid w:val="00395926"/>
    <w:rsid w:val="00396AE3"/>
    <w:rsid w:val="003A3B1B"/>
    <w:rsid w:val="003A7983"/>
    <w:rsid w:val="003B00D6"/>
    <w:rsid w:val="003B2540"/>
    <w:rsid w:val="003B5A8C"/>
    <w:rsid w:val="003B5F30"/>
    <w:rsid w:val="003C332A"/>
    <w:rsid w:val="003C7076"/>
    <w:rsid w:val="003C7EDE"/>
    <w:rsid w:val="003D4FD0"/>
    <w:rsid w:val="003D61A5"/>
    <w:rsid w:val="003E1AE4"/>
    <w:rsid w:val="003E389E"/>
    <w:rsid w:val="003E552C"/>
    <w:rsid w:val="003E6ADF"/>
    <w:rsid w:val="003F39F7"/>
    <w:rsid w:val="003F68A7"/>
    <w:rsid w:val="003F7BFD"/>
    <w:rsid w:val="00400D77"/>
    <w:rsid w:val="00404190"/>
    <w:rsid w:val="0040454B"/>
    <w:rsid w:val="00411121"/>
    <w:rsid w:val="00412217"/>
    <w:rsid w:val="00413CD9"/>
    <w:rsid w:val="0041686F"/>
    <w:rsid w:val="004202CE"/>
    <w:rsid w:val="00420329"/>
    <w:rsid w:val="00420511"/>
    <w:rsid w:val="00421BBF"/>
    <w:rsid w:val="00424737"/>
    <w:rsid w:val="0042492A"/>
    <w:rsid w:val="00434C33"/>
    <w:rsid w:val="00440411"/>
    <w:rsid w:val="0044341B"/>
    <w:rsid w:val="00445EBA"/>
    <w:rsid w:val="0045508C"/>
    <w:rsid w:val="00456A31"/>
    <w:rsid w:val="00457541"/>
    <w:rsid w:val="00472F5C"/>
    <w:rsid w:val="0047711D"/>
    <w:rsid w:val="004828AD"/>
    <w:rsid w:val="00482EA3"/>
    <w:rsid w:val="00497E22"/>
    <w:rsid w:val="004A47AD"/>
    <w:rsid w:val="004A757C"/>
    <w:rsid w:val="004A7871"/>
    <w:rsid w:val="004A7B44"/>
    <w:rsid w:val="004B58B1"/>
    <w:rsid w:val="004B6461"/>
    <w:rsid w:val="004B6630"/>
    <w:rsid w:val="004C33A2"/>
    <w:rsid w:val="004C57A1"/>
    <w:rsid w:val="004D156C"/>
    <w:rsid w:val="004D7480"/>
    <w:rsid w:val="004E0091"/>
    <w:rsid w:val="004E07FC"/>
    <w:rsid w:val="004E1471"/>
    <w:rsid w:val="004E3D41"/>
    <w:rsid w:val="004E4731"/>
    <w:rsid w:val="004F27E6"/>
    <w:rsid w:val="004F508A"/>
    <w:rsid w:val="004F7D2C"/>
    <w:rsid w:val="00504554"/>
    <w:rsid w:val="00504D6B"/>
    <w:rsid w:val="00507363"/>
    <w:rsid w:val="005076CD"/>
    <w:rsid w:val="00521735"/>
    <w:rsid w:val="005368A8"/>
    <w:rsid w:val="00537F62"/>
    <w:rsid w:val="0054092F"/>
    <w:rsid w:val="0054173B"/>
    <w:rsid w:val="00542E18"/>
    <w:rsid w:val="00546092"/>
    <w:rsid w:val="00546362"/>
    <w:rsid w:val="0054682E"/>
    <w:rsid w:val="00547524"/>
    <w:rsid w:val="0055066E"/>
    <w:rsid w:val="00550822"/>
    <w:rsid w:val="00555355"/>
    <w:rsid w:val="00556A47"/>
    <w:rsid w:val="0055704E"/>
    <w:rsid w:val="005600A9"/>
    <w:rsid w:val="0056346E"/>
    <w:rsid w:val="00567C03"/>
    <w:rsid w:val="0057021C"/>
    <w:rsid w:val="005702F2"/>
    <w:rsid w:val="005747AF"/>
    <w:rsid w:val="00574975"/>
    <w:rsid w:val="00576301"/>
    <w:rsid w:val="0057704E"/>
    <w:rsid w:val="00577099"/>
    <w:rsid w:val="005807B7"/>
    <w:rsid w:val="00584C1C"/>
    <w:rsid w:val="0058500B"/>
    <w:rsid w:val="00587DFC"/>
    <w:rsid w:val="00592D9B"/>
    <w:rsid w:val="00595ED9"/>
    <w:rsid w:val="00597F61"/>
    <w:rsid w:val="005A20AF"/>
    <w:rsid w:val="005A2638"/>
    <w:rsid w:val="005A2C5C"/>
    <w:rsid w:val="005A568F"/>
    <w:rsid w:val="005B1EA6"/>
    <w:rsid w:val="005B522C"/>
    <w:rsid w:val="005B7FAB"/>
    <w:rsid w:val="005D48A4"/>
    <w:rsid w:val="005E16F9"/>
    <w:rsid w:val="005E179E"/>
    <w:rsid w:val="005E7980"/>
    <w:rsid w:val="005F3587"/>
    <w:rsid w:val="005F6ADF"/>
    <w:rsid w:val="005F7BF9"/>
    <w:rsid w:val="00606041"/>
    <w:rsid w:val="00610FA6"/>
    <w:rsid w:val="00614E69"/>
    <w:rsid w:val="006174CE"/>
    <w:rsid w:val="00625C83"/>
    <w:rsid w:val="006263A1"/>
    <w:rsid w:val="00633A07"/>
    <w:rsid w:val="00633E3C"/>
    <w:rsid w:val="006346BE"/>
    <w:rsid w:val="0063626B"/>
    <w:rsid w:val="00637F0D"/>
    <w:rsid w:val="00641794"/>
    <w:rsid w:val="00646E45"/>
    <w:rsid w:val="00651A27"/>
    <w:rsid w:val="00651EDB"/>
    <w:rsid w:val="0065254D"/>
    <w:rsid w:val="006541C6"/>
    <w:rsid w:val="00657AB8"/>
    <w:rsid w:val="00665E03"/>
    <w:rsid w:val="006673A8"/>
    <w:rsid w:val="00675698"/>
    <w:rsid w:val="006807FB"/>
    <w:rsid w:val="00682FD0"/>
    <w:rsid w:val="006850F0"/>
    <w:rsid w:val="00691822"/>
    <w:rsid w:val="006919A4"/>
    <w:rsid w:val="00691A94"/>
    <w:rsid w:val="00697F0E"/>
    <w:rsid w:val="006B3C96"/>
    <w:rsid w:val="006B40AF"/>
    <w:rsid w:val="006C685B"/>
    <w:rsid w:val="006D37FF"/>
    <w:rsid w:val="006D68DA"/>
    <w:rsid w:val="006E0D8F"/>
    <w:rsid w:val="006E2350"/>
    <w:rsid w:val="006E2853"/>
    <w:rsid w:val="006E3109"/>
    <w:rsid w:val="006F2AAF"/>
    <w:rsid w:val="00700416"/>
    <w:rsid w:val="007154CF"/>
    <w:rsid w:val="00717E6D"/>
    <w:rsid w:val="00722A9D"/>
    <w:rsid w:val="00723FB9"/>
    <w:rsid w:val="00727D77"/>
    <w:rsid w:val="00730311"/>
    <w:rsid w:val="007366DE"/>
    <w:rsid w:val="00736EBF"/>
    <w:rsid w:val="0073765C"/>
    <w:rsid w:val="00740C09"/>
    <w:rsid w:val="00743DCB"/>
    <w:rsid w:val="0074587D"/>
    <w:rsid w:val="007471FE"/>
    <w:rsid w:val="007528D2"/>
    <w:rsid w:val="0075457F"/>
    <w:rsid w:val="00766859"/>
    <w:rsid w:val="007729DC"/>
    <w:rsid w:val="007765BD"/>
    <w:rsid w:val="007807E7"/>
    <w:rsid w:val="007817B6"/>
    <w:rsid w:val="00785899"/>
    <w:rsid w:val="00786F61"/>
    <w:rsid w:val="007912F1"/>
    <w:rsid w:val="00795D60"/>
    <w:rsid w:val="00795F79"/>
    <w:rsid w:val="007A106E"/>
    <w:rsid w:val="007A679A"/>
    <w:rsid w:val="007B5408"/>
    <w:rsid w:val="007B6F6D"/>
    <w:rsid w:val="007C0B41"/>
    <w:rsid w:val="007C177D"/>
    <w:rsid w:val="007C25E6"/>
    <w:rsid w:val="007C3BEB"/>
    <w:rsid w:val="007C50FA"/>
    <w:rsid w:val="007C6212"/>
    <w:rsid w:val="007C6A99"/>
    <w:rsid w:val="007D05BB"/>
    <w:rsid w:val="007D1254"/>
    <w:rsid w:val="007D5D71"/>
    <w:rsid w:val="007D5E2A"/>
    <w:rsid w:val="007E0428"/>
    <w:rsid w:val="007E10BC"/>
    <w:rsid w:val="007E413E"/>
    <w:rsid w:val="007E4438"/>
    <w:rsid w:val="007E4DFA"/>
    <w:rsid w:val="007E7096"/>
    <w:rsid w:val="007F189B"/>
    <w:rsid w:val="007F25C8"/>
    <w:rsid w:val="00802E79"/>
    <w:rsid w:val="00804459"/>
    <w:rsid w:val="0080721A"/>
    <w:rsid w:val="008115EA"/>
    <w:rsid w:val="00814F28"/>
    <w:rsid w:val="0081548A"/>
    <w:rsid w:val="00820496"/>
    <w:rsid w:val="00821E46"/>
    <w:rsid w:val="0082356C"/>
    <w:rsid w:val="00824CF8"/>
    <w:rsid w:val="00826E57"/>
    <w:rsid w:val="00831FE8"/>
    <w:rsid w:val="008334C5"/>
    <w:rsid w:val="00833FC3"/>
    <w:rsid w:val="00837876"/>
    <w:rsid w:val="0084329B"/>
    <w:rsid w:val="00852CFC"/>
    <w:rsid w:val="0085520A"/>
    <w:rsid w:val="00856294"/>
    <w:rsid w:val="00861FDC"/>
    <w:rsid w:val="008629A6"/>
    <w:rsid w:val="008647B7"/>
    <w:rsid w:val="00870A72"/>
    <w:rsid w:val="00875880"/>
    <w:rsid w:val="008763E6"/>
    <w:rsid w:val="00877B06"/>
    <w:rsid w:val="008827F6"/>
    <w:rsid w:val="00885303"/>
    <w:rsid w:val="00887E49"/>
    <w:rsid w:val="0089163C"/>
    <w:rsid w:val="008956C3"/>
    <w:rsid w:val="008A4D3E"/>
    <w:rsid w:val="008B475D"/>
    <w:rsid w:val="008B63AE"/>
    <w:rsid w:val="008B7919"/>
    <w:rsid w:val="008C3E63"/>
    <w:rsid w:val="008C4983"/>
    <w:rsid w:val="008D47BF"/>
    <w:rsid w:val="008E4FA0"/>
    <w:rsid w:val="008F1C0B"/>
    <w:rsid w:val="008F2334"/>
    <w:rsid w:val="008F4382"/>
    <w:rsid w:val="00907C94"/>
    <w:rsid w:val="00912022"/>
    <w:rsid w:val="00912E87"/>
    <w:rsid w:val="00913829"/>
    <w:rsid w:val="00917EBB"/>
    <w:rsid w:val="0092011B"/>
    <w:rsid w:val="00930ECE"/>
    <w:rsid w:val="00933991"/>
    <w:rsid w:val="00935236"/>
    <w:rsid w:val="00945BE9"/>
    <w:rsid w:val="009540D5"/>
    <w:rsid w:val="00956B7A"/>
    <w:rsid w:val="00956CB8"/>
    <w:rsid w:val="00962154"/>
    <w:rsid w:val="00964C7B"/>
    <w:rsid w:val="00971EE0"/>
    <w:rsid w:val="0097343E"/>
    <w:rsid w:val="00977423"/>
    <w:rsid w:val="00977662"/>
    <w:rsid w:val="0098085B"/>
    <w:rsid w:val="00981803"/>
    <w:rsid w:val="009823C2"/>
    <w:rsid w:val="00982CFD"/>
    <w:rsid w:val="00985D00"/>
    <w:rsid w:val="00986088"/>
    <w:rsid w:val="009910AC"/>
    <w:rsid w:val="00997E95"/>
    <w:rsid w:val="009A6803"/>
    <w:rsid w:val="009A7C13"/>
    <w:rsid w:val="009A7ECB"/>
    <w:rsid w:val="009B1718"/>
    <w:rsid w:val="009B5722"/>
    <w:rsid w:val="009C2474"/>
    <w:rsid w:val="009C5056"/>
    <w:rsid w:val="009D13A7"/>
    <w:rsid w:val="009D55F4"/>
    <w:rsid w:val="009D71DD"/>
    <w:rsid w:val="009E57FB"/>
    <w:rsid w:val="009F2B97"/>
    <w:rsid w:val="009F3A57"/>
    <w:rsid w:val="009F5BDA"/>
    <w:rsid w:val="009F6432"/>
    <w:rsid w:val="00A02406"/>
    <w:rsid w:val="00A02E93"/>
    <w:rsid w:val="00A037C2"/>
    <w:rsid w:val="00A11874"/>
    <w:rsid w:val="00A11DFA"/>
    <w:rsid w:val="00A174E0"/>
    <w:rsid w:val="00A17709"/>
    <w:rsid w:val="00A21515"/>
    <w:rsid w:val="00A3121F"/>
    <w:rsid w:val="00A31A88"/>
    <w:rsid w:val="00A36374"/>
    <w:rsid w:val="00A36743"/>
    <w:rsid w:val="00A3692F"/>
    <w:rsid w:val="00A4069C"/>
    <w:rsid w:val="00A4382E"/>
    <w:rsid w:val="00A47094"/>
    <w:rsid w:val="00A50D24"/>
    <w:rsid w:val="00A57A07"/>
    <w:rsid w:val="00A6083D"/>
    <w:rsid w:val="00A62FE7"/>
    <w:rsid w:val="00A637FB"/>
    <w:rsid w:val="00A755B4"/>
    <w:rsid w:val="00A76A9D"/>
    <w:rsid w:val="00A77AEF"/>
    <w:rsid w:val="00A80300"/>
    <w:rsid w:val="00A904F8"/>
    <w:rsid w:val="00A93644"/>
    <w:rsid w:val="00A93972"/>
    <w:rsid w:val="00A93CE1"/>
    <w:rsid w:val="00A97C5C"/>
    <w:rsid w:val="00AA2331"/>
    <w:rsid w:val="00AB19FD"/>
    <w:rsid w:val="00AB4F53"/>
    <w:rsid w:val="00AC2479"/>
    <w:rsid w:val="00AC700F"/>
    <w:rsid w:val="00AD4B61"/>
    <w:rsid w:val="00AD4E56"/>
    <w:rsid w:val="00AD53A3"/>
    <w:rsid w:val="00AD6C17"/>
    <w:rsid w:val="00AD7635"/>
    <w:rsid w:val="00AE79AD"/>
    <w:rsid w:val="00AF4F17"/>
    <w:rsid w:val="00B040D1"/>
    <w:rsid w:val="00B13CB8"/>
    <w:rsid w:val="00B14C40"/>
    <w:rsid w:val="00B21BD5"/>
    <w:rsid w:val="00B2433C"/>
    <w:rsid w:val="00B256DC"/>
    <w:rsid w:val="00B27206"/>
    <w:rsid w:val="00B30868"/>
    <w:rsid w:val="00B3187B"/>
    <w:rsid w:val="00B31DE2"/>
    <w:rsid w:val="00B34AD4"/>
    <w:rsid w:val="00B41960"/>
    <w:rsid w:val="00B4676C"/>
    <w:rsid w:val="00B47C24"/>
    <w:rsid w:val="00B71A6B"/>
    <w:rsid w:val="00B721DF"/>
    <w:rsid w:val="00B73281"/>
    <w:rsid w:val="00B81C06"/>
    <w:rsid w:val="00B9329E"/>
    <w:rsid w:val="00BA43D7"/>
    <w:rsid w:val="00BA5C6E"/>
    <w:rsid w:val="00BB1109"/>
    <w:rsid w:val="00BB48B9"/>
    <w:rsid w:val="00BB76F7"/>
    <w:rsid w:val="00BC25FE"/>
    <w:rsid w:val="00BC29B0"/>
    <w:rsid w:val="00BC46A2"/>
    <w:rsid w:val="00BC5901"/>
    <w:rsid w:val="00BE1D1B"/>
    <w:rsid w:val="00BE5AA9"/>
    <w:rsid w:val="00BE6489"/>
    <w:rsid w:val="00BF45E6"/>
    <w:rsid w:val="00BF6AE5"/>
    <w:rsid w:val="00C01178"/>
    <w:rsid w:val="00C019D6"/>
    <w:rsid w:val="00C024CA"/>
    <w:rsid w:val="00C031A6"/>
    <w:rsid w:val="00C047B2"/>
    <w:rsid w:val="00C0732D"/>
    <w:rsid w:val="00C07623"/>
    <w:rsid w:val="00C10C5E"/>
    <w:rsid w:val="00C14A12"/>
    <w:rsid w:val="00C157B6"/>
    <w:rsid w:val="00C16C2F"/>
    <w:rsid w:val="00C20062"/>
    <w:rsid w:val="00C263AB"/>
    <w:rsid w:val="00C411B6"/>
    <w:rsid w:val="00C416E0"/>
    <w:rsid w:val="00C44877"/>
    <w:rsid w:val="00C469A0"/>
    <w:rsid w:val="00C47450"/>
    <w:rsid w:val="00C560F8"/>
    <w:rsid w:val="00C60231"/>
    <w:rsid w:val="00C62974"/>
    <w:rsid w:val="00C6407C"/>
    <w:rsid w:val="00C7154F"/>
    <w:rsid w:val="00C7399A"/>
    <w:rsid w:val="00C837E7"/>
    <w:rsid w:val="00C84777"/>
    <w:rsid w:val="00C86D03"/>
    <w:rsid w:val="00C90991"/>
    <w:rsid w:val="00C9280D"/>
    <w:rsid w:val="00C9738B"/>
    <w:rsid w:val="00CA433B"/>
    <w:rsid w:val="00CC025F"/>
    <w:rsid w:val="00CC0405"/>
    <w:rsid w:val="00CC0AD3"/>
    <w:rsid w:val="00CD2123"/>
    <w:rsid w:val="00CD2AE7"/>
    <w:rsid w:val="00CD35F7"/>
    <w:rsid w:val="00CD39D3"/>
    <w:rsid w:val="00CD6FC3"/>
    <w:rsid w:val="00CE041A"/>
    <w:rsid w:val="00CE0C90"/>
    <w:rsid w:val="00CF43CC"/>
    <w:rsid w:val="00CF6A15"/>
    <w:rsid w:val="00D07A4B"/>
    <w:rsid w:val="00D10161"/>
    <w:rsid w:val="00D112EA"/>
    <w:rsid w:val="00D116A8"/>
    <w:rsid w:val="00D12D58"/>
    <w:rsid w:val="00D15B5B"/>
    <w:rsid w:val="00D25312"/>
    <w:rsid w:val="00D33EC8"/>
    <w:rsid w:val="00D35491"/>
    <w:rsid w:val="00D40009"/>
    <w:rsid w:val="00D52F49"/>
    <w:rsid w:val="00D5394F"/>
    <w:rsid w:val="00D54375"/>
    <w:rsid w:val="00D56231"/>
    <w:rsid w:val="00D56E4A"/>
    <w:rsid w:val="00D57803"/>
    <w:rsid w:val="00D6005E"/>
    <w:rsid w:val="00D6265D"/>
    <w:rsid w:val="00D637C2"/>
    <w:rsid w:val="00D650AA"/>
    <w:rsid w:val="00D65E00"/>
    <w:rsid w:val="00D73E4C"/>
    <w:rsid w:val="00D74DD0"/>
    <w:rsid w:val="00D84E15"/>
    <w:rsid w:val="00D85034"/>
    <w:rsid w:val="00D86436"/>
    <w:rsid w:val="00D865DA"/>
    <w:rsid w:val="00D9286F"/>
    <w:rsid w:val="00D97C5D"/>
    <w:rsid w:val="00DA0448"/>
    <w:rsid w:val="00DA0995"/>
    <w:rsid w:val="00DA122C"/>
    <w:rsid w:val="00DA16A9"/>
    <w:rsid w:val="00DA2285"/>
    <w:rsid w:val="00DA24CC"/>
    <w:rsid w:val="00DA56DB"/>
    <w:rsid w:val="00DA5FDB"/>
    <w:rsid w:val="00DA721C"/>
    <w:rsid w:val="00DB10E5"/>
    <w:rsid w:val="00DB201D"/>
    <w:rsid w:val="00DB2E85"/>
    <w:rsid w:val="00DB7689"/>
    <w:rsid w:val="00DD2533"/>
    <w:rsid w:val="00DD79BF"/>
    <w:rsid w:val="00DE4C69"/>
    <w:rsid w:val="00DF04AD"/>
    <w:rsid w:val="00DF2A48"/>
    <w:rsid w:val="00DF3107"/>
    <w:rsid w:val="00DF5C46"/>
    <w:rsid w:val="00DF5C86"/>
    <w:rsid w:val="00E02C76"/>
    <w:rsid w:val="00E0685B"/>
    <w:rsid w:val="00E114D7"/>
    <w:rsid w:val="00E13AE1"/>
    <w:rsid w:val="00E14193"/>
    <w:rsid w:val="00E15066"/>
    <w:rsid w:val="00E16512"/>
    <w:rsid w:val="00E204D8"/>
    <w:rsid w:val="00E23DCF"/>
    <w:rsid w:val="00E25243"/>
    <w:rsid w:val="00E25E3E"/>
    <w:rsid w:val="00E266A6"/>
    <w:rsid w:val="00E273A4"/>
    <w:rsid w:val="00E2777E"/>
    <w:rsid w:val="00E40B65"/>
    <w:rsid w:val="00E44EE8"/>
    <w:rsid w:val="00E44FEB"/>
    <w:rsid w:val="00E45211"/>
    <w:rsid w:val="00E452B9"/>
    <w:rsid w:val="00E5079C"/>
    <w:rsid w:val="00E54282"/>
    <w:rsid w:val="00E54CAF"/>
    <w:rsid w:val="00E55D28"/>
    <w:rsid w:val="00E64AAB"/>
    <w:rsid w:val="00E651F7"/>
    <w:rsid w:val="00E652B3"/>
    <w:rsid w:val="00E659E5"/>
    <w:rsid w:val="00E72165"/>
    <w:rsid w:val="00E7715C"/>
    <w:rsid w:val="00E82701"/>
    <w:rsid w:val="00E84DEA"/>
    <w:rsid w:val="00E902BC"/>
    <w:rsid w:val="00EA75C6"/>
    <w:rsid w:val="00EB03DD"/>
    <w:rsid w:val="00EB0C4E"/>
    <w:rsid w:val="00EB4366"/>
    <w:rsid w:val="00EB56B4"/>
    <w:rsid w:val="00EB76AC"/>
    <w:rsid w:val="00EC0FB0"/>
    <w:rsid w:val="00EC2A76"/>
    <w:rsid w:val="00EC348C"/>
    <w:rsid w:val="00EC6BAA"/>
    <w:rsid w:val="00ED15F0"/>
    <w:rsid w:val="00ED2C6E"/>
    <w:rsid w:val="00ED53FF"/>
    <w:rsid w:val="00ED5690"/>
    <w:rsid w:val="00ED6E7F"/>
    <w:rsid w:val="00EE0794"/>
    <w:rsid w:val="00EE106D"/>
    <w:rsid w:val="00EE2AFF"/>
    <w:rsid w:val="00EE6417"/>
    <w:rsid w:val="00EE6F97"/>
    <w:rsid w:val="00EF7DA9"/>
    <w:rsid w:val="00F00CE2"/>
    <w:rsid w:val="00F01909"/>
    <w:rsid w:val="00F03114"/>
    <w:rsid w:val="00F06BF8"/>
    <w:rsid w:val="00F11F99"/>
    <w:rsid w:val="00F22399"/>
    <w:rsid w:val="00F2275D"/>
    <w:rsid w:val="00F24AFD"/>
    <w:rsid w:val="00F26765"/>
    <w:rsid w:val="00F269CF"/>
    <w:rsid w:val="00F275BD"/>
    <w:rsid w:val="00F31EA7"/>
    <w:rsid w:val="00F333D0"/>
    <w:rsid w:val="00F40B34"/>
    <w:rsid w:val="00F41843"/>
    <w:rsid w:val="00F41EE6"/>
    <w:rsid w:val="00F467E5"/>
    <w:rsid w:val="00F502E2"/>
    <w:rsid w:val="00F51FAF"/>
    <w:rsid w:val="00F53C20"/>
    <w:rsid w:val="00F565DF"/>
    <w:rsid w:val="00F72625"/>
    <w:rsid w:val="00F727D6"/>
    <w:rsid w:val="00F74EDA"/>
    <w:rsid w:val="00F76538"/>
    <w:rsid w:val="00F84818"/>
    <w:rsid w:val="00F91355"/>
    <w:rsid w:val="00F95099"/>
    <w:rsid w:val="00F9564A"/>
    <w:rsid w:val="00F96C81"/>
    <w:rsid w:val="00FA0A4E"/>
    <w:rsid w:val="00FA1DC9"/>
    <w:rsid w:val="00FA55BE"/>
    <w:rsid w:val="00FB46B1"/>
    <w:rsid w:val="00FB49E4"/>
    <w:rsid w:val="00FC1666"/>
    <w:rsid w:val="00FC2F7E"/>
    <w:rsid w:val="00FC47AE"/>
    <w:rsid w:val="00FC711E"/>
    <w:rsid w:val="00FD0BD2"/>
    <w:rsid w:val="00FD21A9"/>
    <w:rsid w:val="00FD2296"/>
    <w:rsid w:val="00FD682E"/>
    <w:rsid w:val="00FD743C"/>
    <w:rsid w:val="00FE119A"/>
    <w:rsid w:val="00FE33F9"/>
    <w:rsid w:val="00FE4EEB"/>
    <w:rsid w:val="00FF1ED7"/>
    <w:rsid w:val="00FF33B8"/>
    <w:rsid w:val="00FF4BB2"/>
    <w:rsid w:val="00FF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34C3"/>
  <w15:chartTrackingRefBased/>
  <w15:docId w15:val="{B1B9B2CF-BC23-419A-96F7-A76B83C0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565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65DF"/>
  </w:style>
  <w:style w:type="paragraph" w:styleId="Stopka">
    <w:name w:val="footer"/>
    <w:basedOn w:val="Normalny"/>
    <w:link w:val="StopkaZnak"/>
    <w:uiPriority w:val="99"/>
    <w:unhideWhenUsed/>
    <w:rsid w:val="00F565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65DF"/>
  </w:style>
  <w:style w:type="paragraph" w:styleId="Tytu">
    <w:name w:val="Title"/>
    <w:basedOn w:val="Normalny"/>
    <w:next w:val="Normalny"/>
    <w:link w:val="TytuZnak"/>
    <w:uiPriority w:val="10"/>
    <w:qFormat/>
    <w:rsid w:val="00F565D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6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2D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2D5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12D5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2D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2D5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2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D58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25C83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364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364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3644"/>
    <w:rPr>
      <w:vertAlign w:val="superscript"/>
    </w:rPr>
  </w:style>
  <w:style w:type="paragraph" w:styleId="Akapitzlist">
    <w:name w:val="List Paragraph"/>
    <w:basedOn w:val="Normalny"/>
    <w:uiPriority w:val="34"/>
    <w:qFormat/>
    <w:rsid w:val="006346BE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20062"/>
    <w:rPr>
      <w:b/>
      <w:bCs/>
    </w:rPr>
  </w:style>
  <w:style w:type="paragraph" w:customStyle="1" w:styleId="z1qcye">
    <w:name w:val="z1qcye"/>
    <w:basedOn w:val="Normalny"/>
    <w:rsid w:val="00F95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286pc">
    <w:name w:val="t286pc"/>
    <w:basedOn w:val="Domylnaczcionkaakapitu"/>
    <w:rsid w:val="00F9564A"/>
  </w:style>
  <w:style w:type="character" w:customStyle="1" w:styleId="inqyif">
    <w:name w:val="inqyif"/>
    <w:basedOn w:val="Domylnaczcionkaakapitu"/>
    <w:rsid w:val="00420511"/>
  </w:style>
  <w:style w:type="character" w:styleId="Uwydatnienie">
    <w:name w:val="Emphasis"/>
    <w:basedOn w:val="Domylnaczcionkaakapitu"/>
    <w:uiPriority w:val="20"/>
    <w:qFormat/>
    <w:rsid w:val="004205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989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8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34809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3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914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276981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82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48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570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9817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0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67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97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231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62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07692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0259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2036474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355873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87377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668247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545946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750832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813332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191031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934352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01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497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4" w:space="0" w:color="F0F2F5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86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915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25954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49408120">
                                                  <w:marLeft w:val="0"/>
                                                  <w:marRight w:val="0"/>
                                                  <w:marTop w:val="4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4" w:space="0" w:color="F0F2F5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9148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349027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6915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736916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827243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63083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75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75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22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142997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62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590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530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35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40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62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289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03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883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4277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053301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2654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90487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047062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9861889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1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0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557135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25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861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309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94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46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6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34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022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526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3127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768399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701985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896216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047869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746209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801995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761198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001919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5064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472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4" w:space="0" w:color="F0F2F5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998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8622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29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1657242">
                                                          <w:marLeft w:val="0"/>
                                                          <w:marRight w:val="0"/>
                                                          <w:marTop w:val="4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4" w:space="0" w:color="F0F2F5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3970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5535484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0254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00271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865165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971896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44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44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261940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4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687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260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882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06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65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30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171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950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31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421486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452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12825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140731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418640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33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9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04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0872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33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487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568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696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91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44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00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8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05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1077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24006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458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36635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0720622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644465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30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1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4813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6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165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965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0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956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10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278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335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758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290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22111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6734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57021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6418896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242928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9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7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522222">
                              <w:marLeft w:val="419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43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87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02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813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6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8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726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438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051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713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75852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262398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863896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705442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427875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092147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898600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29537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16634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230488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30568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880805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7525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15566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4380196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502245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63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5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7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80188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546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6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35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289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61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06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532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241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90023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786697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689443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946134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026781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876583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382885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726948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757587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007464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550289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103552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922940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469058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1246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089106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418107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664051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632206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502348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141967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508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928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4" w:space="0" w:color="F0F2F5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014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0954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1940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6386731">
                                                          <w:marLeft w:val="0"/>
                                                          <w:marRight w:val="0"/>
                                                          <w:marTop w:val="4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4" w:space="0" w:color="F0F2F5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1504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816084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0156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32405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4279138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7658885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59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16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72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360452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96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877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898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948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53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13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717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440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125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98776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8619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0098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5535113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789321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6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09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32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048525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48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61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74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55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2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086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10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7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219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04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36709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239419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439329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06915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429769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031160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222585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030293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87059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42627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935784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63922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27090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891904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524817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732249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61866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960279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647238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337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5864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4" w:space="0" w:color="F0F2F5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070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74519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4151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8266119">
                                                          <w:marLeft w:val="0"/>
                                                          <w:marRight w:val="0"/>
                                                          <w:marTop w:val="4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4" w:space="0" w:color="F0F2F5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8680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36971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9752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222168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893175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2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3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82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8720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94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79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452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897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18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560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74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895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069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14126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19728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474804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044322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827835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467141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84542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667844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379081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866501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522807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556135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278825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227548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7348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88326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13121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604164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4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36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952210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36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39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65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902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785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439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89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98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759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6405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579604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318537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500008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837533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420496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61057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824958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345159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548035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020388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19724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324775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0896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605829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914144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8517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961451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0006694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065976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0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81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184379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134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902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279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12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2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760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492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307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534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1592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25761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951122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050354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609883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915204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000037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418756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497266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062510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772519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019812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96472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630300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952923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777469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285617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784900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590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292486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034484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04677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655594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978759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8312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719071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1553157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919380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98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0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476853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715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03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113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14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959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72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833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92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690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38340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97085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057494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74967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218757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709075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508443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775401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163703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746777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843642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899779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677775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457529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2945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498320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163750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262233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03856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13787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03121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785456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386042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982688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138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043007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0653018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619183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83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88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93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4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612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15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02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89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7955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03234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8476031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865267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1168144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2478816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77389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709234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184839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744194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460131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0887305">
                                          <w:marLeft w:val="0"/>
                                          <w:marRight w:val="0"/>
                                          <w:marTop w:val="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3219093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41330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72604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903146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279361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04288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4988462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487515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735076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405022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484886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650419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9237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211499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189864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7294715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76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9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581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6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9268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8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0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53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1892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4298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196652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441346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475305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2096613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354883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963081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9110274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07325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462213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5362831">
                                          <w:marLeft w:val="0"/>
                                          <w:marRight w:val="0"/>
                                          <w:marTop w:val="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1513594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72224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136432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347137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9556184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553648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8404135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449866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742565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7482822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58840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695953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4400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927738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7776564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716879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1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447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2750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29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15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791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623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0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51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371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519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761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886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77176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019485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615775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675241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302491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4348866">
                                                  <w:blockQuote w:val="1"/>
                                                  <w:marLeft w:val="600"/>
                                                  <w:marRight w:val="60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926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244900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7284174">
                                                  <w:blockQuote w:val="1"/>
                                                  <w:marLeft w:val="600"/>
                                                  <w:marRight w:val="60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01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734101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7765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981884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898760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60263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8299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468668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518082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605770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9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44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50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394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188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52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47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36021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094514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4916456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26487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7427125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416488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2969863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736432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7699396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139482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12770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180540">
                                          <w:marLeft w:val="0"/>
                                          <w:marRight w:val="0"/>
                                          <w:marTop w:val="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9235692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9048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41185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52861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2344244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49822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8522875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586989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7670264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637765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63944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70580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230569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09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847741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151433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97242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7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65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14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057155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662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434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95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296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34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6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86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272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18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78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546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090065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366952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685591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97973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460834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078019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549390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056894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280078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174049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31441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568319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1858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287478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260536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143345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026577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294700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727101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439321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508300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251839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78150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912811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1994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36775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8909342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060344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8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6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9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937489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77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28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497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314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16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050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40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480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033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5713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664927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583191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418593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651328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402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95479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4" w:space="0" w:color="F0F2F5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7252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80754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12713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7591250">
                                                          <w:marLeft w:val="0"/>
                                                          <w:marRight w:val="0"/>
                                                          <w:marTop w:val="4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4" w:space="0" w:color="F0F2F5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498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21928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37511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748979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779060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449448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508133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520483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243979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444762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479432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794253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511809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01031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178276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166317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720475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299554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439526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106856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0765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234167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0549785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0598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35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966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928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4" w:space="0" w:color="DCDFE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307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022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2652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26027636">
                                                              <w:marLeft w:val="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4063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558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8437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4699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3772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209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5401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3420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21657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4551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8246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474366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0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8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94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8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707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81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27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495291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8422325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144519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037770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965446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511074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600454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2397646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794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735883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470345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5670295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1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0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93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203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056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17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00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24545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902324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68598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24466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5939177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792121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1022934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66286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663729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5055249">
                                          <w:blockQuote w:val="1"/>
                                          <w:marLeft w:val="600"/>
                                          <w:marRight w:val="60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990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7823558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4178639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838684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98148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0717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216023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152787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746595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1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9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43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10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360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08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688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48047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9257669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799472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986166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4883846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003649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249271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348779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920520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2374925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627978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45117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670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514812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681381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724533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33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8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52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882291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63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029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09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106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7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66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22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598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837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3522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84479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125741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028339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234473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227619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356828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156349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677675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963032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114171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97645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229666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946268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2837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10943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7333151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794748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2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45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212476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81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330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1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274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04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95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0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008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711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369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80859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619581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275558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915894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22923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616369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625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454298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578437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612899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135168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176762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264140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823518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86738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535705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936599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91751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4379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07600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9265528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86025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36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9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85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274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554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66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68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9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04441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024721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598836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455373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620157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895467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20871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432519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77845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37445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80004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404692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643003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650021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864863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7857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455290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6316100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884864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97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37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35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9396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176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95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700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8215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74891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907241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630744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6679261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51096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7012612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879081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698188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3454566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62236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1802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412551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437448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986012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72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55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52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22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270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61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761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857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09775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38773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424009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9234315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37502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741726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9980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336589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131609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784918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801244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67579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457938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908421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49317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868005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961770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560345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41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816578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569384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83613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5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8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591908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97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050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357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686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51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889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751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105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71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568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76805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4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72876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4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59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5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03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338993">
                              <w:marLeft w:val="22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17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889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5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5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459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14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618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785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39285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444797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60591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122921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931700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9483446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3949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800430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18433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6823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389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788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208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540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150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630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011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653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2582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8364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29554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8443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7271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141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758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94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300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849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391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0056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1879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570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350933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5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54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941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941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21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14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678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865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38284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494493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1091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20710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42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84442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916337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3452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178884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1111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53300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7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8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37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19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39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61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670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93654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702155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2440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79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17733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284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890962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990607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545496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7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2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53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3109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62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942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84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62870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19383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1765959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316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94870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2753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620686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877725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084698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8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35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2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338752">
                              <w:marLeft w:val="22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36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986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9715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2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50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561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86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49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722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04249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996750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709810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9294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42277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51705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10914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9080167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357480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3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95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5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7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415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130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446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30775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97095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722102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7291868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86293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8299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38330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7281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132037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901623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874582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02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61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660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418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12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640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830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36061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7310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624708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174331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6609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767948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761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20727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131052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292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434758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196112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101685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5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7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41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626567">
                              <w:marLeft w:val="3579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975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693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432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89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11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2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533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653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584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40732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819708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525548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850460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999163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156337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99662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4293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12426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22712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34775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4821342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495736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9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6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711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66044">
                              <w:marLeft w:val="4859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28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7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670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14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82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72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35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391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390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605567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552659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337659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42387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189818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424027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254715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40376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46962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5831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13347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2901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8473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9829075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910993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9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9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2208">
                              <w:marLeft w:val="22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469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414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733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63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46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135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984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397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549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36211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142851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4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831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54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50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5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58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51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66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6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157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927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8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751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244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95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3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6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64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491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32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022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593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621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770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110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8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227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364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06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07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6688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542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840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24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445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767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5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63510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59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81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82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981695">
                              <w:marLeft w:val="22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620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686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559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09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3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6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918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37684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655437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987876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1249366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4659226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912052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78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6004955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9777350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137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999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082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962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899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235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134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7428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9789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6286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0281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5109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8415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2299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0385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60584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345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512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7119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3949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213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3572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7350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875731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2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1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18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966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044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558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929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258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49170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429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444167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3356833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361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869334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478340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5882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984524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026997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457956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3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3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47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035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71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66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79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948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65767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706814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989477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746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747770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762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22536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480120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389008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7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16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19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41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31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420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863716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004595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60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110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90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98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9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83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Snfskos01\udscnfs\BSZ\Statystyki%20nowe\SZABLONY%20RAPORT&#211;W%20CYKLICZNYCH\dla%20Szefa\OM\OCHRONA%20OPIS\2026\Wykresy%202026%20stan%20na%201.10.2026%20r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Snfskos01\udscnfs\BSZ\Statystyki%20nowe\SZABLONY%20RAPORT&#211;W%20CYKLICZNYCH\dla%20Szefa\OM\OCHRONA%20OPIS\2026\Wykresy%202026%20stan%20na%201.10.2026%20r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Wykresy%20202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snfskos01\udscnfs\BSZ\Statystyki%20nowe\SZABLONY%20RAPORT&#211;W%20CYKLICZNYCH\dla%20Szefa\OM\Wykresy%202025%20stan%20na%201.02.2026%20r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Snfskos01\udscnfs\BSZ\Statystyki%20nowe\SZABLONY%20RAPORT&#211;W%20CYKLICZNYCH\dla%20Szefa\OM\OCHRONA%20OPIS\2026\Wykresy%202026%20stan%20na%201.10.2026%20r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\\Snfskos01\udscnfs\BSZ\Statystyki%20nowe\SZABLONY%20RAPORT&#211;W%20CYKLICZNYCH\dla%20Szefa\OM\OCHRONA%20OPIS\2026\Wykresy%202026%20stan%20na%201.10.2026%20r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\\Snfskos01\udscnfs\BSZ\Statystyki%20nowe\SZABLONY%20RAPORT&#211;W%20CYKLICZNYCH\dla%20Szefa\OM\OCHRONA%20OPIS\2026\Wykresy%202026%20stan%20na%201.10.2026%20r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\\Snfskos01\udscnfs\BSZ\Statystyki%20nowe\SZABLONY%20RAPORT&#211;W%20CYKLICZNYCH\dla%20Szefa\OM\OCHRONA%20OPIS\2026\Wykresy%202026%20stan%20na%201.10.2026%20r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\\Snfskos01\udscnfs\BSZ\Statystyki%20nowe\SZABLONY%20RAPORT&#211;W%20CYKLICZNYCH\dla%20Szefa\OM\OCHRONA%20OPIS\2026\Wykresy%202026%20stan%20na%201.10.2026%20r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\\Snfskos01\udscnfs\BSZ\Statystyki%20nowe\SZABLONY%20RAPORT&#211;W%20CYKLICZNYCH\dla%20Szefa\OM\OCHRONA%20OPIS\2026\Wykresy%202026%20stan%20na%201.10.2026%20r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\\Snfskos01\udscnfs\BSZ\Statystyki%20nowe\SZABLONY%20RAPORT&#211;W%20CYKLICZNYCH\dla%20Szefa\OM\OCHRONA%20OPIS\2026\Wykresy%202026%20stan%20na%201.10.2026%20r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\\Snfskos01\udscnfs\BSZ\Statystyki%20nowe\SZABLONY%20RAPORT&#211;W%20CYKLICZNYCH\dla%20Szefa\OM\OCHRONA%20OPIS\2026\Wykresy%202026%20stan%20na%201.10.2026%20r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b="1" i="0" baseline="0">
                <a:effectLst/>
              </a:rPr>
              <a:t>Liczba osób ubiegających się w Polsce o udzielenie ochrony międzynarodowej</a:t>
            </a:r>
            <a:br>
              <a:rPr lang="pl-PL" sz="1000" b="1" i="0" baseline="0">
                <a:effectLst/>
              </a:rPr>
            </a:br>
            <a:r>
              <a:rPr lang="en-US" sz="1000" b="1" i="0" baseline="0">
                <a:effectLst/>
              </a:rPr>
              <a:t>w latach 201</a:t>
            </a:r>
            <a:r>
              <a:rPr lang="pl-PL" sz="1000" b="1" i="0" baseline="0">
                <a:effectLst/>
              </a:rPr>
              <a:t>6</a:t>
            </a:r>
            <a:r>
              <a:rPr lang="en-US" sz="1000" b="1" i="0" baseline="0">
                <a:effectLst/>
              </a:rPr>
              <a:t>-202</a:t>
            </a:r>
            <a:r>
              <a:rPr lang="pl-PL" sz="1000" b="1" i="0" baseline="0">
                <a:effectLst/>
              </a:rPr>
              <a:t>6</a:t>
            </a:r>
            <a:endParaRPr lang="pl-PL" sz="1000">
              <a:effectLst/>
            </a:endParaRPr>
          </a:p>
        </c:rich>
      </c:tx>
      <c:layout>
        <c:manualLayout>
          <c:xMode val="edge"/>
          <c:yMode val="edge"/>
          <c:x val="0.14348622047244095"/>
          <c:y val="1.85185185185185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WNIOSKI!$B$1</c:f>
              <c:strCache>
                <c:ptCount val="1"/>
                <c:pt idx="0">
                  <c:v>Liczba osób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/>
              <a:lightRig rig="threePt" dir="t"/>
            </a:scene3d>
            <a:sp3d prstMaterial="matte">
              <a:bevelT w="63500" h="63500" prst="artDeco"/>
              <a:contourClr>
                <a:srgbClr val="000000"/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WNIOSKI!$A$3:$A$13</c:f>
              <c:numCache>
                <c:formatCode>General</c:formatCode>
                <c:ptCount val="11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</c:numCache>
            </c:numRef>
          </c:cat>
          <c:val>
            <c:numRef>
              <c:f>WNIOSKI!$B$3:$B$13</c:f>
              <c:numCache>
                <c:formatCode>#,##0</c:formatCode>
                <c:ptCount val="11"/>
                <c:pt idx="0">
                  <c:v>12322</c:v>
                </c:pt>
                <c:pt idx="1">
                  <c:v>5078</c:v>
                </c:pt>
                <c:pt idx="2">
                  <c:v>4135</c:v>
                </c:pt>
                <c:pt idx="3">
                  <c:v>4095</c:v>
                </c:pt>
                <c:pt idx="4">
                  <c:v>2803</c:v>
                </c:pt>
                <c:pt idx="5">
                  <c:v>7699</c:v>
                </c:pt>
                <c:pt idx="6">
                  <c:v>9933</c:v>
                </c:pt>
                <c:pt idx="7">
                  <c:v>9511</c:v>
                </c:pt>
                <c:pt idx="8">
                  <c:v>17053</c:v>
                </c:pt>
                <c:pt idx="9">
                  <c:v>13232</c:v>
                </c:pt>
                <c:pt idx="10">
                  <c:v>4369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02-40D5-A4E1-DDD81C5F4CD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486827432"/>
        <c:axId val="486829000"/>
      </c:barChart>
      <c:catAx>
        <c:axId val="486827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6829000"/>
        <c:crosses val="autoZero"/>
        <c:auto val="1"/>
        <c:lblAlgn val="ctr"/>
        <c:lblOffset val="100"/>
        <c:noMultiLvlLbl val="0"/>
      </c:catAx>
      <c:valAx>
        <c:axId val="486829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68274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000"/>
              <a:t>Liczba osób ubiegających się o udzielenie ochrony międzynarodowej </a:t>
            </a:r>
            <a:br>
              <a:rPr lang="pl-PL" sz="1000"/>
            </a:br>
            <a:r>
              <a:rPr lang="pl-PL" sz="1000"/>
              <a:t>w latach 2024-2026</a:t>
            </a:r>
          </a:p>
        </c:rich>
      </c:tx>
      <c:layout>
        <c:manualLayout>
          <c:xMode val="edge"/>
          <c:yMode val="edge"/>
          <c:x val="0.13918483412322274"/>
          <c:y val="1.847575057736720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6.2728215845057278E-2"/>
          <c:y val="0.17646669455001726"/>
          <c:w val="0.91641870358622235"/>
          <c:h val="0.49020494262697534"/>
        </c:manualLayout>
      </c:layout>
      <c:barChart>
        <c:barDir val="col"/>
        <c:grouping val="clustered"/>
        <c:varyColors val="0"/>
        <c:ser>
          <c:idx val="8"/>
          <c:order val="8"/>
          <c:tx>
            <c:strRef>
              <c:f>WNIOSKI!$A$28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/>
              <a:lightRig rig="threePt" dir="t"/>
            </a:scene3d>
            <a:sp3d prstMaterial="matte">
              <a:bevelT w="63500" h="63500" prst="relaxedInset"/>
              <a:contourClr>
                <a:srgbClr val="000000"/>
              </a:contourClr>
            </a:sp3d>
          </c:spPr>
          <c:invertIfNegative val="0"/>
          <c:dLbls>
            <c:dLbl>
              <c:idx val="1"/>
              <c:layout>
                <c:manualLayout>
                  <c:x val="-5.6872037914691941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1F6-4B9F-A2C5-69B10BF50EF8}"/>
                </c:ext>
              </c:extLst>
            </c:dLbl>
            <c:dLbl>
              <c:idx val="2"/>
              <c:layout>
                <c:manualLayout>
                  <c:x val="-7.582938388625592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1F6-4B9F-A2C5-69B10BF50E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WNIOSKI!$B$19:$M$19</c:f>
              <c:strCache>
                <c:ptCount val="12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  <c:pt idx="3">
                  <c:v>kwiecień</c:v>
                </c:pt>
                <c:pt idx="4">
                  <c:v>maj</c:v>
                </c:pt>
                <c:pt idx="5">
                  <c:v>czerwiec</c:v>
                </c:pt>
                <c:pt idx="6">
                  <c:v>lipiec</c:v>
                </c:pt>
                <c:pt idx="7">
                  <c:v>sierpień</c:v>
                </c:pt>
                <c:pt idx="8">
                  <c:v>wrzesień</c:v>
                </c:pt>
                <c:pt idx="9">
                  <c:v>październik</c:v>
                </c:pt>
                <c:pt idx="10">
                  <c:v>listopad</c:v>
                </c:pt>
                <c:pt idx="11">
                  <c:v>grudzień</c:v>
                </c:pt>
              </c:strCache>
            </c:strRef>
          </c:cat>
          <c:val>
            <c:numRef>
              <c:f>WNIOSKI!$B$28:$M$28</c:f>
              <c:numCache>
                <c:formatCode>#,##0</c:formatCode>
                <c:ptCount val="12"/>
                <c:pt idx="0">
                  <c:v>907</c:v>
                </c:pt>
                <c:pt idx="1">
                  <c:v>1053</c:v>
                </c:pt>
                <c:pt idx="2">
                  <c:v>1056</c:v>
                </c:pt>
                <c:pt idx="3">
                  <c:v>1291</c:v>
                </c:pt>
                <c:pt idx="4">
                  <c:v>1791</c:v>
                </c:pt>
                <c:pt idx="5">
                  <c:v>1860</c:v>
                </c:pt>
                <c:pt idx="6">
                  <c:v>1476</c:v>
                </c:pt>
                <c:pt idx="7">
                  <c:v>1346</c:v>
                </c:pt>
                <c:pt idx="8">
                  <c:v>1631</c:v>
                </c:pt>
                <c:pt idx="9">
                  <c:v>1553</c:v>
                </c:pt>
                <c:pt idx="10">
                  <c:v>1575</c:v>
                </c:pt>
                <c:pt idx="11">
                  <c:v>1514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1F6-4B9F-A2C5-69B10BF50EF8}"/>
            </c:ext>
          </c:extLst>
        </c:ser>
        <c:ser>
          <c:idx val="9"/>
          <c:order val="9"/>
          <c:tx>
            <c:strRef>
              <c:f>WNIOSKI!$A$29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/>
              <a:lightRig rig="threePt" dir="t"/>
            </a:scene3d>
            <a:sp3d>
              <a:bevelT prst="relaxedInset"/>
            </a:sp3d>
          </c:spPr>
          <c:invertIfNegative val="0"/>
          <c:dLbls>
            <c:dLbl>
              <c:idx val="3"/>
              <c:layout>
                <c:manualLayout>
                  <c:x val="7.582938388625592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1F6-4B9F-A2C5-69B10BF50EF8}"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>
                <a:glow rad="139700">
                  <a:srgbClr val="7030A0">
                    <a:alpha val="40000"/>
                  </a:srgbClr>
                </a:glo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WNIOSKI!$B$19:$M$19</c:f>
              <c:strCache>
                <c:ptCount val="12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  <c:pt idx="3">
                  <c:v>kwiecień</c:v>
                </c:pt>
                <c:pt idx="4">
                  <c:v>maj</c:v>
                </c:pt>
                <c:pt idx="5">
                  <c:v>czerwiec</c:v>
                </c:pt>
                <c:pt idx="6">
                  <c:v>lipiec</c:v>
                </c:pt>
                <c:pt idx="7">
                  <c:v>sierpień</c:v>
                </c:pt>
                <c:pt idx="8">
                  <c:v>wrzesień</c:v>
                </c:pt>
                <c:pt idx="9">
                  <c:v>październik</c:v>
                </c:pt>
                <c:pt idx="10">
                  <c:v>listopad</c:v>
                </c:pt>
                <c:pt idx="11">
                  <c:v>grudzień</c:v>
                </c:pt>
              </c:strCache>
            </c:strRef>
          </c:cat>
          <c:val>
            <c:numRef>
              <c:f>WNIOSKI!$B$29:$M$29</c:f>
              <c:numCache>
                <c:formatCode>#,##0</c:formatCode>
                <c:ptCount val="12"/>
                <c:pt idx="0">
                  <c:v>1794</c:v>
                </c:pt>
                <c:pt idx="1">
                  <c:v>1718</c:v>
                </c:pt>
                <c:pt idx="2">
                  <c:v>1652</c:v>
                </c:pt>
                <c:pt idx="3">
                  <c:v>1205</c:v>
                </c:pt>
                <c:pt idx="4">
                  <c:v>1166</c:v>
                </c:pt>
                <c:pt idx="5">
                  <c:v>1050</c:v>
                </c:pt>
                <c:pt idx="6">
                  <c:v>965</c:v>
                </c:pt>
                <c:pt idx="7">
                  <c:v>810</c:v>
                </c:pt>
                <c:pt idx="8">
                  <c:v>879</c:v>
                </c:pt>
                <c:pt idx="9">
                  <c:v>767</c:v>
                </c:pt>
                <c:pt idx="10">
                  <c:v>575</c:v>
                </c:pt>
                <c:pt idx="11">
                  <c:v>651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1F6-4B9F-A2C5-69B10BF50EF8}"/>
            </c:ext>
          </c:extLst>
        </c:ser>
        <c:ser>
          <c:idx val="10"/>
          <c:order val="10"/>
          <c:tx>
            <c:strRef>
              <c:f>WNIOSKI!$A$30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/>
              <a:lightRig rig="threePt" dir="t"/>
            </a:scene3d>
            <a:sp3d>
              <a:bevelT prst="relaxedInset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WNIOSKI!$B$19:$M$19</c:f>
              <c:strCache>
                <c:ptCount val="12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  <c:pt idx="3">
                  <c:v>kwiecień</c:v>
                </c:pt>
                <c:pt idx="4">
                  <c:v>maj</c:v>
                </c:pt>
                <c:pt idx="5">
                  <c:v>czerwiec</c:v>
                </c:pt>
                <c:pt idx="6">
                  <c:v>lipiec</c:v>
                </c:pt>
                <c:pt idx="7">
                  <c:v>sierpień</c:v>
                </c:pt>
                <c:pt idx="8">
                  <c:v>wrzesień</c:v>
                </c:pt>
                <c:pt idx="9">
                  <c:v>październik</c:v>
                </c:pt>
                <c:pt idx="10">
                  <c:v>listopad</c:v>
                </c:pt>
                <c:pt idx="11">
                  <c:v>grudzień</c:v>
                </c:pt>
              </c:strCache>
            </c:strRef>
          </c:cat>
          <c:val>
            <c:numRef>
              <c:f>WNIOSKI!$B$30:$M$30</c:f>
              <c:numCache>
                <c:formatCode>#,##0</c:formatCode>
                <c:ptCount val="12"/>
                <c:pt idx="0">
                  <c:v>565</c:v>
                </c:pt>
                <c:pt idx="1">
                  <c:v>536</c:v>
                </c:pt>
                <c:pt idx="2">
                  <c:v>562</c:v>
                </c:pt>
                <c:pt idx="3">
                  <c:v>541</c:v>
                </c:pt>
                <c:pt idx="4">
                  <c:v>516</c:v>
                </c:pt>
                <c:pt idx="5">
                  <c:v>458</c:v>
                </c:pt>
                <c:pt idx="6">
                  <c:v>444</c:v>
                </c:pt>
                <c:pt idx="7">
                  <c:v>366</c:v>
                </c:pt>
                <c:pt idx="8">
                  <c:v>381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1F6-4B9F-A2C5-69B10BF50EF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486831744"/>
        <c:axId val="486827824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WNIOSKI!$A$20</c15:sqref>
                        </c15:formulaRef>
                      </c:ext>
                    </c:extLst>
                    <c:strCache>
                      <c:ptCount val="1"/>
                      <c:pt idx="0">
                        <c:v>2016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tint val="42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tint val="42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tint val="42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WNIOSKI!$B$19:$M$19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WNIOSKI!$B$20:$M$20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683</c:v>
                      </c:pt>
                      <c:pt idx="1">
                        <c:v>966</c:v>
                      </c:pt>
                      <c:pt idx="2">
                        <c:v>1231</c:v>
                      </c:pt>
                      <c:pt idx="3">
                        <c:v>1314</c:v>
                      </c:pt>
                      <c:pt idx="4">
                        <c:v>1553</c:v>
                      </c:pt>
                      <c:pt idx="5">
                        <c:v>1657</c:v>
                      </c:pt>
                      <c:pt idx="6">
                        <c:v>1185</c:v>
                      </c:pt>
                      <c:pt idx="7">
                        <c:v>941</c:v>
                      </c:pt>
                      <c:pt idx="8">
                        <c:v>853</c:v>
                      </c:pt>
                      <c:pt idx="9">
                        <c:v>682</c:v>
                      </c:pt>
                      <c:pt idx="10">
                        <c:v>636</c:v>
                      </c:pt>
                      <c:pt idx="11">
                        <c:v>618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6-E1F6-4B9F-A2C5-69B10BF50EF8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WNIOSKI!$A$21</c15:sqref>
                        </c15:formulaRef>
                      </c:ext>
                    </c:extLst>
                    <c:strCache>
                      <c:ptCount val="1"/>
                      <c:pt idx="0">
                        <c:v>2017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tint val="54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tint val="54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tint val="54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WNIOSKI!$B$19:$M$19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WNIOSKI!$B$21:$M$21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562</c:v>
                      </c:pt>
                      <c:pt idx="1">
                        <c:v>578</c:v>
                      </c:pt>
                      <c:pt idx="2">
                        <c:v>546</c:v>
                      </c:pt>
                      <c:pt idx="3">
                        <c:v>431</c:v>
                      </c:pt>
                      <c:pt idx="4">
                        <c:v>431</c:v>
                      </c:pt>
                      <c:pt idx="5">
                        <c:v>453</c:v>
                      </c:pt>
                      <c:pt idx="6">
                        <c:v>400</c:v>
                      </c:pt>
                      <c:pt idx="7">
                        <c:v>431</c:v>
                      </c:pt>
                      <c:pt idx="8">
                        <c:v>352</c:v>
                      </c:pt>
                      <c:pt idx="9">
                        <c:v>284</c:v>
                      </c:pt>
                      <c:pt idx="10">
                        <c:v>342</c:v>
                      </c:pt>
                      <c:pt idx="11">
                        <c:v>268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E1F6-4B9F-A2C5-69B10BF50EF8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WNIOSKI!$A$22</c15:sqref>
                        </c15:formulaRef>
                      </c:ext>
                    </c:extLst>
                    <c:strCache>
                      <c:ptCount val="1"/>
                      <c:pt idx="0">
                        <c:v>2018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tint val="65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tint val="65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tint val="65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WNIOSKI!$B$19:$M$19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WNIOSKI!$B$22:$M$22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427</c:v>
                      </c:pt>
                      <c:pt idx="1">
                        <c:v>276</c:v>
                      </c:pt>
                      <c:pt idx="2">
                        <c:v>352</c:v>
                      </c:pt>
                      <c:pt idx="3">
                        <c:v>372</c:v>
                      </c:pt>
                      <c:pt idx="4">
                        <c:v>352</c:v>
                      </c:pt>
                      <c:pt idx="5">
                        <c:v>354</c:v>
                      </c:pt>
                      <c:pt idx="6">
                        <c:v>363</c:v>
                      </c:pt>
                      <c:pt idx="7">
                        <c:v>283</c:v>
                      </c:pt>
                      <c:pt idx="8">
                        <c:v>326</c:v>
                      </c:pt>
                      <c:pt idx="9">
                        <c:v>424</c:v>
                      </c:pt>
                      <c:pt idx="10">
                        <c:v>323</c:v>
                      </c:pt>
                      <c:pt idx="11">
                        <c:v>283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E1F6-4B9F-A2C5-69B10BF50EF8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WNIOSKI!$A$23</c15:sqref>
                        </c15:formulaRef>
                      </c:ext>
                    </c:extLst>
                    <c:strCache>
                      <c:ptCount val="1"/>
                      <c:pt idx="0">
                        <c:v>2019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tint val="86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tint val="86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tint val="86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WNIOSKI!$B$19:$M$19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WNIOSKI!$B$23:$M$23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310</c:v>
                      </c:pt>
                      <c:pt idx="1">
                        <c:v>305</c:v>
                      </c:pt>
                      <c:pt idx="2">
                        <c:v>356</c:v>
                      </c:pt>
                      <c:pt idx="3">
                        <c:v>297</c:v>
                      </c:pt>
                      <c:pt idx="4">
                        <c:v>307</c:v>
                      </c:pt>
                      <c:pt idx="5">
                        <c:v>277</c:v>
                      </c:pt>
                      <c:pt idx="6">
                        <c:v>334</c:v>
                      </c:pt>
                      <c:pt idx="7">
                        <c:v>377</c:v>
                      </c:pt>
                      <c:pt idx="8">
                        <c:v>381</c:v>
                      </c:pt>
                      <c:pt idx="9">
                        <c:v>410</c:v>
                      </c:pt>
                      <c:pt idx="10">
                        <c:v>402</c:v>
                      </c:pt>
                      <c:pt idx="11">
                        <c:v>340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E1F6-4B9F-A2C5-69B10BF50EF8}"/>
                  </c:ext>
                </c:extLst>
              </c15:ser>
            </c15:filteredBarSeries>
            <c15:filteredBar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WNIOSKI!$A$24</c15:sqref>
                        </c15:formulaRef>
                      </c:ext>
                    </c:extLst>
                    <c:strCache>
                      <c:ptCount val="1"/>
                      <c:pt idx="0">
                        <c:v>2020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WNIOSKI!$B$19:$M$19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WNIOSKI!$B$24:$M$24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374</c:v>
                      </c:pt>
                      <c:pt idx="1">
                        <c:v>363</c:v>
                      </c:pt>
                      <c:pt idx="2">
                        <c:v>167</c:v>
                      </c:pt>
                      <c:pt idx="3">
                        <c:v>62</c:v>
                      </c:pt>
                      <c:pt idx="4">
                        <c:v>136</c:v>
                      </c:pt>
                      <c:pt idx="5">
                        <c:v>212</c:v>
                      </c:pt>
                      <c:pt idx="6">
                        <c:v>215</c:v>
                      </c:pt>
                      <c:pt idx="7">
                        <c:v>183</c:v>
                      </c:pt>
                      <c:pt idx="8">
                        <c:v>241</c:v>
                      </c:pt>
                      <c:pt idx="9">
                        <c:v>311</c:v>
                      </c:pt>
                      <c:pt idx="10">
                        <c:v>277</c:v>
                      </c:pt>
                      <c:pt idx="11">
                        <c:v>262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E1F6-4B9F-A2C5-69B10BF50EF8}"/>
                  </c:ext>
                </c:extLst>
              </c15:ser>
            </c15:filteredBarSeries>
            <c15:filteredBar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WNIOSKI!$A$25</c15:sqref>
                        </c15:formulaRef>
                      </c:ext>
                    </c:extLst>
                    <c:strCache>
                      <c:ptCount val="1"/>
                      <c:pt idx="0">
                        <c:v>2021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shade val="86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shade val="86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shade val="86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WNIOSKI!$B$19:$M$19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WNIOSKI!$B$25:$M$25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246</c:v>
                      </c:pt>
                      <c:pt idx="1">
                        <c:v>184</c:v>
                      </c:pt>
                      <c:pt idx="2">
                        <c:v>289</c:v>
                      </c:pt>
                      <c:pt idx="3">
                        <c:v>304</c:v>
                      </c:pt>
                      <c:pt idx="4">
                        <c:v>304</c:v>
                      </c:pt>
                      <c:pt idx="5">
                        <c:v>355</c:v>
                      </c:pt>
                      <c:pt idx="6">
                        <c:v>669</c:v>
                      </c:pt>
                      <c:pt idx="7">
                        <c:v>1205</c:v>
                      </c:pt>
                      <c:pt idx="8">
                        <c:v>1623</c:v>
                      </c:pt>
                      <c:pt idx="9">
                        <c:v>964</c:v>
                      </c:pt>
                      <c:pt idx="10">
                        <c:v>905</c:v>
                      </c:pt>
                      <c:pt idx="11">
                        <c:v>768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E1F6-4B9F-A2C5-69B10BF50EF8}"/>
                  </c:ext>
                </c:extLst>
              </c15:ser>
            </c15:filteredBarSeries>
            <c15:filteredBar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WNIOSKI!$A$26</c15:sqref>
                        </c15:formulaRef>
                      </c:ext>
                    </c:extLst>
                    <c:strCache>
                      <c:ptCount val="1"/>
                      <c:pt idx="0">
                        <c:v>2022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shade val="72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shade val="72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shade val="72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  <a:scene3d>
                    <a:camera prst="orthographicFront"/>
                    <a:lightRig rig="threePt" dir="t"/>
                  </a:scene3d>
                  <a:sp3d prstMaterial="matte">
                    <a:bevelT w="63500" h="63500" prst="artDeco"/>
                    <a:contourClr>
                      <a:srgbClr val="000000"/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700" b="1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WNIOSKI!$B$19:$M$19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WNIOSKI!$B$26:$M$26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514</c:v>
                      </c:pt>
                      <c:pt idx="1">
                        <c:v>762</c:v>
                      </c:pt>
                      <c:pt idx="2">
                        <c:v>1766</c:v>
                      </c:pt>
                      <c:pt idx="3">
                        <c:v>776</c:v>
                      </c:pt>
                      <c:pt idx="4">
                        <c:v>663</c:v>
                      </c:pt>
                      <c:pt idx="5">
                        <c:v>672</c:v>
                      </c:pt>
                      <c:pt idx="6">
                        <c:v>707</c:v>
                      </c:pt>
                      <c:pt idx="7">
                        <c:v>769</c:v>
                      </c:pt>
                      <c:pt idx="8">
                        <c:v>820</c:v>
                      </c:pt>
                      <c:pt idx="9">
                        <c:v>794</c:v>
                      </c:pt>
                      <c:pt idx="10">
                        <c:v>880</c:v>
                      </c:pt>
                      <c:pt idx="11">
                        <c:v>810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E1F6-4B9F-A2C5-69B10BF50EF8}"/>
                  </c:ext>
                </c:extLst>
              </c15:ser>
            </c15:filteredBarSeries>
            <c15:filteredBar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WNIOSKI!$A$27</c15:sqref>
                        </c15:formulaRef>
                      </c:ext>
                    </c:extLst>
                    <c:strCache>
                      <c:ptCount val="1"/>
                      <c:pt idx="0">
                        <c:v>2023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shade val="58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shade val="58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shade val="58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  <a:scene3d>
                    <a:camera prst="orthographicFront"/>
                    <a:lightRig rig="threePt" dir="t"/>
                  </a:scene3d>
                  <a:sp3d prstMaterial="matte">
                    <a:bevelT w="63500" h="63500" prst="artDeco"/>
                    <a:contourClr>
                      <a:srgbClr val="000000"/>
                    </a:contourClr>
                  </a:sp3d>
                </c:spPr>
                <c:invertIfNegative val="0"/>
                <c:dLbls>
                  <c:dLbl>
                    <c:idx val="10"/>
                    <c:layout>
                      <c:manualLayout>
                        <c:x val="0"/>
                        <c:y val="9.2378752886836026E-3"/>
                      </c:manualLayout>
                    </c:layout>
                    <c:dLblPos val="outEnd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0D-E1F6-4B9F-A2C5-69B10BF50EF8}"/>
                      </c:ext>
                    </c:extLst>
                  </c:dLbl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700" b="1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WNIOSKI!$B$19:$M$19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WNIOSKI!$B$27:$M$27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880</c:v>
                      </c:pt>
                      <c:pt idx="1">
                        <c:v>641</c:v>
                      </c:pt>
                      <c:pt idx="2">
                        <c:v>745</c:v>
                      </c:pt>
                      <c:pt idx="3">
                        <c:v>573</c:v>
                      </c:pt>
                      <c:pt idx="4">
                        <c:v>713</c:v>
                      </c:pt>
                      <c:pt idx="5">
                        <c:v>775</c:v>
                      </c:pt>
                      <c:pt idx="6">
                        <c:v>828</c:v>
                      </c:pt>
                      <c:pt idx="7">
                        <c:v>832</c:v>
                      </c:pt>
                      <c:pt idx="8">
                        <c:v>867</c:v>
                      </c:pt>
                      <c:pt idx="9">
                        <c:v>1044</c:v>
                      </c:pt>
                      <c:pt idx="10">
                        <c:v>892</c:v>
                      </c:pt>
                      <c:pt idx="11">
                        <c:v>721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E1F6-4B9F-A2C5-69B10BF50EF8}"/>
                  </c:ext>
                </c:extLst>
              </c15:ser>
            </c15:filteredBarSeries>
          </c:ext>
        </c:extLst>
      </c:barChart>
      <c:catAx>
        <c:axId val="486831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6827824"/>
        <c:crosses val="autoZero"/>
        <c:auto val="1"/>
        <c:lblAlgn val="ctr"/>
        <c:lblOffset val="100"/>
        <c:noMultiLvlLbl val="0"/>
      </c:catAx>
      <c:valAx>
        <c:axId val="4868278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68317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pl-PL" sz="900"/>
              <a:t>2024</a:t>
            </a:r>
            <a:endParaRPr lang="en-CA" sz="900"/>
          </a:p>
        </c:rich>
      </c:tx>
      <c:layout>
        <c:manualLayout>
          <c:xMode val="edge"/>
          <c:yMode val="edge"/>
          <c:x val="0.47222091919361142"/>
          <c:y val="2.8373608471354882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320"/>
      <c:rAngAx val="0"/>
    </c:view3D>
    <c:floor>
      <c:thickness val="0"/>
      <c:spPr>
        <a:noFill/>
        <a:ln w="6350" cap="flat" cmpd="sng" algn="ctr">
          <a:solidFill>
            <a:schemeClr val="tx1">
              <a:tint val="75000"/>
            </a:schemeClr>
          </a:solidFill>
          <a:prstDash val="solid"/>
          <a:round/>
        </a:ln>
        <a:effectLst/>
        <a:sp3d contourW="6350">
          <a:contourClr>
            <a:schemeClr val="tx1">
              <a:tint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0234910782321563"/>
          <c:y val="0.21638984435343606"/>
          <c:w val="0.77748960185420368"/>
          <c:h val="0.63003072922165604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chemeClr val="accent5">
                  <a:tint val="5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BB1B-4AF1-BFA4-09944F202B11}"/>
              </c:ext>
            </c:extLst>
          </c:dPt>
          <c:dPt>
            <c:idx val="1"/>
            <c:bubble3D val="0"/>
            <c:spPr>
              <a:solidFill>
                <a:schemeClr val="accent5">
                  <a:tint val="7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BB1B-4AF1-BFA4-09944F202B11}"/>
              </c:ext>
            </c:extLst>
          </c:dPt>
          <c:dPt>
            <c:idx val="2"/>
            <c:bubble3D val="0"/>
            <c:spPr>
              <a:solidFill>
                <a:schemeClr val="accent5">
                  <a:tint val="9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BB1B-4AF1-BFA4-09944F202B11}"/>
              </c:ext>
            </c:extLst>
          </c:dPt>
          <c:dPt>
            <c:idx val="3"/>
            <c:bubble3D val="0"/>
            <c:spPr>
              <a:solidFill>
                <a:schemeClr val="accent5">
                  <a:shade val="9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7-BB1B-4AF1-BFA4-09944F202B11}"/>
              </c:ext>
            </c:extLst>
          </c:dPt>
          <c:dPt>
            <c:idx val="4"/>
            <c:bubble3D val="0"/>
            <c:spPr>
              <a:solidFill>
                <a:schemeClr val="accent5">
                  <a:shade val="7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9-BB1B-4AF1-BFA4-09944F202B11}"/>
              </c:ext>
            </c:extLst>
          </c:dPt>
          <c:dPt>
            <c:idx val="5"/>
            <c:bubble3D val="0"/>
            <c:spPr>
              <a:solidFill>
                <a:schemeClr val="accent5">
                  <a:shade val="5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B-BB1B-4AF1-BFA4-09944F202B11}"/>
              </c:ext>
            </c:extLst>
          </c:dPt>
          <c:dLbls>
            <c:dLbl>
              <c:idx val="1"/>
              <c:tx>
                <c:rich>
                  <a:bodyPr/>
                  <a:lstStyle/>
                  <a:p>
                    <a:fld id="{204C2599-E1AA-4325-A7E8-759889B3797F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
3 944
</a:t>
                    </a:r>
                    <a:fld id="{15D95628-D7E4-4513-8C9F-C659124E1D2A}" type="PERCENTAGE">
                      <a:rPr lang="en-US" baseline="0"/>
                      <a:pPr/>
                      <a:t>[PROCENTOWE]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BB1B-4AF1-BFA4-09944F202B11}"/>
                </c:ext>
              </c:extLst>
            </c:dLbl>
            <c:dLbl>
              <c:idx val="4"/>
              <c:layout>
                <c:manualLayout>
                  <c:x val="-4.5160099695199393E-2"/>
                  <c:y val="-4.2913107985707855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B1B-4AF1-BFA4-09944F202B1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WNIOSKI!$A$48:$A$53</c:f>
              <c:strCache>
                <c:ptCount val="6"/>
                <c:pt idx="0">
                  <c:v>UKRAINA</c:v>
                </c:pt>
                <c:pt idx="1">
                  <c:v>BIAŁORUŚ</c:v>
                </c:pt>
                <c:pt idx="2">
                  <c:v>ROSJA</c:v>
                </c:pt>
                <c:pt idx="3">
                  <c:v>SOMALIA</c:v>
                </c:pt>
                <c:pt idx="4">
                  <c:v>ERYTREA</c:v>
                </c:pt>
                <c:pt idx="5">
                  <c:v>pozostałe</c:v>
                </c:pt>
              </c:strCache>
            </c:strRef>
          </c:cat>
          <c:val>
            <c:numRef>
              <c:f>WNIOSKI!$B$48:$B$53</c:f>
              <c:numCache>
                <c:formatCode>General</c:formatCode>
                <c:ptCount val="6"/>
                <c:pt idx="0" formatCode="#,##0">
                  <c:v>7060</c:v>
                </c:pt>
                <c:pt idx="1">
                  <c:v>3944</c:v>
                </c:pt>
                <c:pt idx="2" formatCode="#,##0">
                  <c:v>986</c:v>
                </c:pt>
                <c:pt idx="3">
                  <c:v>605</c:v>
                </c:pt>
                <c:pt idx="4">
                  <c:v>564</c:v>
                </c:pt>
                <c:pt idx="5" formatCode="#,##0">
                  <c:v>3894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BB1B-4AF1-BFA4-09944F202B11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6350" cap="flat" cmpd="sng" algn="ctr">
      <a:noFill/>
      <a:prstDash val="solid"/>
      <a:round/>
    </a:ln>
    <a:effectLst>
      <a:glow rad="127000">
        <a:srgbClr val="4F81BD">
          <a:alpha val="94000"/>
        </a:srgbClr>
      </a:glow>
    </a:effectLst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pl-PL" sz="900"/>
              <a:t>2025</a:t>
            </a:r>
            <a:endParaRPr lang="en-CA" sz="900"/>
          </a:p>
        </c:rich>
      </c:tx>
      <c:layout>
        <c:manualLayout>
          <c:xMode val="edge"/>
          <c:yMode val="edge"/>
          <c:x val="0.48640545462834661"/>
          <c:y val="2.352727057002006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320"/>
      <c:rAngAx val="0"/>
    </c:view3D>
    <c:floor>
      <c:thickness val="0"/>
      <c:spPr>
        <a:noFill/>
        <a:ln w="6350" cap="flat" cmpd="sng" algn="ctr">
          <a:solidFill>
            <a:schemeClr val="tx1">
              <a:tint val="75000"/>
            </a:schemeClr>
          </a:solidFill>
          <a:prstDash val="solid"/>
          <a:round/>
        </a:ln>
        <a:effectLst/>
        <a:sp3d contourW="6350">
          <a:contourClr>
            <a:schemeClr val="tx1">
              <a:tint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190500381000762"/>
          <c:y val="0.25393179866042176"/>
          <c:w val="0.77861111111111125"/>
          <c:h val="0.61428888888888888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chemeClr val="accent5">
                  <a:tint val="5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AD78-4EEA-BCDE-2B26E403C0FD}"/>
              </c:ext>
            </c:extLst>
          </c:dPt>
          <c:dPt>
            <c:idx val="1"/>
            <c:bubble3D val="0"/>
            <c:spPr>
              <a:solidFill>
                <a:schemeClr val="accent5">
                  <a:tint val="7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AD78-4EEA-BCDE-2B26E403C0FD}"/>
              </c:ext>
            </c:extLst>
          </c:dPt>
          <c:dPt>
            <c:idx val="2"/>
            <c:bubble3D val="0"/>
            <c:spPr>
              <a:solidFill>
                <a:schemeClr val="accent5">
                  <a:tint val="9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AD78-4EEA-BCDE-2B26E403C0FD}"/>
              </c:ext>
            </c:extLst>
          </c:dPt>
          <c:dPt>
            <c:idx val="3"/>
            <c:bubble3D val="0"/>
            <c:spPr>
              <a:solidFill>
                <a:schemeClr val="accent5">
                  <a:shade val="9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7-AD78-4EEA-BCDE-2B26E403C0FD}"/>
              </c:ext>
            </c:extLst>
          </c:dPt>
          <c:dPt>
            <c:idx val="4"/>
            <c:bubble3D val="0"/>
            <c:spPr>
              <a:solidFill>
                <a:schemeClr val="accent5">
                  <a:shade val="7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9-AD78-4EEA-BCDE-2B26E403C0FD}"/>
              </c:ext>
            </c:extLst>
          </c:dPt>
          <c:dPt>
            <c:idx val="5"/>
            <c:bubble3D val="0"/>
            <c:spPr>
              <a:solidFill>
                <a:schemeClr val="accent5">
                  <a:shade val="5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B-AD78-4EEA-BCDE-2B26E403C0FD}"/>
              </c:ext>
            </c:extLst>
          </c:dPt>
          <c:dLbls>
            <c:dLbl>
              <c:idx val="3"/>
              <c:layout>
                <c:manualLayout>
                  <c:x val="1.9843789687579375E-7"/>
                  <c:y val="0.14173950733222554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0914441516383028"/>
                      <c:h val="0.2281681858276977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AD78-4EEA-BCDE-2B26E403C0FD}"/>
                </c:ext>
              </c:extLst>
            </c:dLbl>
            <c:dLbl>
              <c:idx val="5"/>
              <c:layout>
                <c:manualLayout>
                  <c:x val="0.21599032416814834"/>
                  <c:y val="-0.12351702332197889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D78-4EEA-BCDE-2B26E403C0F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WNIOSKI!$A$48:$A$53</c:f>
              <c:strCache>
                <c:ptCount val="6"/>
                <c:pt idx="0">
                  <c:v>UKRAINA</c:v>
                </c:pt>
                <c:pt idx="1">
                  <c:v>BIAŁORUŚ</c:v>
                </c:pt>
                <c:pt idx="2">
                  <c:v>ROSJA</c:v>
                </c:pt>
                <c:pt idx="3">
                  <c:v>TADŻYKISTAN</c:v>
                </c:pt>
                <c:pt idx="4">
                  <c:v>AFGANISTAN</c:v>
                </c:pt>
                <c:pt idx="5">
                  <c:v>pozostałe</c:v>
                </c:pt>
              </c:strCache>
            </c:strRef>
          </c:cat>
          <c:val>
            <c:numRef>
              <c:f>WNIOSKI!$B$48:$B$53</c:f>
              <c:numCache>
                <c:formatCode>#,##0</c:formatCode>
                <c:ptCount val="6"/>
                <c:pt idx="0">
                  <c:v>7008</c:v>
                </c:pt>
                <c:pt idx="1">
                  <c:v>2995</c:v>
                </c:pt>
                <c:pt idx="2">
                  <c:v>628</c:v>
                </c:pt>
                <c:pt idx="3">
                  <c:v>260</c:v>
                </c:pt>
                <c:pt idx="4">
                  <c:v>238</c:v>
                </c:pt>
                <c:pt idx="5">
                  <c:v>2103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AD78-4EEA-BCDE-2B26E403C0FD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6350" cap="flat" cmpd="sng" algn="ctr">
      <a:noFill/>
      <a:prstDash val="solid"/>
      <a:round/>
    </a:ln>
    <a:effectLst>
      <a:glow rad="127000">
        <a:srgbClr val="4F81BD">
          <a:alpha val="94000"/>
        </a:srgbClr>
      </a:glow>
    </a:effectLst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pl-PL" sz="900"/>
              <a:t>2026</a:t>
            </a:r>
            <a:endParaRPr lang="en-CA" sz="900"/>
          </a:p>
        </c:rich>
      </c:tx>
      <c:layout>
        <c:manualLayout>
          <c:xMode val="edge"/>
          <c:yMode val="edge"/>
          <c:x val="0.48640545462834661"/>
          <c:y val="2.352727057002006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320"/>
      <c:rAngAx val="0"/>
    </c:view3D>
    <c:floor>
      <c:thickness val="0"/>
      <c:spPr>
        <a:noFill/>
        <a:ln w="6350" cap="flat" cmpd="sng" algn="ctr">
          <a:solidFill>
            <a:schemeClr val="tx1">
              <a:tint val="75000"/>
            </a:schemeClr>
          </a:solidFill>
          <a:prstDash val="solid"/>
          <a:round/>
        </a:ln>
        <a:effectLst/>
        <a:sp3d contourW="6350">
          <a:contourClr>
            <a:schemeClr val="tx1">
              <a:tint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9888874777749554"/>
          <c:y val="0.26098444645724861"/>
          <c:w val="0.77861111111111125"/>
          <c:h val="0.61428888888888888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chemeClr val="accent5">
                  <a:tint val="5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A9E3-4A1B-B0CA-FB4D27D6AF51}"/>
              </c:ext>
            </c:extLst>
          </c:dPt>
          <c:dPt>
            <c:idx val="1"/>
            <c:bubble3D val="0"/>
            <c:spPr>
              <a:solidFill>
                <a:schemeClr val="accent5">
                  <a:tint val="7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A9E3-4A1B-B0CA-FB4D27D6AF51}"/>
              </c:ext>
            </c:extLst>
          </c:dPt>
          <c:dPt>
            <c:idx val="2"/>
            <c:bubble3D val="0"/>
            <c:spPr>
              <a:solidFill>
                <a:schemeClr val="accent5">
                  <a:tint val="9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A9E3-4A1B-B0CA-FB4D27D6AF51}"/>
              </c:ext>
            </c:extLst>
          </c:dPt>
          <c:dPt>
            <c:idx val="3"/>
            <c:bubble3D val="0"/>
            <c:spPr>
              <a:solidFill>
                <a:schemeClr val="accent5">
                  <a:shade val="9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7-A9E3-4A1B-B0CA-FB4D27D6AF51}"/>
              </c:ext>
            </c:extLst>
          </c:dPt>
          <c:dPt>
            <c:idx val="4"/>
            <c:bubble3D val="0"/>
            <c:spPr>
              <a:solidFill>
                <a:schemeClr val="accent5">
                  <a:shade val="82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9-A9E3-4A1B-B0CA-FB4D27D6AF51}"/>
              </c:ext>
            </c:extLst>
          </c:dPt>
          <c:dPt>
            <c:idx val="5"/>
            <c:bubble3D val="0"/>
            <c:spPr>
              <a:solidFill>
                <a:schemeClr val="accent5">
                  <a:shade val="65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B-A9E3-4A1B-B0CA-FB4D27D6AF51}"/>
              </c:ext>
            </c:extLst>
          </c:dPt>
          <c:dPt>
            <c:idx val="6"/>
            <c:bubble3D val="0"/>
            <c:spPr>
              <a:solidFill>
                <a:schemeClr val="accent5">
                  <a:shade val="5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D-A9E3-4A1B-B0CA-FB4D27D6AF51}"/>
              </c:ext>
            </c:extLst>
          </c:dPt>
          <c:dLbls>
            <c:dLbl>
              <c:idx val="0"/>
              <c:layout>
                <c:manualLayout>
                  <c:x val="-1.3658877317754635E-2"/>
                  <c:y val="-1.8860407092726676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9E3-4A1B-B0CA-FB4D27D6AF51}"/>
                </c:ext>
              </c:extLst>
            </c:dLbl>
            <c:dLbl>
              <c:idx val="3"/>
              <c:layout>
                <c:manualLayout>
                  <c:x val="-6.0483597564417374E-2"/>
                  <c:y val="0.12720940606353121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2930570548641094"/>
                      <c:h val="0.2031473835707022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A9E3-4A1B-B0CA-FB4D27D6AF51}"/>
                </c:ext>
              </c:extLst>
            </c:dLbl>
            <c:dLbl>
              <c:idx val="6"/>
              <c:layout>
                <c:manualLayout>
                  <c:x val="8.5685483870967763E-2"/>
                  <c:y val="-0.1415372390377808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6516201535868141"/>
                      <c:h val="0.1862519265651048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A9E3-4A1B-B0CA-FB4D27D6AF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6350" cap="flat" cmpd="sng" algn="ctr">
                  <a:solidFill>
                    <a:schemeClr val="tx1"/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WNIOSKI!$A$49:$A$55</c:f>
              <c:strCache>
                <c:ptCount val="7"/>
                <c:pt idx="0">
                  <c:v>UKRAINA</c:v>
                </c:pt>
                <c:pt idx="1">
                  <c:v>BIAŁORUŚ</c:v>
                </c:pt>
                <c:pt idx="2">
                  <c:v>ROSJA</c:v>
                </c:pt>
                <c:pt idx="3">
                  <c:v>TADŻYKISTAN</c:v>
                </c:pt>
                <c:pt idx="4">
                  <c:v>DRK</c:v>
                </c:pt>
                <c:pt idx="5">
                  <c:v>TURCJA</c:v>
                </c:pt>
                <c:pt idx="6">
                  <c:v>pozostałe</c:v>
                </c:pt>
              </c:strCache>
            </c:strRef>
          </c:cat>
          <c:val>
            <c:numRef>
              <c:f>WNIOSKI!$B$49:$B$55</c:f>
              <c:numCache>
                <c:formatCode>#,##0</c:formatCode>
                <c:ptCount val="7"/>
                <c:pt idx="0">
                  <c:v>1621</c:v>
                </c:pt>
                <c:pt idx="1">
                  <c:v>1243</c:v>
                </c:pt>
                <c:pt idx="2">
                  <c:v>388</c:v>
                </c:pt>
                <c:pt idx="3">
                  <c:v>80</c:v>
                </c:pt>
                <c:pt idx="4">
                  <c:v>55</c:v>
                </c:pt>
                <c:pt idx="5">
                  <c:v>55</c:v>
                </c:pt>
                <c:pt idx="6">
                  <c:v>927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A9E3-4A1B-B0CA-FB4D27D6AF51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6350" cap="flat" cmpd="sng" algn="ctr">
      <a:noFill/>
      <a:prstDash val="solid"/>
      <a:round/>
    </a:ln>
    <a:effectLst>
      <a:glow rad="127000">
        <a:srgbClr val="4F81BD">
          <a:alpha val="94000"/>
        </a:srgbClr>
      </a:glow>
    </a:effectLst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/>
              <a:t>Liczba decyzji Szefa UdSC wydanych </a:t>
            </a:r>
            <a:r>
              <a:rPr lang="pl-PL" sz="1000"/>
              <a:t>w latach 2016-2026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DECYZJE!$B$1</c:f>
              <c:strCache>
                <c:ptCount val="1"/>
                <c:pt idx="0">
                  <c:v>Liczba osób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/>
              <a:lightRig rig="threePt" dir="t"/>
            </a:scene3d>
            <a:sp3d prstMaterial="matte">
              <a:bevelT w="63500" h="63500" prst="artDeco"/>
              <a:contourClr>
                <a:srgbClr val="000000"/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DECYZJE!$A$3:$A$13</c:f>
              <c:numCache>
                <c:formatCode>General</c:formatCode>
                <c:ptCount val="11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</c:numCache>
            </c:numRef>
          </c:cat>
          <c:val>
            <c:numRef>
              <c:f>DECYZJE!$B$3:$B$13</c:f>
              <c:numCache>
                <c:formatCode>#,##0</c:formatCode>
                <c:ptCount val="11"/>
                <c:pt idx="0">
                  <c:v>11997</c:v>
                </c:pt>
                <c:pt idx="1">
                  <c:v>5347</c:v>
                </c:pt>
                <c:pt idx="2">
                  <c:v>4445</c:v>
                </c:pt>
                <c:pt idx="3">
                  <c:v>4000</c:v>
                </c:pt>
                <c:pt idx="4">
                  <c:v>3491</c:v>
                </c:pt>
                <c:pt idx="5">
                  <c:v>4706</c:v>
                </c:pt>
                <c:pt idx="6">
                  <c:v>10666</c:v>
                </c:pt>
                <c:pt idx="7">
                  <c:v>8814</c:v>
                </c:pt>
                <c:pt idx="8">
                  <c:v>11964</c:v>
                </c:pt>
                <c:pt idx="9">
                  <c:v>10490</c:v>
                </c:pt>
                <c:pt idx="10">
                  <c:v>6661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E9-4008-A743-5A3AA9C366C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73228048"/>
        <c:axId val="73231184"/>
      </c:barChart>
      <c:catAx>
        <c:axId val="73228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231184"/>
        <c:crosses val="autoZero"/>
        <c:auto val="1"/>
        <c:lblAlgn val="ctr"/>
        <c:lblOffset val="100"/>
        <c:noMultiLvlLbl val="0"/>
      </c:catAx>
      <c:valAx>
        <c:axId val="73231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2280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b="1" i="0" baseline="0">
                <a:effectLst/>
              </a:rPr>
              <a:t>Liczba decyzji Szefa UdSC wydanych </a:t>
            </a:r>
            <a:r>
              <a:rPr lang="pl-PL" sz="1000" b="1" i="0" baseline="0">
                <a:effectLst/>
              </a:rPr>
              <a:t>w latach 2024-2026</a:t>
            </a:r>
            <a:endParaRPr lang="pl-PL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8"/>
          <c:order val="8"/>
          <c:tx>
            <c:strRef>
              <c:f>DECYZJE!$A$26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/>
              <a:lightRig rig="threePt" dir="t"/>
            </a:scene3d>
            <a:sp3d prstMaterial="matte">
              <a:bevelT w="63500" h="63500" prst="relaxedInset"/>
              <a:contourClr>
                <a:srgbClr val="000000"/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DECYZJE!$B$17:$M$17</c:f>
              <c:strCache>
                <c:ptCount val="12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  <c:pt idx="3">
                  <c:v>kwiecień</c:v>
                </c:pt>
                <c:pt idx="4">
                  <c:v>maj</c:v>
                </c:pt>
                <c:pt idx="5">
                  <c:v>czerwiec</c:v>
                </c:pt>
                <c:pt idx="6">
                  <c:v>lipiec</c:v>
                </c:pt>
                <c:pt idx="7">
                  <c:v>sierpień</c:v>
                </c:pt>
                <c:pt idx="8">
                  <c:v>wrzesień</c:v>
                </c:pt>
                <c:pt idx="9">
                  <c:v>październik</c:v>
                </c:pt>
                <c:pt idx="10">
                  <c:v>listopad</c:v>
                </c:pt>
                <c:pt idx="11">
                  <c:v>grudzień</c:v>
                </c:pt>
              </c:strCache>
            </c:strRef>
          </c:cat>
          <c:val>
            <c:numRef>
              <c:f>DECYZJE!$B$26:$M$26</c:f>
              <c:numCache>
                <c:formatCode>#,##0</c:formatCode>
                <c:ptCount val="12"/>
                <c:pt idx="0">
                  <c:v>657</c:v>
                </c:pt>
                <c:pt idx="1">
                  <c:v>552</c:v>
                </c:pt>
                <c:pt idx="2">
                  <c:v>782</c:v>
                </c:pt>
                <c:pt idx="3">
                  <c:v>1092</c:v>
                </c:pt>
                <c:pt idx="4">
                  <c:v>773</c:v>
                </c:pt>
                <c:pt idx="5">
                  <c:v>814</c:v>
                </c:pt>
                <c:pt idx="6">
                  <c:v>1317</c:v>
                </c:pt>
                <c:pt idx="7">
                  <c:v>1456</c:v>
                </c:pt>
                <c:pt idx="8">
                  <c:v>982</c:v>
                </c:pt>
                <c:pt idx="9">
                  <c:v>1033</c:v>
                </c:pt>
                <c:pt idx="10">
                  <c:v>1152</c:v>
                </c:pt>
                <c:pt idx="11">
                  <c:v>1354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DE-4C0A-A097-2DC80BC4F826}"/>
            </c:ext>
          </c:extLst>
        </c:ser>
        <c:ser>
          <c:idx val="9"/>
          <c:order val="9"/>
          <c:tx>
            <c:strRef>
              <c:f>DECYZJE!$A$27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/>
              <a:lightRig rig="threePt" dir="t"/>
            </a:scene3d>
            <a:sp3d>
              <a:bevelT prst="relaxedInset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DECYZJE!$B$27:$M$27</c:f>
              <c:numCache>
                <c:formatCode>#,##0</c:formatCode>
                <c:ptCount val="12"/>
                <c:pt idx="0">
                  <c:v>862</c:v>
                </c:pt>
                <c:pt idx="1">
                  <c:v>1162</c:v>
                </c:pt>
                <c:pt idx="2">
                  <c:v>1111</c:v>
                </c:pt>
                <c:pt idx="3">
                  <c:v>569</c:v>
                </c:pt>
                <c:pt idx="4">
                  <c:v>764</c:v>
                </c:pt>
                <c:pt idx="5">
                  <c:v>834</c:v>
                </c:pt>
                <c:pt idx="6">
                  <c:v>1012</c:v>
                </c:pt>
                <c:pt idx="7">
                  <c:v>743</c:v>
                </c:pt>
                <c:pt idx="8">
                  <c:v>569</c:v>
                </c:pt>
                <c:pt idx="9">
                  <c:v>1074</c:v>
                </c:pt>
                <c:pt idx="10">
                  <c:v>944</c:v>
                </c:pt>
                <c:pt idx="11">
                  <c:v>846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9DE-4C0A-A097-2DC80BC4F826}"/>
            </c:ext>
          </c:extLst>
        </c:ser>
        <c:ser>
          <c:idx val="10"/>
          <c:order val="10"/>
          <c:tx>
            <c:strRef>
              <c:f>DECYZJE!$A$28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/>
              <a:lightRig rig="threePt" dir="t"/>
            </a:scene3d>
            <a:sp3d>
              <a:bevelT prst="relaxedInset"/>
            </a:sp3d>
          </c:spPr>
          <c:invertIfNegative val="0"/>
          <c:dLbls>
            <c:dLbl>
              <c:idx val="2"/>
              <c:layout>
                <c:manualLayout>
                  <c:x val="3.7454531084016363E-3"/>
                  <c:y val="-8.968609865470893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9DE-4C0A-A097-2DC80BC4F82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DECYZJE!$B$28:$M$28</c:f>
              <c:numCache>
                <c:formatCode>#,##0</c:formatCode>
                <c:ptCount val="12"/>
                <c:pt idx="0">
                  <c:v>681</c:v>
                </c:pt>
                <c:pt idx="1">
                  <c:v>736</c:v>
                </c:pt>
                <c:pt idx="2">
                  <c:v>1032</c:v>
                </c:pt>
                <c:pt idx="3">
                  <c:v>632</c:v>
                </c:pt>
                <c:pt idx="4">
                  <c:v>797</c:v>
                </c:pt>
                <c:pt idx="5">
                  <c:v>806</c:v>
                </c:pt>
                <c:pt idx="6">
                  <c:v>762</c:v>
                </c:pt>
                <c:pt idx="7">
                  <c:v>586</c:v>
                </c:pt>
                <c:pt idx="8">
                  <c:v>629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9DE-4C0A-A097-2DC80BC4F82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73230792"/>
        <c:axId val="73228832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DECYZJE!$A$18</c15:sqref>
                        </c15:formulaRef>
                      </c:ext>
                    </c:extLst>
                    <c:strCache>
                      <c:ptCount val="1"/>
                      <c:pt idx="0">
                        <c:v>2016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tint val="42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tint val="42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tint val="42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DECYZJE!$B$17:$M$17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DECYZJE!$B$18:$M$18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871</c:v>
                      </c:pt>
                      <c:pt idx="1">
                        <c:v>928</c:v>
                      </c:pt>
                      <c:pt idx="2">
                        <c:v>1034</c:v>
                      </c:pt>
                      <c:pt idx="3">
                        <c:v>1359</c:v>
                      </c:pt>
                      <c:pt idx="4">
                        <c:v>1431</c:v>
                      </c:pt>
                      <c:pt idx="5">
                        <c:v>1605</c:v>
                      </c:pt>
                      <c:pt idx="6">
                        <c:v>1191</c:v>
                      </c:pt>
                      <c:pt idx="7">
                        <c:v>987</c:v>
                      </c:pt>
                      <c:pt idx="8">
                        <c:v>829</c:v>
                      </c:pt>
                      <c:pt idx="9">
                        <c:v>677</c:v>
                      </c:pt>
                      <c:pt idx="10">
                        <c:v>557</c:v>
                      </c:pt>
                      <c:pt idx="11">
                        <c:v>528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4-C9DE-4C0A-A097-2DC80BC4F826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DECYZJE!$A$19</c15:sqref>
                        </c15:formulaRef>
                      </c:ext>
                    </c:extLst>
                    <c:strCache>
                      <c:ptCount val="1"/>
                      <c:pt idx="0">
                        <c:v>2017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tint val="54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tint val="54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tint val="54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DECYZJE!$B$17:$M$17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DECYZJE!$B$19:$M$19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573</c:v>
                      </c:pt>
                      <c:pt idx="1">
                        <c:v>490</c:v>
                      </c:pt>
                      <c:pt idx="2">
                        <c:v>656</c:v>
                      </c:pt>
                      <c:pt idx="3">
                        <c:v>505</c:v>
                      </c:pt>
                      <c:pt idx="4">
                        <c:v>583</c:v>
                      </c:pt>
                      <c:pt idx="5">
                        <c:v>427</c:v>
                      </c:pt>
                      <c:pt idx="6">
                        <c:v>349</c:v>
                      </c:pt>
                      <c:pt idx="7">
                        <c:v>319</c:v>
                      </c:pt>
                      <c:pt idx="8">
                        <c:v>323</c:v>
                      </c:pt>
                      <c:pt idx="9">
                        <c:v>414</c:v>
                      </c:pt>
                      <c:pt idx="10">
                        <c:v>422</c:v>
                      </c:pt>
                      <c:pt idx="11">
                        <c:v>286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C9DE-4C0A-A097-2DC80BC4F826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DECYZJE!$A$20</c15:sqref>
                        </c15:formulaRef>
                      </c:ext>
                    </c:extLst>
                    <c:strCache>
                      <c:ptCount val="1"/>
                      <c:pt idx="0">
                        <c:v>2018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tint val="65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tint val="65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tint val="65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DECYZJE!$B$17:$M$17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DECYZJE!$B$20:$M$20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446</c:v>
                      </c:pt>
                      <c:pt idx="1">
                        <c:v>481</c:v>
                      </c:pt>
                      <c:pt idx="2">
                        <c:v>405</c:v>
                      </c:pt>
                      <c:pt idx="3">
                        <c:v>383</c:v>
                      </c:pt>
                      <c:pt idx="4">
                        <c:v>332</c:v>
                      </c:pt>
                      <c:pt idx="5">
                        <c:v>449</c:v>
                      </c:pt>
                      <c:pt idx="6">
                        <c:v>389</c:v>
                      </c:pt>
                      <c:pt idx="7">
                        <c:v>362</c:v>
                      </c:pt>
                      <c:pt idx="8">
                        <c:v>386</c:v>
                      </c:pt>
                      <c:pt idx="9">
                        <c:v>267</c:v>
                      </c:pt>
                      <c:pt idx="10">
                        <c:v>261</c:v>
                      </c:pt>
                      <c:pt idx="11">
                        <c:v>284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C9DE-4C0A-A097-2DC80BC4F826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DECYZJE!$A$21</c15:sqref>
                        </c15:formulaRef>
                      </c:ext>
                    </c:extLst>
                    <c:strCache>
                      <c:ptCount val="1"/>
                      <c:pt idx="0">
                        <c:v>2019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tint val="81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tint val="81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tint val="81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DECYZJE!$B$17:$M$17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DECYZJE!$B$21:$M$21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377</c:v>
                      </c:pt>
                      <c:pt idx="1">
                        <c:v>317</c:v>
                      </c:pt>
                      <c:pt idx="2">
                        <c:v>260</c:v>
                      </c:pt>
                      <c:pt idx="3">
                        <c:v>340</c:v>
                      </c:pt>
                      <c:pt idx="4">
                        <c:v>437</c:v>
                      </c:pt>
                      <c:pt idx="5">
                        <c:v>296</c:v>
                      </c:pt>
                      <c:pt idx="6">
                        <c:v>336</c:v>
                      </c:pt>
                      <c:pt idx="7">
                        <c:v>359</c:v>
                      </c:pt>
                      <c:pt idx="8">
                        <c:v>269</c:v>
                      </c:pt>
                      <c:pt idx="9">
                        <c:v>321</c:v>
                      </c:pt>
                      <c:pt idx="10">
                        <c:v>371</c:v>
                      </c:pt>
                      <c:pt idx="11">
                        <c:v>317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C9DE-4C0A-A097-2DC80BC4F826}"/>
                  </c:ext>
                </c:extLst>
              </c15:ser>
            </c15:filteredBarSeries>
            <c15:filteredBar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DECYZJE!$A$22</c15:sqref>
                        </c15:formulaRef>
                      </c:ext>
                    </c:extLst>
                    <c:strCache>
                      <c:ptCount val="1"/>
                      <c:pt idx="0">
                        <c:v>2020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tint val="94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tint val="94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tint val="94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DECYZJE!$B$17:$M$17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DECYZJE!$B$22:$M$22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435</c:v>
                      </c:pt>
                      <c:pt idx="1">
                        <c:v>339</c:v>
                      </c:pt>
                      <c:pt idx="2">
                        <c:v>409</c:v>
                      </c:pt>
                      <c:pt idx="3">
                        <c:v>307</c:v>
                      </c:pt>
                      <c:pt idx="4">
                        <c:v>178</c:v>
                      </c:pt>
                      <c:pt idx="5">
                        <c:v>234</c:v>
                      </c:pt>
                      <c:pt idx="6">
                        <c:v>332</c:v>
                      </c:pt>
                      <c:pt idx="7">
                        <c:v>278</c:v>
                      </c:pt>
                      <c:pt idx="8">
                        <c:v>266</c:v>
                      </c:pt>
                      <c:pt idx="9">
                        <c:v>239</c:v>
                      </c:pt>
                      <c:pt idx="10">
                        <c:v>247</c:v>
                      </c:pt>
                      <c:pt idx="11">
                        <c:v>227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C9DE-4C0A-A097-2DC80BC4F826}"/>
                  </c:ext>
                </c:extLst>
              </c15:ser>
            </c15:filteredBarSeries>
            <c15:filteredBar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DECYZJE!$A$23</c15:sqref>
                        </c15:formulaRef>
                      </c:ext>
                    </c:extLst>
                    <c:strCache>
                      <c:ptCount val="1"/>
                      <c:pt idx="0">
                        <c:v>2021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shade val="93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shade val="93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shade val="93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DECYZJE!$B$17:$M$17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DECYZJE!$B$23:$M$23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205</c:v>
                      </c:pt>
                      <c:pt idx="1">
                        <c:v>250</c:v>
                      </c:pt>
                      <c:pt idx="2">
                        <c:v>255</c:v>
                      </c:pt>
                      <c:pt idx="3">
                        <c:v>201</c:v>
                      </c:pt>
                      <c:pt idx="4">
                        <c:v>233</c:v>
                      </c:pt>
                      <c:pt idx="5">
                        <c:v>234</c:v>
                      </c:pt>
                      <c:pt idx="6">
                        <c:v>390</c:v>
                      </c:pt>
                      <c:pt idx="7">
                        <c:v>318</c:v>
                      </c:pt>
                      <c:pt idx="8">
                        <c:v>399</c:v>
                      </c:pt>
                      <c:pt idx="9">
                        <c:v>943</c:v>
                      </c:pt>
                      <c:pt idx="10">
                        <c:v>643</c:v>
                      </c:pt>
                      <c:pt idx="11">
                        <c:v>634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C9DE-4C0A-A097-2DC80BC4F826}"/>
                  </c:ext>
                </c:extLst>
              </c15:ser>
            </c15:filteredBarSeries>
            <c15:filteredBar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DECYZJE!$A$24</c15:sqref>
                        </c15:formulaRef>
                      </c:ext>
                    </c:extLst>
                    <c:strCache>
                      <c:ptCount val="1"/>
                      <c:pt idx="0">
                        <c:v>2022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shade val="80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shade val="80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shade val="80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  <a:scene3d>
                    <a:camera prst="orthographicFront"/>
                    <a:lightRig rig="threePt" dir="t"/>
                  </a:scene3d>
                  <a:sp3d prstMaterial="matte">
                    <a:bevelT w="63500" h="63500" prst="artDeco"/>
                    <a:contourClr>
                      <a:srgbClr val="000000"/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700" b="1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DECYZJE!$B$17:$M$17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DECYZJE!$B$24:$M$24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652</c:v>
                      </c:pt>
                      <c:pt idx="1">
                        <c:v>671</c:v>
                      </c:pt>
                      <c:pt idx="2">
                        <c:v>665</c:v>
                      </c:pt>
                      <c:pt idx="3">
                        <c:v>1451</c:v>
                      </c:pt>
                      <c:pt idx="4">
                        <c:v>1043</c:v>
                      </c:pt>
                      <c:pt idx="5">
                        <c:v>982</c:v>
                      </c:pt>
                      <c:pt idx="6">
                        <c:v>846</c:v>
                      </c:pt>
                      <c:pt idx="7">
                        <c:v>867</c:v>
                      </c:pt>
                      <c:pt idx="8">
                        <c:v>1080</c:v>
                      </c:pt>
                      <c:pt idx="9">
                        <c:v>906</c:v>
                      </c:pt>
                      <c:pt idx="10">
                        <c:v>670</c:v>
                      </c:pt>
                      <c:pt idx="11">
                        <c:v>833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C9DE-4C0A-A097-2DC80BC4F826}"/>
                  </c:ext>
                </c:extLst>
              </c15:ser>
            </c15:filteredBarSeries>
            <c15:filteredBar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DECYZJE!$A$25</c15:sqref>
                        </c15:formulaRef>
                      </c:ext>
                    </c:extLst>
                    <c:strCache>
                      <c:ptCount val="1"/>
                      <c:pt idx="0">
                        <c:v>2023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shade val="68000"/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shade val="68000"/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shade val="68000"/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  <a:scene3d>
                    <a:camera prst="orthographicFront"/>
                    <a:lightRig rig="threePt" dir="t"/>
                  </a:scene3d>
                  <a:sp3d prstMaterial="matte">
                    <a:bevelT w="63500" h="63500" prst="artDeco"/>
                    <a:contourClr>
                      <a:srgbClr val="000000"/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700" b="1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DECYZJE!$B$17:$M$17</c15:sqref>
                        </c15:formulaRef>
                      </c:ext>
                    </c:extLst>
                    <c:strCache>
                      <c:ptCount val="12"/>
                      <c:pt idx="0">
                        <c:v>styczeń</c:v>
                      </c:pt>
                      <c:pt idx="1">
                        <c:v>luty</c:v>
                      </c:pt>
                      <c:pt idx="2">
                        <c:v>marzec</c:v>
                      </c:pt>
                      <c:pt idx="3">
                        <c:v>kwiecień</c:v>
                      </c:pt>
                      <c:pt idx="4">
                        <c:v>maj</c:v>
                      </c:pt>
                      <c:pt idx="5">
                        <c:v>czerwiec</c:v>
                      </c:pt>
                      <c:pt idx="6">
                        <c:v>lipiec</c:v>
                      </c:pt>
                      <c:pt idx="7">
                        <c:v>sierpień</c:v>
                      </c:pt>
                      <c:pt idx="8">
                        <c:v>wrzesień</c:v>
                      </c:pt>
                      <c:pt idx="9">
                        <c:v>październik</c:v>
                      </c:pt>
                      <c:pt idx="10">
                        <c:v>listopad</c:v>
                      </c:pt>
                      <c:pt idx="11">
                        <c:v>grudzień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DECYZJE!$B$25:$M$25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844</c:v>
                      </c:pt>
                      <c:pt idx="1">
                        <c:v>872</c:v>
                      </c:pt>
                      <c:pt idx="2">
                        <c:v>922</c:v>
                      </c:pt>
                      <c:pt idx="3">
                        <c:v>684</c:v>
                      </c:pt>
                      <c:pt idx="4">
                        <c:v>788</c:v>
                      </c:pt>
                      <c:pt idx="5">
                        <c:v>718</c:v>
                      </c:pt>
                      <c:pt idx="6">
                        <c:v>743</c:v>
                      </c:pt>
                      <c:pt idx="7">
                        <c:v>761</c:v>
                      </c:pt>
                      <c:pt idx="8">
                        <c:v>597</c:v>
                      </c:pt>
                      <c:pt idx="9">
                        <c:v>641</c:v>
                      </c:pt>
                      <c:pt idx="10">
                        <c:v>671</c:v>
                      </c:pt>
                      <c:pt idx="11">
                        <c:v>573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C9DE-4C0A-A097-2DC80BC4F826}"/>
                  </c:ext>
                </c:extLst>
              </c15:ser>
            </c15:filteredBarSeries>
          </c:ext>
        </c:extLst>
      </c:barChart>
      <c:catAx>
        <c:axId val="73230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228832"/>
        <c:crosses val="autoZero"/>
        <c:auto val="1"/>
        <c:lblAlgn val="ctr"/>
        <c:lblOffset val="100"/>
        <c:noMultiLvlLbl val="0"/>
      </c:catAx>
      <c:valAx>
        <c:axId val="73228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230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b="1" i="0" u="none" strike="noStrike" baseline="0">
                <a:effectLst/>
              </a:rPr>
              <a:t>Liczba decyzji Szefa UdSC wydanych w </a:t>
            </a:r>
            <a:r>
              <a:rPr lang="pl-PL" sz="1000" b="1" i="0" u="none" strike="noStrike" baseline="0">
                <a:effectLst/>
              </a:rPr>
              <a:t>2</a:t>
            </a:r>
            <a:r>
              <a:rPr lang="en-US" sz="1000" b="1" i="0" u="none" strike="noStrike" baseline="0">
                <a:effectLst/>
              </a:rPr>
              <a:t>02</a:t>
            </a:r>
            <a:r>
              <a:rPr lang="pl-PL" sz="1000" b="1" i="0" u="none" strike="noStrike" baseline="0">
                <a:effectLst/>
              </a:rPr>
              <a:t>6</a:t>
            </a:r>
            <a:r>
              <a:rPr lang="en-US" sz="1000" b="1" i="0" u="none" strike="noStrike" baseline="0">
                <a:effectLst/>
              </a:rPr>
              <a:t> r</a:t>
            </a:r>
            <a:r>
              <a:rPr lang="pl-PL" sz="1000" b="1" i="0" u="none" strike="noStrike" baseline="0">
                <a:effectLst/>
              </a:rPr>
              <a:t>.</a:t>
            </a:r>
            <a:endParaRPr lang="pl-PL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0544257409365554E-2"/>
          <c:y val="0.12805184640190351"/>
          <c:w val="0.91075532507886325"/>
          <c:h val="0.70093799408274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DECYZJE!$B$46</c:f>
              <c:strCache>
                <c:ptCount val="1"/>
                <c:pt idx="0">
                  <c:v>STATUS UCHODŹCY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58000"/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tint val="58000"/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tint val="58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DECYZJE!$A$47:$A$52</c:f>
              <c:strCache>
                <c:ptCount val="6"/>
                <c:pt idx="0">
                  <c:v>UKRAINA</c:v>
                </c:pt>
                <c:pt idx="1">
                  <c:v>BIAŁORUŚ</c:v>
                </c:pt>
                <c:pt idx="2">
                  <c:v>ROSJA</c:v>
                </c:pt>
                <c:pt idx="3">
                  <c:v>TADŻYKISTAN</c:v>
                </c:pt>
                <c:pt idx="4">
                  <c:v>AFGANISTAN</c:v>
                </c:pt>
                <c:pt idx="5">
                  <c:v>pozostałe</c:v>
                </c:pt>
              </c:strCache>
            </c:strRef>
          </c:cat>
          <c:val>
            <c:numRef>
              <c:f>DECYZJE!$B$47:$B$52</c:f>
              <c:numCache>
                <c:formatCode>#,##0</c:formatCode>
                <c:ptCount val="6"/>
                <c:pt idx="0">
                  <c:v>1</c:v>
                </c:pt>
                <c:pt idx="1">
                  <c:v>302</c:v>
                </c:pt>
                <c:pt idx="2">
                  <c:v>18</c:v>
                </c:pt>
                <c:pt idx="3">
                  <c:v>8</c:v>
                </c:pt>
                <c:pt idx="4">
                  <c:v>19</c:v>
                </c:pt>
                <c:pt idx="5">
                  <c:v>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0B4-4A3D-BAB0-8E5407135210}"/>
            </c:ext>
          </c:extLst>
        </c:ser>
        <c:ser>
          <c:idx val="1"/>
          <c:order val="1"/>
          <c:tx>
            <c:strRef>
              <c:f>DECYZJE!$C$46</c:f>
              <c:strCache>
                <c:ptCount val="1"/>
                <c:pt idx="0">
                  <c:v>OCHRONA UZUPEŁNIAJĄCA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86000"/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tint val="86000"/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tint val="86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DECYZJE!$A$47:$A$52</c:f>
              <c:strCache>
                <c:ptCount val="6"/>
                <c:pt idx="0">
                  <c:v>UKRAINA</c:v>
                </c:pt>
                <c:pt idx="1">
                  <c:v>BIAŁORUŚ</c:v>
                </c:pt>
                <c:pt idx="2">
                  <c:v>ROSJA</c:v>
                </c:pt>
                <c:pt idx="3">
                  <c:v>TADŻYKISTAN</c:v>
                </c:pt>
                <c:pt idx="4">
                  <c:v>AFGANISTAN</c:v>
                </c:pt>
                <c:pt idx="5">
                  <c:v>pozostałe</c:v>
                </c:pt>
              </c:strCache>
            </c:strRef>
          </c:cat>
          <c:val>
            <c:numRef>
              <c:f>DECYZJE!$C$47:$C$52</c:f>
              <c:numCache>
                <c:formatCode>#,##0</c:formatCode>
                <c:ptCount val="6"/>
                <c:pt idx="0">
                  <c:v>219</c:v>
                </c:pt>
                <c:pt idx="1">
                  <c:v>380</c:v>
                </c:pt>
                <c:pt idx="2">
                  <c:v>15</c:v>
                </c:pt>
                <c:pt idx="3">
                  <c:v>14</c:v>
                </c:pt>
                <c:pt idx="4">
                  <c:v>0</c:v>
                </c:pt>
                <c:pt idx="5">
                  <c:v>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0B4-4A3D-BAB0-8E5407135210}"/>
            </c:ext>
          </c:extLst>
        </c:ser>
        <c:ser>
          <c:idx val="2"/>
          <c:order val="2"/>
          <c:tx>
            <c:strRef>
              <c:f>DECYZJE!$E$46</c:f>
              <c:strCache>
                <c:ptCount val="1"/>
                <c:pt idx="0">
                  <c:v>NEGATYWNA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86000"/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hade val="86000"/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shade val="86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DECYZJE!$A$47:$A$52</c:f>
              <c:strCache>
                <c:ptCount val="6"/>
                <c:pt idx="0">
                  <c:v>UKRAINA</c:v>
                </c:pt>
                <c:pt idx="1">
                  <c:v>BIAŁORUŚ</c:v>
                </c:pt>
                <c:pt idx="2">
                  <c:v>ROSJA</c:v>
                </c:pt>
                <c:pt idx="3">
                  <c:v>TADŻYKISTAN</c:v>
                </c:pt>
                <c:pt idx="4">
                  <c:v>AFGANISTAN</c:v>
                </c:pt>
                <c:pt idx="5">
                  <c:v>pozostałe</c:v>
                </c:pt>
              </c:strCache>
            </c:strRef>
          </c:cat>
          <c:val>
            <c:numRef>
              <c:f>DECYZJE!$E$47:$E$52</c:f>
              <c:numCache>
                <c:formatCode>#,##0</c:formatCode>
                <c:ptCount val="6"/>
                <c:pt idx="0">
                  <c:v>3304</c:v>
                </c:pt>
                <c:pt idx="1">
                  <c:v>266</c:v>
                </c:pt>
                <c:pt idx="2">
                  <c:v>244</c:v>
                </c:pt>
                <c:pt idx="3">
                  <c:v>36</c:v>
                </c:pt>
                <c:pt idx="4">
                  <c:v>52</c:v>
                </c:pt>
                <c:pt idx="5">
                  <c:v>428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0B4-4A3D-BAB0-8E5407135210}"/>
            </c:ext>
          </c:extLst>
        </c:ser>
        <c:ser>
          <c:idx val="3"/>
          <c:order val="3"/>
          <c:tx>
            <c:strRef>
              <c:f>DECYZJE!$F$46</c:f>
              <c:strCache>
                <c:ptCount val="1"/>
                <c:pt idx="0">
                  <c:v>UMORZENIE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8000"/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hade val="58000"/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shade val="58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DECYZJE!$A$47:$A$52</c:f>
              <c:strCache>
                <c:ptCount val="6"/>
                <c:pt idx="0">
                  <c:v>UKRAINA</c:v>
                </c:pt>
                <c:pt idx="1">
                  <c:v>BIAŁORUŚ</c:v>
                </c:pt>
                <c:pt idx="2">
                  <c:v>ROSJA</c:v>
                </c:pt>
                <c:pt idx="3">
                  <c:v>TADŻYKISTAN</c:v>
                </c:pt>
                <c:pt idx="4">
                  <c:v>AFGANISTAN</c:v>
                </c:pt>
                <c:pt idx="5">
                  <c:v>pozostałe</c:v>
                </c:pt>
              </c:strCache>
            </c:strRef>
          </c:cat>
          <c:val>
            <c:numRef>
              <c:f>DECYZJE!$F$47:$F$52</c:f>
              <c:numCache>
                <c:formatCode>#,##0</c:formatCode>
                <c:ptCount val="6"/>
                <c:pt idx="0">
                  <c:v>374</c:v>
                </c:pt>
                <c:pt idx="1">
                  <c:v>150</c:v>
                </c:pt>
                <c:pt idx="2">
                  <c:v>76</c:v>
                </c:pt>
                <c:pt idx="3">
                  <c:v>85</c:v>
                </c:pt>
                <c:pt idx="4">
                  <c:v>49</c:v>
                </c:pt>
                <c:pt idx="5">
                  <c:v>494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0B4-4A3D-BAB0-8E540713521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73230400"/>
        <c:axId val="73234320"/>
      </c:barChart>
      <c:catAx>
        <c:axId val="73230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234320"/>
        <c:crosses val="autoZero"/>
        <c:auto val="1"/>
        <c:lblAlgn val="ctr"/>
        <c:lblOffset val="100"/>
        <c:noMultiLvlLbl val="0"/>
      </c:catAx>
      <c:valAx>
        <c:axId val="732343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230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000"/>
              <a:t>status uchodźcy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rAngAx val="1"/>
    </c:view3D>
    <c:floor>
      <c:thickness val="0"/>
      <c:spPr>
        <a:noFill/>
        <a:ln w="6350" cap="flat" cmpd="sng" algn="ctr">
          <a:solidFill>
            <a:schemeClr val="tx1">
              <a:tint val="75000"/>
            </a:schemeClr>
          </a:solidFill>
          <a:prstDash val="solid"/>
          <a:round/>
        </a:ln>
        <a:effectLst/>
        <a:sp3d contourW="6350">
          <a:contourClr>
            <a:schemeClr val="tx1">
              <a:tint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0829311658623317"/>
          <c:y val="0.37840508115737476"/>
          <c:w val="0.7886874523749049"/>
          <c:h val="0.61663601153596093"/>
        </c:manualLayout>
      </c:layout>
      <c:pie3DChart>
        <c:varyColors val="1"/>
        <c:ser>
          <c:idx val="0"/>
          <c:order val="0"/>
          <c:explosion val="27"/>
          <c:dPt>
            <c:idx val="0"/>
            <c:bubble3D val="0"/>
            <c:spPr>
              <a:solidFill>
                <a:schemeClr val="accent5">
                  <a:tint val="5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628C-4B21-96B2-40DBF17DFC0E}"/>
              </c:ext>
            </c:extLst>
          </c:dPt>
          <c:dPt>
            <c:idx val="1"/>
            <c:bubble3D val="0"/>
            <c:spPr>
              <a:solidFill>
                <a:schemeClr val="accent5">
                  <a:tint val="9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628C-4B21-96B2-40DBF17DFC0E}"/>
              </c:ext>
            </c:extLst>
          </c:dPt>
          <c:dPt>
            <c:idx val="2"/>
            <c:bubble3D val="0"/>
            <c:spPr>
              <a:solidFill>
                <a:schemeClr val="accent5">
                  <a:tint val="7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628C-4B21-96B2-40DBF17DFC0E}"/>
              </c:ext>
            </c:extLst>
          </c:dPt>
          <c:dPt>
            <c:idx val="3"/>
            <c:bubble3D val="0"/>
            <c:spPr>
              <a:solidFill>
                <a:schemeClr val="accent5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7-628C-4B21-96B2-40DBF17DFC0E}"/>
              </c:ext>
            </c:extLst>
          </c:dPt>
          <c:dPt>
            <c:idx val="4"/>
            <c:bubble3D val="0"/>
            <c:spPr>
              <a:solidFill>
                <a:schemeClr val="accent5">
                  <a:shade val="92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9-628C-4B21-96B2-40DBF17DFC0E}"/>
              </c:ext>
            </c:extLst>
          </c:dPt>
          <c:dPt>
            <c:idx val="5"/>
            <c:bubble3D val="0"/>
            <c:spPr>
              <a:solidFill>
                <a:schemeClr val="accent5">
                  <a:shade val="65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B-628C-4B21-96B2-40DBF17DFC0E}"/>
              </c:ext>
            </c:extLst>
          </c:dPt>
          <c:dPt>
            <c:idx val="6"/>
            <c:bubble3D val="0"/>
            <c:spPr>
              <a:solidFill>
                <a:schemeClr val="accent5">
                  <a:shade val="45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D-628C-4B21-96B2-40DBF17DFC0E}"/>
              </c:ext>
            </c:extLst>
          </c:dPt>
          <c:dLbls>
            <c:dLbl>
              <c:idx val="1"/>
              <c:layout>
                <c:manualLayout>
                  <c:x val="8.2167179959359918E-2"/>
                  <c:y val="0.12478342289076956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28C-4B21-96B2-40DBF17DFC0E}"/>
                </c:ext>
              </c:extLst>
            </c:dLbl>
            <c:dLbl>
              <c:idx val="2"/>
              <c:layout>
                <c:manualLayout>
                  <c:x val="-0.10584657575565151"/>
                  <c:y val="0.1340002445001361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6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6483661073779391"/>
                      <c:h val="0.1855442125847881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628C-4B21-96B2-40DBF17DFC0E}"/>
                </c:ext>
              </c:extLst>
            </c:dLbl>
            <c:dLbl>
              <c:idx val="3"/>
              <c:layout>
                <c:manualLayout>
                  <c:x val="2.6528368681737365E-2"/>
                  <c:y val="1.129396140231941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32623864935229874"/>
                      <c:h val="0.2745064153501630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628C-4B21-96B2-40DBF17DFC0E}"/>
                </c:ext>
              </c:extLst>
            </c:dLbl>
            <c:dLbl>
              <c:idx val="5"/>
              <c:layout>
                <c:manualLayout>
                  <c:x val="0.10442695104140205"/>
                  <c:y val="-8.9556787935029664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1013104838709673"/>
                      <c:h val="0.2279463655610444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628C-4B21-96B2-40DBF17DFC0E}"/>
                </c:ext>
              </c:extLst>
            </c:dLbl>
            <c:dLbl>
              <c:idx val="6"/>
              <c:layout>
                <c:manualLayout>
                  <c:x val="0.2338029035433071"/>
                  <c:y val="-1.082913330258559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628C-4B21-96B2-40DBF17DFC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6350" cap="flat" cmpd="sng" algn="ctr">
                  <a:solidFill>
                    <a:schemeClr val="tx1"/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DECYZJE!$A$63:$A$69</c:f>
              <c:strCache>
                <c:ptCount val="7"/>
                <c:pt idx="0">
                  <c:v>BIAŁORUŚ</c:v>
                </c:pt>
                <c:pt idx="1">
                  <c:v>AFGANISTAN</c:v>
                </c:pt>
                <c:pt idx="2">
                  <c:v>ROSJA</c:v>
                </c:pt>
                <c:pt idx="3">
                  <c:v>BEZ OBYWATELSTWA</c:v>
                </c:pt>
                <c:pt idx="4">
                  <c:v>NIGERIA</c:v>
                </c:pt>
                <c:pt idx="5">
                  <c:v>TADŻYKISTAN</c:v>
                </c:pt>
                <c:pt idx="6">
                  <c:v>POZOSTAŁE</c:v>
                </c:pt>
              </c:strCache>
            </c:strRef>
          </c:cat>
          <c:val>
            <c:numRef>
              <c:f>DECYZJE!$B$63:$B$69</c:f>
              <c:numCache>
                <c:formatCode>General</c:formatCode>
                <c:ptCount val="7"/>
                <c:pt idx="0">
                  <c:v>302</c:v>
                </c:pt>
                <c:pt idx="1">
                  <c:v>19</c:v>
                </c:pt>
                <c:pt idx="2">
                  <c:v>18</c:v>
                </c:pt>
                <c:pt idx="3">
                  <c:v>8</c:v>
                </c:pt>
                <c:pt idx="4">
                  <c:v>8</c:v>
                </c:pt>
                <c:pt idx="5">
                  <c:v>8</c:v>
                </c:pt>
                <c:pt idx="6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628C-4B21-96B2-40DBF17DFC0E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6350" cap="flat" cmpd="sng" algn="ctr">
      <a:noFill/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1000" b="1" i="0" baseline="0">
                <a:effectLst/>
              </a:rPr>
              <a:t>ochrona uzupełniająca</a:t>
            </a:r>
            <a:endParaRPr lang="en-US" sz="1000">
              <a:effectLst/>
            </a:endParaRPr>
          </a:p>
        </c:rich>
      </c:tx>
      <c:layout>
        <c:manualLayout>
          <c:xMode val="edge"/>
          <c:yMode val="edge"/>
          <c:x val="0.29735799784099565"/>
          <c:y val="2.46345000805739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0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270"/>
      <c:rAngAx val="0"/>
    </c:view3D>
    <c:floor>
      <c:thickness val="0"/>
      <c:spPr>
        <a:noFill/>
        <a:ln w="6350" cap="flat" cmpd="sng" algn="ctr">
          <a:solidFill>
            <a:schemeClr val="tx1">
              <a:tint val="75000"/>
            </a:schemeClr>
          </a:solidFill>
          <a:prstDash val="solid"/>
          <a:round/>
        </a:ln>
        <a:effectLst/>
        <a:sp3d contourW="6350">
          <a:contourClr>
            <a:schemeClr val="tx1">
              <a:tint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5452319342138685"/>
          <c:y val="0.29479381414655564"/>
          <c:w val="0.74266818645541655"/>
          <c:h val="0.57975513731515271"/>
        </c:manualLayout>
      </c:layout>
      <c:pie3DChart>
        <c:varyColors val="1"/>
        <c:ser>
          <c:idx val="0"/>
          <c:order val="0"/>
          <c:explosion val="27"/>
          <c:dPt>
            <c:idx val="0"/>
            <c:bubble3D val="0"/>
            <c:spPr>
              <a:solidFill>
                <a:schemeClr val="accent5">
                  <a:tint val="54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CAD7-46F2-A178-C987A9AA1857}"/>
              </c:ext>
            </c:extLst>
          </c:dPt>
          <c:dPt>
            <c:idx val="1"/>
            <c:bubble3D val="0"/>
            <c:spPr>
              <a:solidFill>
                <a:schemeClr val="accent5">
                  <a:tint val="77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CAD7-46F2-A178-C987A9AA1857}"/>
              </c:ext>
            </c:extLst>
          </c:dPt>
          <c:dPt>
            <c:idx val="2"/>
            <c:bubble3D val="0"/>
            <c:spPr>
              <a:solidFill>
                <a:schemeClr val="accent5">
                  <a:tint val="83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CAD7-46F2-A178-C987A9AA1857}"/>
              </c:ext>
            </c:extLst>
          </c:dPt>
          <c:dPt>
            <c:idx val="3"/>
            <c:bubble3D val="0"/>
            <c:spPr>
              <a:solidFill>
                <a:schemeClr val="accent5">
                  <a:tint val="83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7-CAD7-46F2-A178-C987A9AA1857}"/>
              </c:ext>
            </c:extLst>
          </c:dPt>
          <c:dPt>
            <c:idx val="4"/>
            <c:bubble3D val="0"/>
            <c:spPr>
              <a:solidFill>
                <a:schemeClr val="accent5">
                  <a:shade val="76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9-CAD7-46F2-A178-C987A9AA1857}"/>
              </c:ext>
            </c:extLst>
          </c:dPt>
          <c:dPt>
            <c:idx val="5"/>
            <c:bubble3D val="0"/>
            <c:spPr>
              <a:solidFill>
                <a:schemeClr val="accent5">
                  <a:shade val="47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B-CAD7-46F2-A178-C987A9AA1857}"/>
              </c:ext>
            </c:extLst>
          </c:dPt>
          <c:dLbls>
            <c:dLbl>
              <c:idx val="0"/>
              <c:layout>
                <c:manualLayout>
                  <c:x val="0.14350711201422403"/>
                  <c:y val="5.498474652559749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D7-46F2-A178-C987A9AA1857}"/>
                </c:ext>
              </c:extLst>
            </c:dLbl>
            <c:dLbl>
              <c:idx val="4"/>
              <c:layout>
                <c:manualLayout>
                  <c:x val="-1.8644629476758955E-2"/>
                  <c:y val="-7.8257547552498086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2525201612903226"/>
                      <c:h val="0.2279463655610444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CAD7-46F2-A178-C987A9AA1857}"/>
                </c:ext>
              </c:extLst>
            </c:dLbl>
            <c:dLbl>
              <c:idx val="5"/>
              <c:layout>
                <c:manualLayout>
                  <c:x val="6.4811603060706116E-2"/>
                  <c:y val="-0.22551803466345111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AD7-46F2-A178-C987A9AA185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DECYZJE!$A$76:$A$81</c:f>
              <c:strCache>
                <c:ptCount val="6"/>
                <c:pt idx="0">
                  <c:v>BIAŁORUŚ</c:v>
                </c:pt>
                <c:pt idx="1">
                  <c:v>UKRAINA</c:v>
                </c:pt>
                <c:pt idx="2">
                  <c:v>SUDAN</c:v>
                </c:pt>
                <c:pt idx="3">
                  <c:v>ROSJA</c:v>
                </c:pt>
                <c:pt idx="4">
                  <c:v>TADŻYKISTAN</c:v>
                </c:pt>
                <c:pt idx="5">
                  <c:v>POZOSTAŁE</c:v>
                </c:pt>
              </c:strCache>
            </c:strRef>
          </c:cat>
          <c:val>
            <c:numRef>
              <c:f>DECYZJE!$B$76:$B$81</c:f>
              <c:numCache>
                <c:formatCode>#,##0</c:formatCode>
                <c:ptCount val="6"/>
                <c:pt idx="0">
                  <c:v>380</c:v>
                </c:pt>
                <c:pt idx="1">
                  <c:v>219</c:v>
                </c:pt>
                <c:pt idx="2">
                  <c:v>16</c:v>
                </c:pt>
                <c:pt idx="3">
                  <c:v>15</c:v>
                </c:pt>
                <c:pt idx="4">
                  <c:v>14</c:v>
                </c:pt>
                <c:pt idx="5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CAD7-46F2-A178-C987A9AA1857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6350" cap="flat" cmpd="sng" algn="ctr">
      <a:noFill/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000"/>
              <a:t>negatywne</a:t>
            </a:r>
          </a:p>
        </c:rich>
      </c:tx>
      <c:layout>
        <c:manualLayout>
          <c:xMode val="edge"/>
          <c:yMode val="edge"/>
          <c:x val="0.45227193608358907"/>
          <c:y val="8.7167507472327502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rAngAx val="1"/>
    </c:view3D>
    <c:floor>
      <c:thickness val="0"/>
      <c:spPr>
        <a:noFill/>
        <a:ln w="6350" cap="flat" cmpd="sng" algn="ctr">
          <a:solidFill>
            <a:schemeClr val="tx1">
              <a:tint val="75000"/>
            </a:schemeClr>
          </a:solidFill>
          <a:prstDash val="solid"/>
          <a:round/>
        </a:ln>
        <a:effectLst/>
        <a:sp3d contourW="6350">
          <a:contourClr>
            <a:schemeClr val="tx1">
              <a:tint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8223583947167896"/>
          <c:y val="0.34427175078767941"/>
          <c:w val="0.79372777495555003"/>
          <c:h val="0.6260460679698191"/>
        </c:manualLayout>
      </c:layout>
      <c:pie3DChart>
        <c:varyColors val="1"/>
        <c:ser>
          <c:idx val="0"/>
          <c:order val="0"/>
          <c:explosion val="27"/>
          <c:dPt>
            <c:idx val="0"/>
            <c:bubble3D val="0"/>
            <c:spPr>
              <a:solidFill>
                <a:schemeClr val="accent5">
                  <a:tint val="5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3A99-4C3F-B83E-CB13BBBE2A46}"/>
              </c:ext>
            </c:extLst>
          </c:dPt>
          <c:dPt>
            <c:idx val="1"/>
            <c:bubble3D val="0"/>
            <c:spPr>
              <a:solidFill>
                <a:schemeClr val="accent5">
                  <a:tint val="62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3A99-4C3F-B83E-CB13BBBE2A46}"/>
              </c:ext>
            </c:extLst>
          </c:dPt>
          <c:dPt>
            <c:idx val="2"/>
            <c:bubble3D val="0"/>
            <c:spPr>
              <a:solidFill>
                <a:schemeClr val="accent5">
                  <a:tint val="77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3A99-4C3F-B83E-CB13BBBE2A46}"/>
              </c:ext>
            </c:extLst>
          </c:dPt>
          <c:dPt>
            <c:idx val="3"/>
            <c:bubble3D val="0"/>
            <c:spPr>
              <a:solidFill>
                <a:schemeClr val="accent5">
                  <a:tint val="7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7-3A99-4C3F-B83E-CB13BBBE2A46}"/>
              </c:ext>
            </c:extLst>
          </c:dPt>
          <c:dPt>
            <c:idx val="4"/>
            <c:bubble3D val="0"/>
            <c:spPr>
              <a:solidFill>
                <a:schemeClr val="accent5">
                  <a:tint val="9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9-3A99-4C3F-B83E-CB13BBBE2A46}"/>
              </c:ext>
            </c:extLst>
          </c:dPt>
          <c:dPt>
            <c:idx val="5"/>
            <c:bubble3D val="0"/>
            <c:spPr>
              <a:solidFill>
                <a:schemeClr val="accent5">
                  <a:shade val="5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B-3A99-4C3F-B83E-CB13BBBE2A4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2047B7CD-1A57-4C42-924B-D15A5A76F4A4}" type="CATEGORYNAME">
                      <a:rPr lang="en-US"/>
                      <a:pPr/>
                      <a:t>[NAZWA KATEGORII]</a:t>
                    </a:fld>
                    <a:endParaRPr lang="en-US" baseline="0"/>
                  </a:p>
                  <a:p>
                    <a:fld id="{5D9B1972-94F0-4D63-BDA1-7EB0B10873FE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  <a:p>
                    <a:fld id="{E9EAD1CA-0B9E-42CC-B30C-75780537A619}" type="PERCENTAGE">
                      <a:rPr lang="en-US" baseline="0"/>
                      <a:pPr/>
                      <a:t>[PROCENTOWE]</a:t>
                    </a:fld>
                    <a:endParaRPr lang="en-GB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3A99-4C3F-B83E-CB13BBBE2A46}"/>
                </c:ext>
              </c:extLst>
            </c:dLbl>
            <c:dLbl>
              <c:idx val="1"/>
              <c:layout>
                <c:manualLayout>
                  <c:x val="-3.6095853441706883E-3"/>
                  <c:y val="0.18613295250584855"/>
                </c:manualLayout>
              </c:layout>
              <c:tx>
                <c:rich>
                  <a:bodyPr/>
                  <a:lstStyle/>
                  <a:p>
                    <a:fld id="{CF2BE877-0A7C-4683-95CA-8E0E4CE83AE4}" type="CATEGORYNAME">
                      <a:rPr lang="en-US"/>
                      <a:pPr/>
                      <a:t>[NAZWA KATEGORII]</a:t>
                    </a:fld>
                    <a:endParaRPr lang="en-US" baseline="0"/>
                  </a:p>
                  <a:p>
                    <a:fld id="{D4E00F23-3B65-4B65-8AD2-7AFA2D6E15E0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  <a:p>
                    <a:fld id="{0EFD5CA2-9633-4F21-A1C4-E9B9F85A967E}" type="PERCENTAGE">
                      <a:rPr lang="en-US" baseline="0"/>
                      <a:pPr/>
                      <a:t>[PROCENTOWE]</a:t>
                    </a:fld>
                    <a:endParaRPr lang="en-GB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3A99-4C3F-B83E-CB13BBBE2A46}"/>
                </c:ext>
              </c:extLst>
            </c:dLbl>
            <c:dLbl>
              <c:idx val="2"/>
              <c:layout>
                <c:manualLayout>
                  <c:x val="-0.11432602552705105"/>
                  <c:y val="2.3493684672619874E-2"/>
                </c:manualLayout>
              </c:layout>
              <c:tx>
                <c:rich>
                  <a:bodyPr/>
                  <a:lstStyle/>
                  <a:p>
                    <a:fld id="{B5E407BA-6FB2-4FDC-B215-4F0219D5B67D}" type="CATEGORYNAME">
                      <a:rPr lang="en-US"/>
                      <a:pPr/>
                      <a:t>[NAZWA KATEGORII]</a:t>
                    </a:fld>
                    <a:endParaRPr lang="en-US" baseline="0"/>
                  </a:p>
                  <a:p>
                    <a:fld id="{AA1B7BD2-5F90-4583-8311-26753354319C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  <a:p>
                    <a:fld id="{E9219B0E-6E03-4875-B706-37018DA2DEF6}" type="PERCENTAGE">
                      <a:rPr lang="en-US" baseline="0"/>
                      <a:pPr/>
                      <a:t>[PROCENTOWE]</a:t>
                    </a:fld>
                    <a:endParaRPr lang="en-GB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3A99-4C3F-B83E-CB13BBBE2A46}"/>
                </c:ext>
              </c:extLst>
            </c:dLbl>
            <c:dLbl>
              <c:idx val="3"/>
              <c:layout>
                <c:manualLayout>
                  <c:x val="-0.13534218630937261"/>
                  <c:y val="-0.12812585088825787"/>
                </c:manualLayout>
              </c:layout>
              <c:tx>
                <c:rich>
                  <a:bodyPr/>
                  <a:lstStyle/>
                  <a:p>
                    <a:fld id="{365A6BC1-A612-4392-814D-F665BEA7495A}" type="CATEGORYNAME">
                      <a:rPr lang="en-US"/>
                      <a:pPr/>
                      <a:t>[NAZWA KATEGORII]</a:t>
                    </a:fld>
                    <a:endParaRPr lang="en-US" baseline="0"/>
                  </a:p>
                  <a:p>
                    <a:fld id="{0D5F4AAE-D4A6-4568-8CE9-8531AB23731D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  <a:p>
                    <a:fld id="{CD09775D-2795-4F3C-860E-881D11CFBDFE}" type="PERCENTAGE">
                      <a:rPr lang="en-US" baseline="0"/>
                      <a:pPr/>
                      <a:t>[PROCENTOWE]</a:t>
                    </a:fld>
                    <a:endParaRPr lang="en-GB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3A99-4C3F-B83E-CB13BBBE2A46}"/>
                </c:ext>
              </c:extLst>
            </c:dLbl>
            <c:dLbl>
              <c:idx val="4"/>
              <c:layout>
                <c:manualLayout>
                  <c:x val="9.0725806451612906E-2"/>
                  <c:y val="-9.8935313043526582E-2"/>
                </c:manualLayout>
              </c:layout>
              <c:tx>
                <c:rich>
                  <a:bodyPr/>
                  <a:lstStyle/>
                  <a:p>
                    <a:fld id="{5A6D2B23-4C4C-474E-8892-DF47933FD473}" type="CATEGORYNAME">
                      <a:rPr lang="en-US"/>
                      <a:pPr/>
                      <a:t>[NAZWA KATEGORII]</a:t>
                    </a:fld>
                    <a:endParaRPr lang="en-US" baseline="0"/>
                  </a:p>
                  <a:p>
                    <a:fld id="{9CD08D36-BF58-45CF-8349-987625106CFF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  <a:p>
                    <a:fld id="{51FE153F-7B8C-42AF-8E8A-ABD98AF7CF3F}" type="PERCENTAGE">
                      <a:rPr lang="en-US" baseline="0"/>
                      <a:pPr/>
                      <a:t>[PROCENTOWE]</a:t>
                    </a:fld>
                    <a:endParaRPr lang="en-GB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689516129032259"/>
                      <c:h val="0.23288637967537051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3A99-4C3F-B83E-CB13BBBE2A46}"/>
                </c:ext>
              </c:extLst>
            </c:dLbl>
            <c:dLbl>
              <c:idx val="5"/>
              <c:layout>
                <c:manualLayout>
                  <c:x val="0.22396157448564896"/>
                  <c:y val="7.8406748203757527E-4"/>
                </c:manualLayout>
              </c:layout>
              <c:tx>
                <c:rich>
                  <a:bodyPr/>
                  <a:lstStyle/>
                  <a:p>
                    <a:fld id="{241E4504-B796-4812-8E59-DF05F23D84AC}" type="CATEGORYNAME">
                      <a:rPr lang="en-US"/>
                      <a:pPr/>
                      <a:t>[NAZWA KATEGORII]</a:t>
                    </a:fld>
                    <a:endParaRPr lang="en-US" baseline="0"/>
                  </a:p>
                  <a:p>
                    <a:fld id="{CF80A29C-A5D4-4E6D-9948-0656CF4BB32F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  <a:p>
                    <a:fld id="{5B87F117-4CDA-47F5-9304-147EAE2B1BAE}" type="PERCENTAGE">
                      <a:rPr lang="en-US" baseline="0"/>
                      <a:pPr/>
                      <a:t>[PROCENTOWE]</a:t>
                    </a:fld>
                    <a:endParaRPr lang="en-GB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3A99-4C3F-B83E-CB13BBBE2A4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6350" cap="flat" cmpd="sng" algn="ctr">
                  <a:solidFill>
                    <a:schemeClr val="tx1"/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DECYZJE!$A$96:$A$101</c:f>
              <c:strCache>
                <c:ptCount val="6"/>
                <c:pt idx="0">
                  <c:v>UKRAINA</c:v>
                </c:pt>
                <c:pt idx="1">
                  <c:v>BIAŁORUŚ</c:v>
                </c:pt>
                <c:pt idx="2">
                  <c:v>ROSJA</c:v>
                </c:pt>
                <c:pt idx="3">
                  <c:v>AFGANISTAN</c:v>
                </c:pt>
                <c:pt idx="4">
                  <c:v>TADŻYKISTAN</c:v>
                </c:pt>
                <c:pt idx="5">
                  <c:v>POZOSTAŁE</c:v>
                </c:pt>
              </c:strCache>
            </c:strRef>
          </c:cat>
          <c:val>
            <c:numRef>
              <c:f>DECYZJE!$B$96:$B$101</c:f>
              <c:numCache>
                <c:formatCode>#,##0</c:formatCode>
                <c:ptCount val="6"/>
                <c:pt idx="0">
                  <c:v>3304</c:v>
                </c:pt>
                <c:pt idx="1">
                  <c:v>266</c:v>
                </c:pt>
                <c:pt idx="2">
                  <c:v>244</c:v>
                </c:pt>
                <c:pt idx="3">
                  <c:v>52</c:v>
                </c:pt>
                <c:pt idx="4">
                  <c:v>36</c:v>
                </c:pt>
                <c:pt idx="5">
                  <c:v>428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3A99-4C3F-B83E-CB13BBBE2A46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6350" cap="flat" cmpd="sng" algn="ctr">
      <a:noFill/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pl-PL" sz="1000"/>
              <a:t>umorzenia</a:t>
            </a:r>
            <a:endParaRPr lang="en-US" sz="1000"/>
          </a:p>
        </c:rich>
      </c:tx>
      <c:layout>
        <c:manualLayout>
          <c:xMode val="edge"/>
          <c:yMode val="edge"/>
          <c:x val="0.42156384937769875"/>
          <c:y val="3.1584972132541289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rAngAx val="1"/>
    </c:view3D>
    <c:floor>
      <c:thickness val="0"/>
      <c:spPr>
        <a:noFill/>
        <a:ln w="6350" cap="flat" cmpd="sng" algn="ctr">
          <a:solidFill>
            <a:schemeClr val="tx1">
              <a:tint val="75000"/>
            </a:schemeClr>
          </a:solidFill>
          <a:prstDash val="solid"/>
          <a:round/>
        </a:ln>
        <a:effectLst/>
        <a:sp3d contourW="6350">
          <a:contourClr>
            <a:schemeClr val="tx1">
              <a:tint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7500635001270001"/>
          <c:y val="0.23875049316788824"/>
          <c:w val="0.70811491935483883"/>
          <c:h val="0.54921454331264352"/>
        </c:manualLayout>
      </c:layout>
      <c:pie3DChart>
        <c:varyColors val="1"/>
        <c:ser>
          <c:idx val="0"/>
          <c:order val="0"/>
          <c:explosion val="27"/>
          <c:dPt>
            <c:idx val="0"/>
            <c:bubble3D val="0"/>
            <c:spPr>
              <a:solidFill>
                <a:schemeClr val="accent5">
                  <a:tint val="5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DADC-43F7-9CB2-84843DF1739E}"/>
              </c:ext>
            </c:extLst>
          </c:dPt>
          <c:dPt>
            <c:idx val="1"/>
            <c:bubble3D val="0"/>
            <c:spPr>
              <a:solidFill>
                <a:schemeClr val="accent5">
                  <a:tint val="9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DADC-43F7-9CB2-84843DF1739E}"/>
              </c:ext>
            </c:extLst>
          </c:dPt>
          <c:dPt>
            <c:idx val="2"/>
            <c:bubble3D val="0"/>
            <c:spPr>
              <a:solidFill>
                <a:schemeClr val="accent5">
                  <a:shade val="9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DADC-43F7-9CB2-84843DF1739E}"/>
              </c:ext>
            </c:extLst>
          </c:dPt>
          <c:dPt>
            <c:idx val="3"/>
            <c:bubble3D val="0"/>
            <c:spPr>
              <a:solidFill>
                <a:schemeClr val="accent5">
                  <a:tint val="7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7-DADC-43F7-9CB2-84843DF1739E}"/>
              </c:ext>
            </c:extLst>
          </c:dPt>
          <c:dPt>
            <c:idx val="4"/>
            <c:bubble3D val="0"/>
            <c:spPr>
              <a:solidFill>
                <a:schemeClr val="accent5">
                  <a:shade val="7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9-DADC-43F7-9CB2-84843DF1739E}"/>
              </c:ext>
            </c:extLst>
          </c:dPt>
          <c:dPt>
            <c:idx val="5"/>
            <c:bubble3D val="0"/>
            <c:spPr>
              <a:solidFill>
                <a:schemeClr val="accent5">
                  <a:shade val="5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B-DADC-43F7-9CB2-84843DF1739E}"/>
              </c:ext>
            </c:extLst>
          </c:dPt>
          <c:dLbls>
            <c:dLbl>
              <c:idx val="2"/>
              <c:layout>
                <c:manualLayout>
                  <c:x val="-5.0403225806451612E-3"/>
                  <c:y val="4.957490317238926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6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4445564516129031"/>
                      <c:h val="0.1937191249117854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DADC-43F7-9CB2-84843DF1739E}"/>
                </c:ext>
              </c:extLst>
            </c:dLbl>
            <c:dLbl>
              <c:idx val="3"/>
              <c:layout>
                <c:manualLayout>
                  <c:x val="4.0322504723159298E-2"/>
                  <c:y val="4.430116064731916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6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1487807975615947"/>
                      <c:h val="0.1889841575025422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DADC-43F7-9CB2-84843DF1739E}"/>
                </c:ext>
              </c:extLst>
            </c:dLbl>
            <c:dLbl>
              <c:idx val="4"/>
              <c:layout>
                <c:manualLayout>
                  <c:x val="-7.3620459740919478E-2"/>
                  <c:y val="-0.10218827621847199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ADC-43F7-9CB2-84843DF1739E}"/>
                </c:ext>
              </c:extLst>
            </c:dLbl>
            <c:dLbl>
              <c:idx val="5"/>
              <c:layout>
                <c:manualLayout>
                  <c:x val="0.24661048228346458"/>
                  <c:y val="-0.15787318222484009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ADC-43F7-9CB2-84843DF173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DECYZJE!$A$106:$A$111</c:f>
              <c:strCache>
                <c:ptCount val="6"/>
                <c:pt idx="0">
                  <c:v>UKRAINA</c:v>
                </c:pt>
                <c:pt idx="1">
                  <c:v>BIAŁORUŚ</c:v>
                </c:pt>
                <c:pt idx="2">
                  <c:v>TADŻYKISTAN</c:v>
                </c:pt>
                <c:pt idx="3">
                  <c:v>ROSJA</c:v>
                </c:pt>
                <c:pt idx="4">
                  <c:v>SOMALIA</c:v>
                </c:pt>
                <c:pt idx="5">
                  <c:v>POZOSTAŁE</c:v>
                </c:pt>
              </c:strCache>
            </c:strRef>
          </c:cat>
          <c:val>
            <c:numRef>
              <c:f>DECYZJE!$B$106:$B$111</c:f>
              <c:numCache>
                <c:formatCode>#,##0</c:formatCode>
                <c:ptCount val="6"/>
                <c:pt idx="0">
                  <c:v>374</c:v>
                </c:pt>
                <c:pt idx="1">
                  <c:v>150</c:v>
                </c:pt>
                <c:pt idx="2">
                  <c:v>85</c:v>
                </c:pt>
                <c:pt idx="3">
                  <c:v>76</c:v>
                </c:pt>
                <c:pt idx="4">
                  <c:v>65</c:v>
                </c:pt>
                <c:pt idx="5">
                  <c:v>478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ADC-43F7-9CB2-84843DF1739E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6350" cap="flat" cmpd="sng" algn="ctr">
      <a:noFill/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3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4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5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6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7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8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9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10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11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12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5A071-1B5B-4E97-A739-C0FD90516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Kozłowska</dc:creator>
  <cp:keywords/>
  <dc:description/>
  <cp:lastModifiedBy>Maria Kozłowska</cp:lastModifiedBy>
  <cp:revision>2</cp:revision>
  <dcterms:created xsi:type="dcterms:W3CDTF">2026-10-13T14:07:00Z</dcterms:created>
  <dcterms:modified xsi:type="dcterms:W3CDTF">2026-10-13T14:07:00Z</dcterms:modified>
</cp:coreProperties>
</file>