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C054" w14:textId="39071C33" w:rsidR="00ED4E38" w:rsidRPr="00ED4E38" w:rsidRDefault="00ED4E38" w:rsidP="00E930F2">
      <w:pPr>
        <w:spacing w:line="360" w:lineRule="auto"/>
        <w:rPr>
          <w:rFonts w:ascii="Verdana" w:hAnsi="Verdana" w:cstheme="minorHAnsi"/>
        </w:rPr>
      </w:pPr>
    </w:p>
    <w:p w14:paraId="207A858F" w14:textId="57DD853F" w:rsidR="00ED4E38" w:rsidRPr="00ED4E38" w:rsidRDefault="00295BA7" w:rsidP="00E930F2">
      <w:pPr>
        <w:spacing w:line="360" w:lineRule="auto"/>
        <w:jc w:val="center"/>
        <w:rPr>
          <w:rFonts w:ascii="Verdana" w:hAnsi="Verdana" w:cstheme="minorHAnsi"/>
          <w:b/>
          <w:bCs/>
        </w:rPr>
      </w:pPr>
      <w:r>
        <w:rPr>
          <w:rFonts w:ascii="Verdana" w:eastAsia="Verdana" w:hAnsi="Verdana" w:cs="Verdana"/>
          <w:b/>
          <w:bCs/>
        </w:rPr>
        <w:t>Uchwała nr 204</w:t>
      </w:r>
      <w:r w:rsidR="00ED4E38" w:rsidRPr="00ED4E38">
        <w:rPr>
          <w:rFonts w:ascii="Verdana" w:eastAsia="Verdana" w:hAnsi="Verdana" w:cs="Verdana"/>
          <w:b/>
          <w:bCs/>
        </w:rPr>
        <w:br/>
        <w:t>Rady Działalności Pożytku Publicznego</w:t>
      </w:r>
      <w:r w:rsidR="00ED4E38" w:rsidRPr="00ED4E38">
        <w:rPr>
          <w:rFonts w:ascii="Verdana" w:eastAsia="Verdana" w:hAnsi="Verdana" w:cs="Verdana"/>
          <w:b/>
          <w:bCs/>
        </w:rPr>
        <w:br/>
        <w:t xml:space="preserve">z dnia </w:t>
      </w:r>
      <w:r>
        <w:rPr>
          <w:rFonts w:ascii="Verdana" w:eastAsia="Verdana" w:hAnsi="Verdana" w:cs="Verdana"/>
          <w:b/>
          <w:bCs/>
        </w:rPr>
        <w:t>17 września</w:t>
      </w:r>
      <w:r w:rsidR="00ED4E38" w:rsidRPr="00ED4E38">
        <w:rPr>
          <w:rFonts w:ascii="Verdana" w:eastAsia="Verdana" w:hAnsi="Verdana" w:cs="Verdana"/>
          <w:b/>
          <w:bCs/>
        </w:rPr>
        <w:t xml:space="preserve"> 2021 r. </w:t>
      </w:r>
      <w:r w:rsidR="00ED4E38" w:rsidRPr="00ED4E38">
        <w:rPr>
          <w:rFonts w:ascii="Verdana" w:eastAsia="Verdana" w:hAnsi="Verdana" w:cs="Verdana"/>
          <w:b/>
          <w:bCs/>
        </w:rPr>
        <w:br/>
      </w:r>
      <w:bookmarkStart w:id="0" w:name="_GoBack"/>
      <w:r w:rsidR="00ED4E38" w:rsidRPr="00ED4E38">
        <w:rPr>
          <w:rFonts w:ascii="Verdana" w:eastAsia="Verdana" w:hAnsi="Verdana" w:cs="Verdana"/>
          <w:b/>
          <w:bCs/>
        </w:rPr>
        <w:t xml:space="preserve">w sprawie projektu Programu </w:t>
      </w:r>
      <w:r w:rsidR="00ED4E38" w:rsidRPr="00ED4E38">
        <w:rPr>
          <w:rFonts w:ascii="Verdana" w:hAnsi="Verdana" w:cstheme="minorHAnsi"/>
          <w:b/>
          <w:bCs/>
        </w:rPr>
        <w:t>Fundusze Europejskie Na Rozwój Cyfrowy 2021-2027</w:t>
      </w:r>
      <w:bookmarkEnd w:id="0"/>
    </w:p>
    <w:p w14:paraId="38E8FED6" w14:textId="77777777" w:rsidR="00ED4E38" w:rsidRPr="00ED4E38" w:rsidRDefault="00ED4E38" w:rsidP="00E930F2">
      <w:pPr>
        <w:spacing w:before="120" w:line="360" w:lineRule="auto"/>
        <w:rPr>
          <w:rFonts w:ascii="Verdana" w:eastAsia="Verdana" w:hAnsi="Verdana" w:cs="Verdana"/>
        </w:rPr>
      </w:pPr>
    </w:p>
    <w:p w14:paraId="60D1A784" w14:textId="0BF4293E" w:rsidR="00ED4E38" w:rsidRPr="00B55D61" w:rsidRDefault="00ED4E38" w:rsidP="00E930F2">
      <w:pPr>
        <w:spacing w:before="120" w:line="360" w:lineRule="auto"/>
        <w:rPr>
          <w:rFonts w:ascii="Verdana" w:eastAsia="Verdana" w:hAnsi="Verdana" w:cs="Verdana"/>
        </w:rPr>
      </w:pPr>
      <w:r w:rsidRPr="00ED4E38">
        <w:rPr>
          <w:rFonts w:ascii="Verdana" w:eastAsia="Verdana" w:hAnsi="Verdana" w:cs="Verdana"/>
        </w:rPr>
        <w:t>Na podstawie § 10 rozporządzenia Przewodniczącego Komitetu do spraw Pożytku Publicznego z dnia 24 października 2018 r. w sprawie Rady Działalności Pożytku Publicznego (Dz. U. poz. 2052) oraz art. 35 ust. 2 ustawy z dnia 24 kwietnia 2003 r. o działalności p</w:t>
      </w:r>
      <w:r w:rsidR="00E930F2">
        <w:rPr>
          <w:rFonts w:ascii="Verdana" w:eastAsia="Verdana" w:hAnsi="Verdana" w:cs="Verdana"/>
        </w:rPr>
        <w:t>ożytku publicznego i o </w:t>
      </w:r>
      <w:r w:rsidRPr="00ED4E38">
        <w:rPr>
          <w:rFonts w:ascii="Verdana" w:eastAsia="Verdana" w:hAnsi="Verdana" w:cs="Verdana"/>
        </w:rPr>
        <w:t xml:space="preserve">wolontariacie (Dz. U. z 2020 r. poz. 1057), uchwala się </w:t>
      </w:r>
      <w:r w:rsidR="00B55D61">
        <w:rPr>
          <w:rFonts w:ascii="Verdana" w:eastAsia="Verdana" w:hAnsi="Verdana" w:cs="Verdana"/>
        </w:rPr>
        <w:t>opinię</w:t>
      </w:r>
      <w:r w:rsidRPr="00ED4E38">
        <w:rPr>
          <w:rFonts w:ascii="Verdana" w:eastAsia="Verdana" w:hAnsi="Verdana" w:cs="Verdana"/>
        </w:rPr>
        <w:t xml:space="preserve"> Rady Działalności Pożytku Publicznego w sprawie projektu Programu </w:t>
      </w:r>
      <w:r w:rsidR="00B55D61" w:rsidRPr="00B55D61">
        <w:rPr>
          <w:rFonts w:ascii="Verdana" w:eastAsia="Verdana" w:hAnsi="Verdana" w:cs="Verdana"/>
        </w:rPr>
        <w:t>Fundusze Europejskie Na Rozwój Cyfrowy 2021-2027</w:t>
      </w:r>
      <w:r w:rsidRPr="00ED4E38">
        <w:rPr>
          <w:rFonts w:ascii="Verdana" w:eastAsia="Verdana" w:hAnsi="Verdana" w:cs="Verdana"/>
        </w:rPr>
        <w:t>.</w:t>
      </w:r>
    </w:p>
    <w:p w14:paraId="291C6432" w14:textId="041D3E99" w:rsidR="000A04CF" w:rsidRPr="00B55D61" w:rsidRDefault="000A04CF" w:rsidP="00E930F2">
      <w:pPr>
        <w:spacing w:before="360" w:line="360" w:lineRule="auto"/>
        <w:jc w:val="center"/>
        <w:rPr>
          <w:rFonts w:ascii="Verdana" w:eastAsia="Times New Roman" w:hAnsi="Verdana" w:cstheme="minorHAnsi"/>
          <w:lang w:eastAsia="pl-PL"/>
        </w:rPr>
      </w:pPr>
      <w:r w:rsidRPr="000A04CF">
        <w:rPr>
          <w:rFonts w:ascii="Verdana" w:eastAsia="Times New Roman" w:hAnsi="Verdana" w:cstheme="minorHAnsi"/>
          <w:color w:val="000000"/>
          <w:lang w:eastAsia="pl-PL"/>
        </w:rPr>
        <w:t xml:space="preserve">§ </w:t>
      </w:r>
      <w:r w:rsidR="00ED4E38" w:rsidRPr="00ED4E38">
        <w:rPr>
          <w:rFonts w:ascii="Verdana" w:eastAsia="Times New Roman" w:hAnsi="Verdana" w:cstheme="minorHAnsi"/>
          <w:color w:val="000000"/>
          <w:lang w:eastAsia="pl-PL"/>
        </w:rPr>
        <w:t>1</w:t>
      </w:r>
    </w:p>
    <w:p w14:paraId="2F1C97FB" w14:textId="793839F2" w:rsidR="009E7CF6" w:rsidRPr="00E930F2" w:rsidRDefault="009E7CF6" w:rsidP="00E930F2">
      <w:pPr>
        <w:pStyle w:val="Akapitzlist"/>
        <w:numPr>
          <w:ilvl w:val="0"/>
          <w:numId w:val="6"/>
        </w:numPr>
        <w:spacing w:before="120" w:line="360" w:lineRule="auto"/>
        <w:ind w:left="567" w:hanging="567"/>
        <w:contextualSpacing w:val="0"/>
        <w:textAlignment w:val="baseline"/>
        <w:rPr>
          <w:rFonts w:ascii="Verdana" w:hAnsi="Verdana" w:cstheme="minorHAnsi"/>
        </w:rPr>
      </w:pPr>
      <w:r w:rsidRPr="00E930F2">
        <w:rPr>
          <w:rFonts w:ascii="Verdana" w:hAnsi="Verdana" w:cstheme="minorHAnsi"/>
        </w:rPr>
        <w:t>Rada pozytywnie opiniuje program Fundusze Europejskie na Rozwój Cyfrowy 2021-2027</w:t>
      </w:r>
      <w:r w:rsidR="000A04CF" w:rsidRPr="00E930F2">
        <w:rPr>
          <w:rFonts w:ascii="Verdana" w:hAnsi="Verdana" w:cstheme="minorHAnsi"/>
        </w:rPr>
        <w:t xml:space="preserve">. Jednocześnie wnosi uwagi do opiniowanego </w:t>
      </w:r>
      <w:r w:rsidR="000A04CF" w:rsidRPr="00E930F2">
        <w:rPr>
          <w:rFonts w:ascii="Verdana" w:hAnsi="Verdana"/>
          <w:color w:val="000000"/>
        </w:rPr>
        <w:t>programu</w:t>
      </w:r>
      <w:r w:rsidR="000A04CF" w:rsidRPr="00E930F2">
        <w:rPr>
          <w:rFonts w:ascii="Verdana" w:hAnsi="Verdana" w:cstheme="minorHAnsi"/>
        </w:rPr>
        <w:t>.</w:t>
      </w:r>
    </w:p>
    <w:p w14:paraId="085ED9CB" w14:textId="514FF956" w:rsidR="000A04CF" w:rsidRPr="00B55D61" w:rsidRDefault="000A04CF" w:rsidP="00E930F2">
      <w:pPr>
        <w:spacing w:before="360" w:line="360" w:lineRule="auto"/>
        <w:jc w:val="center"/>
        <w:rPr>
          <w:rFonts w:ascii="Verdana" w:eastAsia="Times New Roman" w:hAnsi="Verdana" w:cstheme="minorHAnsi"/>
          <w:lang w:eastAsia="pl-PL"/>
        </w:rPr>
      </w:pPr>
      <w:r w:rsidRPr="000A04CF">
        <w:rPr>
          <w:rFonts w:ascii="Verdana" w:eastAsia="Times New Roman" w:hAnsi="Verdana" w:cstheme="minorHAnsi"/>
          <w:color w:val="000000"/>
          <w:lang w:eastAsia="pl-PL"/>
        </w:rPr>
        <w:t xml:space="preserve">§ </w:t>
      </w:r>
      <w:r w:rsidR="00ED4E38" w:rsidRPr="00ED4E38">
        <w:rPr>
          <w:rFonts w:ascii="Verdana" w:eastAsia="Times New Roman" w:hAnsi="Verdana" w:cstheme="minorHAnsi"/>
          <w:color w:val="000000"/>
          <w:lang w:eastAsia="pl-PL"/>
        </w:rPr>
        <w:t>2</w:t>
      </w:r>
    </w:p>
    <w:p w14:paraId="718CA07B" w14:textId="77777777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 xml:space="preserve">Rada zauważa, że zasady horyzontalne, w tym zasada dostępności dla osób ze </w:t>
      </w:r>
      <w:r>
        <w:rPr>
          <w:rFonts w:ascii="Verdana" w:hAnsi="Verdana"/>
          <w:color w:val="000000"/>
        </w:rPr>
        <w:t>szczególnymi potrzebami (osób z </w:t>
      </w:r>
      <w:r w:rsidRPr="00BE7363">
        <w:rPr>
          <w:rFonts w:ascii="Verdana" w:hAnsi="Verdana"/>
          <w:color w:val="000000"/>
        </w:rPr>
        <w:t>niepełnosprawnościami), są</w:t>
      </w:r>
      <w:r>
        <w:rPr>
          <w:rFonts w:ascii="Verdana" w:hAnsi="Verdana"/>
          <w:color w:val="000000"/>
        </w:rPr>
        <w:t xml:space="preserve"> fundamentalne dla </w:t>
      </w:r>
      <w:r w:rsidRPr="00BE7363">
        <w:rPr>
          <w:rFonts w:ascii="Verdana" w:hAnsi="Verdana"/>
          <w:color w:val="000000"/>
        </w:rPr>
        <w:t>Programu (programowania i wdrażania).</w:t>
      </w:r>
    </w:p>
    <w:p w14:paraId="3AF5951B" w14:textId="2A99F3EC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>Ze względu na</w:t>
      </w:r>
      <w:r w:rsidR="0007097C">
        <w:rPr>
          <w:rFonts w:ascii="Verdana" w:hAnsi="Verdana"/>
          <w:color w:val="000000"/>
        </w:rPr>
        <w:t xml:space="preserve"> normy</w:t>
      </w:r>
      <w:r w:rsidRPr="00BE7363">
        <w:rPr>
          <w:rFonts w:ascii="Verdana" w:hAnsi="Verdana"/>
          <w:color w:val="000000"/>
        </w:rPr>
        <w:t xml:space="preserve"> Konstytuc</w:t>
      </w:r>
      <w:r w:rsidR="0007097C">
        <w:rPr>
          <w:rFonts w:ascii="Verdana" w:hAnsi="Verdana"/>
          <w:color w:val="000000"/>
        </w:rPr>
        <w:t>yjne</w:t>
      </w:r>
      <w:r w:rsidRPr="00BE7363">
        <w:rPr>
          <w:rFonts w:ascii="Verdana" w:hAnsi="Verdana"/>
          <w:color w:val="000000"/>
        </w:rPr>
        <w:t xml:space="preserve"> (między innymi art. 32), unijne i krajowe przepisy antydyskryminacyjne, Konwencję o prawach osób z niepełnosprawnościami, ustawę o zapewnianiu dostępności osobom ze szczególnymi potrzebami, ustawę o dostępności cyfrowej stron internetowych i aplikacji mobilnych podmiotów publicznych itp. zasady horyzontalne muszą być bezwzględn</w:t>
      </w:r>
      <w:r>
        <w:rPr>
          <w:rFonts w:ascii="Verdana" w:hAnsi="Verdana"/>
          <w:color w:val="000000"/>
        </w:rPr>
        <w:t xml:space="preserve">ie uwzględniane </w:t>
      </w:r>
      <w:r>
        <w:rPr>
          <w:rFonts w:ascii="Verdana" w:hAnsi="Verdana"/>
          <w:color w:val="000000"/>
        </w:rPr>
        <w:lastRenderedPageBreak/>
        <w:t>w Programie. Na </w:t>
      </w:r>
      <w:r w:rsidRPr="00BE7363">
        <w:rPr>
          <w:rFonts w:ascii="Verdana" w:hAnsi="Verdana"/>
          <w:color w:val="000000"/>
        </w:rPr>
        <w:t>to wszystko nakł</w:t>
      </w:r>
      <w:r>
        <w:rPr>
          <w:rFonts w:ascii="Verdana" w:hAnsi="Verdana"/>
          <w:color w:val="000000"/>
        </w:rPr>
        <w:t>ada się perspektywa społeczna i </w:t>
      </w:r>
      <w:r w:rsidRPr="00BE7363">
        <w:rPr>
          <w:rFonts w:ascii="Verdana" w:hAnsi="Verdana"/>
          <w:color w:val="000000"/>
        </w:rPr>
        <w:t>demograficzna Polski, w tym starzejące się społeczeństwo.</w:t>
      </w:r>
    </w:p>
    <w:p w14:paraId="7A66018D" w14:textId="77777777" w:rsidR="00E930F2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Rada docenia ujęcie zasad horyzontalnych w Programie, wnosi jednak o wzmocnienie adekwatnych zapisów.</w:t>
      </w:r>
    </w:p>
    <w:p w14:paraId="365668C6" w14:textId="25D51F45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>W rozdziałach „Działania za</w:t>
      </w:r>
      <w:r>
        <w:rPr>
          <w:rFonts w:ascii="Verdana" w:hAnsi="Verdana"/>
          <w:color w:val="000000"/>
        </w:rPr>
        <w:t>pewniające równość, włączenie i </w:t>
      </w:r>
      <w:r w:rsidRPr="00BE7363">
        <w:rPr>
          <w:rFonts w:ascii="Verdana" w:hAnsi="Verdana"/>
          <w:color w:val="000000"/>
        </w:rPr>
        <w:t xml:space="preserve">niedyskryminację” należy </w:t>
      </w:r>
      <w:r>
        <w:rPr>
          <w:rFonts w:ascii="Verdana" w:hAnsi="Verdana"/>
          <w:color w:val="000000"/>
        </w:rPr>
        <w:t>wprost traktować dostępność jako zasadę horyzontalną, w tym uwzględnić dostępność w tytule. Należy także odwołać się do </w:t>
      </w:r>
      <w:r w:rsidRPr="00BE7363">
        <w:rPr>
          <w:rFonts w:ascii="Verdana" w:hAnsi="Verdana"/>
          <w:color w:val="000000"/>
        </w:rPr>
        <w:t>dyrektywy Parlamentu Europejskiego i Rady (UE) 2019/882 z dnia 17 kwietnia 2019 r. w sprawie wymogów dostępności produktów i usług</w:t>
      </w:r>
      <w:r>
        <w:rPr>
          <w:rFonts w:ascii="Verdana" w:hAnsi="Verdana"/>
          <w:color w:val="000000"/>
        </w:rPr>
        <w:t xml:space="preserve"> oraz „S</w:t>
      </w:r>
      <w:r w:rsidRPr="00BE7363">
        <w:rPr>
          <w:rFonts w:ascii="Verdana" w:hAnsi="Verdana"/>
          <w:color w:val="000000"/>
        </w:rPr>
        <w:t xml:space="preserve">tandardów dostępności </w:t>
      </w:r>
      <w:r>
        <w:rPr>
          <w:rFonts w:ascii="Verdana" w:hAnsi="Verdana"/>
          <w:color w:val="000000"/>
        </w:rPr>
        <w:t>dla polityki spójności na </w:t>
      </w:r>
      <w:r w:rsidRPr="00BE7363">
        <w:rPr>
          <w:rFonts w:ascii="Verdana" w:hAnsi="Verdana"/>
          <w:color w:val="000000"/>
        </w:rPr>
        <w:t>wypracowanych na potrzeby polityki spójności</w:t>
      </w:r>
      <w:r>
        <w:rPr>
          <w:rFonts w:ascii="Verdana" w:hAnsi="Verdana"/>
          <w:color w:val="000000"/>
        </w:rPr>
        <w:t xml:space="preserve"> na lata 2021-2027”</w:t>
      </w:r>
      <w:r w:rsidRPr="00BE7363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Pr="00BE7363">
        <w:rPr>
          <w:rFonts w:ascii="Verdana" w:hAnsi="Verdana"/>
          <w:color w:val="000000"/>
        </w:rPr>
        <w:t>Propozycje zapisów:</w:t>
      </w:r>
    </w:p>
    <w:p w14:paraId="2BFE32CC" w14:textId="6D7A77D8" w:rsidR="00E930F2" w:rsidRPr="00E930F2" w:rsidRDefault="00E930F2" w:rsidP="00E930F2">
      <w:pPr>
        <w:numPr>
          <w:ilvl w:val="1"/>
          <w:numId w:val="7"/>
        </w:numPr>
        <w:spacing w:line="360" w:lineRule="auto"/>
        <w:ind w:left="1134" w:hanging="567"/>
        <w:textAlignment w:val="baseline"/>
        <w:rPr>
          <w:rFonts w:ascii="Verdana" w:hAnsi="Verdana"/>
          <w:bCs/>
          <w:color w:val="000000"/>
        </w:rPr>
      </w:pPr>
      <w:r w:rsidRPr="00BE7363">
        <w:rPr>
          <w:rFonts w:ascii="Verdana" w:hAnsi="Verdana"/>
          <w:bCs/>
          <w:color w:val="000000"/>
        </w:rPr>
        <w:t xml:space="preserve">Tytuł: </w:t>
      </w:r>
      <w:r w:rsidRPr="00BE7363">
        <w:rPr>
          <w:rFonts w:ascii="Verdana" w:hAnsi="Verdana"/>
          <w:color w:val="000000"/>
        </w:rPr>
        <w:t>„</w:t>
      </w:r>
      <w:r w:rsidRPr="00BE7363">
        <w:rPr>
          <w:rFonts w:ascii="Verdana" w:hAnsi="Verdana"/>
          <w:bCs/>
          <w:color w:val="000000"/>
        </w:rPr>
        <w:t>Działania zapewniające równość, włączenie</w:t>
      </w:r>
      <w:r w:rsidRPr="00E930F2">
        <w:rPr>
          <w:rFonts w:ascii="Verdana" w:hAnsi="Verdana"/>
          <w:color w:val="000000"/>
        </w:rPr>
        <w:t>,</w:t>
      </w:r>
      <w:r w:rsidRPr="00E930F2">
        <w:rPr>
          <w:rFonts w:ascii="Verdana" w:hAnsi="Verdana"/>
          <w:bCs/>
          <w:color w:val="000000"/>
        </w:rPr>
        <w:t xml:space="preserve"> niedyskryminację i dostępność”,</w:t>
      </w:r>
    </w:p>
    <w:p w14:paraId="51EF7ECB" w14:textId="77777777" w:rsidR="00E930F2" w:rsidRPr="00BE7363" w:rsidRDefault="00E930F2" w:rsidP="00E930F2">
      <w:pPr>
        <w:numPr>
          <w:ilvl w:val="1"/>
          <w:numId w:val="7"/>
        </w:numPr>
        <w:spacing w:line="360" w:lineRule="auto"/>
        <w:ind w:left="1134" w:hanging="567"/>
        <w:textAlignment w:val="baseline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 xml:space="preserve">Akapit 1: Przywołane przepisy Rozporządzenia Ramowego pochodzą zapewne z projektu tego Rozporządzenia. Należy je zaktualizować pod kątem ostatecznej wersji tego aktu prawnego. W ocenie Rady należy odwołać się do art. </w:t>
      </w:r>
      <w:r>
        <w:rPr>
          <w:rFonts w:ascii="Verdana" w:hAnsi="Verdana"/>
        </w:rPr>
        <w:t>6, 8, 9, 11, 73 i Załącznika III.</w:t>
      </w:r>
    </w:p>
    <w:p w14:paraId="6BE024E9" w14:textId="185AC669" w:rsidR="00E930F2" w:rsidRPr="00E930F2" w:rsidRDefault="00E930F2" w:rsidP="00E930F2">
      <w:pPr>
        <w:numPr>
          <w:ilvl w:val="1"/>
          <w:numId w:val="7"/>
        </w:numPr>
        <w:spacing w:line="360" w:lineRule="auto"/>
        <w:ind w:left="1134" w:hanging="567"/>
        <w:textAlignment w:val="baseline"/>
        <w:rPr>
          <w:rFonts w:ascii="Verdana" w:hAnsi="Verdana"/>
          <w:bCs/>
          <w:color w:val="000000"/>
        </w:rPr>
      </w:pPr>
      <w:r w:rsidRPr="00BE7363">
        <w:rPr>
          <w:rFonts w:ascii="Verdana" w:hAnsi="Verdana"/>
          <w:color w:val="000000"/>
        </w:rPr>
        <w:t xml:space="preserve">Akapit 1: </w:t>
      </w:r>
      <w:r w:rsidRPr="00E930F2">
        <w:rPr>
          <w:rFonts w:ascii="Verdana" w:hAnsi="Verdana"/>
          <w:color w:val="000000"/>
        </w:rPr>
        <w:t>„(…) przepisami w zakresie zapewnienia równości, włączenia, niedyskryminacji i dostępności i dotyczącymi spełnienia horyzontalnych warunków podstawowych zgodnie z Załącznikiem III do ww. rozporządzenia oraz dyrektywą w sprawie wymogów dostępności produktów i usług, a także w</w:t>
      </w:r>
      <w:r w:rsidRPr="00E930F2">
        <w:rPr>
          <w:rFonts w:ascii="Verdana" w:hAnsi="Verdana"/>
          <w:bCs/>
          <w:color w:val="000000"/>
        </w:rPr>
        <w:t>ytycznymi w zakresie realizacji zasady równości szans, niedyskryminacji i dostępności</w:t>
      </w:r>
      <w:r w:rsidRPr="00E930F2">
        <w:rPr>
          <w:rFonts w:ascii="Verdana" w:hAnsi="Verdana"/>
          <w:color w:val="000000"/>
        </w:rPr>
        <w:t>”.</w:t>
      </w:r>
    </w:p>
    <w:p w14:paraId="10F4DF75" w14:textId="77777777" w:rsidR="00E930F2" w:rsidRPr="00E930F2" w:rsidRDefault="00E930F2" w:rsidP="00E930F2">
      <w:pPr>
        <w:numPr>
          <w:ilvl w:val="1"/>
          <w:numId w:val="7"/>
        </w:numPr>
        <w:spacing w:line="360" w:lineRule="auto"/>
        <w:ind w:left="1134" w:hanging="567"/>
        <w:textAlignment w:val="baseline"/>
        <w:rPr>
          <w:rFonts w:ascii="Verdana" w:hAnsi="Verdana"/>
          <w:bCs/>
          <w:color w:val="000000"/>
        </w:rPr>
      </w:pPr>
      <w:r w:rsidRPr="00E930F2">
        <w:rPr>
          <w:rFonts w:ascii="Verdana" w:hAnsi="Verdana"/>
          <w:color w:val="000000"/>
        </w:rPr>
        <w:t>Akapit 4 zamiast obecnego zdania 2: „</w:t>
      </w:r>
      <w:r w:rsidRPr="00E930F2">
        <w:rPr>
          <w:rFonts w:ascii="Verdana" w:eastAsia="Verdana" w:hAnsi="Verdana" w:cs="Verdana"/>
        </w:rPr>
        <w:t>Projekty będą realizowane z uwzględnieniem projektowania uniwersalnego. Dostępność będzie zapewniana także przez stosowanie „</w:t>
      </w:r>
      <w:r w:rsidRPr="00E930F2">
        <w:rPr>
          <w:rFonts w:ascii="Verdana" w:hAnsi="Verdana"/>
          <w:color w:val="000000"/>
        </w:rPr>
        <w:t>Standardów dostępności dla polityki spójności na lata 2021</w:t>
      </w:r>
      <w:r w:rsidRPr="00E930F2">
        <w:rPr>
          <w:rFonts w:ascii="Verdana" w:hAnsi="Verdana"/>
          <w:color w:val="000000"/>
        </w:rPr>
        <w:noBreakHyphen/>
        <w:t xml:space="preserve">2027”, </w:t>
      </w:r>
      <w:r w:rsidRPr="00E930F2">
        <w:rPr>
          <w:rFonts w:ascii="Verdana" w:hAnsi="Verdana"/>
          <w:color w:val="000000"/>
        </w:rPr>
        <w:lastRenderedPageBreak/>
        <w:t>w szczególności przez zapewnienie dostępności cyfrowej wszystkich produktów</w:t>
      </w:r>
      <w:r w:rsidRPr="00E930F2">
        <w:rPr>
          <w:rFonts w:ascii="Verdana" w:eastAsia="Verdana" w:hAnsi="Verdana" w:cs="Verdana"/>
        </w:rPr>
        <w:t>”.</w:t>
      </w:r>
    </w:p>
    <w:p w14:paraId="1D2D32B2" w14:textId="5C34F0AE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</w:t>
      </w:r>
      <w:r w:rsidRPr="00BE7363">
        <w:rPr>
          <w:rFonts w:ascii="Verdana" w:hAnsi="Verdana"/>
          <w:color w:val="000000"/>
        </w:rPr>
        <w:t>ozdział „Działania za</w:t>
      </w:r>
      <w:r>
        <w:rPr>
          <w:rFonts w:ascii="Verdana" w:hAnsi="Verdana"/>
          <w:color w:val="000000"/>
        </w:rPr>
        <w:t xml:space="preserve">pewniające równość, włączenie, </w:t>
      </w:r>
      <w:r w:rsidRPr="00BE7363">
        <w:rPr>
          <w:rFonts w:ascii="Verdana" w:hAnsi="Verdana"/>
          <w:color w:val="000000"/>
        </w:rPr>
        <w:t>niedyskryminację</w:t>
      </w:r>
      <w:r>
        <w:rPr>
          <w:rFonts w:ascii="Verdana" w:hAnsi="Verdana"/>
          <w:color w:val="000000"/>
        </w:rPr>
        <w:t xml:space="preserve"> i dostępność</w:t>
      </w:r>
      <w:r w:rsidRPr="00BE7363">
        <w:rPr>
          <w:rFonts w:ascii="Verdana" w:hAnsi="Verdana"/>
          <w:color w:val="000000"/>
        </w:rPr>
        <w:t xml:space="preserve">” </w:t>
      </w:r>
      <w:r>
        <w:rPr>
          <w:rFonts w:ascii="Verdana" w:hAnsi="Verdana"/>
          <w:color w:val="000000"/>
        </w:rPr>
        <w:t>zgodnie z uwagami w ustępie poprzedzającym należy dodać do Priorytetu I.</w:t>
      </w:r>
    </w:p>
    <w:p w14:paraId="69FE8A10" w14:textId="77777777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>Należy wskazać wymóg dostępności wprost do opisu interwencji szczególnie wrażliwych na dostępność.</w:t>
      </w:r>
      <w:r>
        <w:rPr>
          <w:rFonts w:ascii="Verdana" w:hAnsi="Verdana"/>
          <w:color w:val="000000"/>
        </w:rPr>
        <w:t xml:space="preserve"> Dotyczy to wszystkich działań w Priorytecie II oraz Priorytetu III.</w:t>
      </w:r>
    </w:p>
    <w:p w14:paraId="650378E1" w14:textId="4D1DEAFE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>Należy uwzględnić projektowanie uniwersalne w opisach inter</w:t>
      </w:r>
      <w:r>
        <w:rPr>
          <w:rFonts w:ascii="Verdana" w:hAnsi="Verdana"/>
          <w:color w:val="000000"/>
        </w:rPr>
        <w:t>wencji szczególnie podatnych na </w:t>
      </w:r>
      <w:r w:rsidRPr="00BE7363">
        <w:rPr>
          <w:rFonts w:ascii="Verdana" w:hAnsi="Verdana"/>
          <w:color w:val="000000"/>
        </w:rPr>
        <w:t>projektowanie uniwersalne jako obowiązkową metodę realizacji tych interwencji</w:t>
      </w:r>
      <w:r>
        <w:rPr>
          <w:rFonts w:ascii="Verdana" w:hAnsi="Verdana"/>
          <w:color w:val="000000"/>
        </w:rPr>
        <w:t>. Dotyczy to w szczególności działań 2.2, 2.4 i 2.5 oraz Priorytetu III.</w:t>
      </w:r>
    </w:p>
    <w:p w14:paraId="51412D40" w14:textId="48DD4018" w:rsidR="00E930F2" w:rsidRPr="00BE7363" w:rsidRDefault="00E930F2" w:rsidP="00E930F2">
      <w:pPr>
        <w:numPr>
          <w:ilvl w:val="0"/>
          <w:numId w:val="7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BE7363">
        <w:rPr>
          <w:rFonts w:ascii="Verdana" w:hAnsi="Verdana"/>
          <w:color w:val="000000"/>
        </w:rPr>
        <w:t xml:space="preserve">Należy uwzględnić w opisach interwencji wymogi dyrektywy </w:t>
      </w:r>
      <w:proofErr w:type="spellStart"/>
      <w:r w:rsidRPr="00BE7363">
        <w:rPr>
          <w:rFonts w:ascii="Verdana" w:hAnsi="Verdana"/>
          <w:color w:val="000000"/>
        </w:rPr>
        <w:t>dostępnościowej</w:t>
      </w:r>
      <w:proofErr w:type="spellEnd"/>
      <w:r w:rsidRPr="00BE7363">
        <w:rPr>
          <w:rFonts w:ascii="Verdana" w:hAnsi="Verdana"/>
          <w:color w:val="000000"/>
        </w:rPr>
        <w:t xml:space="preserve"> (dyrektywy Parlamentu Europejskiego i Rady (UE) 2019/882 z dnia 17 kwietnia 2019 r. w sprawie wymogów dostępności produktów i usług). </w:t>
      </w:r>
      <w:r>
        <w:rPr>
          <w:rFonts w:ascii="Verdana" w:hAnsi="Verdana"/>
          <w:color w:val="000000"/>
        </w:rPr>
        <w:t>Dotyczy to wszystkich działań, a zwłaszcza tych, których beneficjentami mogą być przedsiębiorstwa i organizacje pozarządowe, w szczególności działania 2.2, a także – choć w mniejszym stopniu – Priorytetu I</w:t>
      </w:r>
      <w:r w:rsidRPr="00BE7363">
        <w:rPr>
          <w:rFonts w:ascii="Verdana" w:hAnsi="Verdana"/>
          <w:color w:val="000000"/>
        </w:rPr>
        <w:t>.</w:t>
      </w:r>
    </w:p>
    <w:p w14:paraId="375A3722" w14:textId="25448932" w:rsidR="009E7CF6" w:rsidRPr="00B55D61" w:rsidRDefault="000A04CF" w:rsidP="00E930F2">
      <w:pPr>
        <w:spacing w:before="360" w:line="360" w:lineRule="auto"/>
        <w:jc w:val="center"/>
        <w:rPr>
          <w:rFonts w:ascii="Verdana" w:eastAsia="Times New Roman" w:hAnsi="Verdana" w:cstheme="minorHAnsi"/>
          <w:lang w:eastAsia="pl-PL"/>
        </w:rPr>
      </w:pPr>
      <w:r w:rsidRPr="000A04CF">
        <w:rPr>
          <w:rFonts w:ascii="Verdana" w:eastAsia="Times New Roman" w:hAnsi="Verdana" w:cstheme="minorHAnsi"/>
          <w:color w:val="000000"/>
          <w:lang w:eastAsia="pl-PL"/>
        </w:rPr>
        <w:t xml:space="preserve">§ </w:t>
      </w:r>
      <w:r w:rsidR="00ED4E38" w:rsidRPr="00ED4E38">
        <w:rPr>
          <w:rFonts w:ascii="Verdana" w:eastAsia="Times New Roman" w:hAnsi="Verdana" w:cstheme="minorHAnsi"/>
          <w:color w:val="000000"/>
          <w:lang w:eastAsia="pl-PL"/>
        </w:rPr>
        <w:t>3</w:t>
      </w:r>
    </w:p>
    <w:p w14:paraId="7D606547" w14:textId="0AAF98B8" w:rsidR="00ED4E38" w:rsidRPr="00E930F2" w:rsidRDefault="009E7CF6" w:rsidP="00E930F2">
      <w:pPr>
        <w:numPr>
          <w:ilvl w:val="0"/>
          <w:numId w:val="8"/>
        </w:numPr>
        <w:spacing w:before="120" w:line="360" w:lineRule="auto"/>
        <w:ind w:left="567" w:hanging="567"/>
        <w:textAlignment w:val="baseline"/>
        <w:rPr>
          <w:rFonts w:ascii="Verdana" w:hAnsi="Verdana"/>
          <w:color w:val="000000"/>
        </w:rPr>
      </w:pPr>
      <w:r w:rsidRPr="00ED4E38">
        <w:rPr>
          <w:rFonts w:ascii="Verdana" w:hAnsi="Verdana" w:cstheme="minorHAnsi"/>
        </w:rPr>
        <w:t xml:space="preserve">Rada wskazuje na potrzebę uwzględnienia organizacji społeczeństwa obywatelskiego, jako beneficjentów </w:t>
      </w:r>
      <w:r w:rsidRPr="00E930F2">
        <w:rPr>
          <w:rFonts w:ascii="Verdana" w:hAnsi="Verdana"/>
          <w:color w:val="000000"/>
        </w:rPr>
        <w:t>we</w:t>
      </w:r>
      <w:r w:rsidRPr="00ED4E38">
        <w:rPr>
          <w:rFonts w:ascii="Verdana" w:hAnsi="Verdana" w:cstheme="minorHAnsi"/>
        </w:rPr>
        <w:t xml:space="preserve"> wszystkich priorytetach</w:t>
      </w:r>
      <w:r w:rsidR="000A04CF" w:rsidRPr="00ED4E38">
        <w:rPr>
          <w:rFonts w:ascii="Verdana" w:hAnsi="Verdana" w:cstheme="minorHAnsi"/>
        </w:rPr>
        <w:t>, interwencjach</w:t>
      </w:r>
      <w:r w:rsidRPr="00ED4E38">
        <w:rPr>
          <w:rFonts w:ascii="Verdana" w:hAnsi="Verdana" w:cstheme="minorHAnsi"/>
        </w:rPr>
        <w:t xml:space="preserve"> oraz działaniach </w:t>
      </w:r>
      <w:r w:rsidRPr="00E930F2">
        <w:rPr>
          <w:rFonts w:ascii="Verdana" w:hAnsi="Verdana"/>
          <w:color w:val="000000"/>
        </w:rPr>
        <w:t>przewidzianych do realizacji w ramach programu Fundusze Europejskie n</w:t>
      </w:r>
      <w:r w:rsidR="00E930F2">
        <w:rPr>
          <w:rFonts w:ascii="Verdana" w:hAnsi="Verdana"/>
          <w:color w:val="000000"/>
        </w:rPr>
        <w:t>a Rozwój Cyfrowy 2021-2027, dla </w:t>
      </w:r>
      <w:r w:rsidRPr="00E930F2">
        <w:rPr>
          <w:rFonts w:ascii="Verdana" w:hAnsi="Verdana"/>
          <w:color w:val="000000"/>
        </w:rPr>
        <w:t>zapewnienia lepszej spójności społecznej</w:t>
      </w:r>
      <w:r w:rsidR="00ED4E38" w:rsidRPr="00E930F2">
        <w:rPr>
          <w:rFonts w:ascii="Verdana" w:hAnsi="Verdana"/>
          <w:color w:val="000000"/>
        </w:rPr>
        <w:t>.</w:t>
      </w:r>
    </w:p>
    <w:p w14:paraId="122E2AF0" w14:textId="4EE4B23C" w:rsidR="00ED4E38" w:rsidRPr="00ED4E38" w:rsidRDefault="00ED4E38" w:rsidP="00E930F2">
      <w:pPr>
        <w:numPr>
          <w:ilvl w:val="0"/>
          <w:numId w:val="8"/>
        </w:numPr>
        <w:spacing w:before="120" w:line="360" w:lineRule="auto"/>
        <w:ind w:left="567" w:hanging="567"/>
        <w:textAlignment w:val="baseline"/>
        <w:rPr>
          <w:rFonts w:ascii="Verdana" w:hAnsi="Verdana" w:cstheme="minorHAnsi"/>
        </w:rPr>
      </w:pPr>
      <w:r w:rsidRPr="00E930F2">
        <w:rPr>
          <w:rFonts w:ascii="Verdana" w:hAnsi="Verdana"/>
          <w:color w:val="000000"/>
        </w:rPr>
        <w:t xml:space="preserve">Wzorem regulacji dla EFS+ Rada postuluje, żeby wszystkie programy (niezależnie od funduszu finansującego), w tym Program Fundusze Europejskie Na Rozwój Cyfrowy 2021-2027, przewidywały określoną alokację (1 %) przeznaczoną na budowanie i rozwój potencjału </w:t>
      </w:r>
      <w:r w:rsidRPr="00E930F2">
        <w:rPr>
          <w:rFonts w:ascii="Verdana" w:hAnsi="Verdana"/>
          <w:color w:val="000000"/>
        </w:rPr>
        <w:lastRenderedPageBreak/>
        <w:t>organizacji społeczeństwa obywatels</w:t>
      </w:r>
      <w:r w:rsidR="00E930F2">
        <w:rPr>
          <w:rFonts w:ascii="Verdana" w:hAnsi="Verdana"/>
          <w:color w:val="000000"/>
        </w:rPr>
        <w:t>kiego. Rada jest przekonana, że </w:t>
      </w:r>
      <w:r w:rsidRPr="00E930F2">
        <w:rPr>
          <w:rFonts w:ascii="Verdana" w:hAnsi="Verdana"/>
          <w:color w:val="000000"/>
        </w:rPr>
        <w:t xml:space="preserve">skoro analogiczne rozwiązanie zostało wdrożone w przypadku podatku od osób fizycznych, to uda </w:t>
      </w:r>
      <w:r w:rsidR="00E930F2">
        <w:rPr>
          <w:rFonts w:ascii="Verdana" w:hAnsi="Verdana"/>
          <w:color w:val="000000"/>
        </w:rPr>
        <w:t>się je wdrożyć w programach dla </w:t>
      </w:r>
      <w:r w:rsidRPr="00E930F2">
        <w:rPr>
          <w:rFonts w:ascii="Verdana" w:hAnsi="Verdana"/>
          <w:color w:val="000000"/>
        </w:rPr>
        <w:t>Funduszy Europejskich –</w:t>
      </w:r>
      <w:r w:rsidRPr="00ED4E38">
        <w:rPr>
          <w:rFonts w:ascii="Verdana" w:eastAsia="Verdana" w:hAnsi="Verdana" w:cs="Verdana"/>
        </w:rPr>
        <w:t xml:space="preserve"> z korzyś</w:t>
      </w:r>
      <w:r w:rsidR="00E930F2">
        <w:rPr>
          <w:rFonts w:ascii="Verdana" w:eastAsia="Verdana" w:hAnsi="Verdana" w:cs="Verdana"/>
        </w:rPr>
        <w:t>cią dla Polski, społeczeństwa i </w:t>
      </w:r>
      <w:r w:rsidRPr="00ED4E38">
        <w:rPr>
          <w:rFonts w:ascii="Verdana" w:eastAsia="Verdana" w:hAnsi="Verdana" w:cs="Verdana"/>
        </w:rPr>
        <w:t>finansów publicznych.</w:t>
      </w:r>
    </w:p>
    <w:p w14:paraId="4B90DF2E" w14:textId="77777777" w:rsidR="00ED4E38" w:rsidRPr="00ED4E38" w:rsidRDefault="00ED4E38" w:rsidP="00E930F2">
      <w:pPr>
        <w:spacing w:before="360" w:line="360" w:lineRule="auto"/>
        <w:jc w:val="center"/>
        <w:rPr>
          <w:rFonts w:ascii="Verdana" w:eastAsia="Verdana" w:hAnsi="Verdana" w:cs="Verdana"/>
        </w:rPr>
      </w:pPr>
      <w:r w:rsidRPr="00ED4E38">
        <w:rPr>
          <w:rFonts w:ascii="Verdana" w:eastAsia="Verdana" w:hAnsi="Verdana" w:cs="Verdana"/>
        </w:rPr>
        <w:t>§ 4</w:t>
      </w:r>
    </w:p>
    <w:p w14:paraId="0FCEC0CE" w14:textId="77777777" w:rsidR="00ED4E38" w:rsidRPr="00ED4E38" w:rsidRDefault="00ED4E38" w:rsidP="00E930F2">
      <w:pPr>
        <w:spacing w:line="360" w:lineRule="auto"/>
        <w:rPr>
          <w:rFonts w:ascii="Verdana" w:hAnsi="Verdana"/>
        </w:rPr>
      </w:pPr>
      <w:r w:rsidRPr="00ED4E38">
        <w:rPr>
          <w:rFonts w:ascii="Verdana" w:hAnsi="Verdana"/>
        </w:rPr>
        <w:t>Rada wnosi o przekazanie niniejszej uchwały:</w:t>
      </w:r>
    </w:p>
    <w:p w14:paraId="09C75131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>Prezesowi</w:t>
      </w:r>
      <w:r w:rsidRPr="00ED4E38">
        <w:rPr>
          <w:rFonts w:ascii="Verdana" w:hAnsi="Verdana"/>
        </w:rPr>
        <w:t xml:space="preserve"> </w:t>
      </w:r>
      <w:r w:rsidRPr="00ED4E38">
        <w:rPr>
          <w:rFonts w:ascii="Verdana" w:eastAsia="Verdana" w:hAnsi="Verdana" w:cs="Verdana"/>
          <w:color w:val="222222"/>
        </w:rPr>
        <w:t>Rady Ministrów;</w:t>
      </w:r>
    </w:p>
    <w:p w14:paraId="3E827AAD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>Ministrowi Finansów, Funduszy i Polityki Regionalnej;</w:t>
      </w:r>
    </w:p>
    <w:p w14:paraId="2EA90954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 xml:space="preserve">Komisji Europejskiej oraz Przedstawicielstwu Komisji Europejskiej </w:t>
      </w:r>
      <w:r w:rsidRPr="00ED4E38">
        <w:rPr>
          <w:rFonts w:ascii="Verdana" w:eastAsia="Verdana" w:hAnsi="Verdana" w:cs="Verdana"/>
          <w:color w:val="222222"/>
        </w:rPr>
        <w:br/>
        <w:t>w Polsce;</w:t>
      </w:r>
    </w:p>
    <w:p w14:paraId="25D7A420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>Przewodniczącemu Podkomitetu ds. Realizacji Rozwoju Partnerstwa;</w:t>
      </w:r>
    </w:p>
    <w:p w14:paraId="5CC01379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>polskim członkom Europejskiego Komitetu Ekonomiczno-Społecznego;</w:t>
      </w:r>
    </w:p>
    <w:p w14:paraId="4FB7FD78" w14:textId="77777777" w:rsidR="00ED4E38" w:rsidRPr="00ED4E38" w:rsidRDefault="00ED4E38" w:rsidP="00E930F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Verdana"/>
          <w:color w:val="222222"/>
        </w:rPr>
      </w:pPr>
      <w:r w:rsidRPr="00ED4E38">
        <w:rPr>
          <w:rFonts w:ascii="Verdana" w:eastAsia="Verdana" w:hAnsi="Verdana" w:cs="Verdana"/>
          <w:color w:val="222222"/>
        </w:rPr>
        <w:t>Komitetowi Umowy Partnerstwa oraz Podkomitetowi ds. rozwoju partnerstwa.</w:t>
      </w:r>
    </w:p>
    <w:p w14:paraId="6083CFBD" w14:textId="77777777" w:rsidR="00ED4E38" w:rsidRPr="00ED4E38" w:rsidRDefault="00ED4E38" w:rsidP="00E930F2">
      <w:pPr>
        <w:spacing w:before="360" w:line="360" w:lineRule="auto"/>
        <w:jc w:val="center"/>
        <w:rPr>
          <w:rFonts w:ascii="Verdana" w:eastAsia="Verdana" w:hAnsi="Verdana" w:cs="Verdana"/>
        </w:rPr>
      </w:pPr>
      <w:r w:rsidRPr="00ED4E38">
        <w:rPr>
          <w:rFonts w:ascii="Verdana" w:eastAsia="Verdana" w:hAnsi="Verdana" w:cs="Verdana"/>
        </w:rPr>
        <w:t>§ 5</w:t>
      </w:r>
    </w:p>
    <w:p w14:paraId="3BC57C1F" w14:textId="77777777" w:rsidR="00ED4E38" w:rsidRPr="00ED4E38" w:rsidRDefault="00ED4E38" w:rsidP="00E930F2">
      <w:pPr>
        <w:spacing w:line="360" w:lineRule="auto"/>
        <w:jc w:val="both"/>
        <w:rPr>
          <w:rFonts w:ascii="Verdana" w:eastAsia="Verdana" w:hAnsi="Verdana" w:cs="Verdana"/>
        </w:rPr>
      </w:pPr>
      <w:r w:rsidRPr="00ED4E38">
        <w:rPr>
          <w:rFonts w:ascii="Verdana" w:eastAsia="Verdana" w:hAnsi="Verdana" w:cs="Verdana"/>
        </w:rPr>
        <w:t>Uchwała wchodzi w życie z dniem podjęcia.</w:t>
      </w:r>
    </w:p>
    <w:p w14:paraId="66A463AD" w14:textId="77777777" w:rsidR="00ED4E38" w:rsidRPr="00ED4E38" w:rsidRDefault="00ED4E38" w:rsidP="00E930F2">
      <w:pPr>
        <w:spacing w:line="360" w:lineRule="auto"/>
        <w:rPr>
          <w:rFonts w:ascii="Verdana" w:hAnsi="Verdana" w:cstheme="minorHAnsi"/>
        </w:rPr>
      </w:pPr>
    </w:p>
    <w:sectPr w:rsidR="00ED4E38" w:rsidRPr="00ED4E38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379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9A1A95"/>
    <w:multiLevelType w:val="hybridMultilevel"/>
    <w:tmpl w:val="AD24E3BC"/>
    <w:lvl w:ilvl="0" w:tplc="599C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056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645CAA"/>
    <w:multiLevelType w:val="hybridMultilevel"/>
    <w:tmpl w:val="F4F8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5" w15:restartNumberingAfterBreak="0">
    <w:nsid w:val="7D130409"/>
    <w:multiLevelType w:val="hybridMultilevel"/>
    <w:tmpl w:val="8A66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301B3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7" w15:restartNumberingAfterBreak="0">
    <w:nsid w:val="7DCB2346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F6"/>
    <w:rsid w:val="00033AEE"/>
    <w:rsid w:val="0007097C"/>
    <w:rsid w:val="000A04CF"/>
    <w:rsid w:val="001035A1"/>
    <w:rsid w:val="001D54A8"/>
    <w:rsid w:val="00295BA7"/>
    <w:rsid w:val="00845C4D"/>
    <w:rsid w:val="009E7CF6"/>
    <w:rsid w:val="00B55D61"/>
    <w:rsid w:val="00E36F8D"/>
    <w:rsid w:val="00E930F2"/>
    <w:rsid w:val="00E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B4FB"/>
  <w15:chartTrackingRefBased/>
  <w15:docId w15:val="{83B7EC39-7B48-2E4F-A9DB-746CE73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CF6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D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Dembowska Ilona</cp:lastModifiedBy>
  <cp:revision>5</cp:revision>
  <dcterms:created xsi:type="dcterms:W3CDTF">2021-09-01T11:48:00Z</dcterms:created>
  <dcterms:modified xsi:type="dcterms:W3CDTF">2021-09-17T10:15:00Z</dcterms:modified>
</cp:coreProperties>
</file>