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24" w:rsidRPr="00BF4C24" w:rsidRDefault="00BF4C24" w:rsidP="00BF4C24">
      <w:pPr>
        <w:spacing w:after="0"/>
        <w:ind w:right="2193"/>
        <w:rPr>
          <w:rFonts w:ascii="Times New Roman" w:hAnsi="Times New Roman"/>
          <w:lang w:val="pl-PL"/>
        </w:rPr>
      </w:pPr>
      <w:r w:rsidRPr="00BF4C24">
        <w:rPr>
          <w:rFonts w:ascii="Times New Roman" w:hAnsi="Times New Roman"/>
          <w:lang w:val="pl-PL"/>
        </w:rPr>
        <w:t>Załącznik</w:t>
      </w:r>
      <w:bookmarkStart w:id="0" w:name="_GoBack"/>
      <w:bookmarkEnd w:id="0"/>
      <w:r w:rsidRPr="00BF4C24">
        <w:rPr>
          <w:rFonts w:ascii="Times New Roman" w:hAnsi="Times New Roman"/>
          <w:lang w:val="pl-PL"/>
        </w:rPr>
        <w:t xml:space="preserve"> B.50.</w:t>
      </w:r>
    </w:p>
    <w:p w:rsidR="00BF4C24" w:rsidRPr="00BF4C24" w:rsidRDefault="00BF4C24" w:rsidP="00BF4C24">
      <w:pPr>
        <w:spacing w:after="0"/>
        <w:ind w:right="2193"/>
        <w:rPr>
          <w:rFonts w:ascii="Times New Roman" w:hAnsi="Times New Roman"/>
          <w:lang w:val="pl-PL"/>
        </w:rPr>
      </w:pPr>
    </w:p>
    <w:p w:rsidR="005C3CED" w:rsidRPr="00DD262E" w:rsidRDefault="005C3CED" w:rsidP="00DD262E">
      <w:pPr>
        <w:spacing w:line="240" w:lineRule="auto"/>
        <w:rPr>
          <w:rFonts w:ascii="Times New Roman" w:eastAsia="Times New Roman" w:hAnsi="Times New Roman"/>
          <w:b/>
          <w:sz w:val="28"/>
          <w:szCs w:val="20"/>
          <w:lang w:val="pl-PL" w:eastAsia="en-US"/>
        </w:rPr>
      </w:pPr>
      <w:r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LECZENIE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 </w:t>
      </w:r>
      <w:r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 CHORYCH 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 </w:t>
      </w:r>
      <w:r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NA 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 </w:t>
      </w:r>
      <w:r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ZAAWANSO</w:t>
      </w:r>
      <w:r w:rsidR="003B22AB"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WANEGO 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 </w:t>
      </w:r>
      <w:r w:rsidR="003B22AB"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RAKA 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 </w:t>
      </w:r>
      <w:r w:rsidR="003B22AB"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JAJNIKA</w:t>
      </w:r>
      <w:r w:rsid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 </w:t>
      </w:r>
      <w:r w:rsidR="003B22AB"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 xml:space="preserve"> (ICD-10   C</w:t>
      </w:r>
      <w:r w:rsidRPr="00DD262E">
        <w:rPr>
          <w:rFonts w:ascii="Times New Roman" w:eastAsia="Times New Roman" w:hAnsi="Times New Roman"/>
          <w:b/>
          <w:sz w:val="28"/>
          <w:szCs w:val="20"/>
          <w:lang w:val="pl-PL" w:eastAsia="en-US"/>
        </w:rPr>
        <w:t>56, C57, C48)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7"/>
        <w:gridCol w:w="4678"/>
        <w:gridCol w:w="5440"/>
      </w:tblGrid>
      <w:tr w:rsidR="00B052B7" w:rsidRPr="00DD262E" w:rsidTr="00DD262E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052B7" w:rsidRPr="00DD262E" w:rsidRDefault="00B052B7" w:rsidP="00DD26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DD262E" w:rsidRPr="00DD262E" w:rsidTr="00DD262E">
        <w:tc>
          <w:tcPr>
            <w:tcW w:w="1760" w:type="pct"/>
            <w:shd w:val="clear" w:color="auto" w:fill="auto"/>
            <w:vAlign w:val="center"/>
          </w:tcPr>
          <w:p w:rsidR="00B052B7" w:rsidRPr="00DD262E" w:rsidRDefault="00B052B7" w:rsidP="00DD26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B052B7" w:rsidRPr="00DD262E" w:rsidRDefault="00B052B7" w:rsidP="00DD26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SCHEMAT DAWKOWANIA LEKÓW W PROGRAMIE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052B7" w:rsidRPr="00DD262E" w:rsidRDefault="00B052B7" w:rsidP="00DD26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DD262E" w:rsidRPr="00DD262E" w:rsidTr="00DD262E">
        <w:tc>
          <w:tcPr>
            <w:tcW w:w="1760" w:type="pct"/>
            <w:shd w:val="clear" w:color="auto" w:fill="auto"/>
          </w:tcPr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 Leczenie chorych na zaawansowanego raka jajnika przy wykorzystaniu substancji czynnej bewacyzumab.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1.1</w:t>
            </w:r>
            <w:r w:rsidR="00403806"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</w:t>
            </w: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Kryteria kwalifikacji:</w:t>
            </w:r>
          </w:p>
          <w:p w:rsidR="00B052B7" w:rsidRPr="00DD262E" w:rsidRDefault="00371B7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histologiczne rozpoznanie raka jajnika, raka jajowodu lub pierwotnego raka otrzewnej;</w:t>
            </w:r>
          </w:p>
          <w:p w:rsidR="00B052B7" w:rsidRPr="00DD262E" w:rsidRDefault="00371B7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stopień z</w:t>
            </w:r>
            <w:r w:rsidR="00E253C8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aawansowania FIGO IV lub III z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chorobą resztkową po zabiegu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cytoredukcji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˃ 1cm (suboptymalna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cytoredukcja</w:t>
            </w:r>
            <w:proofErr w:type="spellEnd"/>
            <w:r w:rsidR="00944452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; wymagane jest opisanie resztkowych zmian nowotworowych pozostawionych po operacji z określeniem wielkości w centymetrach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DD262E" w:rsidRDefault="00371B7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niestosowanie wcześniejszego leczenia systemowego raka jajnika. Wcześniejsza chemioterapia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neoadjuwantowa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jest dopuszczalna</w:t>
            </w:r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DD262E" w:rsidRDefault="00371B7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stan sprawności ogólnej w stopniach 0-1 według klasyfikacji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Zubroda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-WHO;</w:t>
            </w:r>
          </w:p>
          <w:p w:rsidR="00B052B7" w:rsidRPr="00DD262E" w:rsidRDefault="00371B7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wiek powyżej 18 roku życia;</w:t>
            </w:r>
          </w:p>
          <w:p w:rsidR="00B052B7" w:rsidRPr="00DD262E" w:rsidRDefault="00F82C5E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wyniki badania morfologii krwi z rozmazem:</w:t>
            </w:r>
          </w:p>
          <w:p w:rsidR="00B052B7" w:rsidRPr="00DD262E" w:rsidRDefault="00B052B7" w:rsidP="00DD26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22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liczba płytek krwi większa lub równa 1,5 x 10</w:t>
            </w:r>
            <w:r w:rsidRPr="00DD262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5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/mm</w:t>
            </w:r>
            <w:r w:rsidRPr="00DD262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3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:rsidR="00B052B7" w:rsidRPr="00DD262E" w:rsidRDefault="00B052B7" w:rsidP="00DD26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22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bezwzględna liczba neutrofilów większa lub równa</w:t>
            </w:r>
            <w:r w:rsidR="00403806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1500/mm</w:t>
            </w:r>
            <w:r w:rsidRPr="00DD262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3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:rsidR="00B052B7" w:rsidRPr="00DD262E" w:rsidRDefault="00B052B7" w:rsidP="00DD26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22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stężenie hemoglobiny większe lub równe </w:t>
            </w:r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10</w:t>
            </w:r>
            <w:r w:rsidR="00371B74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,0 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g/dl;</w:t>
            </w:r>
          </w:p>
          <w:p w:rsidR="00B052B7" w:rsidRPr="00DD262E" w:rsidRDefault="007E5858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wskaźniki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koagulogiczne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:rsidR="00B052B7" w:rsidRPr="00DD262E" w:rsidRDefault="00B052B7" w:rsidP="00DD26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czas częściowej tromboplastyny po aktywacji (APTT) w zakresie wartości prawidłowych,</w:t>
            </w:r>
          </w:p>
          <w:p w:rsidR="00B052B7" w:rsidRPr="00DD262E" w:rsidRDefault="00B052B7" w:rsidP="00DD26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protrombinowy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(PT) lub międzynarodowy współczynnik znormalizowany  (INR) w zakresie wartości prawidłowych;</w:t>
            </w:r>
          </w:p>
          <w:p w:rsidR="00B052B7" w:rsidRPr="00DD262E" w:rsidRDefault="00B052B7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wskaźniki czynności wątroby i nerek:</w:t>
            </w:r>
          </w:p>
          <w:p w:rsidR="00B052B7" w:rsidRPr="00DD262E" w:rsidRDefault="00B052B7" w:rsidP="00DD26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stężenie całkowitej bilirubiny nieprzekraczające 2-krotnie górnej granicy normy (z wyjątkiem chorych z zespołem Gilberta),</w:t>
            </w:r>
          </w:p>
          <w:p w:rsidR="00B052B7" w:rsidRPr="00DD262E" w:rsidRDefault="00B052B7" w:rsidP="00DD26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aktywność transaminaz (alaninowej i asparaginowej) w surowicy nieprzekraczająca 5-krotnie górnej granicy normy,</w:t>
            </w:r>
          </w:p>
          <w:p w:rsidR="00B052B7" w:rsidRPr="00DD262E" w:rsidRDefault="00B052B7" w:rsidP="00DD26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stężenie kreatyniny w granicach normy,</w:t>
            </w:r>
          </w:p>
          <w:p w:rsidR="00B052B7" w:rsidRPr="00DD262E" w:rsidRDefault="00E11A24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wykluczenie ciąży;</w:t>
            </w:r>
          </w:p>
          <w:p w:rsidR="00B052B7" w:rsidRPr="00DD262E" w:rsidRDefault="00B052B7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brak przeciwwskazań do chemioterapii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karboplatyną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oraz </w:t>
            </w:r>
            <w:proofErr w:type="spellStart"/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paklitakselem</w:t>
            </w:r>
            <w:proofErr w:type="spellEnd"/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DD262E" w:rsidRDefault="00B052B7" w:rsidP="00DD26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nieobecność przeciwwskazań do zastosowania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bewacyzumabu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, którymi są: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zabieg operacyjny przebyty w ciągu mniej niż 4 tygodni od momentu kwalifikacji do</w:t>
            </w:r>
            <w:r w:rsidR="0026789E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leczenia,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czynna choroba wrzodowa żołądka lub dwunastnicy,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niestabilne nadciśnienie tętnicze,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niestabilna choroba niedokrwienna serca,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naczyniowe choroby ośrodkowego układu nerwowego w wywiadzie,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wrodzona skaza krwotoczna lub nabyta koagulopatia,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stany chorobowe przebiegające ze zwiększonym ryzykiem krwawień,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stosowanie leków przeciwkrzepliwych lub antyagregacyjnych (z wyłączeniem stosowania w dawkach profilaktycznych)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niegojące się rany,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białkomocz,</w:t>
            </w:r>
          </w:p>
          <w:p w:rsidR="00B052B7" w:rsidRPr="00DD262E" w:rsidRDefault="00B052B7" w:rsidP="00DD26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nadwrażliwość na lek lub którąkolwiek z substancji pomocniczych.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Kryteria kwalifikacji muszą być spełnione łącznie.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1.2</w:t>
            </w:r>
            <w:r w:rsidR="00E11A24"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</w:t>
            </w: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Określenie czasu leczenia w programie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Leczenie trwa do czasu podjęcia przez lekarza prowadzącego decyzji o w</w:t>
            </w:r>
            <w:r w:rsidR="00FA709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yłączeniu świadczeniobiorcy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z programu, zgodnie z kryteriami wyłączenia.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1.3</w:t>
            </w:r>
            <w:r w:rsidR="00E11A24"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</w:t>
            </w: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Kryteria wyłączenia z programu:</w:t>
            </w:r>
          </w:p>
          <w:p w:rsidR="00B052B7" w:rsidRPr="00DD262E" w:rsidRDefault="00FA7097" w:rsidP="00DD26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objawy nadwrażliwości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na bewacyzumab;</w:t>
            </w:r>
          </w:p>
          <w:p w:rsidR="00B052B7" w:rsidRPr="00DD262E" w:rsidRDefault="00FA7097" w:rsidP="00DD26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podanie 18 cykli leczenia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; </w:t>
            </w:r>
          </w:p>
          <w:p w:rsidR="00B052B7" w:rsidRPr="00DD262E" w:rsidRDefault="00B052B7" w:rsidP="00DD26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progresja choroby w trakcie leczenia;</w:t>
            </w:r>
          </w:p>
          <w:p w:rsidR="00B052B7" w:rsidRPr="00DD262E" w:rsidRDefault="00B052B7" w:rsidP="00DD26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długotrwałe działania niepożądane w stopniu równym lub większym od 3 według klasyfikacji WHO;</w:t>
            </w:r>
          </w:p>
          <w:p w:rsidR="00B052B7" w:rsidRPr="00DD262E" w:rsidRDefault="00B052B7" w:rsidP="00DD26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17" w:hanging="3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utrzymujące się pogorszenie sprawności ogólnej. </w:t>
            </w:r>
          </w:p>
        </w:tc>
        <w:tc>
          <w:tcPr>
            <w:tcW w:w="1498" w:type="pct"/>
            <w:shd w:val="clear" w:color="auto" w:fill="auto"/>
          </w:tcPr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 xml:space="preserve">1. </w:t>
            </w:r>
            <w:proofErr w:type="spellStart"/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Karboplatyna</w:t>
            </w:r>
            <w:proofErr w:type="spellEnd"/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 z </w:t>
            </w:r>
            <w:proofErr w:type="spellStart"/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paklitakselem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:rsidR="00B052B7" w:rsidRPr="00DD262E" w:rsidRDefault="00371B74" w:rsidP="00DD26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karboplatyna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(AUC 5-6) – dzień 1;</w:t>
            </w:r>
          </w:p>
          <w:p w:rsidR="00B052B7" w:rsidRPr="00DD262E" w:rsidRDefault="00371B74" w:rsidP="00DD26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paklitaksel 175 mg/m</w:t>
            </w:r>
            <w:r w:rsidR="00B052B7" w:rsidRPr="00DD262E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2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dzień 1;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Rytm: co trzy tygodnie. 6 cykli.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2. Bewacyzumab -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7,5 mg/kg masy cia</w:t>
            </w:r>
            <w:r w:rsidR="00C1175F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ła dożylnie we wlewie trwającym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30-90 minut - dzień 1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Rytm: co 3 tygodnie. 18 cykli 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Chore będą otrzymywać bewacyzumab w skojarzeniu z 3-tygodniowymi cyklami chemioterapii (maksymalnie 6 cykli). 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Po zakończeniu chemioterapii leczenie będzie kontynuowane</w:t>
            </w:r>
            <w:r w:rsidR="0026789E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3-tygodniowych cyklach do wyczerpania 18 cykli leczenia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 lub do czasu wystąpienia progresji choroby lub nieakceptowanych działań niepożądanych (w zależności od tego, co wystąpi pierwsze).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 przypadku konieczności zakończenia chemioterapii lub jednego z jej składników przed ukończeniem 6 cykli leczenia bewacyzumab można kontynuować we</w:t>
            </w:r>
            <w:r w:rsidR="00C1175F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dług zasad opisanych w punkcie 2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Bewacyzumab będzie podawany od  pierwszego cyklu chemioterapii lub od drugiego cyklu w przypadku kiedy chemioterapia zostanie rozpoczęta przed upływem 28 dni od poważnego zabiegu operacyjnego. 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W przypadku konieczności przerwania leczenia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karboplatyną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lek ten można zastąpić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cisplatyną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kontynuować leczenie.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przypadku konieczności wtórnego zabiegu operacyjnego, zabieg można wykonać nie wcześniej niż 28 dni od podania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bewacyzumabu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a wznowienie leczenia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może rozpocząć się wcześniej niż 28 dni po zabiegu operacyjnym.</w:t>
            </w:r>
          </w:p>
          <w:p w:rsidR="00B052B7" w:rsidRPr="00DD262E" w:rsidRDefault="00B052B7" w:rsidP="00DD26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Modyfikacje dawkowania oraz rytmu podawania leków zgodnie z zapisami odpowiednich Charakterystyk Produktów Leczniczych.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43" w:type="pct"/>
            <w:shd w:val="clear" w:color="auto" w:fill="auto"/>
          </w:tcPr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1. Badani</w:t>
            </w:r>
            <w:r w:rsidR="00DD262E"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a przy kwalifikacji do leczenia </w:t>
            </w:r>
            <w:proofErr w:type="spellStart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histologiczne potwierdzenie raka jajnika, raka jajowodu lub pierwotnego raka otrzewnej;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morfologia krwi z rozmazem;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oznaczenie </w:t>
            </w:r>
            <w:r w:rsidR="00E9568C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surowicy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stężenia:</w:t>
            </w:r>
          </w:p>
          <w:p w:rsidR="00B052B7" w:rsidRPr="00DD262E" w:rsidRDefault="00B052B7" w:rsidP="00DD26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mocznika,</w:t>
            </w:r>
          </w:p>
          <w:p w:rsidR="00E9568C" w:rsidRPr="00DD262E" w:rsidRDefault="00B052B7" w:rsidP="00DD26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kreatyniny,</w:t>
            </w:r>
          </w:p>
          <w:p w:rsidR="00B052B7" w:rsidRPr="00DD262E" w:rsidRDefault="00B052B7" w:rsidP="00DD26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bilirubiny;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aktywności transaminaz (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),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oznaczenie czasu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kaolinowokefalinowego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(APTT);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INR lub czasu</w:t>
            </w:r>
            <w:r w:rsidR="00C1175F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protrombinowego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(PT);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 CA125;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ogólne moczu;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próba ciążowa – u kobiet w okresie prokreacyjnym;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tomografii komputerowej jamy brzusznej i miednicy oraz innych okolic ciała w zależności od wskazań klinicznych;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tomografii komputerowej lub rezonansu magnetycznego mózgu w przypadku wskazań klinicznych w celu obrazowania przerzutów do OUN;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RTG klatki piersiowej – jeżeli nie jest wykonywana tomografia komputerowa tej okolicy;</w:t>
            </w:r>
          </w:p>
          <w:p w:rsidR="00B052B7" w:rsidRPr="00DD262E" w:rsidRDefault="00C1175F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elektrokardiogram (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EKG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pomiar ciśnienia tętniczego;</w:t>
            </w:r>
          </w:p>
          <w:p w:rsidR="00B052B7" w:rsidRPr="00DD262E" w:rsidRDefault="00B052B7" w:rsidP="00DD26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51" w:hanging="351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inne badania w razie wskazań klinicznych.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/>
                <w:sz w:val="18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Pooperacyjne (przed rozpoczęciem leczenia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) badanie tomografii komputerowej jamy brzusznej i </w:t>
            </w:r>
            <w:r w:rsidR="00270C36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miednicy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należy wykonać nie wcześniej niż 4 tygodnie po operacji, ale nie później niż 2 tygodnie po rozpoczęciu chemioterapii. 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Celem wstępnych badań obrazowych jest umożliwienie późniejszego m</w:t>
            </w:r>
            <w:r w:rsidR="00270C36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onitorowania progresji choroby.</w:t>
            </w:r>
          </w:p>
          <w:p w:rsidR="00DD262E" w:rsidRPr="00DD262E" w:rsidRDefault="00DD262E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2. Monitorowanie bezpieczeństwa leczenia </w:t>
            </w:r>
            <w:proofErr w:type="spellStart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morfologia krwi z rozmazem;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stężenia:</w:t>
            </w:r>
          </w:p>
          <w:p w:rsidR="00B052B7" w:rsidRPr="00DD262E" w:rsidRDefault="00B052B7" w:rsidP="00DD26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kreatyniny,</w:t>
            </w:r>
          </w:p>
          <w:p w:rsidR="00B052B7" w:rsidRPr="00DD262E" w:rsidRDefault="00B052B7" w:rsidP="00DD26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bilirubiny – w surowicy;</w:t>
            </w:r>
          </w:p>
          <w:p w:rsidR="00B052B7" w:rsidRPr="00DD262E" w:rsidRDefault="00B052B7" w:rsidP="00DD26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APTT i PT lub INR;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aktywności transaminaz (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),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ogólne moczu;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pomiar ciśnienia tętniczego;</w:t>
            </w:r>
          </w:p>
          <w:p w:rsidR="00B052B7" w:rsidRPr="00DD262E" w:rsidRDefault="00B052B7" w:rsidP="00DD26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inne badanie w razie wskazań klinicznych.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Badania wykonuje się co 3 tygodnie lub przed rozpoczęciem kolejnego cyklu terapii jeżeli podanie leku było opóźnione.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3. Monitorowanie skuteczności leczenia </w:t>
            </w:r>
            <w:proofErr w:type="spellStart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bewacyzumabem</w:t>
            </w:r>
            <w:proofErr w:type="spellEnd"/>
            <w:r w:rsidRPr="00DD262E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B052B7" w:rsidRPr="00DD262E" w:rsidRDefault="00B052B7" w:rsidP="00DD26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badanie tomografii komputerowej odpowiednich obszarów ciała w zależności od wskazań klinicznych;</w:t>
            </w:r>
          </w:p>
          <w:p w:rsidR="00B052B7" w:rsidRPr="00DD262E" w:rsidRDefault="00B052B7" w:rsidP="00DD26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 CA125;</w:t>
            </w:r>
          </w:p>
          <w:p w:rsidR="00B052B7" w:rsidRPr="00DD262E" w:rsidRDefault="00B052B7" w:rsidP="00DD26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inne badania w razie wskazań klinicznych.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Badania tomografii komputerowej 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wykonuje się:</w:t>
            </w:r>
          </w:p>
          <w:p w:rsidR="00B052B7" w:rsidRPr="00DD262E" w:rsidRDefault="00B052B7" w:rsidP="00DD262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po zakończeniu chemioterapii;</w:t>
            </w:r>
          </w:p>
          <w:p w:rsidR="00B052B7" w:rsidRPr="00DD262E" w:rsidRDefault="00E7380E" w:rsidP="00DD262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trakcie leczenia </w:t>
            </w:r>
            <w:proofErr w:type="spellStart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bewacyzumabem</w:t>
            </w:r>
            <w:proofErr w:type="spellEnd"/>
            <w:r w:rsidR="00B052B7" w:rsidRPr="00DD262E">
              <w:rPr>
                <w:rFonts w:ascii="Times New Roman" w:hAnsi="Times New Roman"/>
                <w:sz w:val="20"/>
                <w:szCs w:val="20"/>
                <w:lang w:val="pl-PL"/>
              </w:rPr>
              <w:t>: nie rzadziej niż co 24 tygodnie;</w:t>
            </w:r>
          </w:p>
          <w:p w:rsidR="00B052B7" w:rsidRPr="00DD262E" w:rsidRDefault="00B052B7" w:rsidP="00DD262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w chwili wyłączenia z programu, o ile nastąpiło z innych przyczyn niż udokumentowana progresja choroby;</w:t>
            </w:r>
          </w:p>
          <w:p w:rsidR="00B052B7" w:rsidRPr="00DD262E" w:rsidRDefault="00B052B7" w:rsidP="00DD262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zawsze przy wzroście stężenia CA125 powyżej dwukrotnej wartości nadiru;</w:t>
            </w:r>
          </w:p>
          <w:p w:rsidR="00B052B7" w:rsidRPr="00DD262E" w:rsidRDefault="00B052B7" w:rsidP="00DD262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zawsze w przypadku wskazań klinicznych.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4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Badanie stężenia CA125 wykonuje się nie rzadziej niż co 3 cykle leczenia: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Oceny skuteczności leczenia dokonuje się zgodnie z kryteriami RECIST.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4. Monitorowanie realizacji programu:</w:t>
            </w:r>
          </w:p>
          <w:p w:rsidR="00B052B7" w:rsidRPr="00DD262E" w:rsidRDefault="00B052B7" w:rsidP="00DD26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D262E">
              <w:rPr>
                <w:rFonts w:ascii="Times New Roman" w:hAnsi="Times New Roman"/>
                <w:sz w:val="20"/>
                <w:szCs w:val="20"/>
                <w:lang w:val="pl-PL"/>
              </w:rPr>
              <w:t>Prezes NFZ prowadzi rejestr pacjentów leczonych w ramach programu lekowego dostępny za pomocą aplikacji internetowej.</w:t>
            </w:r>
          </w:p>
        </w:tc>
      </w:tr>
    </w:tbl>
    <w:p w:rsidR="008006DA" w:rsidRPr="00DD262E" w:rsidRDefault="008006DA" w:rsidP="003C120F">
      <w:pPr>
        <w:rPr>
          <w:rFonts w:ascii="Arial" w:hAnsi="Arial" w:cs="Arial"/>
          <w:sz w:val="6"/>
          <w:lang w:val="pl-PL"/>
        </w:rPr>
      </w:pPr>
    </w:p>
    <w:sectPr w:rsidR="008006DA" w:rsidRPr="00DD262E" w:rsidSect="00BF4C24">
      <w:pgSz w:w="16839" w:h="11907" w:orient="landscape" w:code="9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6BD"/>
    <w:multiLevelType w:val="hybridMultilevel"/>
    <w:tmpl w:val="7A406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3E12"/>
    <w:multiLevelType w:val="hybridMultilevel"/>
    <w:tmpl w:val="D4868FD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BE6448"/>
    <w:multiLevelType w:val="hybridMultilevel"/>
    <w:tmpl w:val="80664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3094B"/>
    <w:multiLevelType w:val="hybridMultilevel"/>
    <w:tmpl w:val="EAD44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C7CDC"/>
    <w:multiLevelType w:val="hybridMultilevel"/>
    <w:tmpl w:val="A800B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705E4"/>
    <w:multiLevelType w:val="hybridMultilevel"/>
    <w:tmpl w:val="6EC05762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>
    <w:nsid w:val="466438A5"/>
    <w:multiLevelType w:val="hybridMultilevel"/>
    <w:tmpl w:val="95D20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2199D"/>
    <w:multiLevelType w:val="hybridMultilevel"/>
    <w:tmpl w:val="8BE20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4EC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25DBA"/>
    <w:multiLevelType w:val="hybridMultilevel"/>
    <w:tmpl w:val="2216F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249F6"/>
    <w:multiLevelType w:val="hybridMultilevel"/>
    <w:tmpl w:val="6F46281A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542552C9"/>
    <w:multiLevelType w:val="hybridMultilevel"/>
    <w:tmpl w:val="D3EC9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E64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97013"/>
    <w:multiLevelType w:val="hybridMultilevel"/>
    <w:tmpl w:val="A490B8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B76D44"/>
    <w:multiLevelType w:val="hybridMultilevel"/>
    <w:tmpl w:val="1062068E"/>
    <w:lvl w:ilvl="0" w:tplc="04150017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61780A12"/>
    <w:multiLevelType w:val="hybridMultilevel"/>
    <w:tmpl w:val="A784F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DA"/>
    <w:rsid w:val="00076EB9"/>
    <w:rsid w:val="00094C14"/>
    <w:rsid w:val="000C2C63"/>
    <w:rsid w:val="000E434B"/>
    <w:rsid w:val="00113689"/>
    <w:rsid w:val="00124CB7"/>
    <w:rsid w:val="00135C15"/>
    <w:rsid w:val="001379CD"/>
    <w:rsid w:val="00190ECD"/>
    <w:rsid w:val="001D27C0"/>
    <w:rsid w:val="002160E0"/>
    <w:rsid w:val="0021732B"/>
    <w:rsid w:val="00226135"/>
    <w:rsid w:val="00262108"/>
    <w:rsid w:val="0026789E"/>
    <w:rsid w:val="00270C36"/>
    <w:rsid w:val="002A266D"/>
    <w:rsid w:val="002A4BFC"/>
    <w:rsid w:val="002C7EA8"/>
    <w:rsid w:val="002E5CED"/>
    <w:rsid w:val="00332638"/>
    <w:rsid w:val="00363795"/>
    <w:rsid w:val="00371B74"/>
    <w:rsid w:val="00373F5A"/>
    <w:rsid w:val="003B22AB"/>
    <w:rsid w:val="003C120F"/>
    <w:rsid w:val="003F06F4"/>
    <w:rsid w:val="00403806"/>
    <w:rsid w:val="00461FBB"/>
    <w:rsid w:val="004847BA"/>
    <w:rsid w:val="004A5BD7"/>
    <w:rsid w:val="004D4D20"/>
    <w:rsid w:val="004E6F24"/>
    <w:rsid w:val="00554C59"/>
    <w:rsid w:val="005C3CED"/>
    <w:rsid w:val="005D270F"/>
    <w:rsid w:val="00601F0F"/>
    <w:rsid w:val="00617200"/>
    <w:rsid w:val="006221A5"/>
    <w:rsid w:val="00634666"/>
    <w:rsid w:val="006A39BF"/>
    <w:rsid w:val="006C2FB7"/>
    <w:rsid w:val="00720925"/>
    <w:rsid w:val="0072249C"/>
    <w:rsid w:val="00727723"/>
    <w:rsid w:val="007538AE"/>
    <w:rsid w:val="007B61B0"/>
    <w:rsid w:val="007D58DB"/>
    <w:rsid w:val="007E086E"/>
    <w:rsid w:val="007E5858"/>
    <w:rsid w:val="007E7509"/>
    <w:rsid w:val="007F71BE"/>
    <w:rsid w:val="008006DA"/>
    <w:rsid w:val="00825F3F"/>
    <w:rsid w:val="0089394A"/>
    <w:rsid w:val="00893CDA"/>
    <w:rsid w:val="008958B2"/>
    <w:rsid w:val="008C0BEF"/>
    <w:rsid w:val="008C249B"/>
    <w:rsid w:val="008E601A"/>
    <w:rsid w:val="0091695A"/>
    <w:rsid w:val="00940E44"/>
    <w:rsid w:val="00944452"/>
    <w:rsid w:val="009739C4"/>
    <w:rsid w:val="0098695B"/>
    <w:rsid w:val="00993F76"/>
    <w:rsid w:val="009F1285"/>
    <w:rsid w:val="00A15942"/>
    <w:rsid w:val="00A26F93"/>
    <w:rsid w:val="00A935BB"/>
    <w:rsid w:val="00AA6A57"/>
    <w:rsid w:val="00AD11F1"/>
    <w:rsid w:val="00B052B7"/>
    <w:rsid w:val="00B7246D"/>
    <w:rsid w:val="00BF4C24"/>
    <w:rsid w:val="00C1175F"/>
    <w:rsid w:val="00C23CC0"/>
    <w:rsid w:val="00C60521"/>
    <w:rsid w:val="00CA1531"/>
    <w:rsid w:val="00CB52EF"/>
    <w:rsid w:val="00CF55C8"/>
    <w:rsid w:val="00D439C3"/>
    <w:rsid w:val="00D45833"/>
    <w:rsid w:val="00D65689"/>
    <w:rsid w:val="00D77F51"/>
    <w:rsid w:val="00D93E45"/>
    <w:rsid w:val="00DD262E"/>
    <w:rsid w:val="00DD684E"/>
    <w:rsid w:val="00DF5C8B"/>
    <w:rsid w:val="00E02B4D"/>
    <w:rsid w:val="00E11A24"/>
    <w:rsid w:val="00E12448"/>
    <w:rsid w:val="00E253C8"/>
    <w:rsid w:val="00E56E8B"/>
    <w:rsid w:val="00E7380E"/>
    <w:rsid w:val="00E946B5"/>
    <w:rsid w:val="00E9568C"/>
    <w:rsid w:val="00EF0C33"/>
    <w:rsid w:val="00F21729"/>
    <w:rsid w:val="00F37736"/>
    <w:rsid w:val="00F543EA"/>
    <w:rsid w:val="00F56337"/>
    <w:rsid w:val="00F82C5E"/>
    <w:rsid w:val="00F948E2"/>
    <w:rsid w:val="00F96CDF"/>
    <w:rsid w:val="00FA345B"/>
    <w:rsid w:val="00FA7097"/>
    <w:rsid w:val="00FD0126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8DB"/>
    <w:pPr>
      <w:spacing w:after="200" w:line="276" w:lineRule="auto"/>
    </w:pPr>
    <w:rPr>
      <w:rFonts w:ascii="Minion" w:hAnsi="Minion"/>
      <w:sz w:val="22"/>
      <w:szCs w:val="22"/>
      <w:lang w:val="en-US"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8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68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684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D684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684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D684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684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D684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8DB"/>
    <w:rPr>
      <w:rFonts w:ascii="Minion" w:hAnsi="Minion"/>
      <w:sz w:val="22"/>
      <w:szCs w:val="22"/>
      <w:lang w:val="en-US" w:eastAsia="zh-TW"/>
    </w:rPr>
  </w:style>
  <w:style w:type="character" w:customStyle="1" w:styleId="Nagwek1Znak">
    <w:name w:val="Nagłówek 1 Znak"/>
    <w:link w:val="Nagwek1"/>
    <w:uiPriority w:val="9"/>
    <w:rsid w:val="00FD7A5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D684E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DD684E"/>
    <w:rPr>
      <w:rFonts w:ascii="Cambria" w:eastAsia="PMingLiU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DD684E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DD684E"/>
    <w:rPr>
      <w:rFonts w:ascii="Cambria" w:eastAsia="PMingLiU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DD684E"/>
    <w:rPr>
      <w:rFonts w:ascii="Cambria" w:eastAsia="PMingLiU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DD684E"/>
    <w:rPr>
      <w:rFonts w:ascii="Cambria" w:eastAsia="PMingLiU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DD684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sid w:val="00DD684E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684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DD684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D684E"/>
    <w:pPr>
      <w:ind w:left="720"/>
      <w:contextualSpacing/>
    </w:pPr>
  </w:style>
  <w:style w:type="character" w:styleId="Tytuksiki">
    <w:name w:val="Book Title"/>
    <w:uiPriority w:val="33"/>
    <w:qFormat/>
    <w:rsid w:val="00DD684E"/>
    <w:rPr>
      <w:b/>
      <w:bCs/>
      <w:smallCaps/>
      <w:spacing w:val="5"/>
    </w:rPr>
  </w:style>
  <w:style w:type="character" w:styleId="Odwoanieintensywne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8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DD684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DD684E"/>
    <w:rPr>
      <w:rFonts w:ascii="Minion" w:hAnsi="Minion"/>
      <w:i/>
      <w:iCs/>
      <w:color w:val="000000"/>
    </w:rPr>
  </w:style>
  <w:style w:type="table" w:styleId="Tabela-Siatka">
    <w:name w:val="Table Grid"/>
    <w:basedOn w:val="Standardowy"/>
    <w:uiPriority w:val="59"/>
    <w:rsid w:val="00800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1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8DB"/>
    <w:pPr>
      <w:spacing w:after="200" w:line="276" w:lineRule="auto"/>
    </w:pPr>
    <w:rPr>
      <w:rFonts w:ascii="Minion" w:hAnsi="Minion"/>
      <w:sz w:val="22"/>
      <w:szCs w:val="22"/>
      <w:lang w:val="en-US"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8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68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684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D684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684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D684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684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D684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8DB"/>
    <w:rPr>
      <w:rFonts w:ascii="Minion" w:hAnsi="Minion"/>
      <w:sz w:val="22"/>
      <w:szCs w:val="22"/>
      <w:lang w:val="en-US" w:eastAsia="zh-TW"/>
    </w:rPr>
  </w:style>
  <w:style w:type="character" w:customStyle="1" w:styleId="Nagwek1Znak">
    <w:name w:val="Nagłówek 1 Znak"/>
    <w:link w:val="Nagwek1"/>
    <w:uiPriority w:val="9"/>
    <w:rsid w:val="00FD7A5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D684E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DD684E"/>
    <w:rPr>
      <w:rFonts w:ascii="Cambria" w:eastAsia="PMingLiU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DD684E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DD684E"/>
    <w:rPr>
      <w:rFonts w:ascii="Cambria" w:eastAsia="PMingLiU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DD684E"/>
    <w:rPr>
      <w:rFonts w:ascii="Cambria" w:eastAsia="PMingLiU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DD684E"/>
    <w:rPr>
      <w:rFonts w:ascii="Cambria" w:eastAsia="PMingLiU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DD684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sid w:val="00DD684E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684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DD684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D684E"/>
    <w:pPr>
      <w:ind w:left="720"/>
      <w:contextualSpacing/>
    </w:pPr>
  </w:style>
  <w:style w:type="character" w:styleId="Tytuksiki">
    <w:name w:val="Book Title"/>
    <w:uiPriority w:val="33"/>
    <w:qFormat/>
    <w:rsid w:val="00DD684E"/>
    <w:rPr>
      <w:b/>
      <w:bCs/>
      <w:smallCaps/>
      <w:spacing w:val="5"/>
    </w:rPr>
  </w:style>
  <w:style w:type="character" w:styleId="Odwoanieintensywne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8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DD684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DD684E"/>
    <w:rPr>
      <w:rFonts w:ascii="Minion" w:hAnsi="Minion"/>
      <w:i/>
      <w:iCs/>
      <w:color w:val="000000"/>
    </w:rPr>
  </w:style>
  <w:style w:type="table" w:styleId="Tabela-Siatka">
    <w:name w:val="Table Grid"/>
    <w:basedOn w:val="Standardowy"/>
    <w:uiPriority w:val="59"/>
    <w:rsid w:val="00800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15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B5C0940E7F4EB5D7CD3CD9C004ED" ma:contentTypeVersion="0" ma:contentTypeDescription="Create a new document." ma:contentTypeScope="" ma:versionID="3ed15ceaeecc0672e54429a4eadd129d">
  <xsd:schema xmlns:xsd="http://www.w3.org/2001/XMLSchema" xmlns:p="http://schemas.microsoft.com/office/2006/metadata/properties" targetNamespace="http://schemas.microsoft.com/office/2006/metadata/properties" ma:root="true" ma:fieldsID="e1f84af69fa35d0b8840690b3c766d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7216-CD8F-4651-8F66-769714C9D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5F3532-1B7A-414F-AD4E-D9A874C2BE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C073F9-F095-4034-AB74-D1FA2D660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7A0B8-A0D5-4CCC-94B6-23D9E3385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19DFFB-354A-4A92-BB5D-BC6E3A5A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2014-02-14T18:47:00Z</cp:lastPrinted>
  <dcterms:created xsi:type="dcterms:W3CDTF">2014-02-14T18:29:00Z</dcterms:created>
  <dcterms:modified xsi:type="dcterms:W3CDTF">2014-02-14T18:48:00Z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