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2B4EBD31"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7F0C61">
        <w:rPr>
          <w:rFonts w:ascii="Arial" w:hAnsi="Arial" w:cs="Arial"/>
          <w:iCs/>
          <w:sz w:val="16"/>
          <w:szCs w:val="28"/>
          <w:lang w:eastAsia="x-none"/>
        </w:rPr>
        <w:t>26</w:t>
      </w:r>
      <w:r w:rsidRPr="006C730D">
        <w:rPr>
          <w:rFonts w:ascii="Arial" w:hAnsi="Arial" w:cs="Arial"/>
          <w:iCs/>
          <w:sz w:val="16"/>
          <w:szCs w:val="28"/>
          <w:lang w:eastAsia="x-none"/>
        </w:rPr>
        <w:t>.</w:t>
      </w:r>
      <w:r w:rsidR="00901618">
        <w:rPr>
          <w:rFonts w:ascii="Arial" w:hAnsi="Arial" w:cs="Arial"/>
          <w:iCs/>
          <w:sz w:val="16"/>
          <w:szCs w:val="28"/>
          <w:lang w:eastAsia="x-none"/>
        </w:rPr>
        <w:t>01</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EC0308"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556D8868" w:rsidR="00D95E2F" w:rsidRPr="0020067E" w:rsidRDefault="00C654B9" w:rsidP="0020067E">
            <w:pPr>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1629B720" w:rsidR="00D95E2F" w:rsidRPr="0020067E" w:rsidRDefault="00C654B9"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na dzień 26 stycznia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4697384E" w:rsidR="00D95E2F" w:rsidRPr="0020067E" w:rsidRDefault="00C654B9" w:rsidP="0020067E">
            <w:pPr>
              <w:snapToGrid w:val="0"/>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70AF2877" w:rsidR="00D95E2F" w:rsidRPr="0020067E" w:rsidRDefault="00C654B9"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294290FD"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5F5115F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7D78F16E"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70D1707D" w:rsidR="00D95E2F" w:rsidRPr="0020067E" w:rsidRDefault="00C654B9"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6AF68CC0" w:rsidR="00D95E2F" w:rsidRPr="0020067E" w:rsidRDefault="00C654B9"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FD3532" w:rsidRPr="0020067E">
              <w:rPr>
                <w:rFonts w:ascii="Arial" w:hAnsi="Arial" w:cs="Arial"/>
                <w:sz w:val="19"/>
                <w:szCs w:val="19"/>
                <w:lang w:val="pl-PL"/>
              </w:rPr>
              <w:t>PW.</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1D72AEAB" w:rsidR="00D95E2F" w:rsidRPr="0020067E" w:rsidRDefault="00C654B9"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FD3532" w:rsidRPr="0020067E">
              <w:rPr>
                <w:rFonts w:ascii="Arial" w:hAnsi="Arial" w:cs="Arial"/>
                <w:sz w:val="19"/>
                <w:szCs w:val="19"/>
              </w:rPr>
              <w:t>PW.</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471B7F23" w:rsidR="00D95E2F" w:rsidRPr="0020067E" w:rsidRDefault="00C654B9" w:rsidP="0020067E">
            <w:pPr>
              <w:snapToGrid w:val="0"/>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03875DC9" w:rsidR="00D95E2F" w:rsidRPr="0020067E" w:rsidRDefault="00C654B9" w:rsidP="0020067E">
            <w:pPr>
              <w:pStyle w:val="Tekstkomentarza"/>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72023F" w:rsidRPr="0020067E">
              <w:rPr>
                <w:rFonts w:ascii="Arial" w:hAnsi="Arial" w:cs="Arial"/>
                <w:sz w:val="19"/>
                <w:szCs w:val="19"/>
              </w:rPr>
              <w:t>projekt po UZ i KS.</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6E71B5CC" w:rsidR="00D95E2F" w:rsidRPr="0020067E" w:rsidRDefault="00C654B9" w:rsidP="0020067E">
            <w:pPr>
              <w:spacing w:before="80" w:after="80"/>
              <w:jc w:val="both"/>
              <w:rPr>
                <w:rFonts w:ascii="Arial" w:hAnsi="Arial" w:cs="Arial"/>
                <w:w w:val="101"/>
                <w:sz w:val="19"/>
                <w:szCs w:val="19"/>
              </w:rPr>
            </w:pPr>
            <w:r>
              <w:rPr>
                <w:rFonts w:ascii="Arial" w:hAnsi="Arial" w:cs="Arial"/>
                <w:w w:val="101"/>
                <w:sz w:val="19"/>
                <w:szCs w:val="19"/>
              </w:rPr>
              <w:t xml:space="preserve">Stan prac na dzień 26 stycznia 2022 r. </w:t>
            </w:r>
            <w:r w:rsidR="00FE66D7">
              <w:rPr>
                <w:rFonts w:ascii="Arial" w:hAnsi="Arial" w:cs="Arial"/>
                <w:w w:val="101"/>
                <w:sz w:val="19"/>
                <w:szCs w:val="19"/>
              </w:rPr>
              <w:t xml:space="preserve">– </w:t>
            </w:r>
            <w:r w:rsidR="0072023F" w:rsidRPr="0020067E">
              <w:rPr>
                <w:rFonts w:ascii="Arial" w:hAnsi="Arial" w:cs="Arial"/>
                <w:w w:val="101"/>
                <w:sz w:val="19"/>
                <w:szCs w:val="19"/>
              </w:rPr>
              <w:t xml:space="preserve">UW.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21E66AD6" w:rsidR="00D95E2F" w:rsidRPr="0020067E" w:rsidRDefault="00C654B9"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na dzień 26 stycznia 2022 r. </w:t>
            </w:r>
            <w:r w:rsidR="00FE66D7">
              <w:rPr>
                <w:rFonts w:ascii="Arial" w:hAnsi="Arial" w:cs="Arial"/>
                <w:sz w:val="19"/>
                <w:szCs w:val="19"/>
                <w:lang w:val="pl-PL" w:eastAsia="pl-PL"/>
              </w:rPr>
              <w:t xml:space="preserve">– </w:t>
            </w:r>
            <w:r w:rsidR="0072023F" w:rsidRPr="0020067E">
              <w:rPr>
                <w:rFonts w:ascii="Arial" w:hAnsi="Arial" w:cs="Arial"/>
                <w:sz w:val="19"/>
                <w:szCs w:val="19"/>
                <w:lang w:val="pl-PL" w:eastAsia="pl-PL"/>
              </w:rPr>
              <w:t xml:space="preserve">PW.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70FB52EB" w:rsidR="00D95E2F" w:rsidRPr="0020067E" w:rsidRDefault="00C654B9"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na dzień 26 stycznia 2022 r. </w:t>
            </w:r>
            <w:r w:rsidR="00FE66D7">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0E8985F3" w:rsidR="00D95E2F" w:rsidRPr="0020067E" w:rsidRDefault="00C654B9" w:rsidP="0020067E">
            <w:pPr>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726E344D" w:rsidR="00D95E2F" w:rsidRPr="0020067E" w:rsidRDefault="00C654B9" w:rsidP="0020067E">
            <w:pPr>
              <w:snapToGrid w:val="0"/>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150BECA3"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696171" w:rsidRPr="0020067E">
              <w:rPr>
                <w:rFonts w:ascii="Arial" w:hAnsi="Arial" w:cs="Arial"/>
                <w:sz w:val="19"/>
                <w:szCs w:val="19"/>
                <w:lang w:val="pl-PL"/>
              </w:rPr>
              <w:t>PW.</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630797F2" w:rsidR="00D95E2F" w:rsidRPr="0020067E" w:rsidRDefault="00C654B9"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4ABCF5EA" w:rsidR="00D95E2F" w:rsidRPr="0020067E" w:rsidRDefault="00C654B9"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131B8F2C" w:rsidR="00D95E2F" w:rsidRPr="0020067E" w:rsidRDefault="00C654B9" w:rsidP="0020067E">
            <w:pPr>
              <w:spacing w:before="80" w:after="80"/>
              <w:jc w:val="both"/>
              <w:rPr>
                <w:rFonts w:ascii="Arial" w:hAnsi="Arial" w:cs="Arial"/>
                <w:w w:val="101"/>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56E3B8C6"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69C47750"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06687650"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 xml:space="preserve">Stan prac na dzień 26 stycznia 2022 r. </w:t>
            </w:r>
            <w:r w:rsidR="00FE66D7">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4F75C921"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696171" w:rsidRPr="0020067E">
              <w:rPr>
                <w:rFonts w:ascii="Arial" w:hAnsi="Arial" w:cs="Arial"/>
                <w:sz w:val="19"/>
                <w:szCs w:val="19"/>
                <w:lang w:val="pl-PL"/>
              </w:rPr>
              <w:t xml:space="preserve">PW.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26026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E493B9" w14:textId="776059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17 ust. 10 ustawy z dnia 5 grudnia 2008 r. o zapobieganiu oraz zwalczaniu zakażeń i chorób zakaźnych u ludzi </w:t>
            </w:r>
          </w:p>
          <w:p w14:paraId="7103CFB5"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6B1B08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wykaz chorób zakaźnych objętych obowiązkiem szczepień ochronnych,</w:t>
            </w:r>
          </w:p>
          <w:p w14:paraId="07145B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3)   kwalifikacje osób przeprowadzających szczepienia ochronne,</w:t>
            </w:r>
          </w:p>
          <w:p w14:paraId="236DE82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sposób przeprowadzania szczepień ochronnych,</w:t>
            </w:r>
          </w:p>
          <w:p w14:paraId="4A70F38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tryb przeprowadzania konsultacji specjalistycznej, o której mowa w ust. 5,</w:t>
            </w:r>
          </w:p>
          <w:p w14:paraId="6A3B01B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6)   wzory zaświadczenia, o którym mowa w ust. 4, książeczki szczepień oraz karty uodpornienia,</w:t>
            </w:r>
          </w:p>
          <w:p w14:paraId="74BEBA5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7)   sposób prowadzenia dokumentacji, o której mowa w ust. 8 pkt 1, i jej obiegu,</w:t>
            </w:r>
          </w:p>
          <w:p w14:paraId="53FFF0DA" w14:textId="6D2CC1A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8)   wzory sprawozdań z przeprowadzonych obowiązkowych szczepień ochronnych oraz tryb i terminy ich przekazywania.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20067E">
              <w:rPr>
                <w:rFonts w:ascii="Arial" w:hAnsi="Arial" w:cs="Arial"/>
                <w:sz w:val="19"/>
                <w:szCs w:val="19"/>
              </w:rPr>
              <w:t>Streptococcus</w:t>
            </w:r>
            <w:proofErr w:type="spellEnd"/>
            <w:r w:rsidRPr="0020067E">
              <w:rPr>
                <w:rFonts w:ascii="Arial" w:hAnsi="Arial" w:cs="Arial"/>
                <w:sz w:val="19"/>
                <w:szCs w:val="19"/>
              </w:rPr>
              <w:t xml:space="preserve"> </w:t>
            </w:r>
            <w:proofErr w:type="spellStart"/>
            <w:r w:rsidRPr="0020067E">
              <w:rPr>
                <w:rFonts w:ascii="Arial" w:hAnsi="Arial" w:cs="Arial"/>
                <w:sz w:val="19"/>
                <w:szCs w:val="19"/>
              </w:rPr>
              <w:t>pneumoniae</w:t>
            </w:r>
            <w:proofErr w:type="spellEnd"/>
            <w:r w:rsidRPr="0020067E">
              <w:rPr>
                <w:rFonts w:ascii="Arial" w:hAnsi="Arial" w:cs="Arial"/>
                <w:sz w:val="19"/>
                <w:szCs w:val="19"/>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36B8E495" w14:textId="674B882A" w:rsidR="00D95E2F" w:rsidRPr="0020067E" w:rsidRDefault="00C654B9"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FA6D13">
              <w:rPr>
                <w:rFonts w:ascii="Arial" w:hAnsi="Arial" w:cs="Arial"/>
                <w:sz w:val="19"/>
                <w:szCs w:val="19"/>
              </w:rPr>
              <w:t>prace wstrzymane</w:t>
            </w:r>
            <w:r w:rsidR="00E57CFE" w:rsidRPr="0020067E">
              <w:rPr>
                <w:rFonts w:ascii="Arial" w:hAnsi="Arial" w:cs="Arial"/>
                <w:sz w:val="19"/>
                <w:szCs w:val="19"/>
              </w:rPr>
              <w:t xml:space="preserve">. </w:t>
            </w: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21E79F56" w:rsidR="00D95E2F" w:rsidRPr="0020067E" w:rsidRDefault="00C654B9"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E57CFE" w:rsidRPr="0020067E">
              <w:rPr>
                <w:rFonts w:ascii="Arial" w:hAnsi="Arial" w:cs="Arial"/>
                <w:sz w:val="19"/>
                <w:szCs w:val="19"/>
              </w:rPr>
              <w:t>PW.</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044C479A" w:rsidR="00D95E2F" w:rsidRPr="0020067E" w:rsidRDefault="00C654B9"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 xml:space="preserve">ów nowelizowanego </w:t>
            </w:r>
            <w:r w:rsidRPr="0020067E">
              <w:rPr>
                <w:rFonts w:ascii="Arial" w:eastAsia="Calibri" w:hAnsi="Arial" w:cs="Arial"/>
                <w:sz w:val="19"/>
                <w:szCs w:val="19"/>
                <w:lang w:eastAsia="x-none"/>
              </w:rPr>
              <w:lastRenderedPageBreak/>
              <w:t>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6D37AA76"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na dzień 26 stycznia 2022 r. </w:t>
            </w:r>
            <w:r w:rsidR="00FE66D7">
              <w:rPr>
                <w:rFonts w:ascii="Arial" w:hAnsi="Arial" w:cs="Arial"/>
                <w:sz w:val="19"/>
                <w:szCs w:val="19"/>
                <w:lang w:val="pl-PL" w:eastAsia="pl-PL"/>
              </w:rPr>
              <w:t xml:space="preserve">– </w:t>
            </w:r>
            <w:r w:rsidR="00E57CFE" w:rsidRPr="0020067E">
              <w:rPr>
                <w:rFonts w:ascii="Arial" w:hAnsi="Arial" w:cs="Arial"/>
                <w:sz w:val="19"/>
                <w:szCs w:val="19"/>
                <w:lang w:val="pl-PL" w:eastAsia="pl-PL"/>
              </w:rPr>
              <w:t xml:space="preserve">projekt po UZ i KS.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2DD0C60D" w:rsidR="00D95E2F" w:rsidRPr="0020067E" w:rsidRDefault="00C654B9"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na dzień 26 stycznia 2022 r. </w:t>
            </w:r>
            <w:r w:rsidR="00FE66D7">
              <w:rPr>
                <w:rFonts w:ascii="Arial" w:eastAsia="Calibri" w:hAnsi="Arial" w:cs="Arial"/>
                <w:sz w:val="19"/>
                <w:szCs w:val="19"/>
                <w:lang w:val="pl-PL" w:eastAsia="pl-PL"/>
              </w:rPr>
              <w:t xml:space="preserve">– </w:t>
            </w:r>
            <w:r w:rsidR="00E57CFE" w:rsidRPr="0020067E">
              <w:rPr>
                <w:rFonts w:ascii="Arial" w:eastAsia="Calibri" w:hAnsi="Arial" w:cs="Arial"/>
                <w:sz w:val="19"/>
                <w:szCs w:val="19"/>
                <w:lang w:val="pl-PL" w:eastAsia="pl-PL"/>
              </w:rPr>
              <w:t>po KP.</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76E1181C"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w:t>
            </w:r>
            <w:r w:rsidRPr="0020067E">
              <w:rPr>
                <w:rFonts w:ascii="Arial" w:hAnsi="Arial" w:cs="Arial"/>
                <w:sz w:val="19"/>
                <w:szCs w:val="19"/>
              </w:rPr>
              <w:lastRenderedPageBreak/>
              <w:t>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6BC71035"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12062990" w:rsidR="00D95E2F" w:rsidRPr="0020067E" w:rsidRDefault="00C654B9" w:rsidP="0020067E">
            <w:pPr>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5A211213"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63F6CF40" w:rsidR="00D95E2F" w:rsidRPr="0020067E" w:rsidRDefault="00C654B9"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26 stycznia 2022 r. </w:t>
            </w:r>
            <w:r w:rsidR="00FE66D7">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w:t>
            </w:r>
            <w:r w:rsidRPr="0020067E">
              <w:rPr>
                <w:rFonts w:ascii="Arial" w:hAnsi="Arial" w:cs="Arial"/>
                <w:sz w:val="19"/>
                <w:szCs w:val="19"/>
              </w:rPr>
              <w:lastRenderedPageBreak/>
              <w:t xml:space="preserve">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lastRenderedPageBreak/>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6CE36927" w:rsidR="00D95E2F" w:rsidRPr="0020067E" w:rsidRDefault="00C654B9"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74FC6F5D"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w:t>
            </w:r>
            <w:r w:rsidRPr="0020067E">
              <w:rPr>
                <w:rFonts w:ascii="Arial" w:hAnsi="Arial" w:cs="Arial"/>
                <w:sz w:val="19"/>
                <w:szCs w:val="19"/>
              </w:rPr>
              <w:lastRenderedPageBreak/>
              <w:t xml:space="preserve">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7D0EB07B"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w:t>
            </w:r>
            <w:r w:rsidRPr="0020067E">
              <w:rPr>
                <w:rFonts w:ascii="Arial" w:hAnsi="Arial" w:cs="Arial"/>
                <w:sz w:val="19"/>
                <w:szCs w:val="19"/>
              </w:rPr>
              <w:lastRenderedPageBreak/>
              <w:t>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77AB24B1"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w:t>
            </w:r>
            <w:r w:rsidRPr="0020067E">
              <w:rPr>
                <w:rFonts w:ascii="Arial" w:hAnsi="Arial" w:cs="Arial"/>
                <w:sz w:val="19"/>
                <w:szCs w:val="19"/>
              </w:rPr>
              <w:lastRenderedPageBreak/>
              <w:t>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komórki organizacyjnej – dodanie kwalifikacji innych profesjonalistów medycznych niż lekarz </w:t>
            </w:r>
            <w:r w:rsidRPr="0020067E">
              <w:rPr>
                <w:rFonts w:ascii="Arial" w:hAnsi="Arial" w:cs="Arial"/>
                <w:sz w:val="19"/>
                <w:szCs w:val="19"/>
              </w:rPr>
              <w:lastRenderedPageBreak/>
              <w:t>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7D7EE4C8"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20067E">
              <w:rPr>
                <w:rFonts w:ascii="Arial" w:hAnsi="Arial" w:cs="Arial"/>
                <w:sz w:val="19"/>
                <w:szCs w:val="19"/>
              </w:rPr>
              <w:lastRenderedPageBreak/>
              <w:t>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2D77E6B4"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33FC042B"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t>
            </w:r>
            <w:r w:rsidRPr="0020067E">
              <w:rPr>
                <w:rFonts w:ascii="Arial" w:hAnsi="Arial" w:cs="Arial"/>
                <w:sz w:val="19"/>
                <w:szCs w:val="19"/>
              </w:rPr>
              <w:lastRenderedPageBreak/>
              <w:t>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2683CCAB"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w:t>
            </w:r>
            <w:r w:rsidRPr="0020067E">
              <w:rPr>
                <w:rFonts w:ascii="Arial" w:hAnsi="Arial" w:cs="Arial"/>
                <w:sz w:val="19"/>
                <w:szCs w:val="19"/>
              </w:rPr>
              <w:lastRenderedPageBreak/>
              <w:t>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6853886C" w:rsidR="00D95E2F" w:rsidRPr="0020067E" w:rsidRDefault="00C654B9"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55ACC0FF" w:rsidR="00D95E2F" w:rsidRPr="0020067E" w:rsidRDefault="00C654B9"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w:t>
            </w:r>
            <w:r w:rsidRPr="0020067E">
              <w:rPr>
                <w:rFonts w:ascii="Arial" w:hAnsi="Arial" w:cs="Arial"/>
                <w:sz w:val="19"/>
                <w:szCs w:val="19"/>
              </w:rPr>
              <w:lastRenderedPageBreak/>
              <w:t>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w:t>
            </w:r>
            <w:r w:rsidRPr="0020067E">
              <w:rPr>
                <w:rFonts w:ascii="Arial" w:hAnsi="Arial" w:cs="Arial"/>
                <w:sz w:val="19"/>
                <w:szCs w:val="19"/>
              </w:rPr>
              <w:lastRenderedPageBreak/>
              <w:t>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23347E8A" w:rsidR="00D95E2F" w:rsidRPr="0020067E" w:rsidRDefault="00C654B9"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EC0308"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570BE21D" w:rsidR="00D95E2F" w:rsidRPr="0020067E" w:rsidRDefault="00C654B9"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26 stycznia 2022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w:t>
            </w:r>
            <w:r w:rsidRPr="0020067E">
              <w:rPr>
                <w:rFonts w:ascii="Arial" w:hAnsi="Arial" w:cs="Arial"/>
                <w:sz w:val="19"/>
                <w:szCs w:val="19"/>
              </w:rPr>
              <w:lastRenderedPageBreak/>
              <w:t xml:space="preserve">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lastRenderedPageBreak/>
              <w:t>Pan Waldemar Kraska Sekretarz Stanu</w:t>
            </w:r>
          </w:p>
        </w:tc>
        <w:tc>
          <w:tcPr>
            <w:tcW w:w="2362" w:type="dxa"/>
            <w:shd w:val="clear" w:color="auto" w:fill="FFFFFF"/>
          </w:tcPr>
          <w:p w14:paraId="2B370A5F" w14:textId="38BE5E84" w:rsidR="00D95E2F" w:rsidRPr="0020067E" w:rsidRDefault="00C654B9"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26 stycznia 2022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0673A352" w:rsidR="00D95E2F" w:rsidRPr="0020067E" w:rsidRDefault="00C654B9"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26 stycznia 2022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37C95022" w:rsidR="00D95E2F" w:rsidRPr="0020067E" w:rsidRDefault="00C654B9"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26 stycznia 2022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 xml:space="preserve">Piotr </w:t>
            </w:r>
            <w:proofErr w:type="spellStart"/>
            <w:r w:rsidR="001F788A">
              <w:rPr>
                <w:rFonts w:ascii="Arial" w:hAnsi="Arial" w:cs="Arial"/>
                <w:sz w:val="19"/>
                <w:szCs w:val="19"/>
              </w:rPr>
              <w:t>Bromber</w:t>
            </w:r>
            <w:proofErr w:type="spellEnd"/>
            <w:r w:rsidR="001F788A">
              <w:rPr>
                <w:rFonts w:ascii="Arial" w:hAnsi="Arial" w:cs="Arial"/>
                <w:sz w:val="19"/>
                <w:szCs w:val="19"/>
              </w:rPr>
              <w:t>,</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34D643CE" w:rsidR="00D95E2F" w:rsidRPr="0020067E" w:rsidRDefault="00C654B9"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26 stycznia 2022 r. </w:t>
            </w:r>
            <w:r w:rsidR="00FE66D7">
              <w:rPr>
                <w:rFonts w:ascii="Arial" w:hAnsi="Arial" w:cs="Arial"/>
                <w:sz w:val="19"/>
                <w:szCs w:val="19"/>
                <w:lang w:eastAsia="x-none"/>
              </w:rPr>
              <w:t xml:space="preserve">– </w:t>
            </w:r>
            <w:r w:rsidR="00006842" w:rsidRPr="0020067E">
              <w:rPr>
                <w:rFonts w:ascii="Arial" w:hAnsi="Arial" w:cs="Arial"/>
                <w:sz w:val="19"/>
                <w:szCs w:val="19"/>
                <w:lang w:eastAsia="x-none"/>
              </w:rPr>
              <w:t xml:space="preserve">PW.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1F243BDE" w:rsidR="00D95E2F" w:rsidRPr="0020067E" w:rsidRDefault="00C654B9"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26 stycznia 2022 r. </w:t>
            </w:r>
            <w:r w:rsidR="00FE66D7">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obowiązki lekarza lub felczera w przypadku podejrzenia lub rozpoznania zakażenia lub choroby zakaźnej powodujących powstanie </w:t>
            </w:r>
            <w:r w:rsidRPr="0020067E">
              <w:rPr>
                <w:rFonts w:ascii="Arial" w:hAnsi="Arial" w:cs="Arial"/>
                <w:sz w:val="19"/>
                <w:szCs w:val="19"/>
              </w:rPr>
              <w:lastRenderedPageBreak/>
              <w:t>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lastRenderedPageBreak/>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08EEA1C3" w:rsidR="00D95E2F" w:rsidRPr="0020067E" w:rsidRDefault="00C654B9"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26 stycznia 2022 r. </w:t>
            </w:r>
            <w:r w:rsidR="00FE66D7">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w:t>
            </w:r>
            <w:r w:rsidRPr="0020067E">
              <w:rPr>
                <w:rFonts w:ascii="Arial" w:hAnsi="Arial" w:cs="Arial"/>
                <w:color w:val="000000"/>
                <w:sz w:val="19"/>
                <w:szCs w:val="19"/>
              </w:rPr>
              <w:lastRenderedPageBreak/>
              <w:t>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lastRenderedPageBreak/>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01729BA7" w:rsidR="00D95E2F" w:rsidRPr="0020067E" w:rsidRDefault="00C654B9"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26 stycznia 2022 r. </w:t>
            </w:r>
            <w:r w:rsidR="00FE66D7">
              <w:rPr>
                <w:rFonts w:ascii="Arial" w:hAnsi="Arial" w:cs="Arial"/>
                <w:color w:val="000000"/>
                <w:sz w:val="19"/>
                <w:szCs w:val="19"/>
              </w:rPr>
              <w:t xml:space="preserve">– </w:t>
            </w:r>
            <w:r w:rsidR="004F0FEA" w:rsidRPr="0020067E">
              <w:rPr>
                <w:rFonts w:ascii="Arial" w:hAnsi="Arial" w:cs="Arial"/>
                <w:color w:val="000000"/>
                <w:sz w:val="19"/>
                <w:szCs w:val="19"/>
              </w:rPr>
              <w:t>projekt przed UZ i KS.</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7765CFBF" w:rsidR="00D95E2F" w:rsidRPr="0020067E" w:rsidRDefault="00C654B9"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26 stycznia 2022 r. </w:t>
            </w:r>
            <w:r w:rsidR="00FE66D7">
              <w:rPr>
                <w:rFonts w:ascii="Arial" w:hAnsi="Arial" w:cs="Arial"/>
                <w:color w:val="000000"/>
                <w:sz w:val="19"/>
                <w:szCs w:val="19"/>
              </w:rPr>
              <w:t xml:space="preserve">– </w:t>
            </w:r>
            <w:r w:rsidR="004F0FEA" w:rsidRPr="0020067E">
              <w:rPr>
                <w:rFonts w:ascii="Arial" w:hAnsi="Arial" w:cs="Arial"/>
                <w:color w:val="000000"/>
                <w:sz w:val="19"/>
                <w:szCs w:val="19"/>
              </w:rPr>
              <w:t>UW.</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Minister właściwy do spraw zdrowia, po zasięgnięciu opinii Naczelnej Rady Pielęgniarek i Położnych, określi, w drodze rozporządzenia, wzory dokumentów, o których mowa w ust. 1, mając na względzie treść </w:t>
            </w:r>
            <w:r w:rsidRPr="0020067E">
              <w:rPr>
                <w:rFonts w:ascii="Arial" w:eastAsia="Calibri" w:hAnsi="Arial" w:cs="Arial"/>
                <w:sz w:val="19"/>
                <w:szCs w:val="19"/>
                <w:lang w:eastAsia="en-US"/>
              </w:rPr>
              <w:lastRenderedPageBreak/>
              <w:t>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lastRenderedPageBreak/>
              <w:t xml:space="preserve">Celem wprowadzenia nowych wzorów dokumentów w projekcie rozporządzenia jest realizacja ustawowego obowiązku nałożonego na emitenta dokumentów publicznych w związku zasadami funkcjonowania systemu bezpieczeństwa dokumentów </w:t>
            </w:r>
            <w:r w:rsidRPr="0020067E">
              <w:rPr>
                <w:rFonts w:ascii="Arial" w:eastAsia="Calibri" w:hAnsi="Arial" w:cs="Arial"/>
                <w:color w:val="000000"/>
                <w:sz w:val="19"/>
                <w:szCs w:val="19"/>
                <w:lang w:eastAsia="en-US"/>
              </w:rPr>
              <w:lastRenderedPageBreak/>
              <w:t xml:space="preserve">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lastRenderedPageBreak/>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00D10A61" w:rsidR="00D95E2F" w:rsidRPr="0020067E" w:rsidRDefault="00C654B9"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195BF3">
              <w:rPr>
                <w:rFonts w:ascii="Arial" w:hAnsi="Arial" w:cs="Arial"/>
                <w:color w:val="000000"/>
                <w:sz w:val="19"/>
                <w:szCs w:val="19"/>
              </w:rPr>
              <w:t>projekt po UZ i KS</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3) wykaz i rodzaje przetworów grzybowych dopuszczonych do </w:t>
            </w:r>
            <w:r w:rsidRPr="008506A3">
              <w:rPr>
                <w:rFonts w:ascii="Arial" w:eastAsia="Calibri" w:hAnsi="Arial" w:cs="Arial"/>
                <w:sz w:val="19"/>
                <w:szCs w:val="19"/>
                <w:lang w:eastAsia="en-US"/>
              </w:rPr>
              <w:lastRenderedPageBreak/>
              <w:t>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6FA86AEF" w:rsidR="008506A3" w:rsidRDefault="00C654B9"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8506A3">
              <w:rPr>
                <w:rFonts w:ascii="Arial" w:hAnsi="Arial" w:cs="Arial"/>
                <w:color w:val="000000"/>
                <w:sz w:val="19"/>
                <w:szCs w:val="19"/>
              </w:rPr>
              <w:t xml:space="preserve">projekt na etapie </w:t>
            </w:r>
            <w:r w:rsidR="00AC5E0F">
              <w:rPr>
                <w:rFonts w:ascii="Arial" w:hAnsi="Arial" w:cs="Arial"/>
                <w:color w:val="000000"/>
                <w:sz w:val="19"/>
                <w:szCs w:val="19"/>
              </w:rPr>
              <w:t>notyfikacji</w:t>
            </w:r>
            <w:r w:rsidR="006D21A7">
              <w:rPr>
                <w:rFonts w:ascii="Arial" w:hAnsi="Arial" w:cs="Arial"/>
                <w:color w:val="000000"/>
                <w:sz w:val="19"/>
                <w:szCs w:val="19"/>
              </w:rPr>
              <w:t xml:space="preserve"> (</w:t>
            </w:r>
            <w:proofErr w:type="spellStart"/>
            <w:r w:rsidR="006D21A7">
              <w:rPr>
                <w:rFonts w:ascii="Arial" w:hAnsi="Arial" w:cs="Arial"/>
                <w:color w:val="000000"/>
                <w:sz w:val="19"/>
                <w:szCs w:val="19"/>
              </w:rPr>
              <w:t>standstill</w:t>
            </w:r>
            <w:proofErr w:type="spellEnd"/>
            <w:r w:rsidR="006D21A7">
              <w:rPr>
                <w:rFonts w:ascii="Arial" w:hAnsi="Arial" w:cs="Arial"/>
                <w:color w:val="000000"/>
                <w:sz w:val="19"/>
                <w:szCs w:val="19"/>
              </w:rPr>
              <w:t xml:space="preserve"> do 17.03.2022)</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lastRenderedPageBreak/>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5BF68BA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1C57AB3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(uchylona)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5) warunki i tryb przeprowadzania egzaminu po kursie kwalifikacyjnym 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 kierując się obowiązkiem zapewnienia właściwej jakości i dostępności kształcenia podyplomowego, z zachowaniem </w:t>
            </w:r>
            <w:r w:rsidRPr="002D4A99">
              <w:rPr>
                <w:rFonts w:ascii="Arial" w:eastAsia="Calibri" w:hAnsi="Arial" w:cs="Arial"/>
                <w:sz w:val="19"/>
                <w:szCs w:val="19"/>
                <w:lang w:eastAsia="en-US"/>
              </w:rPr>
              <w:lastRenderedPageBreak/>
              <w:t>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 xml:space="preserve">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w:t>
            </w:r>
            <w:r w:rsidRPr="002D4A99">
              <w:rPr>
                <w:rFonts w:ascii="Arial" w:eastAsia="Calibri" w:hAnsi="Arial" w:cs="Arial"/>
                <w:color w:val="000000"/>
                <w:sz w:val="19"/>
                <w:szCs w:val="19"/>
                <w:lang w:eastAsia="en-US"/>
              </w:rPr>
              <w:lastRenderedPageBreak/>
              <w:t>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4E8730BE" w:rsidR="008506A3" w:rsidRDefault="00C654B9"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2D4A99">
              <w:rPr>
                <w:rFonts w:ascii="Arial" w:hAnsi="Arial" w:cs="Arial"/>
                <w:color w:val="000000"/>
                <w:sz w:val="19"/>
                <w:szCs w:val="19"/>
              </w:rPr>
              <w:t>projekt na etapie UZ i KS.</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6375787F" w:rsidR="004B3D10" w:rsidRDefault="00C654B9"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4B3D10">
              <w:rPr>
                <w:rFonts w:ascii="Arial" w:hAnsi="Arial" w:cs="Arial"/>
                <w:color w:val="000000"/>
                <w:sz w:val="19"/>
                <w:szCs w:val="19"/>
              </w:rPr>
              <w:t>projekt na etapie UZ i KS.</w:t>
            </w:r>
          </w:p>
        </w:tc>
      </w:tr>
      <w:tr w:rsidR="004B3D10" w:rsidRPr="00F873E4" w14:paraId="2FBDB34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B91FB7"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2764A" w14:textId="4AAB7C4C" w:rsidR="004B3D10" w:rsidRPr="004B3D10" w:rsidRDefault="000027BF" w:rsidP="0020067E">
            <w:pPr>
              <w:spacing w:before="80" w:after="80"/>
              <w:jc w:val="both"/>
              <w:rPr>
                <w:rFonts w:ascii="Arial" w:hAnsi="Arial" w:cs="Arial"/>
                <w:b/>
                <w:bCs/>
                <w:color w:val="FF0000"/>
                <w:sz w:val="19"/>
                <w:szCs w:val="19"/>
              </w:rPr>
            </w:pPr>
            <w:r w:rsidRPr="000027BF">
              <w:rPr>
                <w:rFonts w:ascii="Arial" w:hAnsi="Arial" w:cs="Arial"/>
                <w:b/>
                <w:bCs/>
                <w:color w:val="FF0000"/>
                <w:sz w:val="19"/>
                <w:szCs w:val="19"/>
              </w:rPr>
              <w:t>MZ 1126</w:t>
            </w:r>
          </w:p>
        </w:tc>
        <w:tc>
          <w:tcPr>
            <w:tcW w:w="2268" w:type="dxa"/>
            <w:shd w:val="clear" w:color="auto" w:fill="FFFFFF"/>
          </w:tcPr>
          <w:p w14:paraId="0080C150" w14:textId="7D8AFB0E" w:rsidR="004B3D10" w:rsidRPr="004B3D10" w:rsidRDefault="000027BF" w:rsidP="004B3D10">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art. 18 ust. 9 ustawy z dnia 5 grudnia 1996 r. o zawodach lekarza i lekarza dentysty </w:t>
            </w:r>
          </w:p>
        </w:tc>
        <w:tc>
          <w:tcPr>
            <w:tcW w:w="3260" w:type="dxa"/>
            <w:shd w:val="clear" w:color="auto" w:fill="FFFFFF"/>
          </w:tcPr>
          <w:p w14:paraId="6684D807" w14:textId="3DC9BBD8" w:rsidR="004B3D10" w:rsidRPr="004B3D10" w:rsidRDefault="000027BF" w:rsidP="004B3D10">
            <w:pPr>
              <w:spacing w:before="80" w:after="80"/>
              <w:jc w:val="both"/>
              <w:rPr>
                <w:rFonts w:ascii="Arial" w:eastAsia="Calibri" w:hAnsi="Arial" w:cs="Arial"/>
                <w:sz w:val="19"/>
                <w:szCs w:val="19"/>
                <w:lang w:eastAsia="en-US"/>
              </w:rPr>
            </w:pPr>
            <w:r w:rsidRPr="000027BF">
              <w:rPr>
                <w:rFonts w:ascii="Arial" w:eastAsia="Calibri" w:hAnsi="Arial" w:cs="Arial"/>
                <w:sz w:val="19"/>
                <w:szCs w:val="19"/>
                <w:lang w:eastAsia="en-US"/>
              </w:rPr>
              <w:t xml:space="preserve">Minister właściwy do spraw zdrowia, po zasięgnięciu opinii Naczelnej Rady Lekarskiej, określi, w drodze rozporządzenia, sposób dopełnienia obowiązku, o którym mowa w ust. 1, biorąc pod uwagę konieczność określenia zakresu stałej aktywności lekarzy w ramach samokształcenia </w:t>
            </w:r>
            <w:r w:rsidRPr="000027BF">
              <w:rPr>
                <w:rFonts w:ascii="Arial" w:eastAsia="Calibri" w:hAnsi="Arial" w:cs="Arial"/>
                <w:sz w:val="19"/>
                <w:szCs w:val="19"/>
                <w:lang w:eastAsia="en-US"/>
              </w:rPr>
              <w:lastRenderedPageBreak/>
              <w:t>lub w zorganizowanych formach kształcenia.</w:t>
            </w:r>
          </w:p>
        </w:tc>
        <w:tc>
          <w:tcPr>
            <w:tcW w:w="3545" w:type="dxa"/>
            <w:shd w:val="clear" w:color="auto" w:fill="FFFFFF"/>
          </w:tcPr>
          <w:p w14:paraId="529FE047" w14:textId="77777777" w:rsidR="000027BF" w:rsidRPr="000027BF"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lastRenderedPageBreak/>
              <w:t xml:space="preserve">Dotychczasowa treść obowiązującego rozporządzenia została zweryfikowana przez rozszerzenie możliwości zdobywania przez lekarza i lekarza dentystę punktów edukacyjnych nie tylko w kraju, ale również poza jego granicami, biorąc pod uwagę fakt coraz częstszego uczestniczenia przez lekarzy polskich w różnych formach edukacji organizowanej za granicą. </w:t>
            </w:r>
            <w:r w:rsidRPr="000027BF">
              <w:rPr>
                <w:rFonts w:ascii="Arial" w:eastAsia="Calibri" w:hAnsi="Arial" w:cs="Arial"/>
                <w:color w:val="000000"/>
                <w:sz w:val="19"/>
                <w:szCs w:val="19"/>
                <w:lang w:eastAsia="en-US"/>
              </w:rPr>
              <w:lastRenderedPageBreak/>
              <w:t>Powyższe dotyczy udziału w zagranicznym kursie medycznym nieobjętym programem odbywanej specjalizacji, udziału w zagranicznym kursie medycznym realizowanym za pośrednictwem środków przekazu telewizyjnego i sieci internetowej z ograniczonym dostępem, który uzyskał akceptację Naczelnej Rady Lekarskiej, a także odbycie wykładu lub doniesienia w formie ustnej lub plakatowej na zagranicznym kongresie, zjeździe, konferencji lub sympozjum naukowym. Przyznane dla tych aktywności punkty edukacyjne są takie same jak zdobyte w wyniku krajowego uczestnictwa w podobnych przedsięwzięciach. Wskazano również na posługiwanie się aktualnym wykazem czasopism sporządzonym zgodnie z przepisami wydanymi na podstawie art. 267 ust. 2 pkt 2 lit. b ustawy z dnia 20 lipca 2018 r. - Prawo o szkolnictwie wyższym i nauce (Dz. U. z 2020 r. poz. 85, z późn. zm.).</w:t>
            </w:r>
          </w:p>
          <w:p w14:paraId="116066B4" w14:textId="5A6BE114" w:rsidR="004B3D10" w:rsidRPr="004B3D10"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Rozporządzenie określa  liczbę punktów edukacyjnych odpowiadających różnym formom doskonalenia zawodowego</w:t>
            </w:r>
          </w:p>
        </w:tc>
        <w:tc>
          <w:tcPr>
            <w:tcW w:w="1842" w:type="dxa"/>
            <w:shd w:val="clear" w:color="auto" w:fill="FFFFFF"/>
          </w:tcPr>
          <w:p w14:paraId="3A50C462" w14:textId="2E831958" w:rsidR="004B3D10" w:rsidRPr="004B3D10" w:rsidRDefault="000027BF" w:rsidP="004B3D10">
            <w:pPr>
              <w:spacing w:before="80" w:after="80"/>
              <w:rPr>
                <w:rFonts w:ascii="Arial" w:eastAsia="Calibri" w:hAnsi="Arial" w:cs="Arial"/>
                <w:sz w:val="19"/>
                <w:szCs w:val="19"/>
                <w:lang w:eastAsia="en-US"/>
              </w:rPr>
            </w:pPr>
            <w:r w:rsidRPr="000027BF">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478AB7E5" w14:textId="0CCBFD4B" w:rsidR="004B3D10" w:rsidRDefault="00C654B9"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0027BF">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lastRenderedPageBreak/>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lastRenderedPageBreak/>
              <w:t xml:space="preserve">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w:t>
            </w:r>
            <w:r w:rsidRPr="007061A9">
              <w:rPr>
                <w:rFonts w:ascii="Arial" w:eastAsia="Calibri" w:hAnsi="Arial" w:cs="Arial"/>
                <w:color w:val="000000"/>
                <w:sz w:val="19"/>
                <w:szCs w:val="19"/>
                <w:lang w:eastAsia="en-US"/>
              </w:rPr>
              <w:lastRenderedPageBreak/>
              <w:t>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3E49F2D3" w14:textId="6ACEEFF8" w:rsidR="000027BF" w:rsidRDefault="00C654B9"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7061A9">
              <w:rPr>
                <w:rFonts w:ascii="Arial" w:hAnsi="Arial" w:cs="Arial"/>
                <w:color w:val="000000"/>
                <w:sz w:val="19"/>
                <w:szCs w:val="19"/>
              </w:rPr>
              <w:t xml:space="preserve">projekt na etapie podpisu MZ.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612F8D27" w:rsidR="007061A9" w:rsidRDefault="00C654B9"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72130A">
              <w:rPr>
                <w:rFonts w:ascii="Arial" w:hAnsi="Arial" w:cs="Arial"/>
                <w:color w:val="000000"/>
                <w:sz w:val="19"/>
                <w:szCs w:val="19"/>
              </w:rPr>
              <w:t xml:space="preserve">projekt na etapie UZ i KS. </w:t>
            </w:r>
          </w:p>
        </w:tc>
      </w:tr>
      <w:tr w:rsidR="00C217D7" w:rsidRPr="00F873E4" w14:paraId="51DA99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4E4BA3" w14:textId="77777777" w:rsidR="00C217D7" w:rsidRPr="0020067E" w:rsidRDefault="00C217D7"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B87366" w14:textId="0FA6B478" w:rsidR="00C217D7" w:rsidRPr="0072130A" w:rsidRDefault="00C217D7" w:rsidP="0020067E">
            <w:pPr>
              <w:spacing w:before="80" w:after="80"/>
              <w:jc w:val="both"/>
              <w:rPr>
                <w:rFonts w:ascii="Arial" w:hAnsi="Arial" w:cs="Arial"/>
                <w:b/>
                <w:bCs/>
                <w:color w:val="FF0000"/>
                <w:sz w:val="19"/>
                <w:szCs w:val="19"/>
              </w:rPr>
            </w:pPr>
            <w:r w:rsidRPr="00C217D7">
              <w:rPr>
                <w:rFonts w:ascii="Arial" w:hAnsi="Arial" w:cs="Arial"/>
                <w:b/>
                <w:bCs/>
                <w:color w:val="FF0000"/>
                <w:sz w:val="19"/>
                <w:szCs w:val="19"/>
              </w:rPr>
              <w:t>MZ 1130</w:t>
            </w:r>
          </w:p>
        </w:tc>
        <w:tc>
          <w:tcPr>
            <w:tcW w:w="2268" w:type="dxa"/>
            <w:shd w:val="clear" w:color="auto" w:fill="FFFFFF"/>
          </w:tcPr>
          <w:p w14:paraId="742FD8F5" w14:textId="58F7AC02" w:rsidR="00C217D7" w:rsidRPr="0072130A" w:rsidRDefault="00C217D7" w:rsidP="004B3D10">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art. 71 ust. 3 pkt 1 i 2 ustawy z dnia 6 września 2001 r. – Prawo farmaceutyczne </w:t>
            </w:r>
          </w:p>
        </w:tc>
        <w:tc>
          <w:tcPr>
            <w:tcW w:w="3260" w:type="dxa"/>
            <w:shd w:val="clear" w:color="auto" w:fill="FFFFFF"/>
          </w:tcPr>
          <w:p w14:paraId="6DF16AD3"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Minister właściwy do spraw zdrowia określi, w drodze rozporządzenia:</w:t>
            </w:r>
          </w:p>
          <w:p w14:paraId="619C0E6C"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1) kryteria klasyfikacji produktów leczniczych do wykazów, o których mowa w pkt 2,</w:t>
            </w:r>
          </w:p>
          <w:p w14:paraId="6AA32517" w14:textId="3AE2231F" w:rsidR="00C217D7" w:rsidRPr="0072130A"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2) wykazy produktów leczniczych, które mogą być dopuszczone do obrotu w placówkach obrotu pozaaptecznego oraz punktach aptecznych</w:t>
            </w:r>
          </w:p>
        </w:tc>
        <w:tc>
          <w:tcPr>
            <w:tcW w:w="3545" w:type="dxa"/>
            <w:shd w:val="clear" w:color="auto" w:fill="FFFFFF"/>
          </w:tcPr>
          <w:p w14:paraId="0FD2C763" w14:textId="00627297" w:rsidR="00C217D7" w:rsidRPr="0072130A" w:rsidRDefault="00C217D7" w:rsidP="007061A9">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Przedmiotowy projekt rozporządzenia ma na celu połączenie w jednym akcie normatywnym materii dotychczas podzielonej między dwa akty normatywne, tj. rozporządzenie Ministra Zdrowia z dnia 22 października 2010 r.  w sprawie wykazu  produktów leczniczych, które mogą być dopuszczone do obrotu w placówkach obrotu pozaaptecznego oraz punktach aptecznych (Dz.U. z 2010r., nr 204, poz. 1353) oraz rozporządzenie Ministra Zdrowia w sprawie kryteriów klasyfikacji produktów leczniczych, które mogą być dopuszczone do obrotu w placówkach obrotu pozaaptecznego oraz  punktach aptecznych z dnia 2 lutego 2009 r. (Dz.U. z 2009 r., nr 24, poz. 151) celem wyeliminowania wątpliwości odnośnie konieczności łącznego stosowania ww. aktów prawnych</w:t>
            </w:r>
          </w:p>
        </w:tc>
        <w:tc>
          <w:tcPr>
            <w:tcW w:w="1842" w:type="dxa"/>
            <w:shd w:val="clear" w:color="auto" w:fill="FFFFFF"/>
          </w:tcPr>
          <w:p w14:paraId="2437E740" w14:textId="12C8C84E" w:rsidR="00C217D7" w:rsidRPr="0072130A" w:rsidRDefault="00C217D7" w:rsidP="004B3D10">
            <w:pPr>
              <w:spacing w:before="80" w:after="80"/>
              <w:rPr>
                <w:rFonts w:ascii="Arial" w:eastAsia="Calibri" w:hAnsi="Arial" w:cs="Arial"/>
                <w:sz w:val="19"/>
                <w:szCs w:val="19"/>
                <w:lang w:eastAsia="en-US"/>
              </w:rPr>
            </w:pPr>
            <w:r w:rsidRPr="00C217D7">
              <w:rPr>
                <w:rFonts w:ascii="Arial" w:eastAsia="Calibri" w:hAnsi="Arial" w:cs="Arial"/>
                <w:sz w:val="19"/>
                <w:szCs w:val="19"/>
                <w:lang w:eastAsia="en-US"/>
              </w:rPr>
              <w:t>Pan Maciej Miłkowski Podsekretarz Stanu</w:t>
            </w:r>
          </w:p>
        </w:tc>
        <w:tc>
          <w:tcPr>
            <w:tcW w:w="2362" w:type="dxa"/>
            <w:shd w:val="clear" w:color="auto" w:fill="FFFFFF"/>
          </w:tcPr>
          <w:p w14:paraId="0FAF4444" w14:textId="55A986C4" w:rsidR="00C217D7" w:rsidRDefault="00C654B9"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C217D7">
              <w:rPr>
                <w:rFonts w:ascii="Arial" w:hAnsi="Arial" w:cs="Arial"/>
                <w:color w:val="000000"/>
                <w:sz w:val="19"/>
                <w:szCs w:val="19"/>
              </w:rPr>
              <w:t xml:space="preserve">projekt na etapie </w:t>
            </w:r>
            <w:r w:rsidR="00E13DAA">
              <w:rPr>
                <w:rFonts w:ascii="Arial" w:hAnsi="Arial" w:cs="Arial"/>
                <w:color w:val="000000"/>
                <w:sz w:val="19"/>
                <w:szCs w:val="19"/>
              </w:rPr>
              <w:t>publikacji w Dz. U</w:t>
            </w:r>
            <w:r w:rsidR="00C217D7">
              <w:rPr>
                <w:rFonts w:ascii="Arial" w:hAnsi="Arial" w:cs="Arial"/>
                <w:color w:val="000000"/>
                <w:sz w:val="19"/>
                <w:szCs w:val="19"/>
              </w:rPr>
              <w:t>.</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3) dodatkowe kryteria, po spełnieniu których świadczeniodawcy mogą </w:t>
            </w:r>
            <w:r w:rsidRPr="006E7211">
              <w:rPr>
                <w:rFonts w:ascii="Arial" w:eastAsia="Calibri" w:hAnsi="Arial" w:cs="Arial"/>
                <w:sz w:val="19"/>
                <w:szCs w:val="19"/>
                <w:lang w:eastAsia="en-US"/>
              </w:rPr>
              <w:lastRenderedPageBreak/>
              <w:t>udzielać świadczeń opieki zdrowotnej w ramach dodatkowych 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22FD15FF" w:rsidR="006E7211" w:rsidRDefault="00C654B9"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6E7211">
              <w:rPr>
                <w:rFonts w:ascii="Arial" w:hAnsi="Arial" w:cs="Arial"/>
                <w:color w:val="000000"/>
                <w:sz w:val="19"/>
                <w:szCs w:val="19"/>
              </w:rPr>
              <w:t>projekt na etapie podpisu MZ.</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w:t>
            </w:r>
            <w:r w:rsidRPr="006E7211">
              <w:rPr>
                <w:rFonts w:ascii="Arial" w:eastAsia="Calibri" w:hAnsi="Arial" w:cs="Arial"/>
                <w:color w:val="000000"/>
                <w:sz w:val="19"/>
                <w:szCs w:val="19"/>
                <w:lang w:eastAsia="en-US"/>
              </w:rPr>
              <w:lastRenderedPageBreak/>
              <w:t>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lastRenderedPageBreak/>
              <w:t>Pan Maciej Miłkowski Podsekretarz Stanu</w:t>
            </w:r>
          </w:p>
        </w:tc>
        <w:tc>
          <w:tcPr>
            <w:tcW w:w="2362" w:type="dxa"/>
            <w:shd w:val="clear" w:color="auto" w:fill="FFFFFF"/>
          </w:tcPr>
          <w:p w14:paraId="666968C4" w14:textId="0A290AB1" w:rsidR="006E7211" w:rsidRDefault="00C654B9"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05648B06" w:rsidR="00334292" w:rsidRDefault="00C654B9"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274A7707" w:rsidR="00334292" w:rsidRPr="00334292" w:rsidRDefault="00334292" w:rsidP="00334292">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59B0613E" w14:textId="1F2EB8C6" w:rsidR="00334292" w:rsidRDefault="00C654B9"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334292">
              <w:rPr>
                <w:rFonts w:ascii="Arial" w:hAnsi="Arial" w:cs="Arial"/>
                <w:color w:val="000000"/>
                <w:sz w:val="19"/>
                <w:szCs w:val="19"/>
              </w:rPr>
              <w:t>projekt na etapie UW.</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w:t>
            </w:r>
            <w:r w:rsidRPr="00046DB7">
              <w:rPr>
                <w:rFonts w:ascii="Arial" w:eastAsia="Calibri" w:hAnsi="Arial" w:cs="Arial"/>
                <w:sz w:val="19"/>
                <w:szCs w:val="19"/>
                <w:lang w:eastAsia="en-US"/>
              </w:rPr>
              <w:lastRenderedPageBreak/>
              <w:t>kierownika tego podmiotu, ordynatora albo lekarza kierującego 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w:t>
            </w:r>
            <w:r w:rsidRPr="00046DB7">
              <w:rPr>
                <w:rFonts w:ascii="Arial" w:eastAsia="Calibri" w:hAnsi="Arial" w:cs="Arial"/>
                <w:color w:val="000000"/>
                <w:sz w:val="19"/>
                <w:szCs w:val="19"/>
                <w:lang w:eastAsia="en-US"/>
              </w:rPr>
              <w:lastRenderedPageBreak/>
              <w:t>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5BCD2A6B" w14:textId="0937B362" w:rsidR="00046DB7" w:rsidRDefault="00C654B9"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074B61">
              <w:rPr>
                <w:rFonts w:ascii="Arial" w:hAnsi="Arial" w:cs="Arial"/>
                <w:color w:val="000000"/>
                <w:sz w:val="19"/>
                <w:szCs w:val="19"/>
              </w:rPr>
              <w:t>projekt na etapie UZ i KS.</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6CF09A70" w:rsidR="00074B61" w:rsidRDefault="00C654B9"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074B61">
              <w:rPr>
                <w:rFonts w:ascii="Arial" w:hAnsi="Arial" w:cs="Arial"/>
                <w:color w:val="000000"/>
                <w:sz w:val="19"/>
                <w:szCs w:val="19"/>
              </w:rPr>
              <w:t xml:space="preserve">projekt na etapie </w:t>
            </w:r>
            <w:r w:rsidR="007F0C61">
              <w:rPr>
                <w:rFonts w:ascii="Arial" w:hAnsi="Arial" w:cs="Arial"/>
                <w:color w:val="000000"/>
                <w:sz w:val="19"/>
                <w:szCs w:val="19"/>
              </w:rPr>
              <w:t>KP</w:t>
            </w:r>
            <w:r w:rsidR="00074B61">
              <w:rPr>
                <w:rFonts w:ascii="Arial" w:hAnsi="Arial" w:cs="Arial"/>
                <w:color w:val="000000"/>
                <w:sz w:val="19"/>
                <w:szCs w:val="19"/>
              </w:rPr>
              <w:t>.</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6CCDC24E" w:rsidR="001A071D" w:rsidRDefault="00C654B9"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1A071D">
              <w:rPr>
                <w:rFonts w:ascii="Arial" w:hAnsi="Arial" w:cs="Arial"/>
                <w:color w:val="000000"/>
                <w:sz w:val="19"/>
                <w:szCs w:val="19"/>
              </w:rPr>
              <w:t xml:space="preserve">projekt na etapie </w:t>
            </w:r>
            <w:r w:rsidR="006D21A7">
              <w:rPr>
                <w:rFonts w:ascii="Arial" w:hAnsi="Arial" w:cs="Arial"/>
                <w:color w:val="000000"/>
                <w:sz w:val="19"/>
                <w:szCs w:val="19"/>
              </w:rPr>
              <w:t>KP</w:t>
            </w:r>
            <w:r w:rsidR="001A071D">
              <w:rPr>
                <w:rFonts w:ascii="Arial" w:hAnsi="Arial" w:cs="Arial"/>
                <w:color w:val="000000"/>
                <w:sz w:val="19"/>
                <w:szCs w:val="19"/>
              </w:rPr>
              <w:t>.</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t>
            </w:r>
            <w:r w:rsidRPr="001A071D">
              <w:rPr>
                <w:rFonts w:ascii="Arial" w:eastAsia="Calibri" w:hAnsi="Arial" w:cs="Arial"/>
                <w:sz w:val="19"/>
                <w:szCs w:val="19"/>
                <w:lang w:eastAsia="en-US"/>
              </w:rPr>
              <w:lastRenderedPageBreak/>
              <w:t>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w:t>
            </w:r>
            <w:r w:rsidRPr="001A071D">
              <w:rPr>
                <w:rFonts w:ascii="Arial" w:eastAsia="Calibri" w:hAnsi="Arial" w:cs="Arial"/>
                <w:color w:val="000000"/>
                <w:sz w:val="19"/>
                <w:szCs w:val="19"/>
                <w:lang w:eastAsia="en-US"/>
              </w:rPr>
              <w:lastRenderedPageBreak/>
              <w:t>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2C0D1AFD" w:rsidR="001A071D" w:rsidRDefault="00C654B9"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1A071D">
              <w:rPr>
                <w:rFonts w:ascii="Arial" w:hAnsi="Arial" w:cs="Arial"/>
                <w:color w:val="000000"/>
                <w:sz w:val="19"/>
                <w:szCs w:val="19"/>
              </w:rPr>
              <w:t xml:space="preserve">projekt na etapie </w:t>
            </w:r>
            <w:r w:rsidR="00FE66D7">
              <w:rPr>
                <w:rFonts w:ascii="Arial" w:hAnsi="Arial" w:cs="Arial"/>
                <w:color w:val="000000"/>
                <w:sz w:val="19"/>
                <w:szCs w:val="19"/>
              </w:rPr>
              <w:t>UZ i KS</w:t>
            </w:r>
            <w:r w:rsidR="001A071D">
              <w:rPr>
                <w:rFonts w:ascii="Arial" w:hAnsi="Arial" w:cs="Arial"/>
                <w:color w:val="000000"/>
                <w:sz w:val="19"/>
                <w:szCs w:val="19"/>
              </w:rPr>
              <w:t>.</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w:t>
            </w:r>
            <w:r w:rsidRPr="001A071D">
              <w:rPr>
                <w:rFonts w:ascii="Arial" w:eastAsia="Calibri" w:hAnsi="Arial" w:cs="Arial"/>
                <w:sz w:val="19"/>
                <w:szCs w:val="19"/>
                <w:lang w:eastAsia="en-US"/>
              </w:rPr>
              <w:lastRenderedPageBreak/>
              <w:t>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2C728AA9" w:rsidR="001A071D" w:rsidRDefault="00C654B9"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1A071D">
              <w:rPr>
                <w:rFonts w:ascii="Arial" w:hAnsi="Arial" w:cs="Arial"/>
                <w:color w:val="000000"/>
                <w:sz w:val="19"/>
                <w:szCs w:val="19"/>
              </w:rPr>
              <w:t>projekt na etapie UZ i KS.</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09791BC4" w:rsidR="001A071D" w:rsidRDefault="00C654B9"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6184F50"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Anna Goławska – podsekretarz stanu w Ministerstwie Zdrowia</w:t>
            </w:r>
          </w:p>
        </w:tc>
        <w:tc>
          <w:tcPr>
            <w:tcW w:w="2362" w:type="dxa"/>
            <w:shd w:val="clear" w:color="auto" w:fill="FFFFFF"/>
          </w:tcPr>
          <w:p w14:paraId="5075D2A8" w14:textId="33B0DDF3" w:rsidR="00153272" w:rsidRDefault="00C654B9"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153272">
              <w:rPr>
                <w:rFonts w:ascii="Arial" w:hAnsi="Arial" w:cs="Arial"/>
                <w:color w:val="000000"/>
                <w:sz w:val="19"/>
                <w:szCs w:val="19"/>
              </w:rPr>
              <w:t xml:space="preserve">projekt na etapie </w:t>
            </w:r>
            <w:r w:rsidR="009B5DD5">
              <w:rPr>
                <w:rFonts w:ascii="Arial" w:hAnsi="Arial" w:cs="Arial"/>
                <w:color w:val="000000"/>
                <w:sz w:val="19"/>
                <w:szCs w:val="19"/>
              </w:rPr>
              <w:t>UZ i KS</w:t>
            </w:r>
            <w:r w:rsidR="00153272">
              <w:rPr>
                <w:rFonts w:ascii="Arial" w:hAnsi="Arial" w:cs="Arial"/>
                <w:color w:val="000000"/>
                <w:sz w:val="19"/>
                <w:szCs w:val="19"/>
              </w:rPr>
              <w:t>.</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w:t>
            </w:r>
            <w:r w:rsidRPr="00486646">
              <w:rPr>
                <w:rFonts w:ascii="Arial" w:eastAsia="Calibri" w:hAnsi="Arial" w:cs="Arial"/>
                <w:color w:val="000000"/>
                <w:sz w:val="19"/>
                <w:szCs w:val="19"/>
                <w:lang w:eastAsia="en-US"/>
              </w:rPr>
              <w:lastRenderedPageBreak/>
              <w:t>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540D97FF" w:rsidR="00486646" w:rsidRPr="002773F4" w:rsidRDefault="00C654B9"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486646" w:rsidRPr="002773F4">
              <w:rPr>
                <w:rFonts w:ascii="Arial" w:hAnsi="Arial" w:cs="Arial"/>
                <w:sz w:val="19"/>
                <w:szCs w:val="19"/>
              </w:rPr>
              <w:t xml:space="preserve">projekt na etapie </w:t>
            </w:r>
            <w:r w:rsidR="00E13473">
              <w:rPr>
                <w:rFonts w:ascii="Arial" w:hAnsi="Arial" w:cs="Arial"/>
                <w:sz w:val="19"/>
                <w:szCs w:val="19"/>
              </w:rPr>
              <w:t>przed skierowaniem na UZ i KS</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lastRenderedPageBreak/>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2F6FD842" w14:textId="77777777"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lastRenderedPageBreak/>
              <w:t>W projekcie  nowelizacji rozporządzenia wprowadza się do wykazu materiałów stosowanych przy udzielaniu świadczeń stomatologicznych nowe materiały do wypełnień stosowane w leczeniu stomatologicznym u dzieci i młodzieży do 18 r. ż oraz kobiet w ciąży i karmiących w miejsce wycofywanego amalgamatu stomatologicznego.</w:t>
            </w:r>
          </w:p>
          <w:p w14:paraId="44A6D1CC" w14:textId="70C837E9"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 xml:space="preserve">wprowadza możliwość kontraktowania i rozliczania usunięcia wypełniania amalgamatowego w celu dostosowania do przepisów (art. 10 ust. 2 oraz ust. 4) rozporządzenia Parlamentu Europejskiego i Rady (UE) 2017/852 z dnia 17 maja 2017 r. w sprawie rtęci oraz uchylającego rozporządzenie (WE) nr 1102/2008, na mocy których zabronione jest stosowanie </w:t>
            </w:r>
            <w:r w:rsidRPr="001D5BAB">
              <w:rPr>
                <w:rFonts w:ascii="Arial" w:eastAsia="Calibri" w:hAnsi="Arial" w:cs="Arial"/>
                <w:color w:val="000000"/>
                <w:sz w:val="19"/>
                <w:szCs w:val="19"/>
                <w:lang w:eastAsia="en-US"/>
              </w:rPr>
              <w:lastRenderedPageBreak/>
              <w:t>amalgamatu stomatologicznego w leczeniu stomatologicznym u dzieci i młodzieży do 15 r. ż. oraz kobiet w ciąży i karmiących,  jak również ustanowiony został obowiązek wyposażania gabinetów w separatory amalgamatu do celów zatrzymywania i zbierania cząstek amalgamatu przez podmioty prowadzące gabinety stomatologiczne, w których jest stosowany amalgamat stomatologiczny lub w których są usuwane wypełnienia z amalgamatu stomatologicznego</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445FF465" w:rsidR="001D5BAB" w:rsidRPr="002773F4" w:rsidRDefault="00C654B9"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1D5BAB" w:rsidRPr="002773F4">
              <w:rPr>
                <w:rFonts w:ascii="Arial" w:hAnsi="Arial" w:cs="Arial"/>
                <w:sz w:val="19"/>
                <w:szCs w:val="19"/>
              </w:rPr>
              <w:t xml:space="preserve">projekt na etapie </w:t>
            </w:r>
            <w:r w:rsidR="006D21A7">
              <w:rPr>
                <w:rFonts w:ascii="Arial" w:hAnsi="Arial" w:cs="Arial"/>
                <w:sz w:val="19"/>
                <w:szCs w:val="19"/>
              </w:rPr>
              <w:t>przed skierowaniem na UZ i KS</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2BCFCE5E" w:rsidR="00B91971" w:rsidRPr="002773F4" w:rsidRDefault="00C654B9"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B91971" w:rsidRPr="002773F4">
              <w:rPr>
                <w:rFonts w:ascii="Arial" w:hAnsi="Arial" w:cs="Arial"/>
                <w:sz w:val="19"/>
                <w:szCs w:val="19"/>
              </w:rPr>
              <w:t xml:space="preserve">projekt na etapie </w:t>
            </w:r>
            <w:r w:rsidR="00B91971">
              <w:rPr>
                <w:rFonts w:ascii="Arial" w:hAnsi="Arial" w:cs="Arial"/>
                <w:sz w:val="19"/>
                <w:szCs w:val="19"/>
              </w:rPr>
              <w:t>PW</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w:t>
            </w:r>
            <w:r w:rsidRPr="00B91971">
              <w:rPr>
                <w:rFonts w:ascii="Arial" w:eastAsia="Calibri" w:hAnsi="Arial" w:cs="Arial"/>
                <w:color w:val="000000"/>
                <w:sz w:val="19"/>
                <w:szCs w:val="19"/>
                <w:lang w:eastAsia="en-US"/>
              </w:rPr>
              <w:lastRenderedPageBreak/>
              <w:t>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0EC78BDC" w14:textId="74B78378" w:rsidR="00B91971" w:rsidRPr="002773F4" w:rsidRDefault="00C654B9"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B91971" w:rsidRPr="002773F4">
              <w:rPr>
                <w:rFonts w:ascii="Arial" w:hAnsi="Arial" w:cs="Arial"/>
                <w:sz w:val="19"/>
                <w:szCs w:val="19"/>
              </w:rPr>
              <w:t>projekt na etapie</w:t>
            </w:r>
            <w:r w:rsidR="00B91971">
              <w:rPr>
                <w:rFonts w:ascii="Arial" w:hAnsi="Arial" w:cs="Arial"/>
                <w:sz w:val="19"/>
                <w:szCs w:val="19"/>
              </w:rPr>
              <w:t xml:space="preserve"> UZ i KS</w:t>
            </w:r>
            <w:r w:rsidR="00B91971" w:rsidRPr="002773F4">
              <w:rPr>
                <w:rFonts w:ascii="Arial" w:hAnsi="Arial" w:cs="Arial"/>
                <w:sz w:val="19"/>
                <w:szCs w:val="19"/>
              </w:rPr>
              <w:t>.</w:t>
            </w:r>
          </w:p>
        </w:tc>
      </w:tr>
      <w:tr w:rsidR="00B91971" w:rsidRPr="00F873E4" w14:paraId="216BE68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637BB9"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E0D85" w14:textId="3B67E871"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1192</w:t>
            </w:r>
          </w:p>
        </w:tc>
        <w:tc>
          <w:tcPr>
            <w:tcW w:w="2268" w:type="dxa"/>
            <w:shd w:val="clear" w:color="auto" w:fill="FFFFFF"/>
          </w:tcPr>
          <w:p w14:paraId="64882C89"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Art. 31d ustawy z dnia 27 sierpnia 2004 r. o świadczeniach opieki zdrowotnej finansowanych ze środków publicznych </w:t>
            </w:r>
          </w:p>
          <w:p w14:paraId="43A992B0" w14:textId="20359F59" w:rsidR="00B91971" w:rsidRPr="00B91971" w:rsidRDefault="00B91971" w:rsidP="00D36B3A">
            <w:pPr>
              <w:spacing w:before="80" w:after="80"/>
              <w:jc w:val="both"/>
              <w:rPr>
                <w:rFonts w:ascii="Arial" w:eastAsia="Calibri" w:hAnsi="Arial" w:cs="Arial"/>
                <w:color w:val="000000"/>
                <w:sz w:val="19"/>
                <w:szCs w:val="19"/>
                <w:lang w:eastAsia="en-US"/>
              </w:rPr>
            </w:pPr>
          </w:p>
        </w:tc>
        <w:tc>
          <w:tcPr>
            <w:tcW w:w="3260" w:type="dxa"/>
            <w:shd w:val="clear" w:color="auto" w:fill="FFFFFF"/>
          </w:tcPr>
          <w:p w14:paraId="5B6D4F04" w14:textId="79B568DD" w:rsidR="00D36B3A" w:rsidRPr="00D36B3A" w:rsidRDefault="00D36B3A" w:rsidP="00D36B3A">
            <w:pPr>
              <w:jc w:val="both"/>
              <w:rPr>
                <w:rFonts w:ascii="Arial" w:eastAsia="Calibri" w:hAnsi="Arial" w:cs="Arial"/>
                <w:sz w:val="19"/>
                <w:szCs w:val="19"/>
                <w:lang w:eastAsia="en-US"/>
              </w:rPr>
            </w:pPr>
            <w:r w:rsidRPr="00D36B3A">
              <w:rPr>
                <w:rFonts w:ascii="Arial" w:eastAsia="Calibri" w:hAnsi="Arial" w:cs="Arial"/>
                <w:sz w:val="19"/>
                <w:szCs w:val="19"/>
                <w:lang w:eastAsia="en-US"/>
              </w:rPr>
              <w:t>Projekt rozporządzenia Ministra Zdrowia zmieniającego rozporządzenie w sprawie świadczeń gwarantowanych z zakresu ambulatoryjnej opieki specjalistycznej</w:t>
            </w:r>
          </w:p>
        </w:tc>
        <w:tc>
          <w:tcPr>
            <w:tcW w:w="3545" w:type="dxa"/>
            <w:shd w:val="clear" w:color="auto" w:fill="FFFFFF"/>
          </w:tcPr>
          <w:p w14:paraId="5D34E9B0"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W rozporządzeniu Ministra Zdrowia w sprawie świadczeń gwarantowanych z zakresu ambulatoryjnej opieki specjalistycznej wprowadza się następujące zmiany: </w:t>
            </w:r>
          </w:p>
          <w:p w14:paraId="51F5F15C"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1.</w:t>
            </w:r>
            <w:r w:rsidRPr="00D36B3A">
              <w:rPr>
                <w:rFonts w:ascii="Arial" w:eastAsia="Calibri" w:hAnsi="Arial" w:cs="Arial"/>
                <w:color w:val="000000"/>
                <w:sz w:val="19"/>
                <w:szCs w:val="19"/>
                <w:lang w:eastAsia="en-US"/>
              </w:rPr>
              <w:tab/>
              <w:t>do wykazu świadczeń gwarantowanych dodaje się świadczenie „Telemetryczny nadzór nad pacjentami z implantowanymi urządzeniami wszczepialnymi”;</w:t>
            </w:r>
          </w:p>
          <w:p w14:paraId="0B7D2792" w14:textId="633929E4" w:rsidR="00B91971" w:rsidRPr="00B91971"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2.</w:t>
            </w:r>
            <w:r w:rsidRPr="00D36B3A">
              <w:rPr>
                <w:rFonts w:ascii="Arial" w:eastAsia="Calibri" w:hAnsi="Arial" w:cs="Arial"/>
                <w:color w:val="000000"/>
                <w:sz w:val="19"/>
                <w:szCs w:val="19"/>
                <w:lang w:eastAsia="en-US"/>
              </w:rPr>
              <w:tab/>
              <w:t>do wykazu świadczeń gwarantowanych dodaje się świadczenie „88.906 – RM piersi”.</w:t>
            </w:r>
          </w:p>
        </w:tc>
        <w:tc>
          <w:tcPr>
            <w:tcW w:w="1842" w:type="dxa"/>
            <w:shd w:val="clear" w:color="auto" w:fill="FFFFFF"/>
          </w:tcPr>
          <w:p w14:paraId="5B63BAB8" w14:textId="70BCEB8B" w:rsidR="00B91971" w:rsidRPr="00B91971" w:rsidRDefault="00D36B3A" w:rsidP="00B91971">
            <w:pPr>
              <w:spacing w:before="80" w:after="80"/>
              <w:rPr>
                <w:rFonts w:ascii="Arial" w:eastAsia="Calibri" w:hAnsi="Arial" w:cs="Arial"/>
                <w:sz w:val="19"/>
                <w:szCs w:val="19"/>
                <w:lang w:eastAsia="en-US"/>
              </w:rPr>
            </w:pPr>
            <w:r w:rsidRPr="00D36B3A">
              <w:rPr>
                <w:rFonts w:ascii="Arial" w:eastAsia="Calibri" w:hAnsi="Arial" w:cs="Arial"/>
                <w:sz w:val="19"/>
                <w:szCs w:val="19"/>
                <w:lang w:eastAsia="en-US"/>
              </w:rPr>
              <w:t>Maciej Miłkowski – Podsekretarz Stanu w Ministerstwie Zdrowia</w:t>
            </w:r>
          </w:p>
        </w:tc>
        <w:tc>
          <w:tcPr>
            <w:tcW w:w="2362" w:type="dxa"/>
            <w:shd w:val="clear" w:color="auto" w:fill="FFFFFF"/>
          </w:tcPr>
          <w:p w14:paraId="1BFF04E8" w14:textId="6B7E4DA6" w:rsidR="00B91971" w:rsidRPr="00B91971" w:rsidRDefault="00C654B9"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D36B3A" w:rsidRPr="00B91971">
              <w:rPr>
                <w:rFonts w:ascii="Arial" w:hAnsi="Arial" w:cs="Arial"/>
                <w:sz w:val="19"/>
                <w:szCs w:val="19"/>
              </w:rPr>
              <w:t xml:space="preserve">projekt na etapie </w:t>
            </w:r>
            <w:r w:rsidR="009D7DF4">
              <w:rPr>
                <w:rFonts w:ascii="Arial" w:hAnsi="Arial" w:cs="Arial"/>
                <w:sz w:val="19"/>
                <w:szCs w:val="19"/>
              </w:rPr>
              <w:t>KP</w:t>
            </w:r>
            <w:r w:rsidR="00D36B3A" w:rsidRPr="00B91971">
              <w:rPr>
                <w:rFonts w:ascii="Arial" w:hAnsi="Arial" w:cs="Arial"/>
                <w:sz w:val="19"/>
                <w:szCs w:val="19"/>
              </w:rPr>
              <w:t>.</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2E76C9F0" w:rsidR="00996DE6" w:rsidRPr="00B91971" w:rsidRDefault="00C654B9"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proofErr w:type="spellStart"/>
            <w:r w:rsidR="00A77870">
              <w:rPr>
                <w:rFonts w:ascii="Arial" w:hAnsi="Arial" w:cs="Arial"/>
                <w:sz w:val="19"/>
                <w:szCs w:val="19"/>
              </w:rPr>
              <w:t>wprace</w:t>
            </w:r>
            <w:proofErr w:type="spellEnd"/>
            <w:r w:rsidR="00A77870">
              <w:rPr>
                <w:rFonts w:ascii="Arial" w:hAnsi="Arial" w:cs="Arial"/>
                <w:sz w:val="19"/>
                <w:szCs w:val="19"/>
              </w:rPr>
              <w:t xml:space="preserve"> wstrzymane</w:t>
            </w:r>
            <w:r w:rsidR="00996DE6" w:rsidRPr="00B91971">
              <w:rPr>
                <w:rFonts w:ascii="Arial" w:hAnsi="Arial" w:cs="Arial"/>
                <w:sz w:val="19"/>
                <w:szCs w:val="19"/>
              </w:rPr>
              <w:t>.</w:t>
            </w:r>
          </w:p>
        </w:tc>
      </w:tr>
      <w:tr w:rsidR="0023120D" w:rsidRPr="00F873E4" w14:paraId="43AE76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9B2CDC" w14:textId="77777777" w:rsidR="0023120D" w:rsidRPr="0020067E" w:rsidRDefault="0023120D"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14DA5A" w14:textId="3CABA354" w:rsidR="0023120D" w:rsidRPr="00996DE6" w:rsidRDefault="0023120D" w:rsidP="00996DE6">
            <w:pPr>
              <w:spacing w:before="80" w:after="80"/>
              <w:jc w:val="both"/>
              <w:rPr>
                <w:rFonts w:ascii="Arial" w:hAnsi="Arial" w:cs="Arial"/>
                <w:b/>
                <w:bCs/>
                <w:color w:val="FF0000"/>
                <w:sz w:val="19"/>
                <w:szCs w:val="19"/>
              </w:rPr>
            </w:pPr>
            <w:r>
              <w:rPr>
                <w:rFonts w:ascii="Arial" w:hAnsi="Arial" w:cs="Arial"/>
                <w:b/>
                <w:bCs/>
                <w:color w:val="FF0000"/>
                <w:sz w:val="19"/>
                <w:szCs w:val="19"/>
              </w:rPr>
              <w:t>MZ 1198</w:t>
            </w:r>
          </w:p>
        </w:tc>
        <w:tc>
          <w:tcPr>
            <w:tcW w:w="2268" w:type="dxa"/>
            <w:shd w:val="clear" w:color="auto" w:fill="FFFFFF"/>
          </w:tcPr>
          <w:p w14:paraId="2C096DC9" w14:textId="1BF56EAF"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8 ustawy z dnia 22 listopada 2013 r. o postępowaniu wobec osób z zaburzeniami psychicznymi stwarzających </w:t>
            </w:r>
            <w:r w:rsidRPr="0023120D">
              <w:rPr>
                <w:rFonts w:ascii="Arial" w:eastAsia="Calibri" w:hAnsi="Arial" w:cs="Arial"/>
                <w:color w:val="000000"/>
                <w:sz w:val="19"/>
                <w:szCs w:val="19"/>
                <w:lang w:eastAsia="en-US"/>
              </w:rPr>
              <w:lastRenderedPageBreak/>
              <w:t xml:space="preserve">zagrożenie życia, zdrowia lub wolności seksualnej innych osób </w:t>
            </w:r>
          </w:p>
        </w:tc>
        <w:tc>
          <w:tcPr>
            <w:tcW w:w="3260" w:type="dxa"/>
            <w:shd w:val="clear" w:color="auto" w:fill="FFFFFF"/>
          </w:tcPr>
          <w:p w14:paraId="5B576EA6" w14:textId="4C6583FD"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lastRenderedPageBreak/>
              <w:t>Minister właściwy do spraw zdrowia w porozumieniu z Ministrem Sprawiedliwości określi, w drodze rozporządzenia:</w:t>
            </w:r>
          </w:p>
          <w:p w14:paraId="443CCA8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w:t>
            </w:r>
            <w:r w:rsidRPr="0023120D">
              <w:rPr>
                <w:rFonts w:ascii="Arial" w:eastAsia="Calibri" w:hAnsi="Arial" w:cs="Arial"/>
                <w:sz w:val="19"/>
                <w:szCs w:val="19"/>
                <w:lang w:eastAsia="en-US"/>
              </w:rPr>
              <w:tab/>
              <w:t xml:space="preserve">liczbę łóżek w Ośrodku przeznaczonych dla osób </w:t>
            </w:r>
            <w:r w:rsidRPr="0023120D">
              <w:rPr>
                <w:rFonts w:ascii="Arial" w:eastAsia="Calibri" w:hAnsi="Arial" w:cs="Arial"/>
                <w:sz w:val="19"/>
                <w:szCs w:val="19"/>
                <w:lang w:eastAsia="en-US"/>
              </w:rPr>
              <w:lastRenderedPageBreak/>
              <w:t>stwarzających zagrożenie umieszczonych w Ośrodku,</w:t>
            </w:r>
          </w:p>
          <w:p w14:paraId="6B321F97"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w:t>
            </w:r>
            <w:r w:rsidRPr="0023120D">
              <w:rPr>
                <w:rFonts w:ascii="Arial" w:eastAsia="Calibri" w:hAnsi="Arial" w:cs="Arial"/>
                <w:sz w:val="19"/>
                <w:szCs w:val="19"/>
                <w:lang w:eastAsia="en-US"/>
              </w:rPr>
              <w:tab/>
              <w:t xml:space="preserve">wymagania </w:t>
            </w:r>
            <w:proofErr w:type="spellStart"/>
            <w:r w:rsidRPr="0023120D">
              <w:rPr>
                <w:rFonts w:ascii="Arial" w:eastAsia="Calibri" w:hAnsi="Arial" w:cs="Arial"/>
                <w:sz w:val="19"/>
                <w:szCs w:val="19"/>
                <w:lang w:eastAsia="en-US"/>
              </w:rPr>
              <w:t>ogólnoprzestrzenne</w:t>
            </w:r>
            <w:proofErr w:type="spellEnd"/>
            <w:r w:rsidRPr="0023120D">
              <w:rPr>
                <w:rFonts w:ascii="Arial" w:eastAsia="Calibri" w:hAnsi="Arial" w:cs="Arial"/>
                <w:sz w:val="19"/>
                <w:szCs w:val="19"/>
                <w:lang w:eastAsia="en-US"/>
              </w:rPr>
              <w:t>, sanitarne i instalacyjne, jakie muszą spełniać pomieszczenia i urządzenia Ośrodka stosownie do rodzaju wykonywanej działalności leczniczej oraz zakresu udzielanych świadczeń zdrowotnych,</w:t>
            </w:r>
          </w:p>
          <w:p w14:paraId="7CF2C46F"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3)</w:t>
            </w:r>
            <w:r w:rsidRPr="0023120D">
              <w:rPr>
                <w:rFonts w:ascii="Arial" w:eastAsia="Calibri" w:hAnsi="Arial" w:cs="Arial"/>
                <w:sz w:val="19"/>
                <w:szCs w:val="19"/>
                <w:lang w:eastAsia="en-US"/>
              </w:rPr>
              <w:tab/>
              <w:t>warunki zabezpieczenia Ośrodka,</w:t>
            </w:r>
          </w:p>
          <w:p w14:paraId="0866DBC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4)</w:t>
            </w:r>
            <w:r w:rsidRPr="0023120D">
              <w:rPr>
                <w:rFonts w:ascii="Arial" w:eastAsia="Calibri" w:hAnsi="Arial" w:cs="Arial"/>
                <w:sz w:val="19"/>
                <w:szCs w:val="19"/>
                <w:lang w:eastAsia="en-US"/>
              </w:rPr>
              <w:tab/>
              <w:t>rodzaj i liczebność personelu mającego styczność z osobami stwarzającymi zagrożenie umieszczonymi w Ośrodku,</w:t>
            </w:r>
          </w:p>
          <w:p w14:paraId="6D0A01B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5)</w:t>
            </w:r>
            <w:r w:rsidRPr="0023120D">
              <w:rPr>
                <w:rFonts w:ascii="Arial" w:eastAsia="Calibri" w:hAnsi="Arial" w:cs="Arial"/>
                <w:sz w:val="19"/>
                <w:szCs w:val="19"/>
                <w:lang w:eastAsia="en-US"/>
              </w:rPr>
              <w:tab/>
              <w:t>rodzaje urządzeń i środków technicznych służących do przekazywania, odtwarzania i utrwalania obrazu lub dźwięku z monitoringu oraz sposób przechowywania, odtwarzania i niszczenia zapisów oraz udostępniania ich uprawnionym podmiotom</w:t>
            </w:r>
          </w:p>
          <w:p w14:paraId="6C40F7F1" w14:textId="77777777" w:rsid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xml:space="preserve">- mając na względzie potrzebę zapewnienia odpowiedniego postępowania terapeutycznego, bezpieczeństwa zdrowotnego osób stwarzających zagrożenie umieszczonych w Ośrodku, zapobieżenia samowolnemu oddaleniu się tych osób poza Ośrodek oraz przeciwdziałania </w:t>
            </w:r>
            <w:proofErr w:type="spellStart"/>
            <w:r w:rsidRPr="0023120D">
              <w:rPr>
                <w:rFonts w:ascii="Arial" w:eastAsia="Calibri" w:hAnsi="Arial" w:cs="Arial"/>
                <w:sz w:val="19"/>
                <w:szCs w:val="19"/>
                <w:lang w:eastAsia="en-US"/>
              </w:rPr>
              <w:t>zachowaniom</w:t>
            </w:r>
            <w:proofErr w:type="spellEnd"/>
            <w:r w:rsidRPr="0023120D">
              <w:rPr>
                <w:rFonts w:ascii="Arial" w:eastAsia="Calibri" w:hAnsi="Arial" w:cs="Arial"/>
                <w:sz w:val="19"/>
                <w:szCs w:val="19"/>
                <w:lang w:eastAsia="en-US"/>
              </w:rPr>
              <w:t xml:space="preserve"> zagrażającym życiu i zdrowiu ludzkiemu lub powodującym niszczenie mienia, a także konieczność właściwego zabezpieczenia monitorowanego obrazu lub dźwięku przed utratą, zniekształceniem lub nieuprawnionym ujawnieniem.</w:t>
            </w:r>
          </w:p>
          <w:p w14:paraId="00C58F9D" w14:textId="52323C52" w:rsidR="0023120D" w:rsidRPr="00996DE6" w:rsidRDefault="0023120D" w:rsidP="0023120D">
            <w:pPr>
              <w:jc w:val="both"/>
              <w:rPr>
                <w:rFonts w:ascii="Arial" w:eastAsia="Calibri" w:hAnsi="Arial" w:cs="Arial"/>
                <w:sz w:val="19"/>
                <w:szCs w:val="19"/>
                <w:lang w:eastAsia="en-US"/>
              </w:rPr>
            </w:pPr>
          </w:p>
        </w:tc>
        <w:tc>
          <w:tcPr>
            <w:tcW w:w="3545" w:type="dxa"/>
            <w:shd w:val="clear" w:color="auto" w:fill="FFFFFF"/>
          </w:tcPr>
          <w:p w14:paraId="36233A79" w14:textId="55706ECB"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lastRenderedPageBreak/>
              <w:t xml:space="preserve">W wyniku zmian w statucie Ośrodka może on posiadać oddziały zamiejscowe na obszarze swojego działania, dla których niezbędne jest wskazanie wymagań jakie muszą spełniać stosownie do rodzaju </w:t>
            </w:r>
            <w:r w:rsidRPr="0023120D">
              <w:rPr>
                <w:rFonts w:ascii="Arial" w:eastAsia="Calibri" w:hAnsi="Arial" w:cs="Arial"/>
                <w:color w:val="000000"/>
                <w:sz w:val="19"/>
                <w:szCs w:val="19"/>
                <w:lang w:eastAsia="en-US"/>
              </w:rPr>
              <w:lastRenderedPageBreak/>
              <w:t xml:space="preserve">wykonywanej działalności, wraz ze wskazaniem warunków zabezpieczenia w celu zapobieżenia samowolnemu oddaleniu się osób poza oddział zamiejscowy oraz przeciwdziałania </w:t>
            </w:r>
            <w:proofErr w:type="spellStart"/>
            <w:r w:rsidRPr="0023120D">
              <w:rPr>
                <w:rFonts w:ascii="Arial" w:eastAsia="Calibri" w:hAnsi="Arial" w:cs="Arial"/>
                <w:color w:val="000000"/>
                <w:sz w:val="19"/>
                <w:szCs w:val="19"/>
                <w:lang w:eastAsia="en-US"/>
              </w:rPr>
              <w:t>zachowaniom</w:t>
            </w:r>
            <w:proofErr w:type="spellEnd"/>
            <w:r w:rsidRPr="0023120D">
              <w:rPr>
                <w:rFonts w:ascii="Arial" w:eastAsia="Calibri" w:hAnsi="Arial" w:cs="Arial"/>
                <w:color w:val="000000"/>
                <w:sz w:val="19"/>
                <w:szCs w:val="19"/>
                <w:lang w:eastAsia="en-US"/>
              </w:rPr>
              <w:t xml:space="preserve"> zagrażającym życiu i zdrowiu ludzkiemu.</w:t>
            </w:r>
          </w:p>
        </w:tc>
        <w:tc>
          <w:tcPr>
            <w:tcW w:w="1842" w:type="dxa"/>
            <w:shd w:val="clear" w:color="auto" w:fill="FFFFFF"/>
          </w:tcPr>
          <w:p w14:paraId="008715E5" w14:textId="67B3B643" w:rsidR="0023120D" w:rsidRPr="00996DE6" w:rsidRDefault="0023120D" w:rsidP="00996DE6">
            <w:pPr>
              <w:spacing w:before="80" w:after="80"/>
              <w:rPr>
                <w:rFonts w:ascii="Arial" w:eastAsia="Calibri" w:hAnsi="Arial" w:cs="Arial"/>
                <w:sz w:val="19"/>
                <w:szCs w:val="19"/>
                <w:lang w:eastAsia="en-US"/>
              </w:rPr>
            </w:pPr>
            <w:r w:rsidRPr="0023120D">
              <w:rPr>
                <w:rFonts w:ascii="Arial" w:eastAsia="Calibri" w:hAnsi="Arial" w:cs="Arial"/>
                <w:sz w:val="19"/>
                <w:szCs w:val="19"/>
                <w:lang w:eastAsia="en-US"/>
              </w:rPr>
              <w:lastRenderedPageBreak/>
              <w:t xml:space="preserve">Pan Maciej Miłkowski, Podsekretarz Stanu w </w:t>
            </w:r>
            <w:r w:rsidRPr="0023120D">
              <w:rPr>
                <w:rFonts w:ascii="Arial" w:eastAsia="Calibri" w:hAnsi="Arial" w:cs="Arial"/>
                <w:sz w:val="19"/>
                <w:szCs w:val="19"/>
                <w:lang w:eastAsia="en-US"/>
              </w:rPr>
              <w:lastRenderedPageBreak/>
              <w:t>Ministerstwie Zdrowia</w:t>
            </w:r>
          </w:p>
        </w:tc>
        <w:tc>
          <w:tcPr>
            <w:tcW w:w="2362" w:type="dxa"/>
            <w:shd w:val="clear" w:color="auto" w:fill="FFFFFF"/>
          </w:tcPr>
          <w:p w14:paraId="595F9A47" w14:textId="5EEBC28D" w:rsidR="0023120D" w:rsidRPr="00B91971" w:rsidRDefault="00C654B9" w:rsidP="00996DE6">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26 stycznia 2022 r. </w:t>
            </w:r>
            <w:r w:rsidR="00FE66D7">
              <w:rPr>
                <w:rFonts w:ascii="Arial" w:hAnsi="Arial" w:cs="Arial"/>
                <w:sz w:val="19"/>
                <w:szCs w:val="19"/>
              </w:rPr>
              <w:t xml:space="preserve">– </w:t>
            </w:r>
            <w:r w:rsidR="0023120D" w:rsidRPr="00B91971">
              <w:rPr>
                <w:rFonts w:ascii="Arial" w:hAnsi="Arial" w:cs="Arial"/>
                <w:sz w:val="19"/>
                <w:szCs w:val="19"/>
              </w:rPr>
              <w:t xml:space="preserve">projekt na etapie </w:t>
            </w:r>
            <w:r>
              <w:rPr>
                <w:rFonts w:ascii="Arial" w:hAnsi="Arial" w:cs="Arial"/>
                <w:sz w:val="19"/>
                <w:szCs w:val="19"/>
              </w:rPr>
              <w:t>ogłoszenia w Dz. U</w:t>
            </w:r>
            <w:r w:rsidR="0023120D"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567187CD" w:rsidR="004438C8" w:rsidRPr="00B91971" w:rsidRDefault="00C654B9"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4438C8" w:rsidRPr="00F873E4" w14:paraId="1BF092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B0BBF6"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62B" w14:textId="1919A473"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1205</w:t>
            </w:r>
          </w:p>
        </w:tc>
        <w:tc>
          <w:tcPr>
            <w:tcW w:w="2268" w:type="dxa"/>
            <w:shd w:val="clear" w:color="auto" w:fill="FFFFFF"/>
          </w:tcPr>
          <w:p w14:paraId="38B8EC9A" w14:textId="68144199"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44f ustawy z dnia 29 lipca 2005 r. o przeciwdziałaniu narkomanii </w:t>
            </w:r>
          </w:p>
        </w:tc>
        <w:tc>
          <w:tcPr>
            <w:tcW w:w="3260" w:type="dxa"/>
            <w:shd w:val="clear" w:color="auto" w:fill="FFFFFF"/>
          </w:tcPr>
          <w:p w14:paraId="7942014E"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w:t>
            </w:r>
          </w:p>
          <w:p w14:paraId="74390EE2"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1) wykaz substancji psychotropowych z podziałem na grupy, o których mowa w art. 32, </w:t>
            </w:r>
          </w:p>
          <w:p w14:paraId="4BFCF68D"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2) wykaz środków odurzających z podziałem na grupy, o których mowa w art. 31, oraz ze wskazaniem środków odurzających grupy IV-N dopuszczonych do stosowania w lecznictwie zwierząt zgodnie z art. 33 ust. 2,  </w:t>
            </w:r>
          </w:p>
          <w:p w14:paraId="428B623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3) wykaz nowych substancji psychoaktywnych</w:t>
            </w:r>
          </w:p>
          <w:p w14:paraId="78433CB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lastRenderedPageBreak/>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p w14:paraId="2959A8E3" w14:textId="77777777" w:rsidR="004438C8" w:rsidRPr="004438C8" w:rsidRDefault="004438C8" w:rsidP="004438C8">
            <w:pPr>
              <w:jc w:val="both"/>
              <w:rPr>
                <w:rFonts w:ascii="Arial" w:eastAsia="Calibri" w:hAnsi="Arial" w:cs="Arial"/>
                <w:sz w:val="19"/>
                <w:szCs w:val="19"/>
                <w:lang w:eastAsia="en-US"/>
              </w:rPr>
            </w:pPr>
          </w:p>
        </w:tc>
        <w:tc>
          <w:tcPr>
            <w:tcW w:w="3545" w:type="dxa"/>
            <w:shd w:val="clear" w:color="auto" w:fill="FFFFFF"/>
          </w:tcPr>
          <w:p w14:paraId="7A9812E7" w14:textId="77777777"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 xml:space="preserve">Nowelizacja rozporządzenia Ministra Zdrowia z dnia 17 sierpnia 2018 r. w sprawie wykazu substancji psychotropowych, środków odurzających oraz nowych substancji psychoaktywnych (Dz. U. z 2021 r. poz. 406 i 518) wynika z konieczności wprowadzenia zmian w załącznikach do rozporządzenia, uwzględniających postanowienia Konwencji Narodów Zjednoczonych o kontroli narkotyków, decyzje Komisji ds. Środków Odurzających oraz substancje zawarte w uchwałach Zespołu do spraw oceny ryzyka zagrożeń dla zdrowia lub życia </w:t>
            </w:r>
            <w:r w:rsidRPr="004438C8">
              <w:rPr>
                <w:rFonts w:ascii="Arial" w:eastAsia="Calibri" w:hAnsi="Arial" w:cs="Arial"/>
                <w:color w:val="000000"/>
                <w:sz w:val="19"/>
                <w:szCs w:val="19"/>
                <w:lang w:eastAsia="en-US"/>
              </w:rPr>
              <w:lastRenderedPageBreak/>
              <w:t xml:space="preserve">ludzi związanych z używaniem nowych substancji psychoaktywnych. </w:t>
            </w:r>
          </w:p>
          <w:p w14:paraId="6FB0D73E" w14:textId="371A13D1"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Ograniczanie dostępności do tych substancji wpłynie korzystnie na ochronę życia i zdrowia ludzi, w szczególności grup szczególnie wrażliwych, zwłaszcza ludzi młodych.  </w:t>
            </w:r>
          </w:p>
        </w:tc>
        <w:tc>
          <w:tcPr>
            <w:tcW w:w="1842" w:type="dxa"/>
            <w:shd w:val="clear" w:color="auto" w:fill="FFFFFF"/>
          </w:tcPr>
          <w:p w14:paraId="6E3E4A00" w14:textId="10FBFDE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lastRenderedPageBreak/>
              <w:t>Główny Inspektor Sanitarny</w:t>
            </w:r>
          </w:p>
        </w:tc>
        <w:tc>
          <w:tcPr>
            <w:tcW w:w="2362" w:type="dxa"/>
            <w:shd w:val="clear" w:color="auto" w:fill="FFFFFF"/>
          </w:tcPr>
          <w:p w14:paraId="66A9D22A" w14:textId="5B276F11" w:rsidR="004438C8" w:rsidRPr="00B91971" w:rsidRDefault="00C654B9"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7F0C61">
              <w:rPr>
                <w:rFonts w:ascii="Arial" w:hAnsi="Arial" w:cs="Arial"/>
                <w:sz w:val="19"/>
                <w:szCs w:val="19"/>
              </w:rPr>
              <w:t>podpisu MZ</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3D3ECBC0" w:rsidR="00D73218" w:rsidRDefault="00C654B9"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 xml:space="preserve">wysokość wynagrodzenia dla członków i przewodniczącego </w:t>
            </w:r>
            <w:r w:rsidRPr="00984119">
              <w:rPr>
                <w:rFonts w:ascii="Arial" w:eastAsia="Calibri" w:hAnsi="Arial" w:cs="Arial"/>
                <w:sz w:val="19"/>
                <w:szCs w:val="19"/>
                <w:lang w:eastAsia="en-US"/>
              </w:rPr>
              <w:lastRenderedPageBreak/>
              <w:t>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 xml:space="preserve">tryb uznawania dorobku zawodowego i naukowego w nowej dziedzinie medycyny nieobjętej systemem szkolenia </w:t>
            </w:r>
            <w:r w:rsidRPr="00984119">
              <w:rPr>
                <w:rFonts w:ascii="Arial" w:eastAsia="Calibri" w:hAnsi="Arial" w:cs="Arial"/>
                <w:sz w:val="19"/>
                <w:szCs w:val="19"/>
                <w:lang w:eastAsia="en-US"/>
              </w:rPr>
              <w:lastRenderedPageBreak/>
              <w:t>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 xml:space="preserve">Umożliwienie lekarzom posiadającym tytuł specjalisty w dziedzinie pediatrii odbywania szkolenia specjalizacyjnego w dziedzinie psychiatrii dzieci i młodzieży na podstawie skróconego </w:t>
            </w:r>
            <w:r w:rsidRPr="00984119">
              <w:rPr>
                <w:rFonts w:ascii="Arial" w:hAnsi="Arial" w:cs="Arial"/>
                <w:sz w:val="19"/>
                <w:szCs w:val="19"/>
              </w:rPr>
              <w:lastRenderedPageBreak/>
              <w:t>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2F4DCED9" w14:textId="0B0EDACD" w:rsidR="00984119" w:rsidRDefault="00C654B9"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984119" w:rsidRPr="00B91971">
              <w:rPr>
                <w:rFonts w:ascii="Arial" w:hAnsi="Arial" w:cs="Arial"/>
                <w:sz w:val="19"/>
                <w:szCs w:val="19"/>
              </w:rPr>
              <w:t>projekt na etapie</w:t>
            </w:r>
            <w:r w:rsidR="00984119">
              <w:rPr>
                <w:rFonts w:ascii="Arial" w:hAnsi="Arial" w:cs="Arial"/>
                <w:sz w:val="19"/>
                <w:szCs w:val="19"/>
              </w:rPr>
              <w:t xml:space="preserve"> </w:t>
            </w:r>
            <w:r w:rsidR="00BF49D4">
              <w:rPr>
                <w:rFonts w:ascii="Arial" w:hAnsi="Arial" w:cs="Arial"/>
                <w:sz w:val="19"/>
                <w:szCs w:val="19"/>
              </w:rPr>
              <w:t>UZ i KS</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3A1206D1" w:rsidR="00F0781E" w:rsidRDefault="00C654B9"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w:t>
            </w:r>
            <w:r w:rsidR="007F0C61">
              <w:rPr>
                <w:rFonts w:ascii="Arial" w:hAnsi="Arial" w:cs="Arial"/>
                <w:sz w:val="19"/>
                <w:szCs w:val="19"/>
              </w:rPr>
              <w:t>UZ i KS</w:t>
            </w:r>
            <w:r w:rsidR="00F0781E">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t>Maciej Miłkowski, Podsekretarz Stanu w Ministerstwie Zdrowia</w:t>
            </w:r>
          </w:p>
        </w:tc>
        <w:tc>
          <w:tcPr>
            <w:tcW w:w="2362" w:type="dxa"/>
            <w:shd w:val="clear" w:color="auto" w:fill="FFFFFF"/>
          </w:tcPr>
          <w:p w14:paraId="5F9F842E" w14:textId="68F02897" w:rsidR="0081267A" w:rsidRDefault="00C654B9"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8F3622">
              <w:rPr>
                <w:rFonts w:ascii="Arial" w:hAnsi="Arial" w:cs="Arial"/>
                <w:sz w:val="19"/>
                <w:szCs w:val="19"/>
              </w:rPr>
              <w:t xml:space="preserve">projekt na etapie </w:t>
            </w:r>
            <w:r w:rsidR="000501DA">
              <w:rPr>
                <w:rFonts w:ascii="Arial" w:hAnsi="Arial" w:cs="Arial"/>
                <w:sz w:val="19"/>
                <w:szCs w:val="19"/>
              </w:rPr>
              <w:t>UZ i KS</w:t>
            </w:r>
            <w:r w:rsidR="0081267A">
              <w:rPr>
                <w:rFonts w:ascii="Arial" w:hAnsi="Arial" w:cs="Arial"/>
                <w:sz w:val="19"/>
                <w:szCs w:val="19"/>
              </w:rPr>
              <w:t>.</w:t>
            </w:r>
          </w:p>
        </w:tc>
      </w:tr>
      <w:tr w:rsidR="0081267A" w:rsidRPr="00F873E4" w14:paraId="6EDF07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249EF1"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F24E2E" w14:textId="6239C135"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1220</w:t>
            </w:r>
          </w:p>
        </w:tc>
        <w:tc>
          <w:tcPr>
            <w:tcW w:w="2268" w:type="dxa"/>
            <w:shd w:val="clear" w:color="auto" w:fill="FFFFFF"/>
          </w:tcPr>
          <w:p w14:paraId="1EAE1141" w14:textId="058E8439"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72 ustawy z dnia 5 sierpnia 2015 r. o pracy na morzu (Dz. U. z 2020 r. poz. 1353)</w:t>
            </w:r>
          </w:p>
        </w:tc>
        <w:tc>
          <w:tcPr>
            <w:tcW w:w="3260" w:type="dxa"/>
            <w:shd w:val="clear" w:color="auto" w:fill="FFFFFF"/>
          </w:tcPr>
          <w:p w14:paraId="1B4DF91F"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właściwym do spraw gospodarki morskiej, określi, w drodze rozporządzenia:</w:t>
            </w:r>
          </w:p>
          <w:p w14:paraId="195AE6EB"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xml:space="preserve">1) wymagania dotyczące wyposażenia apteczek okrętowych w odpowiednie rodzaje i ilości produktów leczniczych, wyrobów medycznych i odtrutek, sposobu ich </w:t>
            </w:r>
            <w:r w:rsidRPr="0081267A">
              <w:rPr>
                <w:rFonts w:ascii="Arial" w:eastAsia="Calibri" w:hAnsi="Arial" w:cs="Arial"/>
                <w:sz w:val="19"/>
                <w:szCs w:val="19"/>
                <w:lang w:eastAsia="en-US"/>
              </w:rPr>
              <w:lastRenderedPageBreak/>
              <w:t>przechowywania, kontroli, wymiany oraz ewidencjonowania,</w:t>
            </w:r>
          </w:p>
          <w:p w14:paraId="4F5971E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wymagania dotyczące wyposażenia środków ratunkowych w apteczki medyczne w odpowiednie rodzaje i ilości produktów leczniczych i wyrobów medycznych, sposobu ich kontroli, wymiany oraz ewidencjonowania,</w:t>
            </w:r>
          </w:p>
          <w:p w14:paraId="35729A88"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wykaz substancji i materiałów stanowiących zagrożenie dla zdrowia lub życia, znajdujących się na statku,</w:t>
            </w:r>
          </w:p>
          <w:p w14:paraId="089F2C6D"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4) wzór karty zdrowia dla marynarza na statku</w:t>
            </w:r>
          </w:p>
          <w:p w14:paraId="7747E399" w14:textId="77777777" w:rsid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mając na uwadze wymagania wynikające z umów międzynarodowych wiążących Rzeczpospolitą Polską w tym zakresie, uwzględniając charakter uprawianej żeglugi oraz konieczność zapewnienia marynarzom właściwej pomocy medycznej na statku.</w:t>
            </w:r>
          </w:p>
          <w:p w14:paraId="16D8BC96" w14:textId="5F31098A" w:rsidR="0081267A" w:rsidRPr="00D7269B" w:rsidRDefault="0081267A" w:rsidP="0081267A">
            <w:pPr>
              <w:jc w:val="both"/>
              <w:rPr>
                <w:rFonts w:ascii="Arial" w:eastAsia="Calibri" w:hAnsi="Arial" w:cs="Arial"/>
                <w:sz w:val="19"/>
                <w:szCs w:val="19"/>
                <w:lang w:eastAsia="en-US"/>
              </w:rPr>
            </w:pPr>
          </w:p>
        </w:tc>
        <w:tc>
          <w:tcPr>
            <w:tcW w:w="3545" w:type="dxa"/>
            <w:shd w:val="clear" w:color="auto" w:fill="FFFFFF"/>
          </w:tcPr>
          <w:p w14:paraId="2DFE5599" w14:textId="77777777" w:rsidR="0081267A"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Projektodawca zakłada wynika z konieczności wdrożenia przepisów dyrektywy Komisji (UE) 2019/1834 z dnia 24 października 2019 r. zmieniająca załączniki II i IV do dyrektywy Rady 92/29/EWG w odniesieniu do dostosowań wyłącznie technicznych (Dz. Urz. UE L 279 z 31.10.2019, str. 80).</w:t>
            </w:r>
          </w:p>
          <w:p w14:paraId="13C79565" w14:textId="45FDA060" w:rsidR="0081267A" w:rsidRPr="00D7269B" w:rsidRDefault="0081267A" w:rsidP="00D7269B">
            <w:pPr>
              <w:spacing w:before="80" w:after="80"/>
              <w:jc w:val="both"/>
              <w:rPr>
                <w:rFonts w:ascii="Arial" w:hAnsi="Arial" w:cs="Arial"/>
                <w:sz w:val="19"/>
                <w:szCs w:val="19"/>
              </w:rPr>
            </w:pPr>
          </w:p>
        </w:tc>
        <w:tc>
          <w:tcPr>
            <w:tcW w:w="1842" w:type="dxa"/>
            <w:shd w:val="clear" w:color="auto" w:fill="FFFFFF"/>
          </w:tcPr>
          <w:p w14:paraId="6ABB016E" w14:textId="0ED7F174"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332CC94" w14:textId="46A5882C" w:rsidR="0081267A" w:rsidRDefault="00C654B9"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1F788A">
              <w:rPr>
                <w:rFonts w:ascii="Arial" w:hAnsi="Arial" w:cs="Arial"/>
                <w:sz w:val="19"/>
                <w:szCs w:val="19"/>
              </w:rPr>
              <w:t>prace wstrzymane</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xml:space="preserve">3a) usługodawców lub podmioty prowadzące rejestry publiczne i rejestry medyczne oraz sposób i terminy przekazywania przez nich danych - w przypadku rejestrów medycznych, do których </w:t>
            </w:r>
            <w:r w:rsidRPr="004E31BA">
              <w:rPr>
                <w:rFonts w:ascii="Arial" w:eastAsia="Calibri" w:hAnsi="Arial" w:cs="Arial"/>
                <w:sz w:val="19"/>
                <w:szCs w:val="19"/>
                <w:lang w:eastAsia="en-US"/>
              </w:rPr>
              <w:lastRenderedPageBreak/>
              <w:t>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5a) rodzaje identyfikatorów przetwarzanych w rejestrze spośród 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 xml:space="preserve">Rekomendowanym rozwiązaniem jest utworzenie rejestru medycznego gromadzącego dane o nowotworach 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76DB826B" w:rsidR="004E31BA"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etapie PW.</w:t>
            </w:r>
          </w:p>
        </w:tc>
      </w:tr>
      <w:tr w:rsidR="004E31BA" w:rsidRPr="00F873E4" w14:paraId="3C123D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1721A8"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2D784" w14:textId="3600C62C"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1226</w:t>
            </w:r>
          </w:p>
        </w:tc>
        <w:tc>
          <w:tcPr>
            <w:tcW w:w="2268" w:type="dxa"/>
            <w:shd w:val="clear" w:color="auto" w:fill="FFFFFF"/>
          </w:tcPr>
          <w:p w14:paraId="57C2A03E" w14:textId="487AD1BE"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089EC61" w14:textId="060E0A82"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4E31BA">
              <w:rPr>
                <w:rFonts w:ascii="Arial" w:eastAsia="Calibri" w:hAnsi="Arial" w:cs="Arial"/>
                <w:sz w:val="19"/>
                <w:szCs w:val="19"/>
                <w:lang w:eastAsia="en-US"/>
              </w:rPr>
              <w:t>w poszczególnych zakresach, o których mowa w art. 15 ust. 2 pkt 1–8 i 10–13,</w:t>
            </w:r>
          </w:p>
          <w:p w14:paraId="363E2200"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08AB2EE6"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2A32D9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7BC7AEE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368D896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6EDD9C0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46B756F7"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4CAEDF44" w14:textId="68ADB3B9"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oraz właściwego zabezpieczenia tych świadczeń</w:t>
            </w:r>
            <w:r w:rsidR="00FF6F1E">
              <w:rPr>
                <w:rFonts w:ascii="Arial" w:eastAsia="Calibri" w:hAnsi="Arial" w:cs="Arial"/>
                <w:sz w:val="19"/>
                <w:szCs w:val="19"/>
                <w:lang w:eastAsia="en-US"/>
              </w:rPr>
              <w:t>.</w:t>
            </w:r>
          </w:p>
          <w:p w14:paraId="0DC16C9F" w14:textId="77777777" w:rsidR="004E31BA" w:rsidRDefault="004E31BA" w:rsidP="004E31BA">
            <w:pPr>
              <w:jc w:val="both"/>
              <w:rPr>
                <w:rFonts w:ascii="Arial" w:eastAsia="Calibri" w:hAnsi="Arial" w:cs="Arial"/>
                <w:sz w:val="19"/>
                <w:szCs w:val="19"/>
                <w:lang w:eastAsia="en-US"/>
              </w:rPr>
            </w:pPr>
          </w:p>
          <w:p w14:paraId="608A5AB0" w14:textId="1F5AE84E" w:rsidR="004E31BA" w:rsidRPr="00AD2969" w:rsidRDefault="00AD2969" w:rsidP="004E31BA">
            <w:pPr>
              <w:jc w:val="both"/>
              <w:rPr>
                <w:rFonts w:ascii="Arial" w:eastAsia="Calibri" w:hAnsi="Arial" w:cs="Arial"/>
                <w:b/>
                <w:bCs/>
                <w:i/>
                <w:iCs/>
                <w:sz w:val="19"/>
                <w:szCs w:val="19"/>
                <w:lang w:eastAsia="en-US"/>
              </w:rPr>
            </w:pPr>
            <w:r w:rsidRPr="00AD2969">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SZPITALNE</w:t>
            </w:r>
            <w:r w:rsidRPr="00AD2969">
              <w:rPr>
                <w:rFonts w:ascii="Arial" w:eastAsia="Calibri" w:hAnsi="Arial" w:cs="Arial"/>
                <w:b/>
                <w:bCs/>
                <w:i/>
                <w:iCs/>
                <w:sz w:val="19"/>
                <w:szCs w:val="19"/>
                <w:lang w:eastAsia="en-US"/>
              </w:rPr>
              <w:t>]</w:t>
            </w:r>
          </w:p>
        </w:tc>
        <w:tc>
          <w:tcPr>
            <w:tcW w:w="3545" w:type="dxa"/>
            <w:shd w:val="clear" w:color="auto" w:fill="FFFFFF"/>
          </w:tcPr>
          <w:p w14:paraId="3B1E243F"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Nowelizacja wprowadza nowe świadczenia wraz z warunkami ich realizacji:</w:t>
            </w:r>
          </w:p>
          <w:p w14:paraId="0E616120"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1.</w:t>
            </w:r>
            <w:r w:rsidRPr="004E31BA">
              <w:rPr>
                <w:rFonts w:ascii="Arial" w:hAnsi="Arial" w:cs="Arial"/>
                <w:sz w:val="19"/>
                <w:szCs w:val="19"/>
              </w:rPr>
              <w:tab/>
              <w:t>„Leczenie rekonstrukcyjne z wykorzystaniem endoprotez onkologicznych u pacjentów do 18 r.ż. ”;</w:t>
            </w:r>
          </w:p>
          <w:p w14:paraId="48D7D31A"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2.</w:t>
            </w:r>
            <w:r w:rsidRPr="004E31BA">
              <w:rPr>
                <w:rFonts w:ascii="Arial" w:hAnsi="Arial" w:cs="Arial"/>
                <w:sz w:val="19"/>
                <w:szCs w:val="19"/>
              </w:rPr>
              <w:tab/>
              <w:t xml:space="preserve">„Monitorowanie minimalnej choroby resztkowej metodą molekularną i metodą wielokolorowej </w:t>
            </w:r>
            <w:proofErr w:type="spellStart"/>
            <w:r w:rsidRPr="004E31BA">
              <w:rPr>
                <w:rFonts w:ascii="Arial" w:hAnsi="Arial" w:cs="Arial"/>
                <w:sz w:val="19"/>
                <w:szCs w:val="19"/>
              </w:rPr>
              <w:t>cytometrii</w:t>
            </w:r>
            <w:proofErr w:type="spellEnd"/>
            <w:r w:rsidRPr="004E31BA">
              <w:rPr>
                <w:rFonts w:ascii="Arial" w:hAnsi="Arial" w:cs="Arial"/>
                <w:sz w:val="19"/>
                <w:szCs w:val="19"/>
              </w:rPr>
              <w:t xml:space="preserve"> przepływowej w ostrych białaczkach u dzieci”.</w:t>
            </w:r>
          </w:p>
          <w:p w14:paraId="36C60EEB" w14:textId="1ACA7B6B"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t>ma na celu zwiększenie dostępu do wysokospecjalistycznego leczenia oszczędzającego i monitorowania stanu czynnościowego narządów po leczeniu przeciwnowotworowym.</w:t>
            </w:r>
          </w:p>
        </w:tc>
        <w:tc>
          <w:tcPr>
            <w:tcW w:w="1842" w:type="dxa"/>
            <w:shd w:val="clear" w:color="auto" w:fill="FFFFFF"/>
          </w:tcPr>
          <w:p w14:paraId="6737264F" w14:textId="0FA7021A"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Sławomir Gadomski – Podsekretarz Stanu w Ministerstwie Zdrowia</w:t>
            </w:r>
          </w:p>
        </w:tc>
        <w:tc>
          <w:tcPr>
            <w:tcW w:w="2362" w:type="dxa"/>
            <w:shd w:val="clear" w:color="auto" w:fill="FFFFFF"/>
          </w:tcPr>
          <w:p w14:paraId="49C595D7" w14:textId="242DD71A" w:rsidR="004E31BA"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 xml:space="preserve">etapie </w:t>
            </w:r>
            <w:r w:rsidR="00E036A8">
              <w:rPr>
                <w:rFonts w:ascii="Arial" w:hAnsi="Arial" w:cs="Arial"/>
                <w:sz w:val="19"/>
                <w:szCs w:val="19"/>
              </w:rPr>
              <w:t>UZ i KS</w:t>
            </w:r>
            <w:r w:rsidR="004E31BA">
              <w:rPr>
                <w:rFonts w:ascii="Arial" w:hAnsi="Arial" w:cs="Arial"/>
                <w:sz w:val="19"/>
                <w:szCs w:val="19"/>
              </w:rPr>
              <w:t>.</w:t>
            </w:r>
          </w:p>
        </w:tc>
      </w:tr>
      <w:tr w:rsidR="004E31BA" w:rsidRPr="00F873E4" w14:paraId="61DE4A9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275EA"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125058" w14:textId="03E93491"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1227</w:t>
            </w:r>
          </w:p>
        </w:tc>
        <w:tc>
          <w:tcPr>
            <w:tcW w:w="2268" w:type="dxa"/>
            <w:shd w:val="clear" w:color="auto" w:fill="FFFFFF"/>
          </w:tcPr>
          <w:p w14:paraId="42A144F7" w14:textId="51CE7706"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E14CAE3"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p>
          <w:p w14:paraId="7EB8597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 poszczególnych zakresach, o których mowa w art. 15 ust. 2 pkt 1–8 i 10–13,</w:t>
            </w:r>
          </w:p>
          <w:p w14:paraId="014DA22C"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1A53276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031BAE2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57F5E12E"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0ECC885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5796D2C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5022364D"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29E94CB0" w14:textId="6AD4A881"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67224FD1" w14:textId="77777777" w:rsidR="004E31BA" w:rsidRDefault="004E31BA" w:rsidP="004E31BA">
            <w:pPr>
              <w:jc w:val="both"/>
              <w:rPr>
                <w:rFonts w:ascii="Arial" w:eastAsia="Calibri" w:hAnsi="Arial" w:cs="Arial"/>
                <w:sz w:val="19"/>
                <w:szCs w:val="19"/>
                <w:lang w:eastAsia="en-US"/>
              </w:rPr>
            </w:pPr>
          </w:p>
          <w:p w14:paraId="3FDFA174" w14:textId="400111C8" w:rsidR="004E31BA" w:rsidRPr="00AD2969" w:rsidRDefault="00AD2969" w:rsidP="004E31BA">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tc>
        <w:tc>
          <w:tcPr>
            <w:tcW w:w="3545" w:type="dxa"/>
            <w:shd w:val="clear" w:color="auto" w:fill="FFFFFF"/>
          </w:tcPr>
          <w:p w14:paraId="0141C44C" w14:textId="6824D935" w:rsidR="004E31BA" w:rsidRPr="0081267A" w:rsidRDefault="00FF6F1E" w:rsidP="004E31BA">
            <w:pPr>
              <w:spacing w:before="80" w:after="80"/>
              <w:jc w:val="both"/>
              <w:rPr>
                <w:rFonts w:ascii="Arial" w:hAnsi="Arial" w:cs="Arial"/>
                <w:sz w:val="19"/>
                <w:szCs w:val="19"/>
              </w:rPr>
            </w:pPr>
            <w:r w:rsidRPr="00FF6F1E">
              <w:rPr>
                <w:rFonts w:ascii="Arial" w:hAnsi="Arial" w:cs="Arial"/>
                <w:sz w:val="19"/>
                <w:szCs w:val="19"/>
              </w:rPr>
              <w:t>Projekt rozporządzenia wprowadza zmiany w załączniku nr 2 oraz w załączniku nr 5 do rozporządzenia Ministra Zdrowia w sprawie świadczeń gwarantowanych z zakresu ambulatoryjnej opieki specjalistycznej w części dotyczącej świadczeń dedykowanych chorym na hemofilię i inne pokrewne skazy krwotoczne</w:t>
            </w:r>
            <w:r>
              <w:rPr>
                <w:rFonts w:ascii="Arial" w:hAnsi="Arial" w:cs="Arial"/>
                <w:sz w:val="19"/>
                <w:szCs w:val="19"/>
              </w:rPr>
              <w:t xml:space="preserve">. </w:t>
            </w:r>
          </w:p>
        </w:tc>
        <w:tc>
          <w:tcPr>
            <w:tcW w:w="1842" w:type="dxa"/>
            <w:shd w:val="clear" w:color="auto" w:fill="FFFFFF"/>
          </w:tcPr>
          <w:p w14:paraId="53145354" w14:textId="1E238D24" w:rsidR="004E31BA" w:rsidRPr="0081267A" w:rsidRDefault="00FF6F1E" w:rsidP="004E31BA">
            <w:pPr>
              <w:spacing w:before="80" w:after="80"/>
              <w:rPr>
                <w:rFonts w:ascii="Arial" w:eastAsia="Calibri" w:hAnsi="Arial" w:cs="Arial"/>
                <w:sz w:val="19"/>
                <w:szCs w:val="19"/>
                <w:lang w:eastAsia="en-US"/>
              </w:rPr>
            </w:pPr>
            <w:r w:rsidRPr="00FF6F1E">
              <w:rPr>
                <w:rFonts w:ascii="Arial" w:eastAsia="Calibri" w:hAnsi="Arial" w:cs="Arial"/>
                <w:sz w:val="19"/>
                <w:szCs w:val="19"/>
                <w:lang w:eastAsia="en-US"/>
              </w:rPr>
              <w:t>Pan Maciej Miłkowski Podsekretarz Stanu</w:t>
            </w:r>
          </w:p>
        </w:tc>
        <w:tc>
          <w:tcPr>
            <w:tcW w:w="2362" w:type="dxa"/>
            <w:shd w:val="clear" w:color="auto" w:fill="FFFFFF"/>
          </w:tcPr>
          <w:p w14:paraId="4DCD8E70" w14:textId="1126C366" w:rsidR="004E31BA"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FF6F1E">
              <w:rPr>
                <w:rFonts w:ascii="Arial" w:hAnsi="Arial" w:cs="Arial"/>
                <w:sz w:val="19"/>
                <w:szCs w:val="19"/>
              </w:rPr>
              <w:t xml:space="preserve">etapie </w:t>
            </w:r>
            <w:r w:rsidR="009D7DF4">
              <w:rPr>
                <w:rFonts w:ascii="Arial" w:hAnsi="Arial" w:cs="Arial"/>
                <w:sz w:val="19"/>
                <w:szCs w:val="19"/>
              </w:rPr>
              <w:t>KP</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ustanawiającej podstawowe normy bezpieczeństwa w celu ochrony przed zagrożeniami wynikającymi z narażenia na działanie promieniowania </w:t>
            </w:r>
            <w:r w:rsidRPr="0068419F">
              <w:rPr>
                <w:rFonts w:ascii="Arial" w:hAnsi="Arial" w:cs="Arial"/>
                <w:sz w:val="19"/>
                <w:szCs w:val="19"/>
              </w:rPr>
              <w:lastRenderedPageBreak/>
              <w:t>jonizującego oraz uchylającej dyrektywy 89/618/</w:t>
            </w:r>
            <w:proofErr w:type="spellStart"/>
            <w:r w:rsidRPr="0068419F">
              <w:rPr>
                <w:rFonts w:ascii="Arial" w:hAnsi="Arial" w:cs="Arial"/>
                <w:sz w:val="19"/>
                <w:szCs w:val="19"/>
              </w:rPr>
              <w:t>Euratom</w:t>
            </w:r>
            <w:proofErr w:type="spellEnd"/>
            <w:r w:rsidRPr="0068419F">
              <w:rPr>
                <w:rFonts w:ascii="Arial" w:hAnsi="Arial" w:cs="Arial"/>
                <w:sz w:val="19"/>
                <w:szCs w:val="19"/>
              </w:rPr>
              <w:t>, 90/641/</w:t>
            </w:r>
            <w:proofErr w:type="spellStart"/>
            <w:r w:rsidRPr="0068419F">
              <w:rPr>
                <w:rFonts w:ascii="Arial" w:hAnsi="Arial" w:cs="Arial"/>
                <w:sz w:val="19"/>
                <w:szCs w:val="19"/>
              </w:rPr>
              <w:t>Euratom</w:t>
            </w:r>
            <w:proofErr w:type="spellEnd"/>
            <w:r w:rsidRPr="0068419F">
              <w:rPr>
                <w:rFonts w:ascii="Arial" w:hAnsi="Arial" w:cs="Arial"/>
                <w:sz w:val="19"/>
                <w:szCs w:val="19"/>
              </w:rPr>
              <w:t>, 96/29/</w:t>
            </w:r>
            <w:proofErr w:type="spellStart"/>
            <w:r w:rsidRPr="0068419F">
              <w:rPr>
                <w:rFonts w:ascii="Arial" w:hAnsi="Arial" w:cs="Arial"/>
                <w:sz w:val="19"/>
                <w:szCs w:val="19"/>
              </w:rPr>
              <w:t>Euratom</w:t>
            </w:r>
            <w:proofErr w:type="spellEnd"/>
            <w:r w:rsidRPr="0068419F">
              <w:rPr>
                <w:rFonts w:ascii="Arial" w:hAnsi="Arial" w:cs="Arial"/>
                <w:sz w:val="19"/>
                <w:szCs w:val="19"/>
              </w:rPr>
              <w:t>, 97/43/</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i 2003/122/</w:t>
            </w:r>
            <w:proofErr w:type="spellStart"/>
            <w:r w:rsidRPr="0068419F">
              <w:rPr>
                <w:rFonts w:ascii="Arial" w:hAnsi="Arial" w:cs="Arial"/>
                <w:sz w:val="19"/>
                <w:szCs w:val="19"/>
              </w:rPr>
              <w:t>Euratom</w:t>
            </w:r>
            <w:proofErr w:type="spellEnd"/>
            <w:r w:rsidRPr="0068419F">
              <w:rPr>
                <w:rFonts w:ascii="Arial" w:hAnsi="Arial" w:cs="Arial"/>
                <w:sz w:val="19"/>
                <w:szCs w:val="19"/>
              </w:rPr>
              <w:t>.</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0E806C10" w14:textId="2F3C2D04" w:rsidR="0068419F"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4D2805">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54061FCF"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Sławomir Gadomski – Podsekretarz Stanu w Ministerstwie Zdrowia</w:t>
            </w:r>
          </w:p>
        </w:tc>
        <w:tc>
          <w:tcPr>
            <w:tcW w:w="2362" w:type="dxa"/>
            <w:shd w:val="clear" w:color="auto" w:fill="FFFFFF"/>
          </w:tcPr>
          <w:p w14:paraId="7239C0CA" w14:textId="055141BD" w:rsidR="0068419F"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4D2805">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przed skierowaniem na UZ i KS</w:t>
            </w:r>
            <w:r w:rsidR="004D2805">
              <w:rPr>
                <w:rFonts w:ascii="Arial" w:hAnsi="Arial" w:cs="Arial"/>
                <w:sz w:val="19"/>
                <w:szCs w:val="19"/>
              </w:rPr>
              <w:t>.</w:t>
            </w:r>
          </w:p>
        </w:tc>
      </w:tr>
      <w:tr w:rsidR="009B5DD5" w:rsidRPr="00F873E4" w14:paraId="7F609C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38EBCE"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BB3D5D" w14:textId="578D642E"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1234</w:t>
            </w:r>
          </w:p>
        </w:tc>
        <w:tc>
          <w:tcPr>
            <w:tcW w:w="2268" w:type="dxa"/>
            <w:shd w:val="clear" w:color="auto" w:fill="FFFFFF"/>
          </w:tcPr>
          <w:p w14:paraId="722DF89E" w14:textId="0D48F35D"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5 ust. 7 ustawy z dnia 5 sierpnia 2015 r. o pracy na morzu</w:t>
            </w:r>
          </w:p>
        </w:tc>
        <w:tc>
          <w:tcPr>
            <w:tcW w:w="3260" w:type="dxa"/>
            <w:shd w:val="clear" w:color="auto" w:fill="FFFFFF"/>
          </w:tcPr>
          <w:p w14:paraId="7B8EB15A"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Minister właściwy do spraw zdrowia w porozumieniu z ministrem właściwym do spraw gospodarki morskiej określi, w drodze rozporządzenia:</w:t>
            </w:r>
          </w:p>
          <w:p w14:paraId="2C36D031"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1) wykaz chorób i stanów chorobowych, które mogą spowodować niezdolność marynarza do pracy na statku, zakres przeciwwskazań, ograniczeń lub warunków wykonywania pracy na statku,</w:t>
            </w:r>
          </w:p>
          <w:p w14:paraId="4DDDC370"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2) zakres badań lekarskich przeprowadzanych w celu wydania świadectwa zdrowia oraz warunki ich przeprowadzania,</w:t>
            </w:r>
          </w:p>
          <w:p w14:paraId="4F9F7F25"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lastRenderedPageBreak/>
              <w:t>3) wzór świadectwa zdrowia</w:t>
            </w:r>
          </w:p>
          <w:p w14:paraId="68A7AB73" w14:textId="34DD9804" w:rsidR="009B5DD5" w:rsidRPr="0068419F"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 biorąc pod uwagę konieczność zapewnienia prawidłowego i kompleksowego przebiegu badań lekarskich oraz konieczność posiadania i dokumentowania przez marynarzy odpowiedniego stanu zdrowia do wykonywania pracy na statku, uwzględniając Wytyczne Międzynarodowej Organizacji Pracy i Międzynarodowej Organizacji Morskiej w sprawie badań lekarskich marynarzy oraz wymagania Konwencji STCW.</w:t>
            </w:r>
          </w:p>
        </w:tc>
        <w:tc>
          <w:tcPr>
            <w:tcW w:w="3545" w:type="dxa"/>
            <w:shd w:val="clear" w:color="auto" w:fill="FFFFFF"/>
          </w:tcPr>
          <w:p w14:paraId="0E99C703"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lastRenderedPageBreak/>
              <w:t xml:space="preserve">Projekt rozporządzenia określa: </w:t>
            </w:r>
          </w:p>
          <w:p w14:paraId="3C746760"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1. wykaz chorób i stanów chorobowych, które mogą spowodować niezdolność marynarza do pracy na statku morskim, zwanym dalej „statkiem”, zakres przeciwwskazań, ograniczeń lub warunków wykonywania pracy na statku;</w:t>
            </w:r>
          </w:p>
          <w:p w14:paraId="58AEAAEF"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2. zakres badań lekarskich przeprowadzanych w celu wydania świadectwa zdrowia oraz warunki ich przeprowadzania;</w:t>
            </w:r>
          </w:p>
          <w:p w14:paraId="3FE08397"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3. wzór świadectwa zdrowia;</w:t>
            </w:r>
          </w:p>
          <w:p w14:paraId="23251FDC"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lastRenderedPageBreak/>
              <w:t>4. tryb rejestracji i wydawania świadectw zdrowia w systemie informacyjno-kontrolnym dla portów polskich (PHICS).</w:t>
            </w:r>
          </w:p>
          <w:p w14:paraId="036943E8" w14:textId="6243F2E4" w:rsidR="009B5DD5" w:rsidRPr="0068419F" w:rsidRDefault="009A727F" w:rsidP="009A727F">
            <w:pPr>
              <w:spacing w:before="80" w:after="80"/>
              <w:jc w:val="both"/>
              <w:rPr>
                <w:rFonts w:ascii="Arial" w:hAnsi="Arial" w:cs="Arial"/>
                <w:sz w:val="19"/>
                <w:szCs w:val="19"/>
              </w:rPr>
            </w:pPr>
            <w:r w:rsidRPr="009A727F">
              <w:rPr>
                <w:rFonts w:ascii="Arial" w:hAnsi="Arial" w:cs="Arial"/>
                <w:sz w:val="19"/>
                <w:szCs w:val="19"/>
              </w:rPr>
              <w:t>Ustawa z dnia 11 września 2019 r. o pracy na statkach rybackich (Dz. U. poz. 2197) zmienia z dniem 14 listopada 2021 r. delegację ustawową określoną w art. 5 ust. 7 ustawy z dnia 5 sierpnia 2015 r. o pracy na morzu (Dz. U. z 2020 r. poz. 1353). W związku z powyższym zaistniała potrzeba zmiany istniejących przepisów wykonawczych regulujących sprawy wydawania międzynarodowych świadectw zdrowia dla marynarzy.</w:t>
            </w:r>
          </w:p>
        </w:tc>
        <w:tc>
          <w:tcPr>
            <w:tcW w:w="1842" w:type="dxa"/>
            <w:shd w:val="clear" w:color="auto" w:fill="FFFFFF"/>
          </w:tcPr>
          <w:p w14:paraId="785EC8AF" w14:textId="676BA372"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6745E49F" w14:textId="3ABA0F76" w:rsidR="009B5DD5"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E13473">
              <w:rPr>
                <w:rFonts w:ascii="Arial" w:hAnsi="Arial" w:cs="Arial"/>
                <w:sz w:val="19"/>
                <w:szCs w:val="19"/>
              </w:rPr>
              <w:t>uzyskiwania podpisu MI „w porozumieniu”</w:t>
            </w:r>
            <w:r w:rsidR="00DB54A3">
              <w:rPr>
                <w:rFonts w:ascii="Arial" w:hAnsi="Arial" w:cs="Arial"/>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6B6E35BB"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t>Sławomir Gadomski, Podsekretarz Stanu w Ministerstwie Zdrowia</w:t>
            </w:r>
          </w:p>
        </w:tc>
        <w:tc>
          <w:tcPr>
            <w:tcW w:w="2362" w:type="dxa"/>
            <w:shd w:val="clear" w:color="auto" w:fill="FFFFFF"/>
          </w:tcPr>
          <w:p w14:paraId="7EFB8471" w14:textId="2841B8CC" w:rsidR="009B5DD5"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KP</w:t>
            </w:r>
            <w:r w:rsidR="00DB54A3">
              <w:rPr>
                <w:rFonts w:ascii="Arial" w:hAnsi="Arial" w:cs="Arial"/>
                <w:sz w:val="19"/>
                <w:szCs w:val="19"/>
              </w:rPr>
              <w:t>.</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xml:space="preserve">Minister właściwy do spraw zdrowia może określić w rozporządzeniu, o </w:t>
            </w:r>
            <w:r w:rsidRPr="00DB54A3">
              <w:rPr>
                <w:rFonts w:ascii="Arial" w:eastAsia="Calibri" w:hAnsi="Arial" w:cs="Arial"/>
                <w:sz w:val="19"/>
                <w:szCs w:val="19"/>
                <w:lang w:eastAsia="en-US"/>
              </w:rPr>
              <w:lastRenderedPageBreak/>
              <w:t>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w:t>
            </w:r>
            <w:r w:rsidRPr="009A727F">
              <w:rPr>
                <w:rFonts w:ascii="Arial" w:hAnsi="Arial" w:cs="Arial"/>
                <w:sz w:val="19"/>
                <w:szCs w:val="19"/>
              </w:rPr>
              <w:lastRenderedPageBreak/>
              <w:t>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Główny Inspektor </w:t>
            </w:r>
            <w:proofErr w:type="spellStart"/>
            <w:r>
              <w:rPr>
                <w:rFonts w:ascii="Arial" w:eastAsia="Calibri" w:hAnsi="Arial" w:cs="Arial"/>
                <w:sz w:val="19"/>
                <w:szCs w:val="19"/>
                <w:lang w:eastAsia="en-US"/>
              </w:rPr>
              <w:t>Saitarny</w:t>
            </w:r>
            <w:proofErr w:type="spellEnd"/>
            <w:r>
              <w:rPr>
                <w:rFonts w:ascii="Arial" w:eastAsia="Calibri" w:hAnsi="Arial" w:cs="Arial"/>
                <w:sz w:val="19"/>
                <w:szCs w:val="19"/>
                <w:lang w:eastAsia="en-US"/>
              </w:rPr>
              <w:t xml:space="preserve"> </w:t>
            </w:r>
          </w:p>
        </w:tc>
        <w:tc>
          <w:tcPr>
            <w:tcW w:w="2362" w:type="dxa"/>
            <w:shd w:val="clear" w:color="auto" w:fill="FFFFFF"/>
          </w:tcPr>
          <w:p w14:paraId="0D1F95D1" w14:textId="52480A19" w:rsidR="009B5DD5"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KP</w:t>
            </w:r>
            <w:r w:rsidR="00DB54A3">
              <w:rPr>
                <w:rFonts w:ascii="Arial" w:hAnsi="Arial" w:cs="Arial"/>
                <w:sz w:val="19"/>
                <w:szCs w:val="19"/>
              </w:rPr>
              <w:t>.</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9A727F">
              <w:rPr>
                <w:rFonts w:ascii="Arial" w:hAnsi="Arial" w:cs="Arial"/>
                <w:sz w:val="19"/>
                <w:szCs w:val="19"/>
              </w:rPr>
              <w:t>odtytoniowych</w:t>
            </w:r>
            <w:proofErr w:type="spellEnd"/>
            <w:r w:rsidRPr="009A727F">
              <w:rPr>
                <w:rFonts w:ascii="Arial" w:hAnsi="Arial" w:cs="Arial"/>
                <w:sz w:val="19"/>
                <w:szCs w:val="19"/>
              </w:rPr>
              <w:t xml:space="preserve"> (w tym przewlekłej obturacyjnej choroby płuc </w:t>
            </w:r>
            <w:proofErr w:type="spellStart"/>
            <w:r w:rsidRPr="009A727F">
              <w:rPr>
                <w:rFonts w:ascii="Arial" w:hAnsi="Arial" w:cs="Arial"/>
                <w:sz w:val="19"/>
                <w:szCs w:val="19"/>
              </w:rPr>
              <w:t>POChP</w:t>
            </w:r>
            <w:proofErr w:type="spellEnd"/>
            <w:r w:rsidRPr="009A727F">
              <w:rPr>
                <w:rFonts w:ascii="Arial" w:hAnsi="Arial" w:cs="Arial"/>
                <w:sz w:val="19"/>
                <w:szCs w:val="19"/>
              </w:rPr>
              <w:t>)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27FB32EC" w:rsidR="009B5DD5"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KS</w:t>
            </w:r>
            <w:r w:rsidR="00DB54A3">
              <w:rPr>
                <w:rFonts w:ascii="Arial" w:hAnsi="Arial" w:cs="Arial"/>
                <w:sz w:val="19"/>
                <w:szCs w:val="19"/>
              </w:rPr>
              <w:t>.</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w:t>
            </w:r>
            <w:r w:rsidRPr="008B2595">
              <w:rPr>
                <w:rFonts w:ascii="Arial" w:hAnsi="Arial" w:cs="Arial"/>
                <w:sz w:val="19"/>
                <w:szCs w:val="19"/>
              </w:rPr>
              <w:lastRenderedPageBreak/>
              <w:t>i monitorowanie w ramach kompleksowej opieki onkologicznej nad pacjentem z nowotworem piersi”.</w:t>
            </w:r>
          </w:p>
        </w:tc>
        <w:tc>
          <w:tcPr>
            <w:tcW w:w="1842" w:type="dxa"/>
            <w:shd w:val="clear" w:color="auto" w:fill="FFFFFF"/>
          </w:tcPr>
          <w:p w14:paraId="11741D27" w14:textId="327A5A5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2E8F0F7A" w14:textId="49B5D8EB" w:rsidR="004E4416"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 xml:space="preserve">uwadze konieczność zapewnienia wysokiej jakości świadczeń opieki </w:t>
            </w:r>
            <w:r w:rsidRPr="00DC4177">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1ED1FD3A"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21ACA62B" w14:textId="68551702" w:rsidR="004E4416"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 xml:space="preserve">Projekt rozporządzenia wprowadza zmiany w zakresie </w:t>
            </w:r>
            <w:proofErr w:type="spellStart"/>
            <w:r w:rsidRPr="008B2595">
              <w:rPr>
                <w:rFonts w:ascii="Arial" w:hAnsi="Arial" w:cs="Arial"/>
                <w:sz w:val="19"/>
                <w:szCs w:val="19"/>
              </w:rPr>
              <w:t>rozpoznań</w:t>
            </w:r>
            <w:proofErr w:type="spellEnd"/>
            <w:r w:rsidRPr="008B2595">
              <w:rPr>
                <w:rFonts w:ascii="Arial" w:hAnsi="Arial" w:cs="Arial"/>
                <w:sz w:val="19"/>
                <w:szCs w:val="19"/>
              </w:rPr>
              <w:t xml:space="preserve">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3B991E6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7AB1D994" w14:textId="4C177E27" w:rsidR="004E4416"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szczegółowy tryb powoływania oraz sposób działania 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lastRenderedPageBreak/>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lastRenderedPageBreak/>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lastRenderedPageBreak/>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lastRenderedPageBreak/>
              <w:t xml:space="preserve">Piotr </w:t>
            </w:r>
            <w:proofErr w:type="spellStart"/>
            <w:r w:rsidRPr="000501DA">
              <w:rPr>
                <w:rFonts w:ascii="Arial" w:eastAsia="Calibri" w:hAnsi="Arial" w:cs="Arial"/>
                <w:sz w:val="19"/>
                <w:szCs w:val="19"/>
                <w:lang w:eastAsia="en-US"/>
              </w:rPr>
              <w:t>Bromber</w:t>
            </w:r>
            <w:proofErr w:type="spellEnd"/>
            <w:r w:rsidRPr="000501DA">
              <w:rPr>
                <w:rFonts w:ascii="Arial" w:eastAsia="Calibri" w:hAnsi="Arial" w:cs="Arial"/>
                <w:sz w:val="19"/>
                <w:szCs w:val="19"/>
                <w:lang w:eastAsia="en-US"/>
              </w:rPr>
              <w:t xml:space="preserve"> Podsekretarz Stanu</w:t>
            </w:r>
          </w:p>
        </w:tc>
        <w:tc>
          <w:tcPr>
            <w:tcW w:w="2362" w:type="dxa"/>
            <w:shd w:val="clear" w:color="auto" w:fill="FFFFFF"/>
          </w:tcPr>
          <w:p w14:paraId="30418D23" w14:textId="505CAF28" w:rsidR="000501DA"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C5E0F">
              <w:rPr>
                <w:rFonts w:ascii="Arial" w:hAnsi="Arial" w:cs="Arial"/>
                <w:sz w:val="19"/>
                <w:szCs w:val="19"/>
              </w:rPr>
              <w:t>UZ i KS</w:t>
            </w:r>
            <w:r w:rsidR="000501DA">
              <w:rPr>
                <w:rFonts w:ascii="Arial" w:hAnsi="Arial" w:cs="Arial"/>
                <w:sz w:val="19"/>
                <w:szCs w:val="19"/>
              </w:rPr>
              <w:t>.</w:t>
            </w:r>
          </w:p>
        </w:tc>
      </w:tr>
      <w:tr w:rsidR="000501DA" w:rsidRPr="00F873E4" w14:paraId="3FC20F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3CB3F"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0903BB" w14:textId="247A7E8E"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1243</w:t>
            </w:r>
          </w:p>
        </w:tc>
        <w:tc>
          <w:tcPr>
            <w:tcW w:w="2268" w:type="dxa"/>
            <w:shd w:val="clear" w:color="auto" w:fill="FFFFFF"/>
          </w:tcPr>
          <w:p w14:paraId="1FE163CA" w14:textId="77777777" w:rsidR="000501DA" w:rsidRPr="000501DA" w:rsidRDefault="000501DA" w:rsidP="000501D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 xml:space="preserve">Art. 137 ust. 2 ustawy z dnia 27 sierpnia </w:t>
            </w:r>
          </w:p>
          <w:p w14:paraId="10E10097" w14:textId="24BE05AA" w:rsidR="000501DA" w:rsidRPr="00DC4177" w:rsidRDefault="000501DA" w:rsidP="000501D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22E06AA9" w14:textId="7DF3C5A5" w:rsidR="000501DA" w:rsidRPr="008B2595" w:rsidRDefault="000501DA" w:rsidP="008B2595">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68AC04" w14:textId="6A98AB50" w:rsidR="000501DA" w:rsidRPr="008B2595" w:rsidRDefault="000501DA" w:rsidP="008B2595">
            <w:pPr>
              <w:spacing w:before="80" w:after="80"/>
              <w:jc w:val="both"/>
              <w:rPr>
                <w:rFonts w:ascii="Arial" w:hAnsi="Arial" w:cs="Arial"/>
                <w:sz w:val="19"/>
                <w:szCs w:val="19"/>
              </w:rPr>
            </w:pPr>
            <w:r w:rsidRPr="000501DA">
              <w:rPr>
                <w:rFonts w:ascii="Arial" w:hAnsi="Arial" w:cs="Arial"/>
                <w:sz w:val="19"/>
                <w:szCs w:val="19"/>
              </w:rPr>
              <w:t>Proponuje się doprecyzowanie przepisu § 33a ust. 1 Ogólnych warunków umów o udzielanie świadczeń opieki zdrowotnej poprzez dodanie do niego odwołania do art. 159 ust. 1 pkt 1 ustawy tj. przepisu w  którym jest mowa o umowach  ze świadczeniodawcami udzielającymi świadczeń w zakresie podstawowej opieki zdrowotnej, z wyjątkiem nocnej i świątecznej opieki zdrowotnej.</w:t>
            </w:r>
          </w:p>
        </w:tc>
        <w:tc>
          <w:tcPr>
            <w:tcW w:w="1842" w:type="dxa"/>
            <w:shd w:val="clear" w:color="auto" w:fill="FFFFFF"/>
          </w:tcPr>
          <w:p w14:paraId="489BC808" w14:textId="34D39157"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t>Waldemar Kraska Sekretarz Stanu w Ministerstwie Zdrowia</w:t>
            </w:r>
          </w:p>
        </w:tc>
        <w:tc>
          <w:tcPr>
            <w:tcW w:w="2362" w:type="dxa"/>
            <w:shd w:val="clear" w:color="auto" w:fill="FFFFFF"/>
          </w:tcPr>
          <w:p w14:paraId="1B55A5B0" w14:textId="53D3AEFE" w:rsidR="000501DA" w:rsidRDefault="00C654B9"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875B4D">
              <w:rPr>
                <w:rFonts w:ascii="Arial" w:hAnsi="Arial" w:cs="Arial"/>
                <w:sz w:val="19"/>
                <w:szCs w:val="19"/>
              </w:rPr>
              <w:t>publikacji w Dz. U</w:t>
            </w:r>
            <w:r w:rsidR="000501DA">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Główny Inspektor Sanitarny</w:t>
            </w:r>
          </w:p>
        </w:tc>
        <w:tc>
          <w:tcPr>
            <w:tcW w:w="2362" w:type="dxa"/>
            <w:shd w:val="clear" w:color="auto" w:fill="FFFFFF"/>
          </w:tcPr>
          <w:p w14:paraId="0E840F9A" w14:textId="78CA299D" w:rsidR="00C67E99" w:rsidRDefault="00C654B9"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67E99">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0693E0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0A8CD4"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98EB6" w14:textId="4A590A06"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1250</w:t>
            </w:r>
          </w:p>
        </w:tc>
        <w:tc>
          <w:tcPr>
            <w:tcW w:w="2268" w:type="dxa"/>
            <w:shd w:val="clear" w:color="auto" w:fill="FFFFFF"/>
          </w:tcPr>
          <w:p w14:paraId="0E74B2F6" w14:textId="206632F9" w:rsidR="00F65590" w:rsidRPr="00F65590" w:rsidRDefault="00F65590" w:rsidP="00F65590">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65590">
              <w:rPr>
                <w:rFonts w:ascii="Arial" w:eastAsia="Calibri" w:hAnsi="Arial" w:cs="Arial"/>
                <w:color w:val="000000"/>
                <w:sz w:val="19"/>
                <w:szCs w:val="19"/>
                <w:lang w:eastAsia="en-US"/>
              </w:rPr>
              <w:t xml:space="preserve">rt. 48e ust. 5 ustawy z dnia 27 sierpnia 2004 r. o świadczeniach opieki </w:t>
            </w:r>
            <w:r w:rsidRPr="00F65590">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E024EDA" w14:textId="3D449887" w:rsidR="00F65590" w:rsidRPr="00C67E99" w:rsidRDefault="006D21A7" w:rsidP="00F65590">
            <w:pPr>
              <w:jc w:val="both"/>
              <w:rPr>
                <w:rFonts w:ascii="Arial" w:eastAsia="Calibri" w:hAnsi="Arial" w:cs="Arial"/>
                <w:sz w:val="19"/>
                <w:szCs w:val="19"/>
                <w:lang w:eastAsia="en-US"/>
              </w:rPr>
            </w:pPr>
            <w:r w:rsidRPr="006D21A7">
              <w:rPr>
                <w:rFonts w:ascii="Arial" w:eastAsia="Calibri" w:hAnsi="Arial" w:cs="Arial"/>
                <w:sz w:val="19"/>
                <w:szCs w:val="19"/>
                <w:lang w:eastAsia="en-US"/>
              </w:rPr>
              <w:lastRenderedPageBreak/>
              <w:t xml:space="preserve">Minister właściwy do spraw zdrowia ustala, w drodze rozporządzenia, program pilotażowy, mając na uwadze poprawę efektywności </w:t>
            </w:r>
            <w:r w:rsidRPr="006D21A7">
              <w:rPr>
                <w:rFonts w:ascii="Arial" w:eastAsia="Calibri" w:hAnsi="Arial" w:cs="Arial"/>
                <w:sz w:val="19"/>
                <w:szCs w:val="19"/>
                <w:lang w:eastAsia="en-US"/>
              </w:rPr>
              <w:lastRenderedPageBreak/>
              <w:t>systemu ochrony zdrowia oraz poprawę jakości i bezpieczeństwa udzielania świadczeń opieki zdrowotnej.</w:t>
            </w:r>
          </w:p>
        </w:tc>
        <w:tc>
          <w:tcPr>
            <w:tcW w:w="3545" w:type="dxa"/>
            <w:shd w:val="clear" w:color="auto" w:fill="FFFFFF"/>
          </w:tcPr>
          <w:p w14:paraId="2997BF9D" w14:textId="4A599D3C"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lastRenderedPageBreak/>
              <w:t xml:space="preserve">Celem wprowadzanego programu pilotażowego, dotyczącego wykorzystania elektronicznych </w:t>
            </w:r>
            <w:r w:rsidRPr="00F65590">
              <w:rPr>
                <w:rFonts w:ascii="Arial" w:hAnsi="Arial" w:cs="Arial"/>
                <w:sz w:val="19"/>
                <w:szCs w:val="19"/>
              </w:rPr>
              <w:lastRenderedPageBreak/>
              <w:t>spirometrów w podstawowej opiece zdrowotnej oraz ambulatoryjnej opiece specjalistycznej, jest ocena efektywności realizacji świadczeń opieki zdrowotnej z zakresu podstawowej opieki zdrowotnej i ambulatoryjnej opieki specjalistycznej z wykorzystaniem elektronicznych spirometrów jako narzędzia umożliwiającego badanie czynnościowe układu oddechowego w sposób zdalny pacjenta po ukończeniu 18. roku życia i przebytym zakażeniu wirusem SARS-CoV-2, monitorowanego przez lekarza pulmonologa lub lekarza podstawowej opieki specjalistycznej.</w:t>
            </w:r>
          </w:p>
        </w:tc>
        <w:tc>
          <w:tcPr>
            <w:tcW w:w="1842" w:type="dxa"/>
            <w:shd w:val="clear" w:color="auto" w:fill="FFFFFF"/>
          </w:tcPr>
          <w:p w14:paraId="3D9EA946" w14:textId="1268B46B" w:rsidR="00F65590" w:rsidRPr="00C67E99" w:rsidRDefault="00F65590" w:rsidP="00F65590">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lastRenderedPageBreak/>
              <w:t xml:space="preserve">Waldemar Kraska, Sekretarz Stanu w </w:t>
            </w:r>
            <w:r w:rsidRPr="00C67E99">
              <w:rPr>
                <w:rFonts w:ascii="Arial" w:eastAsia="Calibri" w:hAnsi="Arial" w:cs="Arial"/>
                <w:sz w:val="19"/>
                <w:szCs w:val="19"/>
                <w:lang w:eastAsia="en-US"/>
              </w:rPr>
              <w:lastRenderedPageBreak/>
              <w:t>Ministerstwie Zdrowia</w:t>
            </w:r>
          </w:p>
        </w:tc>
        <w:tc>
          <w:tcPr>
            <w:tcW w:w="2362" w:type="dxa"/>
            <w:shd w:val="clear" w:color="auto" w:fill="FFFFFF"/>
          </w:tcPr>
          <w:p w14:paraId="0AD0C7F6" w14:textId="10F13715" w:rsidR="00F65590"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26 stycznia 2022 r. </w:t>
            </w:r>
            <w:r w:rsidR="00F65590">
              <w:rPr>
                <w:rFonts w:ascii="Arial" w:hAnsi="Arial" w:cs="Arial"/>
                <w:sz w:val="19"/>
                <w:szCs w:val="19"/>
              </w:rPr>
              <w:t xml:space="preserve">– </w:t>
            </w:r>
            <w:r w:rsidR="00F65590" w:rsidRPr="00B91971">
              <w:rPr>
                <w:rFonts w:ascii="Arial" w:hAnsi="Arial" w:cs="Arial"/>
                <w:sz w:val="19"/>
                <w:szCs w:val="19"/>
              </w:rPr>
              <w:t xml:space="preserve">projekt </w:t>
            </w:r>
            <w:r w:rsidR="00F65590" w:rsidRPr="00B91971">
              <w:rPr>
                <w:rFonts w:ascii="Arial" w:hAnsi="Arial" w:cs="Arial"/>
                <w:sz w:val="19"/>
                <w:szCs w:val="19"/>
              </w:rPr>
              <w:lastRenderedPageBreak/>
              <w:t xml:space="preserve">na </w:t>
            </w:r>
            <w:r w:rsidR="00F65590">
              <w:rPr>
                <w:rFonts w:ascii="Arial" w:hAnsi="Arial" w:cs="Arial"/>
                <w:sz w:val="19"/>
                <w:szCs w:val="19"/>
              </w:rPr>
              <w:t xml:space="preserve">etapie </w:t>
            </w:r>
            <w:r w:rsidR="006D21A7">
              <w:rPr>
                <w:rFonts w:ascii="Arial" w:hAnsi="Arial" w:cs="Arial"/>
                <w:sz w:val="19"/>
                <w:szCs w:val="19"/>
              </w:rPr>
              <w:t>publikacji w Dz. U</w:t>
            </w:r>
            <w:r w:rsidR="00F65590">
              <w:rPr>
                <w:rFonts w:ascii="Arial" w:hAnsi="Arial" w:cs="Arial"/>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 xml:space="preserve">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w:t>
            </w:r>
            <w:r w:rsidRPr="005B7496">
              <w:rPr>
                <w:rFonts w:ascii="Arial" w:eastAsia="Calibri" w:hAnsi="Arial" w:cs="Arial"/>
                <w:sz w:val="19"/>
                <w:szCs w:val="19"/>
                <w:lang w:eastAsia="en-US"/>
              </w:rPr>
              <w:lastRenderedPageBreak/>
              <w:t>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lastRenderedPageBreak/>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055E20C4" w14:textId="38B9C271" w:rsidR="00F65590"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przed skierowaniem na UZ i KS.</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4DF4A8CA" w:rsidR="00F65590"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przed skierowaniem na UZ i KS.</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lastRenderedPageBreak/>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77663FB0" w14:textId="77777777" w:rsidR="005B7496" w:rsidRDefault="005B7496" w:rsidP="005B7496">
            <w:pPr>
              <w:jc w:val="both"/>
              <w:rPr>
                <w:rFonts w:ascii="Arial" w:eastAsia="Calibri" w:hAnsi="Arial" w:cs="Arial"/>
                <w:sz w:val="19"/>
                <w:szCs w:val="19"/>
                <w:lang w:eastAsia="en-US"/>
              </w:rPr>
            </w:pPr>
          </w:p>
          <w:p w14:paraId="6CCD16C7" w14:textId="0E97F256" w:rsidR="005B7496" w:rsidRPr="005B7496" w:rsidRDefault="005B7496" w:rsidP="005B7496">
            <w:pPr>
              <w:jc w:val="both"/>
              <w:rPr>
                <w:rFonts w:ascii="Arial" w:eastAsia="Calibri" w:hAnsi="Arial" w:cs="Arial"/>
                <w:b/>
                <w:bCs/>
                <w:i/>
                <w:iCs/>
                <w:sz w:val="19"/>
                <w:szCs w:val="19"/>
                <w:lang w:eastAsia="en-US"/>
              </w:rPr>
            </w:pPr>
            <w:r w:rsidRPr="005B7496">
              <w:rPr>
                <w:rFonts w:ascii="Arial" w:eastAsia="Calibri" w:hAnsi="Arial" w:cs="Arial"/>
                <w:b/>
                <w:bCs/>
                <w:i/>
                <w:iCs/>
                <w:sz w:val="19"/>
                <w:szCs w:val="19"/>
                <w:lang w:eastAsia="en-US"/>
              </w:rPr>
              <w:t>[upoważnienie ustawowe z ustawy z dnia 17 listopada 2021 r. o zmianie ustawy – Prawo o szkolnictwie wyższym i nauce oraz niektórych innych ustaw oczekuje na podpis Prezydenta RP]</w:t>
            </w: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w:t>
            </w:r>
            <w:r w:rsidRPr="00FD0EEC">
              <w:rPr>
                <w:rFonts w:ascii="Arial" w:hAnsi="Arial" w:cs="Arial"/>
                <w:sz w:val="19"/>
                <w:szCs w:val="19"/>
              </w:rPr>
              <w:lastRenderedPageBreak/>
              <w:t>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Piotr </w:t>
            </w:r>
            <w:proofErr w:type="spellStart"/>
            <w:r>
              <w:rPr>
                <w:rFonts w:ascii="Arial" w:eastAsia="Calibri" w:hAnsi="Arial" w:cs="Arial"/>
                <w:sz w:val="19"/>
                <w:szCs w:val="19"/>
                <w:lang w:eastAsia="en-US"/>
              </w:rPr>
              <w:t>Bromber</w:t>
            </w:r>
            <w:proofErr w:type="spellEnd"/>
            <w:r>
              <w:rPr>
                <w:rFonts w:ascii="Arial" w:eastAsia="Calibri" w:hAnsi="Arial" w:cs="Arial"/>
                <w:sz w:val="19"/>
                <w:szCs w:val="19"/>
                <w:lang w:eastAsia="en-US"/>
              </w:rPr>
              <w:t>,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10EEDF8D" w:rsidR="00F65590"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FD0EEC">
              <w:rPr>
                <w:rFonts w:ascii="Arial" w:hAnsi="Arial" w:cs="Arial"/>
                <w:sz w:val="19"/>
                <w:szCs w:val="19"/>
              </w:rPr>
              <w:t xml:space="preserve">– </w:t>
            </w:r>
            <w:r w:rsidR="00FD0EEC" w:rsidRPr="00B91971">
              <w:rPr>
                <w:rFonts w:ascii="Arial" w:hAnsi="Arial" w:cs="Arial"/>
                <w:sz w:val="19"/>
                <w:szCs w:val="19"/>
              </w:rPr>
              <w:t xml:space="preserve">projekt na </w:t>
            </w:r>
            <w:r w:rsidR="00FD0EEC">
              <w:rPr>
                <w:rFonts w:ascii="Arial" w:hAnsi="Arial" w:cs="Arial"/>
                <w:sz w:val="19"/>
                <w:szCs w:val="19"/>
              </w:rPr>
              <w:t xml:space="preserve">etapie </w:t>
            </w:r>
            <w:r w:rsidR="00E13473">
              <w:rPr>
                <w:rFonts w:ascii="Arial" w:hAnsi="Arial" w:cs="Arial"/>
                <w:sz w:val="19"/>
                <w:szCs w:val="19"/>
              </w:rPr>
              <w:t>uzyskiwania podpisu MF „w porozumieniu”.</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 xml:space="preserve">art. 87 ust. 11 ustawy o ustawy z dnia 27 sierpnia 2004 r. o świadczeniach opieki zdrowotnej </w:t>
            </w:r>
            <w:r w:rsidRPr="00646C81">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lastRenderedPageBreak/>
              <w:t xml:space="preserve">Minister właściwy do spraw zdrowia w porozumieniu z ministrem właściwym do spraw zabezpieczenia społecznego, po zasięgnięciu opinii Prezesa Funduszu, Prezesa Zakładu Ubezpieczeń Społecznych i Prezesa </w:t>
            </w:r>
            <w:r w:rsidRPr="00646C81">
              <w:rPr>
                <w:rFonts w:ascii="Arial" w:eastAsia="Calibri" w:hAnsi="Arial" w:cs="Arial"/>
                <w:sz w:val="19"/>
                <w:szCs w:val="19"/>
                <w:lang w:eastAsia="en-US"/>
              </w:rPr>
              <w:lastRenderedPageBreak/>
              <w:t>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lastRenderedPageBreak/>
              <w:t xml:space="preserve">Zapewnienie Narodowemu Funduszowi Zdrowia  otrzymywania z Zakładu Ubezpieczeń Społecznych danych o dacie powstania i ustania prawa do zasiłku osób w stosunku do których wygasł obowiązek ubezpieczenia </w:t>
            </w:r>
            <w:r w:rsidRPr="00646C81">
              <w:rPr>
                <w:rFonts w:ascii="Arial" w:hAnsi="Arial" w:cs="Arial"/>
                <w:sz w:val="19"/>
                <w:szCs w:val="19"/>
              </w:rPr>
              <w:lastRenderedPageBreak/>
              <w:t>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5171ED6" w14:textId="028A062B" w:rsidR="00646C81"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646C81">
              <w:rPr>
                <w:rFonts w:ascii="Arial" w:hAnsi="Arial" w:cs="Arial"/>
                <w:sz w:val="19"/>
                <w:szCs w:val="19"/>
              </w:rPr>
              <w:t xml:space="preserve">– </w:t>
            </w:r>
            <w:r w:rsidR="007F0C61">
              <w:rPr>
                <w:rFonts w:ascii="Arial" w:hAnsi="Arial" w:cs="Arial"/>
                <w:sz w:val="19"/>
                <w:szCs w:val="19"/>
              </w:rPr>
              <w:t>prace wstrzymane</w:t>
            </w:r>
            <w:r w:rsidR="00646C81">
              <w:rPr>
                <w:rFonts w:ascii="Arial" w:hAnsi="Arial" w:cs="Arial"/>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18AE9B64" w14:textId="29609FF6" w:rsidR="00646C81"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na etapie UW.</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4F8824B8" w:rsidR="004C2DF1"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w:t>
            </w:r>
            <w:r w:rsidR="00A30EFE">
              <w:rPr>
                <w:rFonts w:ascii="Arial" w:hAnsi="Arial" w:cs="Arial"/>
                <w:sz w:val="19"/>
                <w:szCs w:val="19"/>
              </w:rPr>
              <w:t>etapie</w:t>
            </w:r>
            <w:r w:rsidR="009D7DF4">
              <w:rPr>
                <w:rFonts w:ascii="Arial" w:hAnsi="Arial" w:cs="Arial"/>
                <w:sz w:val="19"/>
                <w:szCs w:val="19"/>
              </w:rPr>
              <w:t xml:space="preserve"> UZ i KS</w:t>
            </w:r>
            <w:r w:rsidR="00C43431">
              <w:rPr>
                <w:rFonts w:ascii="Arial" w:hAnsi="Arial" w:cs="Arial"/>
                <w:sz w:val="19"/>
                <w:szCs w:val="19"/>
              </w:rPr>
              <w:t>.</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lastRenderedPageBreak/>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4B113754" w:rsidR="004C2DF1"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xml:space="preserve">- brak zasadności przeprowadzania badania w postaci </w:t>
            </w:r>
            <w:proofErr w:type="spellStart"/>
            <w:r w:rsidRPr="004C2DF1">
              <w:rPr>
                <w:rFonts w:ascii="Arial" w:hAnsi="Arial" w:cs="Arial"/>
                <w:sz w:val="19"/>
                <w:szCs w:val="19"/>
              </w:rPr>
              <w:t>rtg</w:t>
            </w:r>
            <w:proofErr w:type="spellEnd"/>
            <w:r w:rsidRPr="004C2DF1">
              <w:rPr>
                <w:rFonts w:ascii="Arial" w:hAnsi="Arial" w:cs="Arial"/>
                <w:sz w:val="19"/>
                <w:szCs w:val="19"/>
              </w:rPr>
              <w:t xml:space="preserve">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Waldemar Kraska, Sekretarz Stanu w Ministerstwie Zdrowia</w:t>
            </w:r>
          </w:p>
        </w:tc>
        <w:tc>
          <w:tcPr>
            <w:tcW w:w="2362" w:type="dxa"/>
            <w:shd w:val="clear" w:color="auto" w:fill="FFFFFF"/>
          </w:tcPr>
          <w:p w14:paraId="32B7AF83" w14:textId="6BA6B63E" w:rsidR="004C2DF1"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Pr>
                <w:rFonts w:ascii="Arial" w:hAnsi="Arial" w:cs="Arial"/>
                <w:sz w:val="19"/>
                <w:szCs w:val="19"/>
              </w:rPr>
              <w:t>UZ i KS</w:t>
            </w:r>
            <w:r w:rsidR="00C43431">
              <w:rPr>
                <w:rFonts w:ascii="Arial" w:hAnsi="Arial" w:cs="Arial"/>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1)</w:t>
            </w:r>
            <w:r w:rsidRPr="004C2DF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2)</w:t>
            </w:r>
            <w:r w:rsidRPr="004C2DF1">
              <w:rPr>
                <w:rFonts w:ascii="Arial" w:eastAsia="Calibri" w:hAnsi="Arial" w:cs="Arial"/>
                <w:sz w:val="19"/>
                <w:szCs w:val="19"/>
                <w:lang w:eastAsia="en-US"/>
              </w:rPr>
              <w:tab/>
              <w:t xml:space="preserve">metody zapobiegania zakażeniu lub chorobie zakaźnej oraz lekooporności biologicznych </w:t>
            </w:r>
            <w:r w:rsidRPr="004C2DF1">
              <w:rPr>
                <w:rFonts w:ascii="Arial" w:eastAsia="Calibri" w:hAnsi="Arial" w:cs="Arial"/>
                <w:sz w:val="19"/>
                <w:szCs w:val="19"/>
                <w:lang w:eastAsia="en-US"/>
              </w:rPr>
              <w:lastRenderedPageBreak/>
              <w:t>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 xml:space="preserve">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w:t>
            </w:r>
            <w:r w:rsidRPr="004C2DF1">
              <w:rPr>
                <w:rFonts w:ascii="Arial" w:hAnsi="Arial" w:cs="Arial"/>
                <w:sz w:val="19"/>
                <w:szCs w:val="19"/>
              </w:rPr>
              <w:lastRenderedPageBreak/>
              <w:t>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lastRenderedPageBreak/>
              <w:t>Adam Niedzielski, Minister Zdrowia</w:t>
            </w:r>
          </w:p>
        </w:tc>
        <w:tc>
          <w:tcPr>
            <w:tcW w:w="2362" w:type="dxa"/>
            <w:shd w:val="clear" w:color="auto" w:fill="FFFFFF"/>
          </w:tcPr>
          <w:p w14:paraId="17475C13" w14:textId="22A09A6D" w:rsidR="004C2DF1"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1268</w:t>
            </w:r>
          </w:p>
        </w:tc>
        <w:tc>
          <w:tcPr>
            <w:tcW w:w="2268" w:type="dxa"/>
            <w:shd w:val="clear" w:color="auto" w:fill="FFFFFF"/>
          </w:tcPr>
          <w:p w14:paraId="17BEB678" w14:textId="6DDA1A5F"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w:t>
            </w:r>
          </w:p>
          <w:p w14:paraId="21F2B514"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1)</w:t>
            </w:r>
            <w:r w:rsidRPr="00871824">
              <w:rPr>
                <w:rFonts w:ascii="Arial" w:eastAsia="Calibri" w:hAnsi="Arial" w:cs="Arial"/>
                <w:sz w:val="19"/>
                <w:szCs w:val="19"/>
                <w:lang w:eastAsia="en-US"/>
              </w:rPr>
              <w:tab/>
              <w:t>zakres problematyki kursów kwalifikacyjnych,</w:t>
            </w:r>
          </w:p>
          <w:p w14:paraId="77197889"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2)</w:t>
            </w:r>
            <w:r w:rsidRPr="00871824">
              <w:rPr>
                <w:rFonts w:ascii="Arial" w:eastAsia="Calibri" w:hAnsi="Arial" w:cs="Arial"/>
                <w:sz w:val="19"/>
                <w:szCs w:val="19"/>
                <w:lang w:eastAsia="en-US"/>
              </w:rPr>
              <w:tab/>
              <w:t>sposób i tryb przeprowadzania postępowania kwalifikacyjnego na kurs kwalifikacyjny,</w:t>
            </w:r>
          </w:p>
          <w:p w14:paraId="2732096C"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3)</w:t>
            </w:r>
            <w:r w:rsidRPr="00871824">
              <w:rPr>
                <w:rFonts w:ascii="Arial" w:eastAsia="Calibri" w:hAnsi="Arial" w:cs="Arial"/>
                <w:sz w:val="19"/>
                <w:szCs w:val="19"/>
                <w:lang w:eastAsia="en-US"/>
              </w:rPr>
              <w:tab/>
              <w:t>sposób i tryb odbywania i zaliczania kursu kwalifikacyjnego,</w:t>
            </w:r>
          </w:p>
          <w:p w14:paraId="45A02C35"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4)</w:t>
            </w:r>
            <w:r w:rsidRPr="00871824">
              <w:rPr>
                <w:rFonts w:ascii="Arial" w:eastAsia="Calibri" w:hAnsi="Arial" w:cs="Arial"/>
                <w:sz w:val="19"/>
                <w:szCs w:val="19"/>
                <w:lang w:eastAsia="en-US"/>
              </w:rPr>
              <w:tab/>
              <w:t>wzór zaświadczenia potwierdzającego odbycie kursu kwalifikacyjnego</w:t>
            </w:r>
          </w:p>
          <w:p w14:paraId="0A6AC56E" w14:textId="2CCCBB08" w:rsidR="009B3F3C" w:rsidRPr="004C2DF1"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w:t>
            </w:r>
            <w:r>
              <w:rPr>
                <w:rFonts w:ascii="Arial" w:hAnsi="Arial" w:cs="Arial"/>
                <w:sz w:val="19"/>
                <w:szCs w:val="19"/>
              </w:rPr>
              <w:t xml:space="preserve">. </w:t>
            </w:r>
          </w:p>
        </w:tc>
        <w:tc>
          <w:tcPr>
            <w:tcW w:w="1842" w:type="dxa"/>
            <w:shd w:val="clear" w:color="auto" w:fill="FFFFFF"/>
          </w:tcPr>
          <w:p w14:paraId="4775A929" w14:textId="38AD6443"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 Podsekretarz Stanu w Ministerstwie Zdrowia</w:t>
            </w:r>
          </w:p>
        </w:tc>
        <w:tc>
          <w:tcPr>
            <w:tcW w:w="2362" w:type="dxa"/>
            <w:shd w:val="clear" w:color="auto" w:fill="FFFFFF"/>
          </w:tcPr>
          <w:p w14:paraId="07E75846" w14:textId="6F99AD15" w:rsidR="009B3F3C"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na etapie PW.</w:t>
            </w: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 xml:space="preserve">Minister właściwy do spraw zdrowia, po zasięgnięciu opinii Naczelnej Rady Lekarskiej, określi, w drodze rozporządzenia, sposób ustalania kosztów i tryb przekazywania izbom </w:t>
            </w:r>
            <w:r w:rsidRPr="00871824">
              <w:rPr>
                <w:rFonts w:ascii="Arial" w:eastAsia="Calibri" w:hAnsi="Arial" w:cs="Arial"/>
                <w:sz w:val="19"/>
                <w:szCs w:val="19"/>
                <w:lang w:eastAsia="en-US"/>
              </w:rPr>
              <w:lastRenderedPageBreak/>
              <w:t>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lastRenderedPageBreak/>
              <w:t xml:space="preserve">Proponowana zmiana wynika z konieczności zmiany częstotliwości przekazywania środków finansowych na pokrycie zadań związanych z wydawaniem nowych dokumentów w </w:t>
            </w:r>
            <w:r w:rsidRPr="00871824">
              <w:rPr>
                <w:rFonts w:ascii="Arial" w:hAnsi="Arial" w:cs="Arial"/>
                <w:sz w:val="19"/>
                <w:szCs w:val="19"/>
              </w:rPr>
              <w:lastRenderedPageBreak/>
              <w:t>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lastRenderedPageBreak/>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-Podsekretarz Stanu w Ministerstwie Zdrowia</w:t>
            </w:r>
          </w:p>
        </w:tc>
        <w:tc>
          <w:tcPr>
            <w:tcW w:w="2362" w:type="dxa"/>
            <w:shd w:val="clear" w:color="auto" w:fill="FFFFFF"/>
          </w:tcPr>
          <w:p w14:paraId="375E8645" w14:textId="7D1DC0CB" w:rsidR="009B3F3C"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24299B">
              <w:rPr>
                <w:rFonts w:ascii="Arial" w:hAnsi="Arial" w:cs="Arial"/>
                <w:sz w:val="19"/>
                <w:szCs w:val="19"/>
              </w:rPr>
              <w:t>UW</w:t>
            </w:r>
            <w:r w:rsidR="00871824">
              <w:rPr>
                <w:rFonts w:ascii="Arial" w:hAnsi="Arial" w:cs="Arial"/>
                <w:sz w:val="19"/>
                <w:szCs w:val="19"/>
              </w:rPr>
              <w:t>.</w:t>
            </w:r>
          </w:p>
        </w:tc>
      </w:tr>
      <w:tr w:rsidR="009B3F3C" w:rsidRPr="00F873E4" w14:paraId="130CB9B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FF5B48"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D87B0" w14:textId="7D8D5E55"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1270</w:t>
            </w:r>
          </w:p>
        </w:tc>
        <w:tc>
          <w:tcPr>
            <w:tcW w:w="2268" w:type="dxa"/>
            <w:shd w:val="clear" w:color="auto" w:fill="FFFFFF"/>
          </w:tcPr>
          <w:p w14:paraId="6A2B3D0F" w14:textId="4D2B572E"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24 ust. 8 ustawy z dnia 28 kwietnia 2011 r. o  systemie informacji w ochronie zdrowia</w:t>
            </w:r>
          </w:p>
        </w:tc>
        <w:tc>
          <w:tcPr>
            <w:tcW w:w="3260" w:type="dxa"/>
            <w:shd w:val="clear" w:color="auto" w:fill="FFFFFF"/>
          </w:tcPr>
          <w:p w14:paraId="17D2454A" w14:textId="324574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33E58CB4"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t xml:space="preserve">Nowelizacja rozporządzenia w § 2 pkt 3 zmienia zakres danych dotyczących środków ochrony indywidualnej (SOI) wykorzystywanych w podmiotach leczniczych. </w:t>
            </w:r>
          </w:p>
          <w:p w14:paraId="0853AD6F"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t>Dodatkowo z uwagi na przesunięty w czasie termin ukończenia prac projektowych nad oprogramowaniem Rządowego Centrum Bezpieczeństw, w stosunku do wymagań związanych z sytuacją epidemiologiczną, oraz rozwój dotychczasowych formatów informatycznych udostępnionych przez jednostkę podległą ministrowi właściwemu do spraw zdrowia właściwą w zakresie systemów informacyjnych ochrony zdrowia,  usuwa się § 3 pkt 1 - 3. W konsekwencji proponowanej zmiany usuwa się również § 7 ust. 1 i 2.</w:t>
            </w:r>
          </w:p>
          <w:p w14:paraId="0D313F36"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t xml:space="preserve">Projektowany § 3 pkt 5 jest porządkującym w stosunku do już wdrożonych rozwiązań. </w:t>
            </w:r>
          </w:p>
          <w:p w14:paraId="78B8DD61" w14:textId="3552C3D3" w:rsidR="009B3F3C" w:rsidRPr="004C2DF1" w:rsidRDefault="00871824" w:rsidP="00871824">
            <w:pPr>
              <w:spacing w:before="80" w:after="80"/>
              <w:jc w:val="both"/>
              <w:rPr>
                <w:rFonts w:ascii="Arial" w:hAnsi="Arial" w:cs="Arial"/>
                <w:sz w:val="19"/>
                <w:szCs w:val="19"/>
              </w:rPr>
            </w:pPr>
            <w:r w:rsidRPr="00871824">
              <w:rPr>
                <w:rFonts w:ascii="Arial" w:hAnsi="Arial" w:cs="Arial"/>
                <w:sz w:val="19"/>
                <w:szCs w:val="19"/>
              </w:rPr>
              <w:t xml:space="preserve">Nowelizacji poddaje się również projektowany § 5, w ten sposób, że wprowadzanie zmian w zakresie, o którym mowa w art. 24 ust.2 pkt 2 ustawy z dnia 28 kwietnia 2011 r. o systemie informacji w ochronie zdrowia, obowiązuje z chwilą ich wystąpienie </w:t>
            </w:r>
            <w:r w:rsidRPr="00871824">
              <w:rPr>
                <w:rFonts w:ascii="Arial" w:hAnsi="Arial" w:cs="Arial"/>
                <w:sz w:val="19"/>
                <w:szCs w:val="19"/>
              </w:rPr>
              <w:lastRenderedPageBreak/>
              <w:t>jednak nie później niż do 2 godz. od ich wystąpienia.</w:t>
            </w:r>
          </w:p>
        </w:tc>
        <w:tc>
          <w:tcPr>
            <w:tcW w:w="1842" w:type="dxa"/>
            <w:shd w:val="clear" w:color="auto" w:fill="FFFFFF"/>
          </w:tcPr>
          <w:p w14:paraId="6711C69A" w14:textId="4238E648"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2FFCDF3B" w14:textId="60538B3F" w:rsidR="009B3F3C"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Pr>
                <w:rFonts w:ascii="Arial" w:hAnsi="Arial" w:cs="Arial"/>
                <w:sz w:val="19"/>
                <w:szCs w:val="19"/>
              </w:rPr>
              <w:t>ogłoszenia w Dz. U</w:t>
            </w:r>
            <w:r w:rsidR="00871824">
              <w:rPr>
                <w:rFonts w:ascii="Arial" w:hAnsi="Arial" w:cs="Arial"/>
                <w:sz w:val="19"/>
                <w:szCs w:val="19"/>
              </w:rPr>
              <w:t>.</w:t>
            </w:r>
          </w:p>
        </w:tc>
      </w:tr>
      <w:tr w:rsidR="00671E31" w:rsidRPr="00F873E4" w14:paraId="258CA29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4ED5B2" w14:textId="77777777" w:rsidR="00671E31" w:rsidRPr="0020067E" w:rsidRDefault="00671E3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8C016" w14:textId="2200A4B6" w:rsidR="00671E31" w:rsidRDefault="00671E3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1271</w:t>
            </w:r>
          </w:p>
        </w:tc>
        <w:tc>
          <w:tcPr>
            <w:tcW w:w="2268" w:type="dxa"/>
            <w:shd w:val="clear" w:color="auto" w:fill="FFFFFF"/>
          </w:tcPr>
          <w:p w14:paraId="2B9E1590" w14:textId="7EBB1253" w:rsidR="00671E31" w:rsidRPr="00871824" w:rsidRDefault="00671E31" w:rsidP="00671E31">
            <w:pPr>
              <w:spacing w:before="80" w:after="80"/>
              <w:jc w:val="both"/>
              <w:rPr>
                <w:rFonts w:ascii="Arial" w:eastAsia="Calibri" w:hAnsi="Arial" w:cs="Arial"/>
                <w:color w:val="000000"/>
                <w:sz w:val="19"/>
                <w:szCs w:val="19"/>
                <w:lang w:eastAsia="en-US"/>
              </w:rPr>
            </w:pPr>
            <w:r w:rsidRPr="00671E31">
              <w:rPr>
                <w:rFonts w:ascii="Arial" w:eastAsia="Calibri" w:hAnsi="Arial" w:cs="Arial"/>
                <w:color w:val="000000"/>
                <w:sz w:val="19"/>
                <w:szCs w:val="19"/>
                <w:lang w:eastAsia="en-US"/>
              </w:rPr>
              <w:t>Art. 137 ust. 2 ustawy z dnia 27 sierpnia 2004 r. o świadczeniach opieki zdrowotnej</w:t>
            </w:r>
            <w:r>
              <w:rPr>
                <w:rFonts w:ascii="Arial" w:eastAsia="Calibri" w:hAnsi="Arial" w:cs="Arial"/>
                <w:color w:val="000000"/>
                <w:sz w:val="19"/>
                <w:szCs w:val="19"/>
                <w:lang w:eastAsia="en-US"/>
              </w:rPr>
              <w:t xml:space="preserve"> </w:t>
            </w:r>
            <w:r w:rsidRPr="00671E31">
              <w:rPr>
                <w:rFonts w:ascii="Arial" w:eastAsia="Calibri" w:hAnsi="Arial" w:cs="Arial"/>
                <w:color w:val="000000"/>
                <w:sz w:val="19"/>
                <w:szCs w:val="19"/>
                <w:lang w:eastAsia="en-US"/>
              </w:rPr>
              <w:t>finansowanych ze środków publicznych</w:t>
            </w:r>
          </w:p>
        </w:tc>
        <w:tc>
          <w:tcPr>
            <w:tcW w:w="3260" w:type="dxa"/>
            <w:shd w:val="clear" w:color="auto" w:fill="FFFFFF"/>
          </w:tcPr>
          <w:p w14:paraId="6AADFBAB" w14:textId="6BEE41DD" w:rsidR="00671E31" w:rsidRPr="00871824" w:rsidRDefault="00E13DAA" w:rsidP="004C2DF1">
            <w:pPr>
              <w:jc w:val="both"/>
              <w:rPr>
                <w:rFonts w:ascii="Arial" w:eastAsia="Calibri" w:hAnsi="Arial" w:cs="Arial"/>
                <w:sz w:val="19"/>
                <w:szCs w:val="19"/>
                <w:lang w:eastAsia="en-US"/>
              </w:rPr>
            </w:pPr>
            <w:r w:rsidRPr="00E13DAA">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D0CFC4A"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Proponuje się:</w:t>
            </w:r>
          </w:p>
          <w:p w14:paraId="26378CC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1)</w:t>
            </w:r>
            <w:r w:rsidRPr="00E13DAA">
              <w:rPr>
                <w:rFonts w:ascii="Arial" w:hAnsi="Arial" w:cs="Arial"/>
                <w:sz w:val="19"/>
                <w:szCs w:val="19"/>
              </w:rPr>
              <w:tab/>
              <w:t xml:space="preserve">doprecyzowanie w przepisie § 16 ust. 4f pkt 1 stosowania zasady obniżenia współczynnika korygującego w przypadku wzrostu taryfy świadczeń opieki zdrowotnej ustalonej po dniu 1 lipca 2021r.  </w:t>
            </w:r>
          </w:p>
          <w:p w14:paraId="2F9CBE77" w14:textId="3C1FBB4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t>2)</w:t>
            </w:r>
            <w:r w:rsidRPr="00E13DAA">
              <w:rPr>
                <w:rFonts w:ascii="Arial" w:hAnsi="Arial" w:cs="Arial"/>
                <w:sz w:val="19"/>
                <w:szCs w:val="19"/>
              </w:rPr>
              <w:tab/>
              <w:t>skorygowanie mechanizmu obniżania współczynników korygujących w taki sposób, aby w przypadku świadczeniodawców zakwalifikowanych do poszczególnych poziomów systemu podstawowego szpitalnego zabezpieczenia świadczeń opieki zdrowotnej (PSZ), szpitalnych oddziałów ratunkowych i izb przyjęć, kwoty współczynników były pomniejszane proporcjonalnie do udziału danego rodzaju świadczeń lub ryczałtu PSZ w kwocie zobowiązania dla całej umowy.</w:t>
            </w:r>
          </w:p>
        </w:tc>
        <w:tc>
          <w:tcPr>
            <w:tcW w:w="1842" w:type="dxa"/>
            <w:shd w:val="clear" w:color="auto" w:fill="FFFFFF"/>
          </w:tcPr>
          <w:p w14:paraId="2B43B1ED" w14:textId="64DB6E9E" w:rsidR="00671E31" w:rsidRPr="00871824" w:rsidRDefault="00E13DAA" w:rsidP="00F65590">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t>Waldemar Kraska Sekretarz Stanu w Ministerstwie Zdrowia</w:t>
            </w:r>
          </w:p>
        </w:tc>
        <w:tc>
          <w:tcPr>
            <w:tcW w:w="2362" w:type="dxa"/>
            <w:shd w:val="clear" w:color="auto" w:fill="FFFFFF"/>
          </w:tcPr>
          <w:p w14:paraId="5F0D8AA4" w14:textId="45D671D8" w:rsidR="00671E31" w:rsidRDefault="00C654B9"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671E31">
              <w:rPr>
                <w:rFonts w:ascii="Arial" w:hAnsi="Arial" w:cs="Arial"/>
                <w:sz w:val="19"/>
                <w:szCs w:val="19"/>
              </w:rPr>
              <w:t xml:space="preserve">– </w:t>
            </w:r>
            <w:r w:rsidR="00671E31" w:rsidRPr="00B91971">
              <w:rPr>
                <w:rFonts w:ascii="Arial" w:hAnsi="Arial" w:cs="Arial"/>
                <w:sz w:val="19"/>
                <w:szCs w:val="19"/>
              </w:rPr>
              <w:t xml:space="preserve">projekt </w:t>
            </w:r>
            <w:r w:rsidR="00671E31">
              <w:rPr>
                <w:rFonts w:ascii="Arial" w:hAnsi="Arial" w:cs="Arial"/>
                <w:sz w:val="19"/>
                <w:szCs w:val="19"/>
              </w:rPr>
              <w:t xml:space="preserve">na etapie </w:t>
            </w:r>
            <w:r w:rsidR="007F0C61">
              <w:rPr>
                <w:rFonts w:ascii="Arial" w:hAnsi="Arial" w:cs="Arial"/>
                <w:sz w:val="19"/>
                <w:szCs w:val="19"/>
              </w:rPr>
              <w:t>KP</w:t>
            </w:r>
            <w:r w:rsidR="00671E31">
              <w:rPr>
                <w:rFonts w:ascii="Arial" w:hAnsi="Arial" w:cs="Arial"/>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871824" w:rsidRDefault="00E13DAA" w:rsidP="00671E31">
            <w:pPr>
              <w:jc w:val="both"/>
              <w:rPr>
                <w:rFonts w:ascii="Arial" w:eastAsia="Calibri" w:hAnsi="Arial" w:cs="Arial"/>
                <w:sz w:val="19"/>
                <w:szCs w:val="19"/>
                <w:lang w:eastAsia="en-US"/>
              </w:rPr>
            </w:pPr>
            <w:r w:rsidRPr="00E13DAA">
              <w:rPr>
                <w:rFonts w:ascii="Arial" w:eastAsia="Calibri" w:hAnsi="Arial" w:cs="Arial"/>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Art. 12. Dotychczasowe przepisy wykonawcze wydane na podstawie: </w:t>
            </w:r>
          </w:p>
          <w:p w14:paraId="0DA3DB7C"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lastRenderedPageBreak/>
              <w:t>– jednak nie dłużej niż do dnia 11 lipca 2022 r</w:t>
            </w:r>
            <w:r>
              <w:rPr>
                <w:rFonts w:ascii="Arial" w:hAnsi="Arial" w:cs="Arial"/>
                <w:sz w:val="19"/>
                <w:szCs w:val="19"/>
              </w:rPr>
              <w:t xml:space="preserve">. </w:t>
            </w:r>
          </w:p>
        </w:tc>
        <w:tc>
          <w:tcPr>
            <w:tcW w:w="1842" w:type="dxa"/>
            <w:shd w:val="clear" w:color="auto" w:fill="FFFFFF"/>
          </w:tcPr>
          <w:p w14:paraId="63D018BC" w14:textId="01CFD8A4" w:rsidR="00671E31" w:rsidRPr="00871824" w:rsidRDefault="00E13DAA" w:rsidP="00671E31">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lastRenderedPageBreak/>
              <w:t xml:space="preserve">Piotr </w:t>
            </w:r>
            <w:proofErr w:type="spellStart"/>
            <w:r w:rsidRPr="00E13DAA">
              <w:rPr>
                <w:rFonts w:ascii="Arial" w:eastAsia="Calibri" w:hAnsi="Arial" w:cs="Arial"/>
                <w:sz w:val="19"/>
                <w:szCs w:val="19"/>
                <w:lang w:eastAsia="en-US"/>
              </w:rPr>
              <w:t>Bromber</w:t>
            </w:r>
            <w:proofErr w:type="spellEnd"/>
            <w:r w:rsidRPr="00E13DAA">
              <w:rPr>
                <w:rFonts w:ascii="Arial" w:eastAsia="Calibri" w:hAnsi="Arial" w:cs="Arial"/>
                <w:sz w:val="19"/>
                <w:szCs w:val="19"/>
                <w:lang w:eastAsia="en-US"/>
              </w:rPr>
              <w:t>, Podsekretarz Stanu w Ministerstwie Zdrowia</w:t>
            </w:r>
          </w:p>
        </w:tc>
        <w:tc>
          <w:tcPr>
            <w:tcW w:w="2362" w:type="dxa"/>
            <w:shd w:val="clear" w:color="auto" w:fill="FFFFFF"/>
          </w:tcPr>
          <w:p w14:paraId="4151E2B3" w14:textId="289030C4" w:rsidR="00671E31" w:rsidRDefault="00C654B9" w:rsidP="00671E3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671E31">
              <w:rPr>
                <w:rFonts w:ascii="Arial" w:hAnsi="Arial" w:cs="Arial"/>
                <w:sz w:val="19"/>
                <w:szCs w:val="19"/>
              </w:rPr>
              <w:t xml:space="preserve">– </w:t>
            </w:r>
            <w:r w:rsidR="00671E31" w:rsidRPr="00B91971">
              <w:rPr>
                <w:rFonts w:ascii="Arial" w:hAnsi="Arial" w:cs="Arial"/>
                <w:sz w:val="19"/>
                <w:szCs w:val="19"/>
              </w:rPr>
              <w:t xml:space="preserve">projekt </w:t>
            </w:r>
            <w:r w:rsidR="00671E31">
              <w:rPr>
                <w:rFonts w:ascii="Arial" w:hAnsi="Arial" w:cs="Arial"/>
                <w:sz w:val="19"/>
                <w:szCs w:val="19"/>
              </w:rPr>
              <w:t xml:space="preserve">na etapie </w:t>
            </w:r>
            <w:r w:rsidR="00E13473">
              <w:rPr>
                <w:rFonts w:ascii="Arial" w:hAnsi="Arial" w:cs="Arial"/>
                <w:sz w:val="19"/>
                <w:szCs w:val="19"/>
              </w:rPr>
              <w:t>UW</w:t>
            </w:r>
            <w:r w:rsidR="00671E31">
              <w:rPr>
                <w:rFonts w:ascii="Arial" w:hAnsi="Arial" w:cs="Arial"/>
                <w:sz w:val="19"/>
                <w:szCs w:val="19"/>
              </w:rPr>
              <w:t>.</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E13DAA" w:rsidRDefault="00547A03" w:rsidP="009D7DF4">
            <w:pPr>
              <w:jc w:val="both"/>
              <w:rPr>
                <w:rFonts w:ascii="Arial" w:eastAsia="Calibri" w:hAnsi="Arial" w:cs="Arial"/>
                <w:sz w:val="19"/>
                <w:szCs w:val="19"/>
                <w:lang w:eastAsia="en-US"/>
              </w:rPr>
            </w:pPr>
            <w:r w:rsidRPr="00547A03">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Default="00547A03" w:rsidP="009D7DF4">
            <w:pPr>
              <w:spacing w:before="80" w:after="80"/>
              <w:jc w:val="both"/>
              <w:rPr>
                <w:rFonts w:ascii="Arial" w:hAnsi="Arial" w:cs="Arial"/>
                <w:sz w:val="19"/>
                <w:szCs w:val="19"/>
              </w:rPr>
            </w:pPr>
            <w:r>
              <w:rPr>
                <w:rFonts w:ascii="Arial" w:hAnsi="Arial" w:cs="Arial"/>
                <w:sz w:val="19"/>
                <w:szCs w:val="19"/>
              </w:rPr>
              <w:t xml:space="preserve">Projektowana zmiana </w:t>
            </w:r>
            <w:r w:rsidRPr="00547A03">
              <w:rPr>
                <w:rFonts w:ascii="Arial" w:hAnsi="Arial" w:cs="Arial"/>
                <w:sz w:val="19"/>
                <w:szCs w:val="19"/>
              </w:rPr>
              <w:t>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w:t>
            </w:r>
            <w:r>
              <w:rPr>
                <w:rFonts w:ascii="Arial" w:hAnsi="Arial" w:cs="Arial"/>
                <w:sz w:val="19"/>
                <w:szCs w:val="19"/>
              </w:rPr>
              <w:t xml:space="preserve">. </w:t>
            </w:r>
          </w:p>
        </w:tc>
        <w:tc>
          <w:tcPr>
            <w:tcW w:w="1842" w:type="dxa"/>
            <w:shd w:val="clear" w:color="auto" w:fill="FFFFFF"/>
          </w:tcPr>
          <w:p w14:paraId="18B6F2AE" w14:textId="72EAA857" w:rsidR="009D7DF4" w:rsidRPr="00E13DAA" w:rsidRDefault="00547A03" w:rsidP="009D7DF4">
            <w:pPr>
              <w:spacing w:before="80" w:after="80"/>
              <w:rPr>
                <w:rFonts w:ascii="Arial" w:eastAsia="Calibri" w:hAnsi="Arial" w:cs="Arial"/>
                <w:sz w:val="19"/>
                <w:szCs w:val="19"/>
                <w:lang w:eastAsia="en-US"/>
              </w:rPr>
            </w:pPr>
            <w:r w:rsidRPr="00547A03">
              <w:rPr>
                <w:rFonts w:ascii="Arial" w:eastAsia="Calibri" w:hAnsi="Arial" w:cs="Arial"/>
                <w:sz w:val="19"/>
                <w:szCs w:val="19"/>
                <w:lang w:eastAsia="en-US"/>
              </w:rPr>
              <w:t>Waldemar Kraska – Sekretarz Stanu w Ministerstwie Zdrowia</w:t>
            </w:r>
          </w:p>
        </w:tc>
        <w:tc>
          <w:tcPr>
            <w:tcW w:w="2362" w:type="dxa"/>
            <w:shd w:val="clear" w:color="auto" w:fill="FFFFFF"/>
          </w:tcPr>
          <w:p w14:paraId="3D88BDF3" w14:textId="5808791E" w:rsidR="009D7DF4"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B67A13">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AD0E59">
              <w:rPr>
                <w:rFonts w:ascii="Arial" w:hAnsi="Arial" w:cs="Arial"/>
                <w:sz w:val="19"/>
                <w:szCs w:val="19"/>
              </w:rPr>
              <w:t>UW</w:t>
            </w:r>
            <w:r w:rsidR="00B67A13">
              <w:rPr>
                <w:rFonts w:ascii="Arial" w:hAnsi="Arial" w:cs="Arial"/>
                <w:sz w:val="19"/>
                <w:szCs w:val="19"/>
              </w:rPr>
              <w:t>.</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określi, w drodze rozporządzenia:</w:t>
            </w:r>
          </w:p>
          <w:p w14:paraId="2EB7749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dziedziny ochrony zdrowia, w których można uzyskać tytuł specjalisty,</w:t>
            </w:r>
          </w:p>
          <w:p w14:paraId="4F00A810"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oznaczenia kodowe tytułów specjalisty w poszczególnych dziedzinach ochrony zdrowia,</w:t>
            </w:r>
          </w:p>
          <w:p w14:paraId="673C3FAB"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3) kierunki studiów, po których ukończeniu można przystąpić do szkolenia specjalizacyjnego w poszczególnych dziedzinach ochrony zdrowia,</w:t>
            </w:r>
          </w:p>
          <w:p w14:paraId="0D638127"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 uwzględniając aktualny stan wiedzy medycznej, konieczność zapewnienia świadczeń zdrowotnych na odpowiednim poziomie oraz potrzebę </w:t>
            </w:r>
            <w:r w:rsidRPr="00B67A13">
              <w:rPr>
                <w:rFonts w:ascii="Arial" w:eastAsia="Calibri" w:hAnsi="Arial" w:cs="Arial"/>
                <w:sz w:val="19"/>
                <w:szCs w:val="19"/>
                <w:lang w:eastAsia="en-US"/>
              </w:rPr>
              <w:lastRenderedPageBreak/>
              <w:t>zabezpieczenia dostępu do tych świadczeń;</w:t>
            </w:r>
          </w:p>
          <w:p w14:paraId="6CDDF13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6) szczegółowy sposób i tryb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a także zapewnienia zachowania bezstronności pracy zespołu egzaminacyjnego;</w:t>
            </w:r>
          </w:p>
          <w:p w14:paraId="341084D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7) wysokość opłaty za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uwzględniając koszty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nie wyższej niż 25% przeciętnego </w:t>
            </w:r>
            <w:r w:rsidRPr="00B67A13">
              <w:rPr>
                <w:rFonts w:ascii="Arial" w:eastAsia="Calibri" w:hAnsi="Arial" w:cs="Arial"/>
                <w:sz w:val="19"/>
                <w:szCs w:val="19"/>
                <w:lang w:eastAsia="en-US"/>
              </w:rPr>
              <w:lastRenderedPageBreak/>
              <w:t>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9) wzór dyplomu potwierdzającego uzyskanie tytułu specjalisty, uwzględniając konieczność zapewnienia przejrzystości dokumentu;</w:t>
            </w:r>
          </w:p>
          <w:p w14:paraId="1FA649B9"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Default="00B67A13" w:rsidP="009D7DF4">
            <w:pPr>
              <w:spacing w:before="80" w:after="80"/>
              <w:jc w:val="both"/>
              <w:rPr>
                <w:rFonts w:ascii="Arial" w:hAnsi="Arial" w:cs="Arial"/>
                <w:sz w:val="19"/>
                <w:szCs w:val="19"/>
              </w:rPr>
            </w:pPr>
            <w:r w:rsidRPr="00B67A13">
              <w:rPr>
                <w:rFonts w:ascii="Arial" w:hAnsi="Arial" w:cs="Arial"/>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t xml:space="preserve">Piotr </w:t>
            </w:r>
            <w:proofErr w:type="spellStart"/>
            <w:r w:rsidRPr="00B67A13">
              <w:rPr>
                <w:rFonts w:ascii="Arial" w:eastAsia="Calibri" w:hAnsi="Arial" w:cs="Arial"/>
                <w:sz w:val="19"/>
                <w:szCs w:val="19"/>
                <w:lang w:eastAsia="en-US"/>
              </w:rPr>
              <w:t>Bromber</w:t>
            </w:r>
            <w:proofErr w:type="spellEnd"/>
            <w:r w:rsidRPr="00B67A13">
              <w:rPr>
                <w:rFonts w:ascii="Arial" w:eastAsia="Calibri" w:hAnsi="Arial" w:cs="Arial"/>
                <w:sz w:val="19"/>
                <w:szCs w:val="19"/>
                <w:lang w:eastAsia="en-US"/>
              </w:rPr>
              <w:t>, Podsekretarz Stanu w Ministerstwie Zdrowia</w:t>
            </w:r>
          </w:p>
        </w:tc>
        <w:tc>
          <w:tcPr>
            <w:tcW w:w="2362" w:type="dxa"/>
            <w:shd w:val="clear" w:color="auto" w:fill="FFFFFF"/>
          </w:tcPr>
          <w:p w14:paraId="44D0B29A" w14:textId="2E143435" w:rsidR="009D7DF4"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B67A13">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0C3AF4">
              <w:rPr>
                <w:rFonts w:ascii="Arial" w:hAnsi="Arial" w:cs="Arial"/>
                <w:sz w:val="19"/>
                <w:szCs w:val="19"/>
              </w:rPr>
              <w:t>UZ i KS</w:t>
            </w:r>
            <w:r w:rsidR="00B67A13">
              <w:rPr>
                <w:rFonts w:ascii="Arial" w:hAnsi="Arial" w:cs="Arial"/>
                <w:sz w:val="19"/>
                <w:szCs w:val="19"/>
              </w:rPr>
              <w:t>.</w:t>
            </w:r>
          </w:p>
        </w:tc>
      </w:tr>
      <w:tr w:rsidR="009D7DF4" w:rsidRPr="00F873E4" w14:paraId="0DFEC4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EE83F6"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496969" w14:textId="43F09193"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1278</w:t>
            </w:r>
          </w:p>
        </w:tc>
        <w:tc>
          <w:tcPr>
            <w:tcW w:w="2268" w:type="dxa"/>
            <w:shd w:val="clear" w:color="auto" w:fill="FFFFFF"/>
          </w:tcPr>
          <w:p w14:paraId="1B5D89FC" w14:textId="52B7B101"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 xml:space="preserve">Art. 31d ustawy z dnia 27 sierpnia 2004 r. o świadczeniach opieki zdrowotnej </w:t>
            </w:r>
            <w:r w:rsidRPr="00B67A13">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5B6E8F6E"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lastRenderedPageBreak/>
              <w:t xml:space="preserve">Minister właściwy do spraw zdrowia określi, w drodze rozporządzeń, w poszczególnych zakresach, o których mowa w art. 15 ust. 2 pkt 1-8 i 10-13, wykazy świadczeń </w:t>
            </w:r>
            <w:r w:rsidRPr="00B67A13">
              <w:rPr>
                <w:rFonts w:ascii="Arial" w:eastAsia="Calibri" w:hAnsi="Arial" w:cs="Arial"/>
                <w:sz w:val="19"/>
                <w:szCs w:val="19"/>
                <w:lang w:eastAsia="en-US"/>
              </w:rPr>
              <w:lastRenderedPageBreak/>
              <w:t>gwarantowanych wraz z określeniem:</w:t>
            </w:r>
          </w:p>
          <w:p w14:paraId="3B815DEE"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6E833BCC" w14:textId="6CFD4DAC"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EC603F6" w14:textId="77777777" w:rsidR="009D7DF4" w:rsidRDefault="00B67A13" w:rsidP="009D7DF4">
            <w:pPr>
              <w:spacing w:before="80" w:after="80"/>
              <w:jc w:val="both"/>
              <w:rPr>
                <w:rFonts w:ascii="Arial" w:hAnsi="Arial" w:cs="Arial"/>
                <w:sz w:val="19"/>
                <w:szCs w:val="19"/>
              </w:rPr>
            </w:pPr>
            <w:r w:rsidRPr="00B67A13">
              <w:rPr>
                <w:rFonts w:ascii="Arial" w:hAnsi="Arial" w:cs="Arial"/>
                <w:sz w:val="19"/>
                <w:szCs w:val="19"/>
              </w:rPr>
              <w:lastRenderedPageBreak/>
              <w:t xml:space="preserve">Celem projektowanego rozporządzenia jest zwiększenie dostępności do świadczeń gwarantowanych, które dotychczas nie były dostępne dla pacjentów w ramach świadczeń opieki </w:t>
            </w:r>
            <w:r w:rsidRPr="00B67A13">
              <w:rPr>
                <w:rFonts w:ascii="Arial" w:hAnsi="Arial" w:cs="Arial"/>
                <w:sz w:val="19"/>
                <w:szCs w:val="19"/>
              </w:rPr>
              <w:lastRenderedPageBreak/>
              <w:t>zdrowotnej finansowanych ze środków publicznych, a mających znaczenie dla poprawy zdrowia i wydłużenia życia pacjentów.</w:t>
            </w:r>
          </w:p>
          <w:p w14:paraId="3B99F2A0" w14:textId="7ED74640" w:rsidR="00E13473" w:rsidRDefault="00E13473" w:rsidP="009D7DF4">
            <w:pPr>
              <w:spacing w:before="80" w:after="80"/>
              <w:jc w:val="both"/>
              <w:rPr>
                <w:rFonts w:ascii="Arial" w:hAnsi="Arial" w:cs="Arial"/>
                <w:sz w:val="19"/>
                <w:szCs w:val="19"/>
              </w:rPr>
            </w:pPr>
            <w:r w:rsidRPr="00E13473">
              <w:rPr>
                <w:rFonts w:ascii="Arial" w:hAnsi="Arial" w:cs="Arial"/>
                <w:sz w:val="19"/>
                <w:szCs w:val="19"/>
              </w:rPr>
              <w:t xml:space="preserve">Wprowadzenie przepisów dotyczących nowego świadczenia gwarantowanego zostało oparte na procesie kwalifikacji świadczeń opieki zdrowotnej jako świadczeń gwarantowanych i implementuje propozycje rozwiązań zawartych w rekomendacji Prezesa Agencji Oceny Technologii Medycznych i Taryfikacji. Zmiany mają na celu zapewnienie dostępu do zabiegu leczenia nowotworów gruczołu krokowego z wykorzystaniem systemu </w:t>
            </w:r>
            <w:proofErr w:type="spellStart"/>
            <w:r w:rsidRPr="00E13473">
              <w:rPr>
                <w:rFonts w:ascii="Arial" w:hAnsi="Arial" w:cs="Arial"/>
                <w:sz w:val="19"/>
                <w:szCs w:val="19"/>
              </w:rPr>
              <w:t>robotowego</w:t>
            </w:r>
            <w:proofErr w:type="spellEnd"/>
            <w:r w:rsidRPr="00E13473">
              <w:rPr>
                <w:rFonts w:ascii="Arial" w:hAnsi="Arial" w:cs="Arial"/>
                <w:sz w:val="19"/>
                <w:szCs w:val="19"/>
              </w:rPr>
              <w:t>.</w:t>
            </w:r>
          </w:p>
        </w:tc>
        <w:tc>
          <w:tcPr>
            <w:tcW w:w="1842" w:type="dxa"/>
            <w:shd w:val="clear" w:color="auto" w:fill="FFFFFF"/>
          </w:tcPr>
          <w:p w14:paraId="1BFDC529" w14:textId="3569EC32"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lastRenderedPageBreak/>
              <w:t>Adam Niedzielski Minister Zdrowia</w:t>
            </w:r>
          </w:p>
        </w:tc>
        <w:tc>
          <w:tcPr>
            <w:tcW w:w="2362" w:type="dxa"/>
            <w:shd w:val="clear" w:color="auto" w:fill="FFFFFF"/>
          </w:tcPr>
          <w:p w14:paraId="718171FC" w14:textId="6B0408C5" w:rsidR="009D7DF4"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B67A13">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7F0C61">
              <w:rPr>
                <w:rFonts w:ascii="Arial" w:hAnsi="Arial" w:cs="Arial"/>
                <w:sz w:val="19"/>
                <w:szCs w:val="19"/>
              </w:rPr>
              <w:t>publikacji w Dz. U</w:t>
            </w:r>
            <w:r w:rsidR="00B67A13">
              <w:rPr>
                <w:rFonts w:ascii="Arial" w:hAnsi="Arial" w:cs="Arial"/>
                <w:sz w:val="19"/>
                <w:szCs w:val="19"/>
              </w:rPr>
              <w:t>.</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E13DAA" w:rsidRDefault="00B67A13" w:rsidP="009D7DF4">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1)</w:t>
            </w:r>
            <w:r w:rsidRPr="00B67A13">
              <w:rPr>
                <w:rFonts w:ascii="Arial" w:hAnsi="Arial" w:cs="Arial"/>
                <w:sz w:val="19"/>
                <w:szCs w:val="19"/>
              </w:rPr>
              <w:tab/>
              <w:t>nomenklatury i kodów diet stosowanych w żywieniu pacjentów,</w:t>
            </w:r>
          </w:p>
          <w:p w14:paraId="000E2320"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2)</w:t>
            </w:r>
            <w:r w:rsidRPr="00B67A13">
              <w:rPr>
                <w:rFonts w:ascii="Arial" w:hAnsi="Arial" w:cs="Arial"/>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3)</w:t>
            </w:r>
            <w:r w:rsidRPr="00B67A13">
              <w:rPr>
                <w:rFonts w:ascii="Arial" w:hAnsi="Arial" w:cs="Arial"/>
                <w:sz w:val="19"/>
                <w:szCs w:val="19"/>
              </w:rPr>
              <w:tab/>
              <w:t>karty żywienia pacjenta.</w:t>
            </w:r>
          </w:p>
          <w:p w14:paraId="571D1ACF" w14:textId="1FAF66B6" w:rsidR="009D7DF4" w:rsidRDefault="00B67A13" w:rsidP="00B67A13">
            <w:pPr>
              <w:spacing w:before="80" w:after="80"/>
              <w:jc w:val="both"/>
              <w:rPr>
                <w:rFonts w:ascii="Arial" w:hAnsi="Arial" w:cs="Arial"/>
                <w:sz w:val="19"/>
                <w:szCs w:val="19"/>
              </w:rPr>
            </w:pPr>
            <w:r w:rsidRPr="00B67A13">
              <w:rPr>
                <w:rFonts w:ascii="Arial" w:hAnsi="Arial" w:cs="Arial"/>
                <w:sz w:val="19"/>
                <w:szCs w:val="19"/>
              </w:rPr>
              <w:t xml:space="preserve">Oczekuje się, że zdefiniowanie ogólnych standardów dotyczących żywienia pacjentów w podmiotach leczniczych wpłynie korzystnie nie tylko na standard organizacyjny jednostki, ale </w:t>
            </w:r>
            <w:r w:rsidRPr="00B67A13">
              <w:rPr>
                <w:rFonts w:ascii="Arial" w:hAnsi="Arial" w:cs="Arial"/>
                <w:sz w:val="19"/>
                <w:szCs w:val="19"/>
              </w:rPr>
              <w:lastRenderedPageBreak/>
              <w:t>także skuteczność procesu leczniczego i dalsze zdrowienie pacjentów.</w:t>
            </w:r>
          </w:p>
        </w:tc>
        <w:tc>
          <w:tcPr>
            <w:tcW w:w="1842" w:type="dxa"/>
            <w:shd w:val="clear" w:color="auto" w:fill="FFFFFF"/>
          </w:tcPr>
          <w:p w14:paraId="129A5277" w14:textId="270C8063"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455A5BD9" w14:textId="3E36D54D" w:rsidR="009D7DF4"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B67A13">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AD0E59">
              <w:rPr>
                <w:rFonts w:ascii="Arial" w:hAnsi="Arial" w:cs="Arial"/>
                <w:sz w:val="19"/>
                <w:szCs w:val="19"/>
              </w:rPr>
              <w:t>U</w:t>
            </w:r>
            <w:r w:rsidR="00B67A13">
              <w:rPr>
                <w:rFonts w:ascii="Arial" w:hAnsi="Arial" w:cs="Arial"/>
                <w:sz w:val="19"/>
                <w:szCs w:val="19"/>
              </w:rPr>
              <w:t>W.</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Minister właściwy do spraw zdrowia w porozumieniu z ministrem właściwym do spraw transportu określi, w drodze rozporządzenia:</w:t>
            </w:r>
          </w:p>
          <w:p w14:paraId="27E7F94C"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1) szczegółowe warunki i tryb przeprowadzania badania lekarskiego;</w:t>
            </w:r>
          </w:p>
          <w:p w14:paraId="09539E26"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2) zakres:</w:t>
            </w:r>
          </w:p>
          <w:p w14:paraId="67E6BA7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a) badań lekarskich,</w:t>
            </w:r>
          </w:p>
          <w:p w14:paraId="198D77CD"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konsultacji u lekarzy specjalistów,</w:t>
            </w:r>
          </w:p>
          <w:p w14:paraId="6339A8E5"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c) pomocniczych badań diagnostycznych;</w:t>
            </w:r>
          </w:p>
          <w:p w14:paraId="36114696" w14:textId="00A84114"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3)</w:t>
            </w:r>
            <w:r w:rsidR="009E5200">
              <w:rPr>
                <w:rFonts w:ascii="Arial" w:eastAsia="Calibri" w:hAnsi="Arial" w:cs="Arial"/>
                <w:sz w:val="19"/>
                <w:szCs w:val="19"/>
                <w:lang w:eastAsia="en-US"/>
              </w:rPr>
              <w:t xml:space="preserve"> </w:t>
            </w:r>
            <w:r w:rsidRPr="0024299B">
              <w:rPr>
                <w:rFonts w:ascii="Arial" w:eastAsia="Calibri" w:hAnsi="Arial" w:cs="Arial"/>
                <w:sz w:val="19"/>
                <w:szCs w:val="19"/>
                <w:lang w:eastAsia="en-US"/>
              </w:rPr>
              <w:t>jednostki uprawnione do przeprowadzania badań, o których mowa w art. 75 ust. 1 pkt 7 i 8 oraz w art. 79 ust. 4 i 5;</w:t>
            </w:r>
          </w:p>
          <w:p w14:paraId="4FCDC9D3"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4) wzory stosowanych dokumentów oraz wzór pieczątki uprawnionego lekarza;</w:t>
            </w:r>
          </w:p>
          <w:p w14:paraId="24C47B9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5) dodatkowe kwalifikacje, o których mowa w art. 77 ust. 1 pkt 3 lit. b;</w:t>
            </w:r>
          </w:p>
          <w:p w14:paraId="20C73FA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6) podmioty uprawnione do przeprowadzania szkoleń lekarzy w zakresie badań kierowców oraz ramowy program ich szkolenia;</w:t>
            </w:r>
          </w:p>
          <w:p w14:paraId="16E2C38A"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7) wysokość opłaty:</w:t>
            </w:r>
          </w:p>
          <w:p w14:paraId="147449F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 xml:space="preserve">a) </w:t>
            </w:r>
            <w:r w:rsidRPr="009E5200">
              <w:rPr>
                <w:rFonts w:ascii="Arial" w:eastAsia="Calibri" w:hAnsi="Arial" w:cs="Arial"/>
                <w:i/>
                <w:iCs/>
                <w:sz w:val="19"/>
                <w:szCs w:val="19"/>
                <w:lang w:eastAsia="en-US"/>
              </w:rPr>
              <w:t>(uchylona)</w:t>
            </w:r>
          </w:p>
          <w:p w14:paraId="0EF2348B" w14:textId="4C476C57" w:rsidR="0024299B" w:rsidRPr="00B67A13"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24299B" w:rsidRDefault="0024299B" w:rsidP="0024299B">
            <w:pPr>
              <w:spacing w:before="80" w:after="80"/>
              <w:jc w:val="both"/>
              <w:rPr>
                <w:rFonts w:ascii="Arial" w:hAnsi="Arial" w:cs="Arial"/>
                <w:sz w:val="19"/>
                <w:szCs w:val="19"/>
              </w:rPr>
            </w:pPr>
            <w:r w:rsidRPr="0024299B">
              <w:rPr>
                <w:rFonts w:ascii="Arial" w:hAnsi="Arial" w:cs="Arial"/>
                <w:sz w:val="19"/>
                <w:szCs w:val="19"/>
              </w:rPr>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B67A13" w:rsidRDefault="0024299B" w:rsidP="0024299B">
            <w:pPr>
              <w:spacing w:before="80" w:after="80"/>
              <w:jc w:val="both"/>
              <w:rPr>
                <w:rFonts w:ascii="Arial" w:hAnsi="Arial" w:cs="Arial"/>
                <w:sz w:val="19"/>
                <w:szCs w:val="19"/>
              </w:rPr>
            </w:pPr>
            <w:r w:rsidRPr="0024299B">
              <w:rPr>
                <w:rFonts w:ascii="Arial" w:hAnsi="Arial" w:cs="Arial"/>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B67A13" w:rsidRDefault="0024299B" w:rsidP="009D7DF4">
            <w:pPr>
              <w:spacing w:before="80" w:after="80"/>
              <w:rPr>
                <w:rFonts w:ascii="Arial" w:eastAsia="Calibri" w:hAnsi="Arial" w:cs="Arial"/>
                <w:sz w:val="19"/>
                <w:szCs w:val="19"/>
                <w:lang w:eastAsia="en-US"/>
              </w:rPr>
            </w:pPr>
            <w:r w:rsidRPr="0024299B">
              <w:rPr>
                <w:rFonts w:ascii="Arial" w:eastAsia="Calibri" w:hAnsi="Arial" w:cs="Arial"/>
                <w:sz w:val="19"/>
                <w:szCs w:val="19"/>
                <w:lang w:eastAsia="en-US"/>
              </w:rPr>
              <w:t>Waldemar Kraska, Sekretarz Stanu w Ministerstwie Zdrowia</w:t>
            </w:r>
          </w:p>
        </w:tc>
        <w:tc>
          <w:tcPr>
            <w:tcW w:w="2362" w:type="dxa"/>
            <w:shd w:val="clear" w:color="auto" w:fill="FFFFFF"/>
          </w:tcPr>
          <w:p w14:paraId="211C8202" w14:textId="506A1859" w:rsidR="0024299B"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24299B">
              <w:rPr>
                <w:rFonts w:ascii="Arial" w:hAnsi="Arial" w:cs="Arial"/>
                <w:sz w:val="19"/>
                <w:szCs w:val="19"/>
              </w:rPr>
              <w:t xml:space="preserve">– </w:t>
            </w:r>
            <w:r w:rsidR="0024299B" w:rsidRPr="00B91971">
              <w:rPr>
                <w:rFonts w:ascii="Arial" w:hAnsi="Arial" w:cs="Arial"/>
                <w:sz w:val="19"/>
                <w:szCs w:val="19"/>
              </w:rPr>
              <w:t xml:space="preserve">projekt </w:t>
            </w:r>
            <w:r w:rsidR="0024299B">
              <w:rPr>
                <w:rFonts w:ascii="Arial" w:hAnsi="Arial" w:cs="Arial"/>
                <w:sz w:val="19"/>
                <w:szCs w:val="19"/>
              </w:rPr>
              <w:t>na etapie UW.</w:t>
            </w: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Default="005052FF" w:rsidP="009D7DF4">
            <w:pPr>
              <w:jc w:val="both"/>
              <w:rPr>
                <w:rFonts w:ascii="Arial" w:eastAsia="Calibri" w:hAnsi="Arial" w:cs="Arial"/>
                <w:sz w:val="19"/>
                <w:szCs w:val="19"/>
                <w:lang w:eastAsia="en-US"/>
              </w:rPr>
            </w:pPr>
            <w:r w:rsidRPr="005052FF">
              <w:rPr>
                <w:rFonts w:ascii="Arial" w:eastAsia="Calibri" w:hAnsi="Arial" w:cs="Arial"/>
                <w:sz w:val="19"/>
                <w:szCs w:val="19"/>
                <w:lang w:eastAsia="en-US"/>
              </w:rPr>
              <w:t xml:space="preserve">Minister właściwy do spraw zdrowia w porozumieniu z ministrem właściwym do spraw pracy określi, w drodze rozporządzenia, warunki wynagradzania za pracę pracowników, o których mowa w ust. 1, w tym kwoty wynagrodzenia </w:t>
            </w:r>
            <w:r w:rsidRPr="005052FF">
              <w:rPr>
                <w:rFonts w:ascii="Arial" w:eastAsia="Calibri" w:hAnsi="Arial" w:cs="Arial"/>
                <w:sz w:val="19"/>
                <w:szCs w:val="19"/>
                <w:lang w:eastAsia="en-US"/>
              </w:rPr>
              <w:lastRenderedPageBreak/>
              <w:t>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24299B" w:rsidRDefault="005052FF" w:rsidP="009D7DF4">
            <w:pPr>
              <w:jc w:val="both"/>
              <w:rPr>
                <w:rFonts w:ascii="Arial" w:eastAsia="Calibri" w:hAnsi="Arial" w:cs="Arial"/>
                <w:sz w:val="19"/>
                <w:szCs w:val="19"/>
                <w:lang w:eastAsia="en-US"/>
              </w:rPr>
            </w:pPr>
          </w:p>
        </w:tc>
        <w:tc>
          <w:tcPr>
            <w:tcW w:w="3545" w:type="dxa"/>
            <w:shd w:val="clear" w:color="auto" w:fill="FFFFFF"/>
          </w:tcPr>
          <w:p w14:paraId="2E0EEAC2" w14:textId="5A065244" w:rsidR="00E13473" w:rsidRPr="0024299B" w:rsidRDefault="00E13473" w:rsidP="0024299B">
            <w:pPr>
              <w:spacing w:before="80" w:after="80"/>
              <w:jc w:val="both"/>
              <w:rPr>
                <w:rFonts w:ascii="Arial" w:hAnsi="Arial" w:cs="Arial"/>
                <w:sz w:val="19"/>
                <w:szCs w:val="19"/>
              </w:rPr>
            </w:pPr>
            <w:r w:rsidRPr="00E13473">
              <w:rPr>
                <w:rFonts w:ascii="Arial" w:hAnsi="Arial" w:cs="Arial"/>
                <w:sz w:val="19"/>
                <w:szCs w:val="19"/>
              </w:rPr>
              <w:lastRenderedPageBreak/>
              <w:t xml:space="preserve">Wzrost minimalnych kwot miesięcznych stawek wynagrodzenia zasadniczego (lewa strona kolumny) jest niezbędny dla zapewnienia pracownikom podmiotów leczniczych działających w formie jednostki budżetowej od dnia 1 stycznia 2022 r. wynagrodzenia </w:t>
            </w:r>
            <w:r w:rsidRPr="00E13473">
              <w:rPr>
                <w:rFonts w:ascii="Arial" w:hAnsi="Arial" w:cs="Arial"/>
                <w:sz w:val="19"/>
                <w:szCs w:val="19"/>
              </w:rPr>
              <w:lastRenderedPageBreak/>
              <w:t>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lastRenderedPageBreak/>
              <w:t xml:space="preserve">Piotr </w:t>
            </w:r>
            <w:proofErr w:type="spellStart"/>
            <w:r w:rsidRPr="00E13473">
              <w:rPr>
                <w:rFonts w:ascii="Arial" w:eastAsia="Calibri" w:hAnsi="Arial" w:cs="Arial"/>
                <w:sz w:val="19"/>
                <w:szCs w:val="19"/>
                <w:lang w:eastAsia="en-US"/>
              </w:rPr>
              <w:t>Bromber</w:t>
            </w:r>
            <w:proofErr w:type="spellEnd"/>
            <w:r w:rsidRPr="00E13473">
              <w:rPr>
                <w:rFonts w:ascii="Arial" w:eastAsia="Calibri" w:hAnsi="Arial" w:cs="Arial"/>
                <w:sz w:val="19"/>
                <w:szCs w:val="19"/>
                <w:lang w:eastAsia="en-US"/>
              </w:rPr>
              <w:t xml:space="preserve"> – Podsekretarz Stanu w Ministerstwie Zdrowia</w:t>
            </w:r>
          </w:p>
        </w:tc>
        <w:tc>
          <w:tcPr>
            <w:tcW w:w="2362" w:type="dxa"/>
            <w:shd w:val="clear" w:color="auto" w:fill="FFFFFF"/>
          </w:tcPr>
          <w:p w14:paraId="756044C2" w14:textId="35235883" w:rsidR="00E13473"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E13473">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na etapie UW.</w:t>
            </w:r>
          </w:p>
        </w:tc>
      </w:tr>
      <w:tr w:rsidR="00E13473" w:rsidRPr="00F873E4" w14:paraId="2C4457E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1D1006"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FC87DA" w14:textId="56FC8791"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1283</w:t>
            </w:r>
          </w:p>
        </w:tc>
        <w:tc>
          <w:tcPr>
            <w:tcW w:w="2268" w:type="dxa"/>
            <w:shd w:val="clear" w:color="auto" w:fill="FFFFFF"/>
          </w:tcPr>
          <w:p w14:paraId="6EF48F95" w14:textId="072806CD" w:rsidR="00E13473" w:rsidRPr="0024299B" w:rsidRDefault="00E13473" w:rsidP="009D7DF4">
            <w:pPr>
              <w:spacing w:before="80" w:after="80"/>
              <w:jc w:val="both"/>
              <w:rPr>
                <w:rFonts w:ascii="Arial" w:eastAsia="Calibri" w:hAnsi="Arial" w:cs="Arial"/>
                <w:color w:val="000000"/>
                <w:sz w:val="19"/>
                <w:szCs w:val="19"/>
                <w:lang w:eastAsia="en-US"/>
              </w:rPr>
            </w:pPr>
            <w:r w:rsidRPr="00E13473">
              <w:rPr>
                <w:rFonts w:ascii="Arial" w:eastAsia="Calibri" w:hAnsi="Arial" w:cs="Arial"/>
                <w:color w:val="000000"/>
                <w:sz w:val="19"/>
                <w:szCs w:val="19"/>
                <w:lang w:eastAsia="en-US"/>
              </w:rPr>
              <w:t>art. 14f ust. 1 pkt 6 ustawy z dnia 5 grudnia 1996 r. o zawodach lekarza i lekarza dentysty</w:t>
            </w:r>
          </w:p>
        </w:tc>
        <w:tc>
          <w:tcPr>
            <w:tcW w:w="3260" w:type="dxa"/>
            <w:shd w:val="clear" w:color="auto" w:fill="FFFFFF"/>
          </w:tcPr>
          <w:p w14:paraId="7E77A884" w14:textId="40F2BBB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Minister właściwy do spraw zdrowia określi, w drodze rozporządzenia:</w:t>
            </w:r>
          </w:p>
          <w:p w14:paraId="4F88BE9F"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1) wykaz dziedzin medycyny oraz zakres problematyki uwzględnianej przy opracowywaniu pytań testowych LEK i LDEK,</w:t>
            </w:r>
          </w:p>
          <w:p w14:paraId="4C05BE8A"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2) tryb powoływania członków Komisji Egzaminacyjnej, o której mowa w art. 14b ust. 1, i komisji, o której mowa w art. 14e ust. 2,</w:t>
            </w:r>
          </w:p>
          <w:p w14:paraId="136B99BD"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3) wzór oświadczenia, o którym mowa w art. 14b ust. 8,</w:t>
            </w:r>
          </w:p>
          <w:p w14:paraId="21F5A6D4"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4) sposób i szczegółowy tryb przeprowadzania LEK i LDEK, w tym okres, w którym powinny być wyznaczone ich terminy,</w:t>
            </w:r>
          </w:p>
          <w:p w14:paraId="680DCB36"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5) wysokość opłaty, o której mowa w art. 14a ust. 8, oraz sposób jej uiszczania,</w:t>
            </w:r>
          </w:p>
          <w:p w14:paraId="7439B94B"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6) wysokość wynagrodzenia dla członków i przewodniczących Zespołów Egzaminacyjnych oraz komisji, o której mowa w art. 14e ust. 2,</w:t>
            </w:r>
          </w:p>
          <w:p w14:paraId="65867AEA"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7) (uchylony)</w:t>
            </w:r>
          </w:p>
          <w:p w14:paraId="732648D5"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8) szczegółowy sposób ustalania wyników LEK i LDEK,</w:t>
            </w:r>
          </w:p>
          <w:p w14:paraId="1EC50DD0"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9) wzory świadectwa złożenia LEK i świadectwa złożenia LDEK,</w:t>
            </w:r>
          </w:p>
          <w:p w14:paraId="08AFB6EA"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 xml:space="preserve">10) tryb wydawania przez dyrektora CEM duplikatu albo odpisu świadectwa złożenia LEK albo </w:t>
            </w:r>
            <w:r w:rsidRPr="005052FF">
              <w:rPr>
                <w:rFonts w:ascii="Arial" w:eastAsia="Calibri" w:hAnsi="Arial" w:cs="Arial"/>
                <w:sz w:val="19"/>
                <w:szCs w:val="19"/>
                <w:lang w:eastAsia="en-US"/>
              </w:rPr>
              <w:lastRenderedPageBreak/>
              <w:t>świadectwa złożenia LDEK oraz sposób uiszczania opłaty, o której mowa w art. 14e ust. 6,</w:t>
            </w:r>
          </w:p>
          <w:p w14:paraId="5808D405" w14:textId="77777777" w:rsidR="005052FF" w:rsidRPr="005052FF"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11) tryb dokonywania przez dyrektora CEM wymiany świadectwa złożenia LEK albo świadectwa złożenia LDEK oraz sposób uiszczania opłaty, o której mowa w art. 14e ust. 6</w:t>
            </w:r>
          </w:p>
          <w:p w14:paraId="37353BB8" w14:textId="65BAB9AD" w:rsidR="00E13473" w:rsidRPr="0024299B" w:rsidRDefault="005052FF" w:rsidP="005052FF">
            <w:pPr>
              <w:jc w:val="both"/>
              <w:rPr>
                <w:rFonts w:ascii="Arial" w:eastAsia="Calibri" w:hAnsi="Arial" w:cs="Arial"/>
                <w:sz w:val="19"/>
                <w:szCs w:val="19"/>
                <w:lang w:eastAsia="en-US"/>
              </w:rPr>
            </w:pPr>
            <w:r w:rsidRPr="005052FF">
              <w:rPr>
                <w:rFonts w:ascii="Arial" w:eastAsia="Calibri" w:hAnsi="Arial" w:cs="Arial"/>
                <w:sz w:val="19"/>
                <w:szCs w:val="19"/>
                <w:lang w:eastAsia="en-US"/>
              </w:rPr>
              <w:t>- mając na uwadze zakres wiedzy i umiejętności, które zgłaszający się do egzaminu powinien posiadać, oraz uwzględniając prawidłowe przygotowanie i przebieg LEK i LDEK oraz zachowanie bezstronności pracy Zespołów Egzaminacyjnych, o których mowa w art. 14b ust. 5, i komisji, o której mowa w art. 14e ust. 2, nakład ich pracy, a także konieczność zapewnienia prawidłowego tworzenia dokumentacji dotyczącej złożenia LEK albo LDEK.</w:t>
            </w:r>
          </w:p>
        </w:tc>
        <w:tc>
          <w:tcPr>
            <w:tcW w:w="3545" w:type="dxa"/>
            <w:shd w:val="clear" w:color="auto" w:fill="FFFFFF"/>
          </w:tcPr>
          <w:p w14:paraId="1040CD99" w14:textId="52C2FA27" w:rsidR="00E13473" w:rsidRPr="0024299B" w:rsidRDefault="00E13473" w:rsidP="0024299B">
            <w:pPr>
              <w:spacing w:before="80" w:after="80"/>
              <w:jc w:val="both"/>
              <w:rPr>
                <w:rFonts w:ascii="Arial" w:hAnsi="Arial" w:cs="Arial"/>
                <w:sz w:val="19"/>
                <w:szCs w:val="19"/>
              </w:rPr>
            </w:pPr>
            <w:r w:rsidRPr="00E13473">
              <w:rPr>
                <w:rFonts w:ascii="Arial" w:hAnsi="Arial" w:cs="Arial"/>
                <w:sz w:val="19"/>
                <w:szCs w:val="19"/>
              </w:rPr>
              <w:lastRenderedPageBreak/>
              <w:t>Rekomendowanym rozwiązaniem jest zmiana w § 18 brzmienia treści ust. 2 poprzez zwiększenie kwoty wynagrodzenia członka Zespołu Egzaminacyjnego oraz członka komisji, o której mowa w art. 14e ust. 2 ustawy o 50 zł brutto, tj. z kwoty 250 zł do kwoty 300 zł za udział w pracach tego Zespołu albo komisji, co  zgodne jest z art. 14b ust. 10 pkt 1 ustawy. Przewiduje się, że efektem podwyższenia wynagrodzenia będzie zmniejszenie problemów Centrum Egzaminów Medycznych w pozyskaniu osób do pracy przy przeprowadzaniu egzaminów państwowych, jakimi są LEK i LDEK.</w:t>
            </w:r>
          </w:p>
        </w:tc>
        <w:tc>
          <w:tcPr>
            <w:tcW w:w="1842" w:type="dxa"/>
            <w:shd w:val="clear" w:color="auto" w:fill="FFFFFF"/>
          </w:tcPr>
          <w:p w14:paraId="211C3290" w14:textId="3E654F63"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t xml:space="preserve">Piotr </w:t>
            </w:r>
            <w:proofErr w:type="spellStart"/>
            <w:r w:rsidRPr="00E13473">
              <w:rPr>
                <w:rFonts w:ascii="Arial" w:eastAsia="Calibri" w:hAnsi="Arial" w:cs="Arial"/>
                <w:sz w:val="19"/>
                <w:szCs w:val="19"/>
                <w:lang w:eastAsia="en-US"/>
              </w:rPr>
              <w:t>Bromber</w:t>
            </w:r>
            <w:proofErr w:type="spellEnd"/>
            <w:r w:rsidRPr="00E13473">
              <w:rPr>
                <w:rFonts w:ascii="Arial" w:eastAsia="Calibri" w:hAnsi="Arial" w:cs="Arial"/>
                <w:sz w:val="19"/>
                <w:szCs w:val="19"/>
                <w:lang w:eastAsia="en-US"/>
              </w:rPr>
              <w:t xml:space="preserve"> – Podsekretarz Stanu w Ministerstwie Zdrowia</w:t>
            </w:r>
          </w:p>
        </w:tc>
        <w:tc>
          <w:tcPr>
            <w:tcW w:w="2362" w:type="dxa"/>
            <w:shd w:val="clear" w:color="auto" w:fill="FFFFFF"/>
          </w:tcPr>
          <w:p w14:paraId="51CC78D5" w14:textId="3F0F89B7" w:rsidR="00E13473"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E13473">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 xml:space="preserve">na etapie </w:t>
            </w:r>
            <w:r w:rsidR="007F0C61">
              <w:rPr>
                <w:rFonts w:ascii="Arial" w:hAnsi="Arial" w:cs="Arial"/>
                <w:sz w:val="19"/>
                <w:szCs w:val="19"/>
              </w:rPr>
              <w:t>KP</w:t>
            </w:r>
            <w:r w:rsidR="00E13473">
              <w:rPr>
                <w:rFonts w:ascii="Arial" w:hAnsi="Arial" w:cs="Arial"/>
                <w:sz w:val="19"/>
                <w:szCs w:val="19"/>
              </w:rPr>
              <w:t>.</w:t>
            </w:r>
          </w:p>
        </w:tc>
      </w:tr>
      <w:tr w:rsidR="00E13473" w:rsidRPr="00F873E4" w14:paraId="441B08B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B5309"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9D7335" w14:textId="10321D34"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1284</w:t>
            </w:r>
          </w:p>
        </w:tc>
        <w:tc>
          <w:tcPr>
            <w:tcW w:w="2268" w:type="dxa"/>
            <w:shd w:val="clear" w:color="auto" w:fill="FFFFFF"/>
          </w:tcPr>
          <w:p w14:paraId="4E59AA85" w14:textId="40DC0B02" w:rsidR="00E13473" w:rsidRPr="0024299B" w:rsidRDefault="00E13473" w:rsidP="009D7DF4">
            <w:pPr>
              <w:spacing w:before="80" w:after="80"/>
              <w:jc w:val="both"/>
              <w:rPr>
                <w:rFonts w:ascii="Arial" w:eastAsia="Calibri" w:hAnsi="Arial" w:cs="Arial"/>
                <w:color w:val="000000"/>
                <w:sz w:val="19"/>
                <w:szCs w:val="19"/>
                <w:lang w:eastAsia="en-US"/>
              </w:rPr>
            </w:pPr>
            <w:r w:rsidRPr="00E13473">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EF8A3B" w14:textId="410E7158" w:rsidR="00E13473" w:rsidRPr="0024299B" w:rsidRDefault="00E13473" w:rsidP="009D7DF4">
            <w:pPr>
              <w:jc w:val="both"/>
              <w:rPr>
                <w:rFonts w:ascii="Arial" w:eastAsia="Calibri" w:hAnsi="Arial" w:cs="Arial"/>
                <w:sz w:val="19"/>
                <w:szCs w:val="19"/>
                <w:lang w:eastAsia="en-US"/>
              </w:rPr>
            </w:pPr>
            <w:r w:rsidRPr="00E13473">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C7D03A0" w14:textId="77777777" w:rsidR="00E13473" w:rsidRPr="00E13473" w:rsidRDefault="00E13473" w:rsidP="00E13473">
            <w:pPr>
              <w:spacing w:before="80" w:after="80"/>
              <w:jc w:val="both"/>
              <w:rPr>
                <w:rFonts w:ascii="Arial" w:hAnsi="Arial" w:cs="Arial"/>
                <w:sz w:val="19"/>
                <w:szCs w:val="19"/>
              </w:rPr>
            </w:pPr>
            <w:r w:rsidRPr="00E13473">
              <w:rPr>
                <w:rFonts w:ascii="Arial" w:hAnsi="Arial" w:cs="Arial"/>
                <w:sz w:val="19"/>
                <w:szCs w:val="19"/>
              </w:rPr>
              <w:t>Program pilotażowy będzie realizowany w trzech etapach, na które składać się będą: etap organizacji (w trakcie którego minister właściwy do spraw zdrowia dokona zakupu urządzeń, przeprowadzi akcję promocyjną dotyczącą ich wykorzystania oraz podpisze umowy z realizatorami programu pilotażowego), etap realizacji (w trakcie którego wybrani realizatorzy programu pilotażowego będą wykonywać świadczenia opieki zdrowotnej przy wykorzystaniu elektronicznych stetoskopów) oraz etap ewaluacji programu pilotażowego (który obejmie ocenę działań objętych programem pilotażowym).</w:t>
            </w:r>
          </w:p>
          <w:p w14:paraId="6096D212" w14:textId="3300C1FB" w:rsidR="00E13473" w:rsidRPr="0024299B" w:rsidRDefault="00E13473" w:rsidP="00E13473">
            <w:pPr>
              <w:spacing w:before="80" w:after="80"/>
              <w:jc w:val="both"/>
              <w:rPr>
                <w:rFonts w:ascii="Arial" w:hAnsi="Arial" w:cs="Arial"/>
                <w:sz w:val="19"/>
                <w:szCs w:val="19"/>
              </w:rPr>
            </w:pPr>
            <w:r w:rsidRPr="00E13473">
              <w:rPr>
                <w:rFonts w:ascii="Arial" w:hAnsi="Arial" w:cs="Arial"/>
                <w:sz w:val="19"/>
                <w:szCs w:val="19"/>
              </w:rPr>
              <w:lastRenderedPageBreak/>
              <w:t>Program pilotażowy stanowi jeden z elementów opieki przedszpitalnej nad pacjentami z COVID–19, tak istotnej z punku widzenia szybkiego rozprzestrzeniania się wirusa SARS-CoV-2 Omikron, który nakłada się na obecną falę zakażeń wywołanych wariantem Delta.</w:t>
            </w:r>
          </w:p>
        </w:tc>
        <w:tc>
          <w:tcPr>
            <w:tcW w:w="1842" w:type="dxa"/>
            <w:shd w:val="clear" w:color="auto" w:fill="FFFFFF"/>
          </w:tcPr>
          <w:p w14:paraId="1505F82C" w14:textId="74CF3283"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lastRenderedPageBreak/>
              <w:t>Adam Niedzielski, Minister Zdrowia</w:t>
            </w:r>
          </w:p>
        </w:tc>
        <w:tc>
          <w:tcPr>
            <w:tcW w:w="2362" w:type="dxa"/>
            <w:shd w:val="clear" w:color="auto" w:fill="FFFFFF"/>
          </w:tcPr>
          <w:p w14:paraId="210E7E96" w14:textId="22935BB3" w:rsidR="00E13473"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E13473">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 xml:space="preserve">na etapie </w:t>
            </w:r>
            <w:r w:rsidR="007F0C61">
              <w:rPr>
                <w:rFonts w:ascii="Arial" w:hAnsi="Arial" w:cs="Arial"/>
                <w:sz w:val="19"/>
                <w:szCs w:val="19"/>
              </w:rPr>
              <w:t>KP</w:t>
            </w:r>
            <w:r w:rsidR="00E13473">
              <w:rPr>
                <w:rFonts w:ascii="Arial" w:hAnsi="Arial" w:cs="Arial"/>
                <w:sz w:val="19"/>
                <w:szCs w:val="19"/>
              </w:rPr>
              <w:t>.</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w:t>
            </w:r>
            <w:r>
              <w:rPr>
                <w:rFonts w:ascii="Arial" w:hAnsi="Arial" w:cs="Arial"/>
                <w:b/>
                <w:bCs/>
                <w:color w:val="FF0000"/>
                <w:sz w:val="19"/>
                <w:szCs w:val="19"/>
              </w:rPr>
              <w:t>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E13473" w:rsidRDefault="00E05C42" w:rsidP="00E13473">
            <w:pPr>
              <w:spacing w:before="80" w:after="80"/>
              <w:jc w:val="both"/>
              <w:rPr>
                <w:rFonts w:ascii="Arial" w:hAnsi="Arial" w:cs="Arial"/>
                <w:sz w:val="19"/>
                <w:szCs w:val="19"/>
              </w:rPr>
            </w:pPr>
            <w:r>
              <w:rPr>
                <w:rFonts w:ascii="Arial" w:hAnsi="Arial" w:cs="Arial"/>
                <w:sz w:val="19"/>
                <w:szCs w:val="19"/>
              </w:rPr>
              <w:t xml:space="preserve">Celem rozporządzenia jest </w:t>
            </w:r>
            <w:r w:rsidRPr="00E05C42">
              <w:rPr>
                <w:rFonts w:ascii="Arial" w:hAnsi="Arial" w:cs="Arial"/>
                <w:sz w:val="19"/>
                <w:szCs w:val="19"/>
              </w:rPr>
              <w:t>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19935C8A" w14:textId="2EAE0018" w:rsidR="00FA0970"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CC574D">
              <w:rPr>
                <w:rFonts w:ascii="Arial" w:hAnsi="Arial" w:cs="Arial"/>
                <w:sz w:val="19"/>
                <w:szCs w:val="19"/>
              </w:rPr>
              <w:t>PW</w:t>
            </w:r>
            <w:r w:rsidR="00CC574D">
              <w:rPr>
                <w:rFonts w:ascii="Arial" w:hAnsi="Arial" w:cs="Arial"/>
                <w:sz w:val="19"/>
                <w:szCs w:val="19"/>
              </w:rPr>
              <w:t>.</w:t>
            </w: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w:t>
            </w:r>
            <w:r>
              <w:rPr>
                <w:rFonts w:ascii="Arial" w:hAnsi="Arial" w:cs="Arial"/>
                <w:b/>
                <w:bCs/>
                <w:color w:val="FF0000"/>
                <w:sz w:val="19"/>
                <w:szCs w:val="19"/>
              </w:rPr>
              <w:t>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5E200BFF" w14:textId="79307CF6" w:rsidR="00FA0970"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na etapie UW.</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w:t>
            </w:r>
            <w:r>
              <w:rPr>
                <w:rFonts w:ascii="Arial" w:hAnsi="Arial" w:cs="Arial"/>
                <w:b/>
                <w:bCs/>
                <w:color w:val="FF0000"/>
                <w:sz w:val="19"/>
                <w:szCs w:val="19"/>
              </w:rPr>
              <w:t>9</w:t>
            </w:r>
          </w:p>
        </w:tc>
        <w:tc>
          <w:tcPr>
            <w:tcW w:w="2268" w:type="dxa"/>
            <w:shd w:val="clear" w:color="auto" w:fill="FFFFFF"/>
          </w:tcPr>
          <w:p w14:paraId="032F8A6E" w14:textId="23FF334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51DE51BC" w14:textId="2FED8314"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05C42">
              <w:rPr>
                <w:rFonts w:ascii="Arial" w:eastAsia="Calibri" w:hAnsi="Arial" w:cs="Arial"/>
                <w:sz w:val="19"/>
                <w:szCs w:val="19"/>
                <w:lang w:eastAsia="en-US"/>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 </w:t>
            </w:r>
          </w:p>
          <w:p w14:paraId="58F286D8" w14:textId="4EC4970B"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0F180BE6" w14:textId="5791CFE5" w:rsidR="00FA0970"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na etapie UW.</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w:t>
            </w:r>
            <w:r>
              <w:rPr>
                <w:rFonts w:ascii="Arial" w:hAnsi="Arial" w:cs="Arial"/>
                <w:b/>
                <w:bCs/>
                <w:color w:val="FF0000"/>
                <w:sz w:val="19"/>
                <w:szCs w:val="19"/>
              </w:rPr>
              <w:t>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 xml:space="preserve">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w:t>
            </w:r>
            <w:r w:rsidRPr="00E05C42">
              <w:rPr>
                <w:rFonts w:ascii="Arial" w:hAnsi="Arial" w:cs="Arial"/>
                <w:sz w:val="19"/>
                <w:szCs w:val="19"/>
              </w:rPr>
              <w:lastRenderedPageBreak/>
              <w:t>uprawnień do funkcjonariuszy Państwowej Straży Pożarnej.</w:t>
            </w:r>
          </w:p>
        </w:tc>
        <w:tc>
          <w:tcPr>
            <w:tcW w:w="1842" w:type="dxa"/>
            <w:shd w:val="clear" w:color="auto" w:fill="FFFFFF"/>
          </w:tcPr>
          <w:p w14:paraId="7999DCD3" w14:textId="1DDBF71E"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1EB97368" w14:textId="54514589" w:rsidR="00FA0970"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CC574D">
              <w:rPr>
                <w:rFonts w:ascii="Arial" w:hAnsi="Arial" w:cs="Arial"/>
                <w:sz w:val="19"/>
                <w:szCs w:val="19"/>
              </w:rPr>
              <w:t>przed UZ i KS</w:t>
            </w:r>
            <w:r w:rsidR="00CC574D">
              <w:rPr>
                <w:rFonts w:ascii="Arial" w:hAnsi="Arial" w:cs="Arial"/>
                <w:sz w:val="19"/>
                <w:szCs w:val="19"/>
              </w:rPr>
              <w:t>.</w:t>
            </w:r>
          </w:p>
        </w:tc>
      </w:tr>
      <w:tr w:rsidR="00FA0970" w:rsidRPr="00F873E4" w14:paraId="1ECA7EA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D60EAD"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FDE8D4" w14:textId="2ABD272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w:t>
            </w:r>
            <w:r>
              <w:rPr>
                <w:rFonts w:ascii="Arial" w:hAnsi="Arial" w:cs="Arial"/>
                <w:b/>
                <w:bCs/>
                <w:color w:val="FF0000"/>
                <w:sz w:val="19"/>
                <w:szCs w:val="19"/>
              </w:rPr>
              <w:t>91</w:t>
            </w:r>
          </w:p>
        </w:tc>
        <w:tc>
          <w:tcPr>
            <w:tcW w:w="2268" w:type="dxa"/>
            <w:shd w:val="clear" w:color="auto" w:fill="FFFFFF"/>
          </w:tcPr>
          <w:p w14:paraId="74D9C8A8" w14:textId="3A6E7FA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67AC9BD0"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określi, w drodze rozporządzenia:</w:t>
            </w:r>
          </w:p>
          <w:p w14:paraId="63E27A3D"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1) choroby zakaźne powodujące powstanie obowiązku hospitalizacji, izolacji lub izolacji w warunkach domowych, oraz okresy izolacji lub izolacji w warunkach domowych,</w:t>
            </w:r>
          </w:p>
          <w:p w14:paraId="027863C9"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5F98BF87"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3) organ, któremu jest przekazywana informacja o obowiązkowej hospitalizacji, izolacji lub izolacji w warunkach domowych danej osoby,</w:t>
            </w:r>
          </w:p>
          <w:p w14:paraId="01F89004"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4) obowiązki szpitala w przypadku samowolnego opuszczenia szpitala przez osobę podlegającą obowiązkowej hospitalizacji,</w:t>
            </w:r>
          </w:p>
          <w:p w14:paraId="37B99822"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61F3C559" w14:textId="660E3069" w:rsidR="00FA0970" w:rsidRPr="00E13473"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0304844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W projekcie rozporządzenia wprowadza się zmiany, których celem jest skrócenie okresu odbywania obowiązkowej kwarantanny dla osób uczestniczących w udzielaniu świadczeń opieki zdrowotnej osobom chorym na chorobę wywołaną wirusem SARS-CoV-2, a także skrócenie okresu wykonywania testów antygenowych.</w:t>
            </w:r>
          </w:p>
          <w:p w14:paraId="5F53305E"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Skrócenie powyższych terminów stanowi konsekwencję wprowadzonych już zmian w zakresie skrócenia okresu kwarantanny dla ogółu osób, co było poprzedzone analizą obserwowanych zmian przebiegu klinicznego zakażenia wirusem SARS-CoV-2 oraz przebiegiem wywołanej nim choroby COVID-19. </w:t>
            </w:r>
          </w:p>
          <w:p w14:paraId="5FE6CBF6" w14:textId="1573762C"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W rozporządzeniu nowelizującym przewidziano przepis przejściowy, który sankcjonuje zachowanie dotychczasowego terminu odbywania kwarantanny i wykonywania testów w odniesieniu do osób, które rozpoczęły odbywanie kwarantanny przed dniem wejścia w życie projektowanego rozporządzenia.</w:t>
            </w:r>
          </w:p>
        </w:tc>
        <w:tc>
          <w:tcPr>
            <w:tcW w:w="1842" w:type="dxa"/>
            <w:shd w:val="clear" w:color="auto" w:fill="FFFFFF"/>
          </w:tcPr>
          <w:p w14:paraId="342B7409" w14:textId="029F701B"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020F44AE" w14:textId="184289AB" w:rsidR="00FA0970"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CC574D">
              <w:rPr>
                <w:rFonts w:ascii="Arial" w:hAnsi="Arial" w:cs="Arial"/>
                <w:sz w:val="19"/>
                <w:szCs w:val="19"/>
              </w:rPr>
              <w:t>KP</w:t>
            </w:r>
            <w:r w:rsidR="00CC574D">
              <w:rPr>
                <w:rFonts w:ascii="Arial" w:hAnsi="Arial" w:cs="Arial"/>
                <w:sz w:val="19"/>
                <w:szCs w:val="19"/>
              </w:rPr>
              <w:t>.</w:t>
            </w:r>
          </w:p>
        </w:tc>
      </w:tr>
      <w:tr w:rsidR="00FA0970" w:rsidRPr="00F873E4" w14:paraId="69AF37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46FD1"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27134" w14:textId="1D15D343"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w:t>
            </w:r>
            <w:r>
              <w:rPr>
                <w:rFonts w:ascii="Arial" w:hAnsi="Arial" w:cs="Arial"/>
                <w:b/>
                <w:bCs/>
                <w:color w:val="FF0000"/>
                <w:sz w:val="19"/>
                <w:szCs w:val="19"/>
              </w:rPr>
              <w:t>92</w:t>
            </w:r>
          </w:p>
        </w:tc>
        <w:tc>
          <w:tcPr>
            <w:tcW w:w="2268" w:type="dxa"/>
            <w:shd w:val="clear" w:color="auto" w:fill="FFFFFF"/>
          </w:tcPr>
          <w:p w14:paraId="2DADAE49" w14:textId="27E7E773"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 xml:space="preserve">art. 48e ust. 5 ustawy z dnia 27 sierpnia 2004 r. o świadczeniach opieki zdrowotnej </w:t>
            </w:r>
            <w:r w:rsidRPr="00E05C42">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7B03EA8D" w14:textId="74ED3DB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lastRenderedPageBreak/>
              <w:t xml:space="preserve">Minister właściwy do spraw zdrowia ustala, w drodze rozporządzenia, program pilotażowy, mając na uwadze poprawę efektywności </w:t>
            </w:r>
            <w:r w:rsidRPr="00CC574D">
              <w:rPr>
                <w:rFonts w:ascii="Arial" w:eastAsia="Calibri" w:hAnsi="Arial" w:cs="Arial"/>
                <w:sz w:val="19"/>
                <w:szCs w:val="19"/>
                <w:lang w:eastAsia="en-US"/>
              </w:rPr>
              <w:lastRenderedPageBreak/>
              <w:t>systemu ochrony zdrowia oraz poprawę jakości i bezpieczeństwa udzielania świadczeń opieki zdrowotnej.</w:t>
            </w:r>
          </w:p>
        </w:tc>
        <w:tc>
          <w:tcPr>
            <w:tcW w:w="3545" w:type="dxa"/>
            <w:shd w:val="clear" w:color="auto" w:fill="FFFFFF"/>
          </w:tcPr>
          <w:p w14:paraId="604A20BA" w14:textId="2E05D062"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lastRenderedPageBreak/>
              <w:t xml:space="preserve">Wprowadzona zmiana ma charakter techniczny mający na celu umożliwienie skorzystania z programu pilotażowego przez jak największą liczbę </w:t>
            </w:r>
            <w:r w:rsidRPr="00E05C42">
              <w:rPr>
                <w:rFonts w:ascii="Arial" w:hAnsi="Arial" w:cs="Arial"/>
                <w:sz w:val="19"/>
                <w:szCs w:val="19"/>
              </w:rPr>
              <w:lastRenderedPageBreak/>
              <w:t>świadczeniobiorców od 40. roku życia, poprzez wypełnienie ankiety bezpośrednio w punkcie pobrań, który zawarł umowę o realizację programu pilotażowego z NFZ. Obecnie skorzystać z programu mogą osoby wyłącznie  poprzez wypełnienie ankiety na IKP albo poprzez infolinię.</w:t>
            </w:r>
            <w:r>
              <w:rPr>
                <w:rFonts w:ascii="Arial" w:hAnsi="Arial" w:cs="Arial"/>
                <w:sz w:val="19"/>
                <w:szCs w:val="19"/>
              </w:rPr>
              <w:t xml:space="preserve"> </w:t>
            </w:r>
          </w:p>
        </w:tc>
        <w:tc>
          <w:tcPr>
            <w:tcW w:w="1842" w:type="dxa"/>
            <w:shd w:val="clear" w:color="auto" w:fill="FFFFFF"/>
          </w:tcPr>
          <w:p w14:paraId="16D66301" w14:textId="77921BD1"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9A0D243" w14:textId="0B1213C4" w:rsidR="00FA0970" w:rsidRDefault="00C654B9"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26 stycznia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CC574D">
              <w:rPr>
                <w:rFonts w:ascii="Arial" w:hAnsi="Arial" w:cs="Arial"/>
                <w:sz w:val="19"/>
                <w:szCs w:val="19"/>
              </w:rPr>
              <w:t>PW</w:t>
            </w:r>
            <w:r w:rsidR="00CC574D">
              <w:rPr>
                <w:rFonts w:ascii="Arial" w:hAnsi="Arial" w:cs="Arial"/>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02CF" w14:textId="77777777" w:rsidR="00EC0308" w:rsidRDefault="00EC0308">
      <w:r>
        <w:separator/>
      </w:r>
    </w:p>
  </w:endnote>
  <w:endnote w:type="continuationSeparator" w:id="0">
    <w:p w14:paraId="38C20338" w14:textId="77777777" w:rsidR="00EC0308" w:rsidRDefault="00EC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9B7B" w14:textId="77777777" w:rsidR="00EC0308" w:rsidRDefault="00EC0308">
      <w:r>
        <w:separator/>
      </w:r>
    </w:p>
  </w:footnote>
  <w:footnote w:type="continuationSeparator" w:id="0">
    <w:p w14:paraId="279E7405" w14:textId="77777777" w:rsidR="00EC0308" w:rsidRDefault="00EC0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06"/>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58F"/>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93</Pages>
  <Words>26812</Words>
  <Characters>160877</Characters>
  <Application>Microsoft Office Word</Application>
  <DocSecurity>0</DocSecurity>
  <Lines>1340</Lines>
  <Paragraphs>374</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187315</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59</cp:revision>
  <cp:lastPrinted>2018-12-07T08:31:00Z</cp:lastPrinted>
  <dcterms:created xsi:type="dcterms:W3CDTF">2021-10-14T12:20:00Z</dcterms:created>
  <dcterms:modified xsi:type="dcterms:W3CDTF">2022-01-28T11:01:00Z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