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AE3E" w14:textId="03812870" w:rsidR="002222EA" w:rsidRDefault="00B31998" w:rsidP="002222EA">
      <w:pPr>
        <w:pStyle w:val="Nagwek1"/>
      </w:pPr>
      <w:bookmarkStart w:id="0" w:name="_Hlk158191057"/>
      <w:r w:rsidRPr="00B31998">
        <w:t>Badanie stopnia wdrożenia rekomendacji opracowanych w ramach ewaluacji działań Polityki Spójności</w:t>
      </w:r>
    </w:p>
    <w:bookmarkEnd w:id="0"/>
    <w:p w14:paraId="63797988" w14:textId="77777777" w:rsidR="002222EA" w:rsidRDefault="002222EA" w:rsidP="002222EA">
      <w:pPr>
        <w:pStyle w:val="Nagwek1"/>
      </w:pPr>
      <w:r>
        <w:t>Kontekst i uzasadnienie badania</w:t>
      </w:r>
    </w:p>
    <w:p w14:paraId="46383DA8" w14:textId="77777777" w:rsidR="002222EA" w:rsidRPr="00283DE1" w:rsidRDefault="002222EA" w:rsidP="002222EA">
      <w:r w:rsidRPr="00283DE1">
        <w:t>Wnioski i rekomendacje są podstawowymi produktami badań ewaluacyjnych. Powstają one w oparciu o usystematyzowane procesy badawcze, a ich celem jest udoskonalanie interwencji publicznych.</w:t>
      </w:r>
    </w:p>
    <w:p w14:paraId="76A23B68" w14:textId="77777777" w:rsidR="002222EA" w:rsidRDefault="002222EA" w:rsidP="002222EA">
      <w:r>
        <w:t>Zgodnie z wytycznymi Ministra Funduszy i Polityki Regionalnej dotyczącymi ewaluacji polityki spójności na lata 2021-2027 z dn.24.08.2022 r. Krajowa Jednostka Ewaluacji odpowiada za konsultacje i rozpowszechnianie informacji na temat rekomendacji horyzontalnych, zarządzanie bazą SWR i, co najważniejsze z perspektywy niniejszego badania, strategiczne monitorowanie wdrażania rekomendacji. W ramach realizacji procesu monitorowania KJE zgodnie z zapisami wytycznych zleca niniejsze badanie mające na celu weryfikację stanu wdrożenia rekomendacji horyzontalnych.</w:t>
      </w:r>
    </w:p>
    <w:p w14:paraId="48CDFBC4" w14:textId="3552326D" w:rsidR="002222EA" w:rsidRDefault="002222EA" w:rsidP="002222EA">
      <w:r>
        <w:t>Planowane badanie ma charakter metaanalizy</w:t>
      </w:r>
      <w:r w:rsidR="009F053F">
        <w:t xml:space="preserve"> z elementami </w:t>
      </w:r>
      <w:proofErr w:type="spellStart"/>
      <w:r w:rsidR="009F053F">
        <w:t>metaewaluacji</w:t>
      </w:r>
      <w:proofErr w:type="spellEnd"/>
      <w:r>
        <w:t xml:space="preserve">.  Kluczowe jest tu określenie realnego stanu realizacji rekomendacji, a co dodatkowo również ewentualnych barier, które utrudniały wprowadzenie w życie uzyskanych rekomendacji. Pozwoli to na bardziej skuteczne działanie w kolejnych okresach programowania. </w:t>
      </w:r>
    </w:p>
    <w:p w14:paraId="21407921" w14:textId="61BD7DA0" w:rsidR="002222EA" w:rsidRDefault="002222EA" w:rsidP="002222EA">
      <w:r>
        <w:t>KJE w celu ułatwienia zarządzania rekomendacjami z badań ewaluacyjnych stworzyła bazę SWR (Systemu Wdrażania Rekomendacji). Wszystkie jednostki ewaluacyjne systemu ewaluacji polityki spójności w Polsce mają obowiązek umieszczania w niej rekomendacji ze swoich badań. W ciągu ostatnich lat opracowano prawie 4000 rekomendacji w ramach badań, z czego duża część została już wdrożona. Niemniej pozostało jeszcze wiele niewdrożonych, lub których realny status jest niejasny.</w:t>
      </w:r>
    </w:p>
    <w:p w14:paraId="4173A22F" w14:textId="77777777" w:rsidR="002222EA" w:rsidRDefault="002222EA" w:rsidP="002222EA">
      <w:r>
        <w:t>Rekomendacje zgodnie z zapisami Wytycznych 2014-2020 zostały sklasyfikowane w następujących typach:</w:t>
      </w:r>
    </w:p>
    <w:p w14:paraId="0C21AB96" w14:textId="77777777" w:rsidR="002222EA" w:rsidRDefault="002222EA" w:rsidP="002222EA">
      <w:pPr>
        <w:pStyle w:val="Akapitzlist"/>
        <w:numPr>
          <w:ilvl w:val="0"/>
          <w:numId w:val="20"/>
        </w:numPr>
      </w:pPr>
      <w:r>
        <w:t>Horyzontalne wykraczające poza jeden program operacyjny.</w:t>
      </w:r>
    </w:p>
    <w:p w14:paraId="02C04A0D" w14:textId="77777777" w:rsidR="002222EA" w:rsidRDefault="002222EA" w:rsidP="002222EA">
      <w:pPr>
        <w:pStyle w:val="Akapitzlist"/>
        <w:numPr>
          <w:ilvl w:val="0"/>
          <w:numId w:val="20"/>
        </w:numPr>
      </w:pPr>
      <w:r>
        <w:t>Programowe – odnoszące się tylko do jednego programu operacyjnego.</w:t>
      </w:r>
    </w:p>
    <w:p w14:paraId="25E57CD0" w14:textId="77777777" w:rsidR="002222EA" w:rsidRDefault="002222EA" w:rsidP="002222EA">
      <w:pPr>
        <w:pStyle w:val="Akapitzlist"/>
        <w:numPr>
          <w:ilvl w:val="0"/>
          <w:numId w:val="20"/>
        </w:numPr>
      </w:pPr>
      <w:proofErr w:type="spellStart"/>
      <w:r>
        <w:t>Pozasystemowe</w:t>
      </w:r>
      <w:proofErr w:type="spellEnd"/>
      <w:r>
        <w:t xml:space="preserve"> – dotyczące podmiotów, lub obszarów spoza systemu realizacji polityki spójności.</w:t>
      </w:r>
    </w:p>
    <w:p w14:paraId="6FF1F1DB" w14:textId="77777777" w:rsidR="002222EA" w:rsidRPr="00067BA8" w:rsidRDefault="002222EA" w:rsidP="002222EA">
      <w:r>
        <w:t>Badanie obejmie następujące zadania</w:t>
      </w:r>
    </w:p>
    <w:p w14:paraId="2FD85B8A" w14:textId="452B8169" w:rsidR="002222EA" w:rsidRPr="00067BA8" w:rsidRDefault="002222EA" w:rsidP="002222EA">
      <w:pPr>
        <w:pStyle w:val="Akapitzlist"/>
        <w:numPr>
          <w:ilvl w:val="0"/>
          <w:numId w:val="16"/>
        </w:numPr>
      </w:pPr>
      <w:r>
        <w:t xml:space="preserve">Weryfikacja </w:t>
      </w:r>
      <w:r w:rsidRPr="00067BA8">
        <w:t>aktualnego stanu wdrożenia rekomendacji z systemu SWR, które nie zostały wdrożone w pełni</w:t>
      </w:r>
      <w:r>
        <w:t xml:space="preserve"> (Zgodnie z bazą SWR na dzień 1.02.2024 jest 1708</w:t>
      </w:r>
      <w:r w:rsidR="009F053F">
        <w:rPr>
          <w:rStyle w:val="Odwoanieprzypisudolnego"/>
        </w:rPr>
        <w:footnoteReference w:id="1"/>
      </w:r>
      <w:r>
        <w:t xml:space="preserve"> takich rekomendacji).</w:t>
      </w:r>
    </w:p>
    <w:p w14:paraId="1A3C9613" w14:textId="77777777" w:rsidR="002222EA" w:rsidRPr="00067BA8" w:rsidRDefault="002222EA" w:rsidP="002222EA">
      <w:pPr>
        <w:pStyle w:val="Akapitzlist"/>
        <w:numPr>
          <w:ilvl w:val="0"/>
          <w:numId w:val="16"/>
        </w:numPr>
      </w:pPr>
      <w:r w:rsidRPr="00067BA8">
        <w:t>Identyfikacja czynników (pozytywnych i negatywnych) wpływających na wdrażanie rekomendacji (również w podziale typologicznym).</w:t>
      </w:r>
    </w:p>
    <w:p w14:paraId="215621AF" w14:textId="77777777" w:rsidR="002222EA" w:rsidRPr="00067BA8" w:rsidRDefault="002222EA" w:rsidP="002222EA">
      <w:pPr>
        <w:pStyle w:val="Akapitzlist"/>
        <w:numPr>
          <w:ilvl w:val="0"/>
          <w:numId w:val="16"/>
        </w:numPr>
      </w:pPr>
      <w:r w:rsidRPr="00067BA8">
        <w:t>Wypracowanie rekomendacji dotyczących wdrażania i monitorowania wdrażania rekomendacji z badań ewaluacyjnych.</w:t>
      </w:r>
    </w:p>
    <w:p w14:paraId="0056F4B2" w14:textId="77777777" w:rsidR="002222EA" w:rsidRDefault="002222EA" w:rsidP="002222EA">
      <w:r>
        <w:t xml:space="preserve">Odbiorcami badania będą: </w:t>
      </w:r>
    </w:p>
    <w:p w14:paraId="22F5F408" w14:textId="1F0EF305" w:rsidR="002222EA" w:rsidRDefault="002222EA" w:rsidP="002222EA">
      <w:r>
        <w:t>- Krajowa Jednostka Ewaluacji</w:t>
      </w:r>
      <w:r w:rsidR="009B21A9">
        <w:t>,</w:t>
      </w:r>
      <w:r>
        <w:t xml:space="preserve"> </w:t>
      </w:r>
    </w:p>
    <w:p w14:paraId="509FA68E" w14:textId="77777777" w:rsidR="002222EA" w:rsidRDefault="002222EA" w:rsidP="002222EA">
      <w:r>
        <w:lastRenderedPageBreak/>
        <w:t xml:space="preserve">- podmioty odpowiedzialne za realizację badań ewaluacyjnych w poszczególnych programach polityki spójności, </w:t>
      </w:r>
    </w:p>
    <w:p w14:paraId="17C58109" w14:textId="77777777" w:rsidR="002222EA" w:rsidRDefault="002222EA" w:rsidP="002222EA">
      <w:r>
        <w:t>- pośrednio inne instytucje administracji publicznej zainteresowane wykorzystaniem wiedzy w procesie realizacji polityk publicznych.</w:t>
      </w:r>
    </w:p>
    <w:p w14:paraId="0EF3FBE2" w14:textId="77777777" w:rsidR="002222EA" w:rsidRDefault="002222EA" w:rsidP="002222EA">
      <w:pPr>
        <w:pStyle w:val="Nagwek1"/>
      </w:pPr>
      <w:r>
        <w:t>Cel badania</w:t>
      </w:r>
    </w:p>
    <w:p w14:paraId="4112B6C3" w14:textId="77777777" w:rsidR="002222EA" w:rsidRDefault="002222EA" w:rsidP="002222EA">
      <w:pPr>
        <w:pStyle w:val="Nagwek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05FA3062" w14:textId="77777777" w:rsidR="002222EA" w:rsidRPr="008351FF" w:rsidRDefault="002222EA" w:rsidP="002222EA">
      <w:pPr>
        <w:pStyle w:val="Nagwek2"/>
      </w:pPr>
      <w:r w:rsidRPr="008351FF">
        <w:t>Cel główny</w:t>
      </w:r>
    </w:p>
    <w:p w14:paraId="6A1ED566" w14:textId="77777777" w:rsidR="002222EA" w:rsidRDefault="002222EA" w:rsidP="002222EA">
      <w:r>
        <w:t xml:space="preserve">Celem głównym badania jest ocena </w:t>
      </w:r>
      <w:r w:rsidRPr="002F2453">
        <w:t>stan</w:t>
      </w:r>
      <w:r>
        <w:t>u</w:t>
      </w:r>
      <w:r w:rsidRPr="002F2453">
        <w:t xml:space="preserve"> wdrożenia rekomendacji</w:t>
      </w:r>
      <w:r>
        <w:t xml:space="preserve"> (zarówno horyzontalnych jak i programowych i </w:t>
      </w:r>
      <w:proofErr w:type="spellStart"/>
      <w:r>
        <w:t>pozasystemowych</w:t>
      </w:r>
      <w:proofErr w:type="spellEnd"/>
      <w:r>
        <w:t>)</w:t>
      </w:r>
      <w:r w:rsidRPr="002F2453">
        <w:t xml:space="preserve"> z całego systemu ewaluacji</w:t>
      </w:r>
      <w:r>
        <w:t xml:space="preserve"> polityki spójności.</w:t>
      </w:r>
    </w:p>
    <w:p w14:paraId="3BED93EE" w14:textId="77777777" w:rsidR="002222EA" w:rsidRDefault="002222EA" w:rsidP="002222EA">
      <w:r>
        <w:t>Realizacja celu pozwoli na lepsze zrozumienie głównych czynników mających wpływ na wdrożenie rekomendacji, co zaowocuje większą skutecznością badań ewaluacyjnych w przyszłości.</w:t>
      </w:r>
    </w:p>
    <w:p w14:paraId="2450DE31" w14:textId="77777777" w:rsidR="002222EA" w:rsidRPr="008351FF" w:rsidRDefault="002222EA" w:rsidP="002222EA">
      <w:pPr>
        <w:pStyle w:val="Nagwek2"/>
      </w:pPr>
      <w:r w:rsidRPr="008351FF">
        <w:t>Cele szczegółowe</w:t>
      </w:r>
    </w:p>
    <w:p w14:paraId="4D68B147" w14:textId="77777777" w:rsidR="002222EA" w:rsidRDefault="002222EA" w:rsidP="002222EA">
      <w:pPr>
        <w:pStyle w:val="Akapitzlist"/>
        <w:numPr>
          <w:ilvl w:val="0"/>
          <w:numId w:val="14"/>
        </w:numPr>
      </w:pPr>
      <w:r>
        <w:t>Ustalenie realnego stanu wdrożenia rekomendacji na podstawie danych z bazy SWR.</w:t>
      </w:r>
    </w:p>
    <w:p w14:paraId="4465C277" w14:textId="77777777" w:rsidR="002222EA" w:rsidRDefault="002222EA" w:rsidP="002222EA">
      <w:pPr>
        <w:pStyle w:val="Akapitzlist"/>
        <w:numPr>
          <w:ilvl w:val="0"/>
          <w:numId w:val="14"/>
        </w:numPr>
      </w:pPr>
      <w:r>
        <w:t>Identyfikacja czynników wpływających na wdrażanie rekomendacji, zarówno pozytywnych, jak i barier (także w podziale typologicznym).</w:t>
      </w:r>
      <w:r w:rsidRPr="00372433">
        <w:t xml:space="preserve"> </w:t>
      </w:r>
    </w:p>
    <w:p w14:paraId="0EE228A0" w14:textId="77777777" w:rsidR="002222EA" w:rsidRDefault="002222EA" w:rsidP="002222EA">
      <w:pPr>
        <w:pStyle w:val="Akapitzlist"/>
        <w:numPr>
          <w:ilvl w:val="0"/>
          <w:numId w:val="14"/>
        </w:numPr>
      </w:pPr>
      <w:r>
        <w:t>Określenie potencjalnych działań usprawniających wdrażanie rekomendacji w przyszłości.</w:t>
      </w:r>
    </w:p>
    <w:p w14:paraId="66809AA9" w14:textId="77777777" w:rsidR="002222EA" w:rsidRDefault="002222EA" w:rsidP="002222EA">
      <w:pPr>
        <w:pStyle w:val="Nagwek1"/>
      </w:pPr>
      <w:r>
        <w:t>Zakres badania</w:t>
      </w:r>
    </w:p>
    <w:p w14:paraId="6EBA37BC" w14:textId="77777777" w:rsidR="002222EA" w:rsidRDefault="002222EA" w:rsidP="002222EA">
      <w:pPr>
        <w:pStyle w:val="Nagwek2"/>
      </w:pPr>
      <w:r>
        <w:t>Zakres przedmiotowy</w:t>
      </w:r>
    </w:p>
    <w:p w14:paraId="78F9082D" w14:textId="77777777" w:rsidR="002222EA" w:rsidRDefault="002222EA" w:rsidP="002222EA">
      <w:r>
        <w:t>Badanie będzie obejmowało 1708 rekomendacji z programów krajowych oraz regionalnych, które według systemu nie były w pełni wdrożone. Są to rekomendacje wytworzone w latach 2014-2024. Wszystkie wnioski i rekomendacje znajdują się w bazie Systemu Wdrażania Rekomendacji (SWR) natomiast badania, które były ich źródłem w Bazie Badań Ewaluacyjnych. SWR systematyzuje rekomendacje w ramach następujących obszarów tematycznych:</w:t>
      </w:r>
    </w:p>
    <w:p w14:paraId="04BBA14F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Edukacja;</w:t>
      </w:r>
    </w:p>
    <w:p w14:paraId="2D280A06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Energetyka;</w:t>
      </w:r>
    </w:p>
    <w:p w14:paraId="7415561A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Informacja i promocja;</w:t>
      </w:r>
    </w:p>
    <w:p w14:paraId="7195200C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Innowacyjność oraz badania i rozwój;</w:t>
      </w:r>
    </w:p>
    <w:p w14:paraId="00FB6F43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Kultura;</w:t>
      </w:r>
    </w:p>
    <w:p w14:paraId="48E81D67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Metodologia badań ewaluacyjnych;</w:t>
      </w:r>
    </w:p>
    <w:p w14:paraId="0BBCDDE0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Polityki horyzontalne;</w:t>
      </w:r>
    </w:p>
    <w:p w14:paraId="67989711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Przedsiębiorczość;</w:t>
      </w:r>
    </w:p>
    <w:p w14:paraId="63E845F5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Rozwój regionalny i lokalny;</w:t>
      </w:r>
    </w:p>
    <w:p w14:paraId="60D0BF96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Rynek pracy;</w:t>
      </w:r>
    </w:p>
    <w:p w14:paraId="4352D9CC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Społeczeństwo informacyjne;</w:t>
      </w:r>
    </w:p>
    <w:p w14:paraId="5C7A4E0F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Sprawność administracji;</w:t>
      </w:r>
    </w:p>
    <w:p w14:paraId="5B118551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System realizacji polityki spójności;</w:t>
      </w:r>
    </w:p>
    <w:p w14:paraId="4A345588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Środowisko;</w:t>
      </w:r>
    </w:p>
    <w:p w14:paraId="54C22BD4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Technologie informacyjno-komunikacyjne;</w:t>
      </w:r>
    </w:p>
    <w:p w14:paraId="381853A9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Transport;</w:t>
      </w:r>
    </w:p>
    <w:p w14:paraId="184E4699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lastRenderedPageBreak/>
        <w:t>Turystyka i rekreacja;</w:t>
      </w:r>
    </w:p>
    <w:p w14:paraId="0DF72B02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Włączenie społeczne;</w:t>
      </w:r>
    </w:p>
    <w:p w14:paraId="5E39B3E2" w14:textId="77777777" w:rsidR="002222EA" w:rsidRDefault="002222EA" w:rsidP="002222EA">
      <w:pPr>
        <w:pStyle w:val="Akapitzlist"/>
        <w:numPr>
          <w:ilvl w:val="0"/>
          <w:numId w:val="13"/>
        </w:numPr>
      </w:pPr>
      <w:r>
        <w:t>Zdrowie.</w:t>
      </w:r>
    </w:p>
    <w:p w14:paraId="66B6BBDE" w14:textId="77777777" w:rsidR="002222EA" w:rsidRDefault="002222EA" w:rsidP="002222EA">
      <w:r>
        <w:t>Analizie  i weryfikacji zostanie poddany bieżący stan wdrożenia rekomendacji wypracowanych w toku ewaluacji. Badanie dotyczyć będzie również identyfikacji czynników mających wpływ na stan wdrożenia rekomendacji.</w:t>
      </w:r>
    </w:p>
    <w:p w14:paraId="0B521A87" w14:textId="77777777" w:rsidR="002222EA" w:rsidRDefault="002222EA" w:rsidP="002222EA">
      <w:pPr>
        <w:pStyle w:val="Nagwek2"/>
      </w:pPr>
      <w:r>
        <w:t>Zakres podmiotowy</w:t>
      </w:r>
    </w:p>
    <w:p w14:paraId="67D06F94" w14:textId="77777777" w:rsidR="002222EA" w:rsidRPr="00AB1202" w:rsidRDefault="002222EA" w:rsidP="002222EA">
      <w:r w:rsidRPr="009A68B9">
        <w:t xml:space="preserve">Podmiotami badania będą </w:t>
      </w:r>
      <w:r>
        <w:t>osoby odpowiedzialne za realizację wdrożenia rekomendacji oraz jednostki odpowiedzialne za realizację badań będących źródłem ww.</w:t>
      </w:r>
    </w:p>
    <w:p w14:paraId="425565FE" w14:textId="77777777" w:rsidR="002222EA" w:rsidRDefault="002222EA" w:rsidP="002222EA">
      <w:pPr>
        <w:pStyle w:val="Nagwek1"/>
      </w:pPr>
      <w:r>
        <w:t>Pytania badawcze</w:t>
      </w:r>
    </w:p>
    <w:p w14:paraId="6136AA52" w14:textId="77777777" w:rsidR="002222EA" w:rsidRPr="00227367" w:rsidRDefault="002222EA" w:rsidP="002222EA">
      <w:r>
        <w:t>W realizacji celów pomogą odpowiedzi na poniższe pytania badawcze. Wykonawca zobowiązany będzie do odpowiedzi na wszystkie pytania.</w:t>
      </w:r>
    </w:p>
    <w:p w14:paraId="0930FEF5" w14:textId="2F2FAB12" w:rsidR="002222EA" w:rsidRDefault="002222EA" w:rsidP="002222EA">
      <w:pPr>
        <w:pStyle w:val="Akapitzlist"/>
        <w:numPr>
          <w:ilvl w:val="0"/>
          <w:numId w:val="15"/>
        </w:numPr>
      </w:pPr>
      <w:r>
        <w:t>Jaki jest odsetek wdrożonych rekomendacji?</w:t>
      </w:r>
    </w:p>
    <w:p w14:paraId="37B1B773" w14:textId="07F6C288" w:rsidR="002222EA" w:rsidRDefault="002222EA" w:rsidP="002222EA">
      <w:pPr>
        <w:pStyle w:val="Akapitzlist"/>
        <w:numPr>
          <w:ilvl w:val="0"/>
          <w:numId w:val="15"/>
        </w:numPr>
      </w:pPr>
      <w:r>
        <w:t xml:space="preserve">W jaki sposób zostały wdrożone rekomendacje? (dotyczy rekomendacji, co do których opis </w:t>
      </w:r>
      <w:r w:rsidR="009F053F">
        <w:t xml:space="preserve">brak opisu w bazie lub </w:t>
      </w:r>
      <w:r>
        <w:t xml:space="preserve">nie pokrywa się </w:t>
      </w:r>
      <w:r w:rsidR="009F053F">
        <w:t xml:space="preserve">on </w:t>
      </w:r>
      <w:r>
        <w:t>z</w:t>
      </w:r>
      <w:r w:rsidR="009F053F">
        <w:t xml:space="preserve"> aktualnym</w:t>
      </w:r>
      <w:r>
        <w:t xml:space="preserve"> stanem </w:t>
      </w:r>
      <w:r w:rsidR="009F053F">
        <w:t>faktycznym</w:t>
      </w:r>
      <w:r>
        <w:t>)</w:t>
      </w:r>
    </w:p>
    <w:p w14:paraId="37D78454" w14:textId="77777777" w:rsidR="002222EA" w:rsidRDefault="002222EA" w:rsidP="002222EA">
      <w:pPr>
        <w:pStyle w:val="Akapitzlist"/>
        <w:numPr>
          <w:ilvl w:val="0"/>
          <w:numId w:val="15"/>
        </w:numPr>
      </w:pPr>
      <w:r>
        <w:t>Jakie czynniki (pozytywne lub negatywne) najistotniej wpływały na wdrażanie rekomendacji?</w:t>
      </w:r>
    </w:p>
    <w:p w14:paraId="61FC6447" w14:textId="3AB43A5C" w:rsidR="002222EA" w:rsidRDefault="002222EA" w:rsidP="002222EA">
      <w:pPr>
        <w:pStyle w:val="Akapitzlist"/>
        <w:numPr>
          <w:ilvl w:val="0"/>
          <w:numId w:val="15"/>
        </w:numPr>
      </w:pPr>
      <w:r>
        <w:t xml:space="preserve">W jakich obszarach i typach </w:t>
      </w:r>
      <w:r w:rsidR="009F053F">
        <w:t xml:space="preserve">rekomendacji </w:t>
      </w:r>
      <w:r>
        <w:t>wystąpiły największe problemy</w:t>
      </w:r>
      <w:r w:rsidR="009F053F">
        <w:t xml:space="preserve"> w ich wdrażaniu</w:t>
      </w:r>
      <w:r>
        <w:t>?</w:t>
      </w:r>
    </w:p>
    <w:p w14:paraId="2A9FE8DD" w14:textId="77777777" w:rsidR="002222EA" w:rsidRDefault="002222EA" w:rsidP="002222EA">
      <w:pPr>
        <w:pStyle w:val="Akapitzlist"/>
        <w:numPr>
          <w:ilvl w:val="0"/>
          <w:numId w:val="15"/>
        </w:numPr>
      </w:pPr>
      <w:r>
        <w:t>Jakiego rodzaju działania są zalecane w celu zwiększenia skuteczności wdrażania rekomendacji w przyszłości?</w:t>
      </w:r>
    </w:p>
    <w:p w14:paraId="53B51D6E" w14:textId="11B1145A" w:rsidR="002222EA" w:rsidRDefault="002222EA" w:rsidP="002222EA">
      <w:pPr>
        <w:pStyle w:val="Akapitzlist"/>
        <w:numPr>
          <w:ilvl w:val="0"/>
          <w:numId w:val="15"/>
        </w:numPr>
      </w:pPr>
      <w:r>
        <w:t>Jak należałoby usprawnić monitoring wykorzystania ewaluacji?</w:t>
      </w:r>
    </w:p>
    <w:p w14:paraId="51668255" w14:textId="598BB1D6" w:rsidR="009F053F" w:rsidRDefault="009F053F" w:rsidP="002222EA">
      <w:pPr>
        <w:pStyle w:val="Akapitzlist"/>
        <w:numPr>
          <w:ilvl w:val="0"/>
          <w:numId w:val="15"/>
        </w:numPr>
      </w:pPr>
      <w:r>
        <w:t>Jak i kiedy należałoby by badać te kwestie w przyszłości?</w:t>
      </w:r>
    </w:p>
    <w:p w14:paraId="6636F92C" w14:textId="3547E8C5" w:rsidR="002222EA" w:rsidRDefault="002222EA" w:rsidP="002222EA">
      <w:r>
        <w:t xml:space="preserve">Odpowiedzi na powyższe pytania </w:t>
      </w:r>
      <w:r w:rsidR="00993377">
        <w:t>muszą</w:t>
      </w:r>
      <w:r>
        <w:t xml:space="preserve"> zostać przedstawione w podziale na typy rekomendacji oraz, w miarę możliwości i zasadności, na obszary tematyczne.</w:t>
      </w:r>
    </w:p>
    <w:p w14:paraId="6602029F" w14:textId="77777777" w:rsidR="002222EA" w:rsidRDefault="002222EA" w:rsidP="002222EA">
      <w:r>
        <w:t>Wykonawca może zaproponować dodatkowe pytania badawcze, o ile będą istotne z punktu widzenia celu badania.</w:t>
      </w:r>
    </w:p>
    <w:p w14:paraId="762B6E57" w14:textId="77777777" w:rsidR="002222EA" w:rsidRDefault="002222EA" w:rsidP="002222EA">
      <w:pPr>
        <w:pStyle w:val="Nagwek1"/>
      </w:pPr>
      <w:r>
        <w:t>Metody badania</w:t>
      </w:r>
    </w:p>
    <w:p w14:paraId="7B3504F9" w14:textId="77777777" w:rsidR="002222EA" w:rsidRDefault="002222EA" w:rsidP="002222EA">
      <w:r>
        <w:t>Realizacja badania będzie wymagała zastosowania przez Wykonawcę odpowiednich metod i technik badawczych. Zaproponowane techniki badawcze oraz metody zbierania oraz analizy danych muszą umożliwić odpowiedź na postawione pytania badawcze, a także ewentualne dodane później pytania przez Wykonawcę na etapie oferty. Koniecznością jest zastosowanie triangulacji zarówno na poziomie wykorzystywanych technik, jak i na etapie analizy danych.</w:t>
      </w:r>
    </w:p>
    <w:p w14:paraId="3C0CD0F3" w14:textId="52C2AE99" w:rsidR="002222EA" w:rsidRDefault="002222EA" w:rsidP="002222EA">
      <w:r>
        <w:t xml:space="preserve">Podstawową metodą badawczą będzie analiza danych zastanych – przegląd i analiza danych SWR, informacji dotyczących działań podjętych w wyniku ewaluacji, w tym dokumentów programowych i wdrożeniowych (dokumentacje konkursowe, wytyczne itp.) oraz raportów z badań ewaluacyjnych. </w:t>
      </w:r>
      <w:r w:rsidRPr="00D6646E">
        <w:t xml:space="preserve">Dodatkowymi danymi mogą być informacje z kart oceny procesu badania ewaluacyjnego. </w:t>
      </w:r>
      <w:r>
        <w:t>Wykonawca powinien ustalić zmienne wyjaśniające (takie jak np. jakość badania) w trakcie interpretacji stanu wdrożenia rekomendacji.</w:t>
      </w:r>
    </w:p>
    <w:p w14:paraId="52B8C3EE" w14:textId="77777777" w:rsidR="002222EA" w:rsidRDefault="002222EA" w:rsidP="002222EA">
      <w:r>
        <w:t xml:space="preserve">Uzupełniającą metodą będą indywidualne wywiady pogłębienie, lub wywiady grupowe z przedstawicielami instytucji, które były odpowiedzialne za wdrożenie rekomendacji lub realizację danego badania. Wywiady </w:t>
      </w:r>
      <w:r>
        <w:lastRenderedPageBreak/>
        <w:t>powinny być zastosowane w sytuacji kiedy sama analiza danych zastanych nie dostarczy wystarczających informacji na temat wdrożenia rekomendacji.</w:t>
      </w:r>
    </w:p>
    <w:p w14:paraId="15417082" w14:textId="77777777" w:rsidR="002222EA" w:rsidRDefault="002222EA" w:rsidP="002222EA">
      <w:r>
        <w:t>Oferta musi zawierać dokładny opis metodyki, która zostanie zastosowana w badaniu. Wykonawca może zasugerować również zastosowanie innych metod pod warunkiem, że będzie to uzasadnione i zapewni bardziej miarodajne wyniki.</w:t>
      </w:r>
    </w:p>
    <w:p w14:paraId="0A85E60D" w14:textId="77777777" w:rsidR="002222EA" w:rsidRDefault="002222EA" w:rsidP="002222EA">
      <w:pPr>
        <w:pStyle w:val="Nagwek1"/>
      </w:pPr>
      <w:r>
        <w:t>Harmonogram badania</w:t>
      </w:r>
    </w:p>
    <w:p w14:paraId="4DD72463" w14:textId="77777777" w:rsidR="002222EA" w:rsidRDefault="002222EA" w:rsidP="002222EA">
      <w:r>
        <w:t>Poniżej zaprezentowany jest harmonogram realizacji badania.</w:t>
      </w:r>
    </w:p>
    <w:p w14:paraId="519BD57C" w14:textId="77777777" w:rsidR="002222EA" w:rsidRPr="00C62C87" w:rsidRDefault="002222EA" w:rsidP="002222EA">
      <w:pPr>
        <w:pStyle w:val="Akapitzlist"/>
        <w:numPr>
          <w:ilvl w:val="0"/>
          <w:numId w:val="17"/>
        </w:numPr>
      </w:pPr>
      <w:r>
        <w:t xml:space="preserve">w terminie </w:t>
      </w:r>
      <w:r w:rsidRPr="00C62C87">
        <w:t xml:space="preserve">do </w:t>
      </w:r>
      <w:r w:rsidRPr="00C377CA">
        <w:t>21</w:t>
      </w:r>
      <w:r w:rsidRPr="00C62C87">
        <w:t xml:space="preserve"> dni od dnia zawarcia umowy – powinien być przygotowany projekt Raportu Metodycznego. Zostanie on przekazany Zamawiającemu w formie elektronicznej.</w:t>
      </w:r>
    </w:p>
    <w:p w14:paraId="6259E8FC" w14:textId="77777777" w:rsidR="002222EA" w:rsidRPr="00C62C87" w:rsidRDefault="002222EA" w:rsidP="002222EA">
      <w:pPr>
        <w:pStyle w:val="Akapitzlist"/>
        <w:numPr>
          <w:ilvl w:val="0"/>
          <w:numId w:val="17"/>
        </w:numPr>
      </w:pPr>
      <w:r w:rsidRPr="00C62C87">
        <w:t xml:space="preserve">w terminie do </w:t>
      </w:r>
      <w:r w:rsidRPr="00C377CA">
        <w:t>42</w:t>
      </w:r>
      <w:r w:rsidRPr="00C62C87">
        <w:t xml:space="preserve"> dni od dnia zawarcia umowy – utworzenie Raportu Metodycznego uwzględniającego uzgodnienia powstałe w trakcie konsultacji założeń metodycznych z Zamawiającym. Raport przekazany zostanie Zamawiającemu w formie elektronicznej. Zamawiający może zażądać raportu w formie prezentacji multimedialnej.</w:t>
      </w:r>
    </w:p>
    <w:p w14:paraId="2E4BFDD0" w14:textId="77777777" w:rsidR="002222EA" w:rsidRPr="00C62C87" w:rsidRDefault="002222EA" w:rsidP="002222EA">
      <w:pPr>
        <w:pStyle w:val="Akapitzlist"/>
        <w:numPr>
          <w:ilvl w:val="0"/>
          <w:numId w:val="17"/>
        </w:numPr>
      </w:pPr>
      <w:r w:rsidRPr="00C62C87">
        <w:t xml:space="preserve">w terminie do </w:t>
      </w:r>
      <w:r w:rsidRPr="00C377CA">
        <w:t>154</w:t>
      </w:r>
      <w:r w:rsidRPr="00C62C87">
        <w:t xml:space="preserve"> dni od dnia zawarcia umowy – zaprezentowany będzie projekt Raportu Końcowego. Również zostanie przekazany Zamawiającemu w formie elektronicznej. Do </w:t>
      </w:r>
      <w:r w:rsidRPr="00C377CA">
        <w:t>21</w:t>
      </w:r>
      <w:r w:rsidRPr="00C62C87">
        <w:t xml:space="preserve"> dni od dnia przedłożenia projektu Raportu Końcowego Zamawiający przekaże Wykonawcy uwagi do raportu. Na żądanie Zamawiającego Wykonawca przedstawi raport w formie prezentacji multimedialnej.</w:t>
      </w:r>
    </w:p>
    <w:p w14:paraId="3454EE7A" w14:textId="77777777" w:rsidR="002222EA" w:rsidRDefault="002222EA" w:rsidP="002222EA">
      <w:pPr>
        <w:pStyle w:val="Akapitzlist"/>
        <w:numPr>
          <w:ilvl w:val="0"/>
          <w:numId w:val="17"/>
        </w:numPr>
      </w:pPr>
      <w:r w:rsidRPr="00C62C87">
        <w:t xml:space="preserve">w terminie do </w:t>
      </w:r>
      <w:r w:rsidRPr="00C377CA">
        <w:t>196</w:t>
      </w:r>
      <w:r w:rsidRPr="00C62C87">
        <w:t xml:space="preserve"> dni od dnia zawarcia umowy – przedstawiona będzie ostateczna wersja Raportu Końcowego uwzględniająca </w:t>
      </w:r>
      <w:r>
        <w:t>przedłożone uzgodnienia. Raport przekazany zostanie Zamawiającemu w formie elektronicznej. Na życzenie Zamawiającego Wykonawca powinien przekazać wraz z raportem końcowym także dokumentację dźwiękową (nagrania) lub transkrypcję wywiadów.</w:t>
      </w:r>
    </w:p>
    <w:p w14:paraId="394D96F6" w14:textId="77777777" w:rsidR="002222EA" w:rsidRDefault="002222EA" w:rsidP="002222EA">
      <w:r>
        <w:t>Wykonawca zobowiązany jest przedstawić szczegółowy harmonogram realizacji ewaluacji zapewniający z jednej strony dotrzymanie powyższego terminu końcowego realizacji badania, z drugiej zaś strony rzetelną realizację badania.</w:t>
      </w:r>
    </w:p>
    <w:p w14:paraId="70A530A2" w14:textId="77777777" w:rsidR="002222EA" w:rsidRDefault="002222EA" w:rsidP="002222EA">
      <w:pPr>
        <w:pStyle w:val="Nagwek1"/>
      </w:pPr>
      <w:r>
        <w:t>Produkty badania</w:t>
      </w:r>
    </w:p>
    <w:p w14:paraId="0C47ABD1" w14:textId="77777777" w:rsidR="002222EA" w:rsidRPr="004074CF" w:rsidRDefault="002222EA" w:rsidP="002222EA">
      <w:pPr>
        <w:rPr>
          <w:u w:val="single"/>
        </w:rPr>
      </w:pPr>
      <w:r>
        <w:rPr>
          <w:u w:val="single"/>
        </w:rPr>
        <w:t>Raport Metodyczny</w:t>
      </w:r>
    </w:p>
    <w:p w14:paraId="3497393C" w14:textId="77777777" w:rsidR="002222EA" w:rsidRDefault="002222EA" w:rsidP="002222EA">
      <w:r>
        <w:t xml:space="preserve">Podstawowym dokumentem jaki Wykonawca powinien przygotować i przedstawić Zamawiającemu jest Raport Metodyczny. W nim Wykonawca powinien dokonać uszczegółowienia proponowanej koncepcji badania. Raport Metodyczny powinien także zawierać harmonogram prac badawczych, a także informację kto i na jakim etapie będzie realizował konkretne działania. </w:t>
      </w:r>
      <w:r w:rsidRPr="005266F9">
        <w:t>Wykonawca</w:t>
      </w:r>
      <w:r>
        <w:t xml:space="preserve"> w Raporcie Metodycznym zobowiązany jest do przedstawienia i weryfikacji dostępności danych niezbędnych do przeprowadzenia badania, a także sposobu ich przetwarzania. Musi także zaprezentować działania, które zminimalizują ryzyko wystąpienia zagrożeń związanych z realizacją badania.</w:t>
      </w:r>
    </w:p>
    <w:p w14:paraId="287B7124" w14:textId="77777777" w:rsidR="002222EA" w:rsidRDefault="002222EA" w:rsidP="002222EA">
      <w:r w:rsidRPr="0080091F">
        <w:t>Wykonawca</w:t>
      </w:r>
      <w:r>
        <w:t xml:space="preserve"> powinien na tym etapie przekazać do akceptacji </w:t>
      </w:r>
      <w:r w:rsidRPr="0080091F">
        <w:t>Zamawiającemu narzędzia badawcze</w:t>
      </w:r>
      <w:r>
        <w:t>, które planuje wykorzystać w trakcie realizacji badania.</w:t>
      </w:r>
    </w:p>
    <w:p w14:paraId="22B02A5A" w14:textId="77777777" w:rsidR="002222EA" w:rsidRDefault="002222EA" w:rsidP="002222EA">
      <w:pPr>
        <w:rPr>
          <w:u w:val="single"/>
        </w:rPr>
      </w:pPr>
      <w:r>
        <w:rPr>
          <w:u w:val="single"/>
        </w:rPr>
        <w:t>Raport Końcowy</w:t>
      </w:r>
    </w:p>
    <w:p w14:paraId="5B5581FB" w14:textId="77777777" w:rsidR="002222EA" w:rsidRDefault="002222EA" w:rsidP="002222EA">
      <w:r>
        <w:lastRenderedPageBreak/>
        <w:t xml:space="preserve">Raport Końcowy zawiera odpowiedzi na postawione cele i pytania badawcze. Raport powinien być dostarczony przez Wykonawcę w wersji elektronicznej. Objętość raportu nie powinna przekroczyć </w:t>
      </w:r>
      <w:r w:rsidRPr="00C377CA">
        <w:t>1</w:t>
      </w:r>
      <w:r>
        <w:t>0</w:t>
      </w:r>
      <w:r w:rsidRPr="00C377CA">
        <w:t xml:space="preserve">0 stron </w:t>
      </w:r>
      <w:r w:rsidRPr="00C62C87">
        <w:t xml:space="preserve">w </w:t>
      </w:r>
      <w:r>
        <w:t>formacie A4 (bez aneksów).</w:t>
      </w:r>
    </w:p>
    <w:p w14:paraId="7A68585D" w14:textId="77777777" w:rsidR="002222EA" w:rsidRDefault="002222EA" w:rsidP="002222EA">
      <w:r>
        <w:t>Raport powinien być napisany po polsku. Poniżej przedstawiony jest wymagany układ:</w:t>
      </w:r>
    </w:p>
    <w:p w14:paraId="1012F45B" w14:textId="77777777" w:rsidR="002222EA" w:rsidRDefault="002222EA" w:rsidP="002222EA">
      <w:pPr>
        <w:pStyle w:val="Akapitzlist"/>
        <w:numPr>
          <w:ilvl w:val="0"/>
          <w:numId w:val="18"/>
        </w:numPr>
      </w:pPr>
      <w:r>
        <w:t>Spis treści.</w:t>
      </w:r>
    </w:p>
    <w:p w14:paraId="4234F13E" w14:textId="77777777" w:rsidR="002222EA" w:rsidRDefault="002222EA" w:rsidP="002222EA">
      <w:pPr>
        <w:pStyle w:val="Akapitzlist"/>
        <w:numPr>
          <w:ilvl w:val="0"/>
          <w:numId w:val="18"/>
        </w:numPr>
      </w:pPr>
      <w:r>
        <w:t>Streszczenie (po polsku i angielsku).</w:t>
      </w:r>
      <w:r w:rsidRPr="00121159">
        <w:t xml:space="preserve"> </w:t>
      </w:r>
      <w:r>
        <w:t>Cel, zakres i najważniejsze wyniki badania.</w:t>
      </w:r>
    </w:p>
    <w:p w14:paraId="0417BB7B" w14:textId="77777777" w:rsidR="002222EA" w:rsidRDefault="002222EA" w:rsidP="002222EA">
      <w:pPr>
        <w:pStyle w:val="Akapitzlist"/>
        <w:numPr>
          <w:ilvl w:val="0"/>
          <w:numId w:val="18"/>
        </w:numPr>
      </w:pPr>
      <w:r>
        <w:t>Wprowadzenie.</w:t>
      </w:r>
    </w:p>
    <w:p w14:paraId="1D801D00" w14:textId="77777777" w:rsidR="002222EA" w:rsidRDefault="002222EA" w:rsidP="002222EA">
      <w:pPr>
        <w:pStyle w:val="Akapitzlist"/>
        <w:numPr>
          <w:ilvl w:val="0"/>
          <w:numId w:val="18"/>
        </w:numPr>
      </w:pPr>
      <w:r>
        <w:t>Opis mówiący co jest badane, w jakim celu i założeń badania.</w:t>
      </w:r>
    </w:p>
    <w:p w14:paraId="56E54F22" w14:textId="77777777" w:rsidR="002222EA" w:rsidRDefault="002222EA" w:rsidP="002222EA">
      <w:pPr>
        <w:pStyle w:val="Akapitzlist"/>
        <w:numPr>
          <w:ilvl w:val="0"/>
          <w:numId w:val="18"/>
        </w:numPr>
      </w:pPr>
      <w:r>
        <w:t>Opis metodyki.</w:t>
      </w:r>
    </w:p>
    <w:p w14:paraId="3619A5CA" w14:textId="77777777" w:rsidR="002222EA" w:rsidRDefault="002222EA" w:rsidP="002222EA">
      <w:pPr>
        <w:pStyle w:val="Akapitzlist"/>
        <w:numPr>
          <w:ilvl w:val="0"/>
          <w:numId w:val="18"/>
        </w:numPr>
      </w:pPr>
      <w:r>
        <w:t>Wyniki badania – analiza i interpretacja.</w:t>
      </w:r>
    </w:p>
    <w:p w14:paraId="10FA1971" w14:textId="77777777" w:rsidR="002222EA" w:rsidRDefault="002222EA" w:rsidP="002222EA">
      <w:pPr>
        <w:pStyle w:val="Akapitzlist"/>
        <w:numPr>
          <w:ilvl w:val="0"/>
          <w:numId w:val="18"/>
        </w:numPr>
      </w:pPr>
      <w:r>
        <w:t>Wnioski i rekomendacje płynące z badania.</w:t>
      </w:r>
    </w:p>
    <w:p w14:paraId="65AEBC78" w14:textId="0D2BBE84" w:rsidR="002222EA" w:rsidRDefault="002222EA" w:rsidP="002222EA">
      <w:pPr>
        <w:pStyle w:val="Akapitzlist"/>
        <w:numPr>
          <w:ilvl w:val="0"/>
          <w:numId w:val="18"/>
        </w:numPr>
      </w:pPr>
      <w:r>
        <w:t xml:space="preserve">Aneks </w:t>
      </w:r>
      <w:r w:rsidR="009F053F">
        <w:t>z</w:t>
      </w:r>
      <w:r>
        <w:t xml:space="preserve"> list</w:t>
      </w:r>
      <w:r w:rsidR="009F053F">
        <w:t>ą</w:t>
      </w:r>
      <w:r>
        <w:t xml:space="preserve"> zawierającą spis wszystkich rekomendacji wraz ze zweryfikowanym stanem oraz sposobem wdrożenia.</w:t>
      </w:r>
    </w:p>
    <w:p w14:paraId="7B813F2D" w14:textId="77777777" w:rsidR="002222EA" w:rsidRDefault="002222EA" w:rsidP="002222EA">
      <w:pPr>
        <w:pStyle w:val="Akapitzlist"/>
        <w:numPr>
          <w:ilvl w:val="0"/>
          <w:numId w:val="18"/>
        </w:numPr>
      </w:pPr>
      <w:r>
        <w:t>Bibliografia.</w:t>
      </w:r>
    </w:p>
    <w:p w14:paraId="28619DA8" w14:textId="77777777" w:rsidR="002222EA" w:rsidRDefault="002222EA" w:rsidP="002222EA">
      <w:r>
        <w:t>Odpowiednia wizualizacja danych wynikających z badania jest niezbędna. Zapewni ona większą czytelność pozyskanych wyników.</w:t>
      </w:r>
    </w:p>
    <w:p w14:paraId="43E9F6B2" w14:textId="77777777" w:rsidR="002222EA" w:rsidRDefault="002222EA" w:rsidP="002222EA">
      <w:r>
        <w:t xml:space="preserve">Wszelkie produkty powstałe w ramach zamówienia (raporty, </w:t>
      </w:r>
      <w:r w:rsidRPr="002C54B7">
        <w:t>prezentacja, transkrypcje z badań, bazy danych</w:t>
      </w:r>
      <w:r>
        <w:t>) będą stanowiły własność Zamawiającego. Oznacza to, iż nie można ich upubliczniać i udostępniać bez pisemnej zgody Zamawiającego.</w:t>
      </w:r>
    </w:p>
    <w:p w14:paraId="01A9DB24" w14:textId="77777777" w:rsidR="002222EA" w:rsidRDefault="002222EA" w:rsidP="002222EA">
      <w:r>
        <w:t>Wszystkie wytwory powstałe w badaniu (raporty, wzory, wykresy, rysunki) powinny zostać przekazane Zamawiającego w formie edytowalnej umożliwiającej skład drukarski. Oznacza to, że:</w:t>
      </w:r>
    </w:p>
    <w:p w14:paraId="6C48AAB3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Informacje powinny być wolne od błędów rzeczowych i logicznych;</w:t>
      </w:r>
    </w:p>
    <w:p w14:paraId="3AC97ED4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Raport musi być zgodny z zapisami szczegółowego opisu zadania, oferty Wykonawcy, Raportu Metodycznego;</w:t>
      </w:r>
    </w:p>
    <w:p w14:paraId="5F135C50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Streszczenie raportu powinno w syntetyczny sposób przedstawiać cel badania, jego zakres, zastosowaną metodykę oraz wszystkie najważniejsze wyniki i rekomendacje;</w:t>
      </w:r>
    </w:p>
    <w:p w14:paraId="04C945FA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Przedstawione wyniki muszą odzwierciedlać pozyskane dane;</w:t>
      </w:r>
    </w:p>
    <w:p w14:paraId="388E444A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Raport nie powinien być tylko streszczeniem i zreferowaniem wyników, ale także zawierać w każdej części/rozdziale podsumowanie, analizę i interpretację danych, wnioski w ramach wszystkich zastosowanych metod badawczych;</w:t>
      </w:r>
    </w:p>
    <w:p w14:paraId="44DE94C3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Powinien także odpowiadać na postawione w badaniu pytania;</w:t>
      </w:r>
    </w:p>
    <w:p w14:paraId="29FDDA6D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Rekomendacje muszą wynikać logicznie ze sformułowanych wniosków;</w:t>
      </w:r>
    </w:p>
    <w:p w14:paraId="0AB15C6C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Rekomendacje winne być sformułowane precyzyjnie w taki sposób, aby możliwe było ich bezpośrednie zastosowanie, czyli przedstawiające dokładnie i szczegółowo kroki służące realizacji rekomendacji;</w:t>
      </w:r>
    </w:p>
    <w:p w14:paraId="51334006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Zapewniać anonimowość respondentom;</w:t>
      </w:r>
    </w:p>
    <w:p w14:paraId="362C0723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Wykonawca powinien odnieść się i odpowiedzieć na wszystkie pytania postawione przez Zamawiającego;</w:t>
      </w:r>
    </w:p>
    <w:p w14:paraId="521AA534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Raport musi być napisany w sposób poprawny stylistycznie i ortograficznie zgodnie z regułami języka polskiego (w tym musi być poddany korekcie językowej, stylistycznej oraz edytorskiej itp.);</w:t>
      </w:r>
    </w:p>
    <w:p w14:paraId="63408D69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lastRenderedPageBreak/>
        <w:t>Raport powinien być uporządkowany pod względem wizualnym, to znaczy tekst oraz wszelkie grafiki (w tym wykresy, tabele etc.) powinny być ułożone w taki sposób, aby tekst był przejrzysty i czytelny;</w:t>
      </w:r>
    </w:p>
    <w:p w14:paraId="3E7DE6F6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 xml:space="preserve">Musi zawierać </w:t>
      </w:r>
      <w:r w:rsidRPr="00AE55A2">
        <w:t>spis tabel, wykresów, map, itp. form wizualizacji badanych zjawisk</w:t>
      </w:r>
      <w:r>
        <w:t>, przy czym każda z tych form musi powinna posiadać tytuł, numerację oraz źródło opracowania;</w:t>
      </w:r>
    </w:p>
    <w:p w14:paraId="7F1241D5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R</w:t>
      </w:r>
      <w:r w:rsidRPr="002736C9">
        <w:t xml:space="preserve">aport </w:t>
      </w:r>
      <w:r>
        <w:t>K</w:t>
      </w:r>
      <w:r w:rsidRPr="002736C9">
        <w:t xml:space="preserve">ońcowy </w:t>
      </w:r>
      <w:r>
        <w:t>powinien zostać</w:t>
      </w:r>
      <w:r w:rsidRPr="002736C9">
        <w:t xml:space="preserve"> przygotowany w formacie *.DOC, *.DOCX lub jeśli Wykonawca posiada możliwości techniczne w formacie *.INDD – umożliwiającym edycję tekstu publikacji</w:t>
      </w:r>
      <w:r>
        <w:t>;</w:t>
      </w:r>
    </w:p>
    <w:p w14:paraId="7A7479BE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P</w:t>
      </w:r>
      <w:r w:rsidRPr="002736C9">
        <w:t>liki bitmapowe (schematy oraz wykresy) osadzone w tekście publikacji powinny być dostarczone dodatkowo w plikach otwartych (umożliwiających edycję tych plików), np. w formacie *.xls, *.</w:t>
      </w:r>
      <w:proofErr w:type="spellStart"/>
      <w:r w:rsidRPr="002736C9">
        <w:t>xlsx</w:t>
      </w:r>
      <w:proofErr w:type="spellEnd"/>
      <w:r w:rsidRPr="002736C9">
        <w:t xml:space="preserve"> lub *.</w:t>
      </w:r>
      <w:proofErr w:type="spellStart"/>
      <w:r w:rsidRPr="002736C9">
        <w:t>ai</w:t>
      </w:r>
      <w:proofErr w:type="spellEnd"/>
      <w:r>
        <w:t>;</w:t>
      </w:r>
    </w:p>
    <w:p w14:paraId="616F677B" w14:textId="77777777" w:rsidR="002222EA" w:rsidRDefault="002222EA" w:rsidP="002222EA">
      <w:pPr>
        <w:pStyle w:val="Akapitzlist"/>
        <w:numPr>
          <w:ilvl w:val="0"/>
          <w:numId w:val="19"/>
        </w:numPr>
      </w:pPr>
      <w:r>
        <w:t>P</w:t>
      </w:r>
      <w:r w:rsidRPr="002736C9">
        <w:t>liki bitmapowe (zdjęcia) osadzone w tekście publikacji powinny być dostarczone dodatkowo w osobnych plikach w rozdzielczości co najmniej 300 DPI w rozmiarze w jakim zostały użyte w publikacji.</w:t>
      </w:r>
    </w:p>
    <w:p w14:paraId="09E1C476" w14:textId="77777777" w:rsidR="002222EA" w:rsidRDefault="002222EA" w:rsidP="002222EA">
      <w:pPr>
        <w:pStyle w:val="Nagwek1"/>
      </w:pPr>
      <w:r>
        <w:t>Wymagania w zakresie dostępności dla osób z niepełnosprawnościami</w:t>
      </w:r>
    </w:p>
    <w:p w14:paraId="353A9020" w14:textId="77777777" w:rsidR="002222EA" w:rsidRDefault="002222EA" w:rsidP="002222EA">
      <w:r>
        <w:t>Wszystkie produkty badania powinny zostać wykonane tak, aby spełniać wymogi wynikające z zapisów Wytycznych dotyczących realizacji zasad równościowych w ramach funduszy unijnych na lata 2021-2027, w szczególności Załącznika nr 2 Standardy dostępności dla polityki spójności 2021-2027. Wszystkie produkty muszą zostać dostarczone do Zamawiającego w wersji elektronicznej spełniającej standardy dostępności. Zamawiający zastrzega sobie prawo do sprawdzenia dostępności dostarczonego dokumentu elektronicznego. W przypadku stwierdzenia błędów w zakresie zgodności ze standardami dostępności, Wykonawca zobowiązany jest do ich niezwłocznego naprawienia.</w:t>
      </w:r>
    </w:p>
    <w:p w14:paraId="22B7EA60" w14:textId="77777777" w:rsidR="002222EA" w:rsidRDefault="002222EA" w:rsidP="002222EA">
      <w:r>
        <w:t>Raport Końcowy z badania oraz cały proces badawczy zostanie oceniony przez Zamawiającego przy użyciu karty oceny procesu i wyników badania ewaluacyjnego zgodnie z zapisami Wytycznych w zakresie ewaluacji polityki spójności na lata 2021-2027.</w:t>
      </w:r>
    </w:p>
    <w:p w14:paraId="04A73B0C" w14:textId="77777777" w:rsidR="002222EA" w:rsidRPr="00A10DEF" w:rsidRDefault="002222EA" w:rsidP="002222EA">
      <w:r>
        <w:t xml:space="preserve">Zamawiający zastrzega sobie prawo do sprawdzenia wykonanych dzieł oprogramowaniem </w:t>
      </w:r>
      <w:proofErr w:type="spellStart"/>
      <w:r>
        <w:t>antyplagiatowym</w:t>
      </w:r>
      <w:proofErr w:type="spellEnd"/>
      <w:r>
        <w:t>.</w:t>
      </w:r>
    </w:p>
    <w:p w14:paraId="1E90EA7E" w14:textId="77777777" w:rsidR="002222EA" w:rsidRDefault="002222EA" w:rsidP="002222EA">
      <w:pPr>
        <w:pStyle w:val="Nagwek1"/>
      </w:pPr>
      <w:r>
        <w:t>Finansowanie</w:t>
      </w:r>
    </w:p>
    <w:p w14:paraId="3880A0EA" w14:textId="77777777" w:rsidR="002222EA" w:rsidRPr="00D65509" w:rsidRDefault="002222EA" w:rsidP="002222EA">
      <w:r w:rsidRPr="00CF4D16">
        <w:t>Projekt finansowany jest ze środków UE w ramach programu Pomoc Techniczna dla Funduszy Europejskich 2021-2027. Zamawiający oświadcza, że wynagrodzenie jest finansowane ze środków Unii Europejskiej z programu Pomoc Techniczna dla Funduszy Europejskich 2021-2027 oraz z budżetu państwa. Wszystkie materiały opracowane w trakcie realizacji badania powinny zostać oznaczone zgodnie z wariantem podstawowym lub minimalnym, określonym w Strategii Komunikacji Funduszy Europejskich</w:t>
      </w:r>
      <w:r>
        <w:rPr>
          <w:rStyle w:val="Odwoanieprzypisudolnego"/>
        </w:rPr>
        <w:footnoteReference w:id="2"/>
      </w:r>
      <w:r w:rsidRPr="00CF4D16">
        <w:t>.</w:t>
      </w:r>
    </w:p>
    <w:p w14:paraId="13E2C3E7" w14:textId="74A5F144" w:rsidR="009F2631" w:rsidRPr="002222EA" w:rsidRDefault="009F2631" w:rsidP="002222EA"/>
    <w:sectPr w:rsidR="009F2631" w:rsidRPr="002222EA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9AF5" w14:textId="77777777" w:rsidR="009213DA" w:rsidRDefault="009213DA" w:rsidP="000309AE">
      <w:pPr>
        <w:spacing w:after="0" w:line="240" w:lineRule="auto"/>
      </w:pPr>
      <w:r>
        <w:separator/>
      </w:r>
    </w:p>
  </w:endnote>
  <w:endnote w:type="continuationSeparator" w:id="0">
    <w:p w14:paraId="6EA0E888" w14:textId="77777777" w:rsidR="009213DA" w:rsidRDefault="009213DA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27B4" w14:textId="77777777" w:rsidR="009213DA" w:rsidRDefault="009213DA" w:rsidP="000309AE">
      <w:pPr>
        <w:spacing w:after="0" w:line="240" w:lineRule="auto"/>
      </w:pPr>
      <w:r>
        <w:separator/>
      </w:r>
    </w:p>
  </w:footnote>
  <w:footnote w:type="continuationSeparator" w:id="0">
    <w:p w14:paraId="346ECEFA" w14:textId="77777777" w:rsidR="009213DA" w:rsidRDefault="009213DA" w:rsidP="000309AE">
      <w:pPr>
        <w:spacing w:after="0" w:line="240" w:lineRule="auto"/>
      </w:pPr>
      <w:r>
        <w:continuationSeparator/>
      </w:r>
    </w:p>
  </w:footnote>
  <w:footnote w:id="1">
    <w:p w14:paraId="3110814C" w14:textId="77A9234F" w:rsidR="009F053F" w:rsidRDefault="009F053F">
      <w:pPr>
        <w:pStyle w:val="Tekstprzypisudolnego"/>
      </w:pPr>
      <w:r>
        <w:rPr>
          <w:rStyle w:val="Odwoanieprzypisudolnego"/>
        </w:rPr>
        <w:footnoteRef/>
      </w:r>
      <w:r>
        <w:t xml:space="preserve"> W chwili obecnej trwa weryfikacja stanu wdrożenia rekomendacji przez poszczególne IZ stąd można się spodziewać, że liczba ta ulegnie zmniejszeniu.</w:t>
      </w:r>
    </w:p>
  </w:footnote>
  <w:footnote w:id="2">
    <w:p w14:paraId="39AA133D" w14:textId="77777777" w:rsidR="002222EA" w:rsidRDefault="002222EA" w:rsidP="002222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4D16">
        <w:t>Zasady promocji i oznakowania projektów realizowanych przy współfinansowaniu ze środków Funduszy Europejskich dostępne są na stronie: https://www.pomoctechniczna.gov.pl/strony/dowiedz-sie-wiecej-o-programie/prawo-i-dokumenty/strategia-komunikacji-funduszy-europejskich-2021-2027/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4D85F3FE" w:rsidR="000309AE" w:rsidRDefault="000E1FF6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CE364EE" wp14:editId="6CFDD71C">
          <wp:extent cx="6119495" cy="8375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577"/>
    <w:multiLevelType w:val="hybridMultilevel"/>
    <w:tmpl w:val="4A04D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F39"/>
    <w:multiLevelType w:val="hybridMultilevel"/>
    <w:tmpl w:val="1BAE5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53E0"/>
    <w:multiLevelType w:val="hybridMultilevel"/>
    <w:tmpl w:val="E4BA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94D9E"/>
    <w:multiLevelType w:val="hybridMultilevel"/>
    <w:tmpl w:val="EF36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D20DBD"/>
    <w:multiLevelType w:val="hybridMultilevel"/>
    <w:tmpl w:val="7F7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970"/>
    <w:multiLevelType w:val="hybridMultilevel"/>
    <w:tmpl w:val="4836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72A87"/>
    <w:multiLevelType w:val="hybridMultilevel"/>
    <w:tmpl w:val="66B47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57513"/>
    <w:multiLevelType w:val="hybridMultilevel"/>
    <w:tmpl w:val="6A26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8"/>
  </w:num>
  <w:num w:numId="16">
    <w:abstractNumId w:val="1"/>
  </w:num>
  <w:num w:numId="17">
    <w:abstractNumId w:val="0"/>
  </w:num>
  <w:num w:numId="18">
    <w:abstractNumId w:val="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2058"/>
    <w:rsid w:val="000309AE"/>
    <w:rsid w:val="0003107D"/>
    <w:rsid w:val="000328CF"/>
    <w:rsid w:val="0005630A"/>
    <w:rsid w:val="00057C35"/>
    <w:rsid w:val="000A4FF7"/>
    <w:rsid w:val="000A6D99"/>
    <w:rsid w:val="000C32F9"/>
    <w:rsid w:val="000C4B50"/>
    <w:rsid w:val="000E1FF6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9271A"/>
    <w:rsid w:val="001F12B5"/>
    <w:rsid w:val="002222EA"/>
    <w:rsid w:val="0023302D"/>
    <w:rsid w:val="00233AA5"/>
    <w:rsid w:val="0024315A"/>
    <w:rsid w:val="002B0F49"/>
    <w:rsid w:val="002B65AC"/>
    <w:rsid w:val="002E4C2F"/>
    <w:rsid w:val="002E5811"/>
    <w:rsid w:val="002F00CE"/>
    <w:rsid w:val="002F312A"/>
    <w:rsid w:val="0030069A"/>
    <w:rsid w:val="00331236"/>
    <w:rsid w:val="0033248A"/>
    <w:rsid w:val="00343E65"/>
    <w:rsid w:val="00351F45"/>
    <w:rsid w:val="0036311F"/>
    <w:rsid w:val="00367798"/>
    <w:rsid w:val="003745F7"/>
    <w:rsid w:val="00385D1E"/>
    <w:rsid w:val="003B0550"/>
    <w:rsid w:val="003D3650"/>
    <w:rsid w:val="004068A4"/>
    <w:rsid w:val="004112BB"/>
    <w:rsid w:val="0041159F"/>
    <w:rsid w:val="00416BE9"/>
    <w:rsid w:val="004330F6"/>
    <w:rsid w:val="00441035"/>
    <w:rsid w:val="00453166"/>
    <w:rsid w:val="00494806"/>
    <w:rsid w:val="004C5991"/>
    <w:rsid w:val="004F6FFD"/>
    <w:rsid w:val="0050393C"/>
    <w:rsid w:val="00506BCA"/>
    <w:rsid w:val="00521159"/>
    <w:rsid w:val="005221D7"/>
    <w:rsid w:val="0053336D"/>
    <w:rsid w:val="005440F9"/>
    <w:rsid w:val="00571465"/>
    <w:rsid w:val="00571FB5"/>
    <w:rsid w:val="00597BEC"/>
    <w:rsid w:val="005B34D7"/>
    <w:rsid w:val="005C3722"/>
    <w:rsid w:val="006048D6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31FAF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56A12"/>
    <w:rsid w:val="008658CC"/>
    <w:rsid w:val="00882DB9"/>
    <w:rsid w:val="0089576B"/>
    <w:rsid w:val="008968D4"/>
    <w:rsid w:val="008C6F93"/>
    <w:rsid w:val="00904B3C"/>
    <w:rsid w:val="00917C49"/>
    <w:rsid w:val="009213DA"/>
    <w:rsid w:val="009401D5"/>
    <w:rsid w:val="0097606E"/>
    <w:rsid w:val="00993377"/>
    <w:rsid w:val="0099672A"/>
    <w:rsid w:val="009B21A9"/>
    <w:rsid w:val="009F053F"/>
    <w:rsid w:val="009F2631"/>
    <w:rsid w:val="009F451D"/>
    <w:rsid w:val="00A0315F"/>
    <w:rsid w:val="00A47D17"/>
    <w:rsid w:val="00A54D93"/>
    <w:rsid w:val="00A6159B"/>
    <w:rsid w:val="00A91F6A"/>
    <w:rsid w:val="00AB0EBE"/>
    <w:rsid w:val="00AB2776"/>
    <w:rsid w:val="00AE5173"/>
    <w:rsid w:val="00AF7B04"/>
    <w:rsid w:val="00B25733"/>
    <w:rsid w:val="00B31998"/>
    <w:rsid w:val="00B53CDC"/>
    <w:rsid w:val="00B648A5"/>
    <w:rsid w:val="00B654F7"/>
    <w:rsid w:val="00B80DCC"/>
    <w:rsid w:val="00B836D5"/>
    <w:rsid w:val="00BC7B1E"/>
    <w:rsid w:val="00BD14E5"/>
    <w:rsid w:val="00BE0B1F"/>
    <w:rsid w:val="00C10C0A"/>
    <w:rsid w:val="00C12059"/>
    <w:rsid w:val="00C31ED3"/>
    <w:rsid w:val="00C43320"/>
    <w:rsid w:val="00C7115B"/>
    <w:rsid w:val="00C7540A"/>
    <w:rsid w:val="00CA517C"/>
    <w:rsid w:val="00CB1995"/>
    <w:rsid w:val="00CC2BE5"/>
    <w:rsid w:val="00CC6258"/>
    <w:rsid w:val="00CF3A50"/>
    <w:rsid w:val="00D0087B"/>
    <w:rsid w:val="00D2476F"/>
    <w:rsid w:val="00D344A4"/>
    <w:rsid w:val="00D344ED"/>
    <w:rsid w:val="00D37372"/>
    <w:rsid w:val="00D4429E"/>
    <w:rsid w:val="00D46FB9"/>
    <w:rsid w:val="00D67E2E"/>
    <w:rsid w:val="00D9332A"/>
    <w:rsid w:val="00DE4114"/>
    <w:rsid w:val="00DE628D"/>
    <w:rsid w:val="00E20D59"/>
    <w:rsid w:val="00E30B6C"/>
    <w:rsid w:val="00E56124"/>
    <w:rsid w:val="00E849CE"/>
    <w:rsid w:val="00EA2F10"/>
    <w:rsid w:val="00EA33CF"/>
    <w:rsid w:val="00EB0E77"/>
    <w:rsid w:val="00EF3B4C"/>
    <w:rsid w:val="00F02649"/>
    <w:rsid w:val="00F02BB6"/>
    <w:rsid w:val="00F10F2C"/>
    <w:rsid w:val="00F10F44"/>
    <w:rsid w:val="00F22545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CD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222E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22E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spacing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9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36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6D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22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222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2076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Wywigacz Anna</cp:lastModifiedBy>
  <cp:revision>2</cp:revision>
  <cp:lastPrinted>2016-08-10T11:17:00Z</cp:lastPrinted>
  <dcterms:created xsi:type="dcterms:W3CDTF">2024-02-14T07:30:00Z</dcterms:created>
  <dcterms:modified xsi:type="dcterms:W3CDTF">2024-02-14T07:30:00Z</dcterms:modified>
</cp:coreProperties>
</file>