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1611C" w14:textId="77777777" w:rsidR="006501FD" w:rsidRDefault="004858FC" w:rsidP="006501FD">
      <w:pPr>
        <w:tabs>
          <w:tab w:val="left" w:pos="5865"/>
        </w:tabs>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Załącznik B.98</w:t>
      </w:r>
      <w:r w:rsidR="006501FD" w:rsidRPr="006501FD">
        <w:rPr>
          <w:rFonts w:ascii="Times New Roman" w:eastAsia="Times New Roman" w:hAnsi="Times New Roman" w:cs="Times New Roman"/>
          <w:szCs w:val="20"/>
          <w:lang w:eastAsia="pl-PL"/>
        </w:rPr>
        <w:t>.</w:t>
      </w:r>
    </w:p>
    <w:p w14:paraId="176724E6" w14:textId="77777777" w:rsidR="006501FD" w:rsidRPr="006501FD" w:rsidRDefault="006501FD" w:rsidP="006501FD">
      <w:pPr>
        <w:tabs>
          <w:tab w:val="left" w:pos="5865"/>
        </w:tabs>
        <w:spacing w:after="0" w:line="240" w:lineRule="auto"/>
        <w:jc w:val="both"/>
        <w:rPr>
          <w:rFonts w:ascii="Times New Roman" w:eastAsia="Times New Roman" w:hAnsi="Times New Roman" w:cs="Times New Roman"/>
          <w:b/>
          <w:lang w:eastAsia="pl-PL"/>
        </w:rPr>
      </w:pPr>
    </w:p>
    <w:p w14:paraId="6AFF4818" w14:textId="77777777" w:rsidR="009B6E4C" w:rsidRPr="009B6E4C" w:rsidRDefault="009B6E4C" w:rsidP="006501FD">
      <w:pPr>
        <w:tabs>
          <w:tab w:val="left" w:pos="5865"/>
        </w:tabs>
        <w:spacing w:after="240" w:line="240" w:lineRule="auto"/>
        <w:jc w:val="both"/>
        <w:rPr>
          <w:rFonts w:ascii="Times New Roman" w:eastAsia="Times New Roman" w:hAnsi="Times New Roman" w:cs="Times New Roman"/>
          <w:b/>
          <w:sz w:val="28"/>
          <w:szCs w:val="24"/>
          <w:lang w:eastAsia="pl-PL"/>
        </w:rPr>
      </w:pPr>
      <w:r w:rsidRPr="009B6E4C">
        <w:rPr>
          <w:rFonts w:ascii="Times New Roman" w:eastAsia="Times New Roman" w:hAnsi="Times New Roman" w:cs="Times New Roman"/>
          <w:b/>
          <w:sz w:val="28"/>
          <w:szCs w:val="24"/>
          <w:lang w:eastAsia="pl-PL"/>
        </w:rPr>
        <w:t>LECZENIE</w:t>
      </w:r>
      <w:r w:rsidR="00C85CE2" w:rsidRPr="00C85CE2">
        <w:rPr>
          <w:rFonts w:ascii="Times New Roman" w:eastAsia="Times New Roman" w:hAnsi="Times New Roman" w:cs="Times New Roman"/>
          <w:b/>
          <w:sz w:val="28"/>
          <w:szCs w:val="24"/>
          <w:lang w:eastAsia="pl-PL"/>
        </w:rPr>
        <w:t xml:space="preserve"> PEDIATRYCZNYCH CHORYCH NA PRZEWLEKŁĄ PIERWOTNĄ MAŁOPŁYTKOWOŚĆ IMMUNOLOGICZNĄ (ICD-10 D69.3)</w:t>
      </w:r>
    </w:p>
    <w:tbl>
      <w:tblPr>
        <w:tblStyle w:val="Tabela-Siatka"/>
        <w:tblW w:w="5000" w:type="pct"/>
        <w:tblCellMar>
          <w:left w:w="85" w:type="dxa"/>
          <w:right w:w="85" w:type="dxa"/>
        </w:tblCellMar>
        <w:tblLook w:val="04A0" w:firstRow="1" w:lastRow="0" w:firstColumn="1" w:lastColumn="0" w:noHBand="0" w:noVBand="1"/>
      </w:tblPr>
      <w:tblGrid>
        <w:gridCol w:w="6155"/>
        <w:gridCol w:w="3918"/>
        <w:gridCol w:w="5315"/>
      </w:tblGrid>
      <w:tr w:rsidR="00C85CE2" w:rsidRPr="00455A9D" w14:paraId="1805FF01" w14:textId="77777777" w:rsidTr="0027460A">
        <w:trPr>
          <w:trHeight w:val="567"/>
        </w:trPr>
        <w:tc>
          <w:tcPr>
            <w:tcW w:w="5000" w:type="pct"/>
            <w:gridSpan w:val="3"/>
            <w:vAlign w:val="center"/>
          </w:tcPr>
          <w:p w14:paraId="5E7DB7EE" w14:textId="77777777" w:rsidR="00C85CE2" w:rsidRPr="00455A9D" w:rsidRDefault="00C85CE2" w:rsidP="002739CF">
            <w:pPr>
              <w:widowControl w:val="0"/>
              <w:spacing w:line="276" w:lineRule="auto"/>
              <w:jc w:val="center"/>
              <w:rPr>
                <w:rFonts w:ascii="Times New Roman" w:eastAsia="Times New Roman" w:hAnsi="Times New Roman" w:cs="Times New Roman"/>
                <w:b/>
                <w:lang w:eastAsia="pl-PL"/>
              </w:rPr>
            </w:pPr>
            <w:r w:rsidRPr="00455A9D">
              <w:rPr>
                <w:rFonts w:ascii="Times New Roman" w:eastAsia="Times New Roman" w:hAnsi="Times New Roman" w:cs="Times New Roman"/>
                <w:b/>
                <w:lang w:eastAsia="pl-PL"/>
              </w:rPr>
              <w:t>ZAKRES ŚWIADCZENIA GWARANTOWANEGO</w:t>
            </w:r>
          </w:p>
        </w:tc>
      </w:tr>
      <w:tr w:rsidR="00C85CE2" w:rsidRPr="00356B37" w14:paraId="548E5A16" w14:textId="77777777" w:rsidTr="0027460A">
        <w:trPr>
          <w:trHeight w:val="567"/>
        </w:trPr>
        <w:tc>
          <w:tcPr>
            <w:tcW w:w="2000" w:type="pct"/>
            <w:vAlign w:val="center"/>
          </w:tcPr>
          <w:p w14:paraId="39147F2A" w14:textId="77777777" w:rsidR="00C85CE2" w:rsidRPr="00C85CE2" w:rsidRDefault="00C85CE2" w:rsidP="002739CF">
            <w:pPr>
              <w:widowControl w:val="0"/>
              <w:spacing w:line="276" w:lineRule="auto"/>
              <w:jc w:val="center"/>
              <w:rPr>
                <w:rFonts w:ascii="Times New Roman" w:eastAsia="Times New Roman" w:hAnsi="Times New Roman" w:cs="Times New Roman"/>
                <w:b/>
                <w:sz w:val="20"/>
                <w:szCs w:val="20"/>
                <w:lang w:eastAsia="pl-PL"/>
              </w:rPr>
            </w:pPr>
            <w:r w:rsidRPr="00C85CE2">
              <w:rPr>
                <w:rFonts w:ascii="Times New Roman" w:eastAsia="Times New Roman" w:hAnsi="Times New Roman" w:cs="Times New Roman"/>
                <w:b/>
                <w:sz w:val="20"/>
                <w:szCs w:val="20"/>
                <w:lang w:eastAsia="pl-PL"/>
              </w:rPr>
              <w:t>ŚWIADCZENIOBIORCY</w:t>
            </w:r>
          </w:p>
        </w:tc>
        <w:tc>
          <w:tcPr>
            <w:tcW w:w="1273" w:type="pct"/>
            <w:vAlign w:val="center"/>
          </w:tcPr>
          <w:p w14:paraId="625F31C4" w14:textId="77777777" w:rsidR="00C85CE2" w:rsidRPr="00C85CE2" w:rsidRDefault="00C85CE2" w:rsidP="002739CF">
            <w:pPr>
              <w:widowControl w:val="0"/>
              <w:spacing w:line="276" w:lineRule="auto"/>
              <w:jc w:val="center"/>
              <w:rPr>
                <w:rFonts w:ascii="Times New Roman" w:eastAsia="Times New Roman" w:hAnsi="Times New Roman" w:cs="Times New Roman"/>
                <w:b/>
                <w:sz w:val="20"/>
                <w:szCs w:val="20"/>
                <w:lang w:eastAsia="pl-PL"/>
              </w:rPr>
            </w:pPr>
            <w:r w:rsidRPr="00C85CE2">
              <w:rPr>
                <w:rFonts w:ascii="Times New Roman" w:eastAsia="Times New Roman" w:hAnsi="Times New Roman" w:cs="Times New Roman"/>
                <w:b/>
                <w:sz w:val="20"/>
                <w:szCs w:val="20"/>
                <w:lang w:eastAsia="pl-PL"/>
              </w:rPr>
              <w:t>SCHEMAT DAWKOWANIA LEKÓW W PROGRAMIE</w:t>
            </w:r>
          </w:p>
        </w:tc>
        <w:tc>
          <w:tcPr>
            <w:tcW w:w="1727" w:type="pct"/>
            <w:vAlign w:val="center"/>
          </w:tcPr>
          <w:p w14:paraId="79051F4A" w14:textId="77777777" w:rsidR="00C85CE2" w:rsidRPr="00C85CE2" w:rsidRDefault="00C85CE2" w:rsidP="002739CF">
            <w:pPr>
              <w:widowControl w:val="0"/>
              <w:spacing w:line="276" w:lineRule="auto"/>
              <w:jc w:val="center"/>
              <w:rPr>
                <w:rFonts w:ascii="Times New Roman" w:eastAsia="Times New Roman" w:hAnsi="Times New Roman" w:cs="Times New Roman"/>
                <w:b/>
                <w:sz w:val="20"/>
                <w:szCs w:val="20"/>
                <w:lang w:eastAsia="pl-PL"/>
              </w:rPr>
            </w:pPr>
            <w:r w:rsidRPr="00C85CE2">
              <w:rPr>
                <w:rFonts w:ascii="Times New Roman" w:eastAsia="Times New Roman" w:hAnsi="Times New Roman" w:cs="Times New Roman"/>
                <w:b/>
                <w:sz w:val="20"/>
                <w:szCs w:val="20"/>
                <w:lang w:eastAsia="pl-PL"/>
              </w:rPr>
              <w:t>BADANIA DIAGNOSTYCZNE WYKONYWANE W RAMACH PROGRAMU</w:t>
            </w:r>
          </w:p>
        </w:tc>
      </w:tr>
      <w:tr w:rsidR="00C85CE2" w:rsidRPr="00356B37" w14:paraId="0FF405AE" w14:textId="77777777" w:rsidTr="0027460A">
        <w:tc>
          <w:tcPr>
            <w:tcW w:w="2000" w:type="pct"/>
          </w:tcPr>
          <w:p w14:paraId="76886604" w14:textId="55437E41" w:rsidR="00415988" w:rsidRPr="009F096A" w:rsidRDefault="0055460A" w:rsidP="00FF7DF2">
            <w:pPr>
              <w:pStyle w:val="Akapitzlist"/>
              <w:widowControl w:val="0"/>
              <w:numPr>
                <w:ilvl w:val="0"/>
                <w:numId w:val="34"/>
              </w:numPr>
              <w:spacing w:before="120" w:after="60"/>
              <w:contextualSpacing w:val="0"/>
              <w:jc w:val="both"/>
              <w:rPr>
                <w:rFonts w:ascii="Times New Roman" w:hAnsi="Times New Roman" w:cs="Times New Roman"/>
                <w:b/>
                <w:bCs/>
                <w:spacing w:val="4"/>
                <w:sz w:val="20"/>
                <w:szCs w:val="20"/>
              </w:rPr>
            </w:pPr>
            <w:r w:rsidRPr="009F096A">
              <w:rPr>
                <w:rFonts w:ascii="Times New Roman" w:hAnsi="Times New Roman" w:cs="Times New Roman"/>
                <w:b/>
                <w:bCs/>
                <w:spacing w:val="4"/>
                <w:sz w:val="20"/>
                <w:szCs w:val="20"/>
              </w:rPr>
              <w:t>Kryteria kwalifikacji</w:t>
            </w:r>
            <w:r>
              <w:rPr>
                <w:rFonts w:ascii="Times New Roman" w:hAnsi="Times New Roman" w:cs="Times New Roman"/>
                <w:b/>
                <w:bCs/>
                <w:spacing w:val="4"/>
                <w:sz w:val="20"/>
                <w:szCs w:val="20"/>
              </w:rPr>
              <w:t xml:space="preserve"> do leczeni</w:t>
            </w:r>
            <w:r w:rsidR="00B34D82">
              <w:rPr>
                <w:rFonts w:ascii="Times New Roman" w:hAnsi="Times New Roman" w:cs="Times New Roman"/>
                <w:b/>
                <w:bCs/>
                <w:spacing w:val="4"/>
                <w:sz w:val="20"/>
                <w:szCs w:val="20"/>
              </w:rPr>
              <w:t>a</w:t>
            </w:r>
            <w:r>
              <w:rPr>
                <w:rFonts w:ascii="Times New Roman" w:hAnsi="Times New Roman" w:cs="Times New Roman"/>
                <w:b/>
                <w:bCs/>
                <w:spacing w:val="4"/>
                <w:sz w:val="20"/>
                <w:szCs w:val="20"/>
              </w:rPr>
              <w:t xml:space="preserve"> </w:t>
            </w:r>
            <w:proofErr w:type="spellStart"/>
            <w:r>
              <w:rPr>
                <w:rFonts w:ascii="Times New Roman" w:hAnsi="Times New Roman" w:cs="Times New Roman"/>
                <w:b/>
                <w:bCs/>
                <w:spacing w:val="4"/>
                <w:sz w:val="20"/>
                <w:szCs w:val="20"/>
              </w:rPr>
              <w:t>elt</w:t>
            </w:r>
            <w:r w:rsidR="00B73EA9">
              <w:rPr>
                <w:rFonts w:ascii="Times New Roman" w:hAnsi="Times New Roman" w:cs="Times New Roman"/>
                <w:b/>
                <w:bCs/>
                <w:spacing w:val="4"/>
                <w:sz w:val="20"/>
                <w:szCs w:val="20"/>
              </w:rPr>
              <w:t>r</w:t>
            </w:r>
            <w:r>
              <w:rPr>
                <w:rFonts w:ascii="Times New Roman" w:hAnsi="Times New Roman" w:cs="Times New Roman"/>
                <w:b/>
                <w:bCs/>
                <w:spacing w:val="4"/>
                <w:sz w:val="20"/>
                <w:szCs w:val="20"/>
              </w:rPr>
              <w:t>ombopagiem</w:t>
            </w:r>
            <w:proofErr w:type="spellEnd"/>
            <w:r>
              <w:rPr>
                <w:rFonts w:ascii="Times New Roman" w:hAnsi="Times New Roman" w:cs="Times New Roman"/>
                <w:b/>
                <w:bCs/>
                <w:spacing w:val="4"/>
                <w:sz w:val="20"/>
                <w:szCs w:val="20"/>
              </w:rPr>
              <w:t xml:space="preserve"> lub </w:t>
            </w:r>
            <w:proofErr w:type="spellStart"/>
            <w:r>
              <w:rPr>
                <w:rFonts w:ascii="Times New Roman" w:hAnsi="Times New Roman" w:cs="Times New Roman"/>
                <w:b/>
                <w:bCs/>
                <w:spacing w:val="4"/>
                <w:sz w:val="20"/>
                <w:szCs w:val="20"/>
              </w:rPr>
              <w:t>romip</w:t>
            </w:r>
            <w:r w:rsidR="00B73EA9">
              <w:rPr>
                <w:rFonts w:ascii="Times New Roman" w:hAnsi="Times New Roman" w:cs="Times New Roman"/>
                <w:b/>
                <w:bCs/>
                <w:spacing w:val="4"/>
                <w:sz w:val="20"/>
                <w:szCs w:val="20"/>
              </w:rPr>
              <w:t>l</w:t>
            </w:r>
            <w:r>
              <w:rPr>
                <w:rFonts w:ascii="Times New Roman" w:hAnsi="Times New Roman" w:cs="Times New Roman"/>
                <w:b/>
                <w:bCs/>
                <w:spacing w:val="4"/>
                <w:sz w:val="20"/>
                <w:szCs w:val="20"/>
              </w:rPr>
              <w:t>ostymem</w:t>
            </w:r>
            <w:proofErr w:type="spellEnd"/>
          </w:p>
          <w:p w14:paraId="4FDCC4AD" w14:textId="1CC1C2FC" w:rsidR="00C85CE2" w:rsidRPr="0021726E" w:rsidRDefault="00C85CE2" w:rsidP="00FF7DF2">
            <w:pPr>
              <w:pStyle w:val="Akapitzlist"/>
              <w:numPr>
                <w:ilvl w:val="2"/>
                <w:numId w:val="34"/>
              </w:numPr>
              <w:autoSpaceDE w:val="0"/>
              <w:autoSpaceDN w:val="0"/>
              <w:spacing w:after="60"/>
              <w:contextualSpacing w:val="0"/>
              <w:jc w:val="both"/>
              <w:rPr>
                <w:rFonts w:ascii="Times New Roman" w:hAnsi="Times New Roman" w:cs="Times New Roman"/>
                <w:sz w:val="20"/>
                <w:szCs w:val="20"/>
              </w:rPr>
            </w:pPr>
            <w:r w:rsidRPr="0021726E">
              <w:rPr>
                <w:rFonts w:ascii="Times New Roman" w:hAnsi="Times New Roman" w:cs="Times New Roman"/>
                <w:sz w:val="20"/>
                <w:szCs w:val="20"/>
              </w:rPr>
              <w:t>wiek 1</w:t>
            </w:r>
            <w:r w:rsidR="00882A3F">
              <w:rPr>
                <w:rFonts w:ascii="Times New Roman" w:hAnsi="Times New Roman" w:cs="Times New Roman"/>
                <w:sz w:val="20"/>
                <w:szCs w:val="20"/>
              </w:rPr>
              <w:t>-</w:t>
            </w:r>
            <w:r w:rsidRPr="0021726E">
              <w:rPr>
                <w:rFonts w:ascii="Times New Roman" w:hAnsi="Times New Roman" w:cs="Times New Roman"/>
                <w:sz w:val="20"/>
                <w:szCs w:val="20"/>
              </w:rPr>
              <w:t xml:space="preserve">18 </w:t>
            </w:r>
            <w:r w:rsidR="00882A3F">
              <w:rPr>
                <w:rFonts w:ascii="Times New Roman" w:hAnsi="Times New Roman" w:cs="Times New Roman"/>
                <w:sz w:val="20"/>
                <w:szCs w:val="20"/>
              </w:rPr>
              <w:t>lat</w:t>
            </w:r>
            <w:r w:rsidRPr="0021726E">
              <w:rPr>
                <w:rFonts w:ascii="Times New Roman" w:hAnsi="Times New Roman" w:cs="Times New Roman"/>
                <w:sz w:val="20"/>
                <w:szCs w:val="20"/>
              </w:rPr>
              <w:t>;</w:t>
            </w:r>
          </w:p>
          <w:p w14:paraId="63720E64" w14:textId="77777777" w:rsidR="00C85CE2" w:rsidRPr="0018408D" w:rsidRDefault="00C85CE2" w:rsidP="00FF7DF2">
            <w:pPr>
              <w:pStyle w:val="Akapitzlist"/>
              <w:numPr>
                <w:ilvl w:val="2"/>
                <w:numId w:val="34"/>
              </w:numPr>
              <w:spacing w:after="60"/>
              <w:contextualSpacing w:val="0"/>
              <w:jc w:val="both"/>
              <w:rPr>
                <w:rFonts w:ascii="Times New Roman" w:hAnsi="Times New Roman" w:cs="Times New Roman"/>
                <w:sz w:val="20"/>
                <w:szCs w:val="20"/>
              </w:rPr>
            </w:pPr>
            <w:r w:rsidRPr="0021726E">
              <w:rPr>
                <w:rFonts w:ascii="Times New Roman" w:hAnsi="Times New Roman" w:cs="Times New Roman"/>
                <w:sz w:val="20"/>
                <w:szCs w:val="20"/>
              </w:rPr>
              <w:t xml:space="preserve">rozpoznanie przewlekłej (trwającej powyżej 12 miesięcy), </w:t>
            </w:r>
            <w:r w:rsidRPr="0018408D">
              <w:rPr>
                <w:rFonts w:ascii="Times New Roman" w:hAnsi="Times New Roman" w:cs="Times New Roman"/>
                <w:sz w:val="20"/>
                <w:szCs w:val="20"/>
              </w:rPr>
              <w:t xml:space="preserve">pierwotnej małopłytkowości immunologicznej (ITP); </w:t>
            </w:r>
          </w:p>
          <w:p w14:paraId="299F0199" w14:textId="58D57FF0" w:rsidR="00C85CE2" w:rsidRPr="0018408D" w:rsidRDefault="00C85CE2" w:rsidP="00FF7DF2">
            <w:pPr>
              <w:pStyle w:val="Akapitzlist"/>
              <w:numPr>
                <w:ilvl w:val="2"/>
                <w:numId w:val="34"/>
              </w:numPr>
              <w:spacing w:after="60"/>
              <w:contextualSpacing w:val="0"/>
              <w:jc w:val="both"/>
              <w:rPr>
                <w:rFonts w:ascii="Times New Roman" w:hAnsi="Times New Roman" w:cs="Times New Roman"/>
                <w:sz w:val="20"/>
                <w:szCs w:val="20"/>
              </w:rPr>
            </w:pPr>
            <w:r w:rsidRPr="0018408D">
              <w:rPr>
                <w:rFonts w:ascii="Times New Roman" w:hAnsi="Times New Roman" w:cs="Times New Roman"/>
                <w:sz w:val="20"/>
                <w:szCs w:val="20"/>
              </w:rPr>
              <w:t xml:space="preserve">niedostateczna odpowiedź na wcześniejsze standardowe leczenie farmakologiczne ITP. </w:t>
            </w:r>
          </w:p>
          <w:p w14:paraId="540D1A4E" w14:textId="1199F06F" w:rsidR="00C85CE2" w:rsidRPr="00790291" w:rsidRDefault="00C85CE2" w:rsidP="00FF7DF2">
            <w:pPr>
              <w:spacing w:after="60"/>
              <w:jc w:val="both"/>
              <w:rPr>
                <w:rFonts w:ascii="Times New Roman" w:hAnsi="Times New Roman" w:cs="Times New Roman"/>
                <w:sz w:val="20"/>
                <w:szCs w:val="20"/>
              </w:rPr>
            </w:pPr>
            <w:r w:rsidRPr="00790291">
              <w:rPr>
                <w:rFonts w:ascii="Times New Roman" w:hAnsi="Times New Roman" w:cs="Times New Roman"/>
                <w:sz w:val="20"/>
                <w:szCs w:val="20"/>
              </w:rPr>
              <w:t>Kryteria kwalifikacji muszą być spełnione łącznie.</w:t>
            </w:r>
          </w:p>
          <w:p w14:paraId="59A9886C" w14:textId="5E5E6FE1" w:rsidR="00882A3F" w:rsidRPr="00790291" w:rsidRDefault="00882A3F" w:rsidP="00FF7DF2">
            <w:pPr>
              <w:spacing w:after="60"/>
              <w:jc w:val="both"/>
              <w:rPr>
                <w:rFonts w:ascii="Times New Roman" w:hAnsi="Times New Roman" w:cs="Times New Roman"/>
                <w:sz w:val="20"/>
                <w:szCs w:val="20"/>
              </w:rPr>
            </w:pPr>
            <w:r w:rsidRPr="00790291">
              <w:rPr>
                <w:rFonts w:ascii="Times New Roman" w:hAnsi="Times New Roman" w:cs="Times New Roman"/>
                <w:sz w:val="20"/>
                <w:szCs w:val="20"/>
              </w:rPr>
              <w:t xml:space="preserve">Do leczenia agonistą receptora </w:t>
            </w:r>
            <w:proofErr w:type="spellStart"/>
            <w:r w:rsidRPr="00790291">
              <w:rPr>
                <w:rFonts w:ascii="Times New Roman" w:hAnsi="Times New Roman" w:cs="Times New Roman"/>
                <w:sz w:val="20"/>
                <w:szCs w:val="20"/>
              </w:rPr>
              <w:t>trombopoetyny</w:t>
            </w:r>
            <w:proofErr w:type="spellEnd"/>
            <w:r w:rsidRPr="00790291">
              <w:rPr>
                <w:rFonts w:ascii="Times New Roman" w:hAnsi="Times New Roman" w:cs="Times New Roman"/>
                <w:sz w:val="20"/>
                <w:szCs w:val="20"/>
              </w:rPr>
              <w:t xml:space="preserve"> (</w:t>
            </w:r>
            <w:proofErr w:type="spellStart"/>
            <w:r w:rsidRPr="00790291">
              <w:rPr>
                <w:rFonts w:ascii="Times New Roman" w:hAnsi="Times New Roman" w:cs="Times New Roman"/>
                <w:sz w:val="20"/>
                <w:szCs w:val="20"/>
              </w:rPr>
              <w:t>rTPO</w:t>
            </w:r>
            <w:proofErr w:type="spellEnd"/>
            <w:r w:rsidRPr="00790291">
              <w:rPr>
                <w:rFonts w:ascii="Times New Roman" w:hAnsi="Times New Roman" w:cs="Times New Roman"/>
                <w:sz w:val="20"/>
                <w:szCs w:val="20"/>
              </w:rPr>
              <w:t xml:space="preserve">) mogą być włączani pacjenci, którzy </w:t>
            </w:r>
            <w:r w:rsidR="0018408D" w:rsidRPr="00790291">
              <w:rPr>
                <w:rFonts w:ascii="Times New Roman" w:hAnsi="Times New Roman" w:cs="Times New Roman"/>
                <w:sz w:val="20"/>
                <w:szCs w:val="20"/>
              </w:rPr>
              <w:t xml:space="preserve">uzyskali </w:t>
            </w:r>
            <w:r w:rsidRPr="00790291">
              <w:rPr>
                <w:rFonts w:ascii="Times New Roman" w:hAnsi="Times New Roman" w:cs="Times New Roman"/>
                <w:sz w:val="20"/>
                <w:szCs w:val="20"/>
              </w:rPr>
              <w:t>niedostateczn</w:t>
            </w:r>
            <w:r w:rsidR="0018408D" w:rsidRPr="00790291">
              <w:rPr>
                <w:rFonts w:ascii="Times New Roman" w:hAnsi="Times New Roman" w:cs="Times New Roman"/>
                <w:sz w:val="20"/>
                <w:szCs w:val="20"/>
              </w:rPr>
              <w:t>ą</w:t>
            </w:r>
            <w:r w:rsidRPr="00790291">
              <w:rPr>
                <w:rFonts w:ascii="Times New Roman" w:hAnsi="Times New Roman" w:cs="Times New Roman"/>
                <w:sz w:val="20"/>
                <w:szCs w:val="20"/>
              </w:rPr>
              <w:t xml:space="preserve"> odpowiedź </w:t>
            </w:r>
            <w:r w:rsidR="00206061" w:rsidRPr="00790291">
              <w:rPr>
                <w:rFonts w:ascii="Times New Roman" w:hAnsi="Times New Roman" w:cs="Times New Roman"/>
                <w:sz w:val="20"/>
                <w:szCs w:val="20"/>
              </w:rPr>
              <w:t xml:space="preserve">lub wykazują nietolerancję </w:t>
            </w:r>
            <w:r w:rsidRPr="00790291">
              <w:rPr>
                <w:rFonts w:ascii="Times New Roman" w:hAnsi="Times New Roman" w:cs="Times New Roman"/>
                <w:sz w:val="20"/>
                <w:szCs w:val="20"/>
              </w:rPr>
              <w:t xml:space="preserve">na inny preparat z grupy agonistów </w:t>
            </w:r>
            <w:proofErr w:type="spellStart"/>
            <w:r w:rsidRPr="00790291">
              <w:rPr>
                <w:rFonts w:ascii="Times New Roman" w:hAnsi="Times New Roman" w:cs="Times New Roman"/>
                <w:sz w:val="20"/>
                <w:szCs w:val="20"/>
              </w:rPr>
              <w:t>rTPO</w:t>
            </w:r>
            <w:proofErr w:type="spellEnd"/>
            <w:r w:rsidR="00AB15F3" w:rsidRPr="00790291">
              <w:rPr>
                <w:rFonts w:ascii="Times New Roman" w:hAnsi="Times New Roman" w:cs="Times New Roman"/>
                <w:bCs/>
                <w:sz w:val="20"/>
                <w:szCs w:val="20"/>
              </w:rPr>
              <w:t>,</w:t>
            </w:r>
            <w:r w:rsidR="00960C78" w:rsidRPr="00790291">
              <w:rPr>
                <w:rFonts w:ascii="Times New Roman" w:hAnsi="Times New Roman" w:cs="Times New Roman"/>
                <w:sz w:val="20"/>
                <w:szCs w:val="20"/>
              </w:rPr>
              <w:t xml:space="preserve"> oraz spełniają kryteria kwalifikacji</w:t>
            </w:r>
            <w:r w:rsidR="0018408D" w:rsidRPr="00790291">
              <w:rPr>
                <w:rFonts w:ascii="Times New Roman" w:hAnsi="Times New Roman" w:cs="Times New Roman"/>
                <w:sz w:val="20"/>
                <w:szCs w:val="20"/>
              </w:rPr>
              <w:t>.</w:t>
            </w:r>
          </w:p>
          <w:p w14:paraId="297C0A6F" w14:textId="7204B26E" w:rsidR="00C85CE2" w:rsidRDefault="00C85CE2" w:rsidP="00FF7DF2">
            <w:pPr>
              <w:spacing w:after="60"/>
              <w:jc w:val="both"/>
              <w:rPr>
                <w:rFonts w:ascii="Times New Roman" w:hAnsi="Times New Roman" w:cs="Times New Roman"/>
                <w:bCs/>
                <w:sz w:val="20"/>
                <w:szCs w:val="20"/>
              </w:rPr>
            </w:pPr>
            <w:r w:rsidRPr="00790291">
              <w:rPr>
                <w:rFonts w:ascii="Times New Roman" w:hAnsi="Times New Roman" w:cs="Times New Roman"/>
                <w:sz w:val="20"/>
                <w:szCs w:val="20"/>
              </w:rPr>
              <w:t xml:space="preserve">Pacjenci pozostający w leczeniu w ramach tego programu lekowego, po </w:t>
            </w:r>
            <w:r w:rsidRPr="00790291">
              <w:rPr>
                <w:rFonts w:ascii="Times New Roman" w:hAnsi="Times New Roman" w:cs="Times New Roman"/>
                <w:bCs/>
                <w:sz w:val="20"/>
                <w:szCs w:val="20"/>
              </w:rPr>
              <w:t>osiągnięciu pełnoletniości mogą być leczeni w programie lekowym „</w:t>
            </w:r>
            <w:r w:rsidRPr="00790291">
              <w:rPr>
                <w:rFonts w:ascii="Times New Roman" w:hAnsi="Times New Roman" w:cs="Times New Roman"/>
                <w:sz w:val="20"/>
                <w:szCs w:val="20"/>
              </w:rPr>
              <w:t xml:space="preserve">Leczenie dorosłych chorych na pierwotną małopłytkowość immunologiczną </w:t>
            </w:r>
            <w:r w:rsidRPr="00790291">
              <w:rPr>
                <w:rFonts w:ascii="Times New Roman" w:hAnsi="Times New Roman" w:cs="Times New Roman"/>
                <w:iCs/>
                <w:sz w:val="20"/>
                <w:szCs w:val="20"/>
              </w:rPr>
              <w:t>(ICD-10</w:t>
            </w:r>
            <w:r w:rsidRPr="00790291">
              <w:rPr>
                <w:rFonts w:ascii="Times New Roman" w:hAnsi="Times New Roman" w:cs="Times New Roman"/>
                <w:sz w:val="20"/>
                <w:szCs w:val="20"/>
              </w:rPr>
              <w:t xml:space="preserve"> D69.3)”</w:t>
            </w:r>
            <w:r w:rsidRPr="00790291">
              <w:rPr>
                <w:rFonts w:ascii="Times New Roman" w:hAnsi="Times New Roman" w:cs="Times New Roman"/>
                <w:bCs/>
                <w:sz w:val="20"/>
                <w:szCs w:val="20"/>
              </w:rPr>
              <w:t xml:space="preserve"> bez konieczności spełnienia pozostałych kryteriów kwalifikacji do ww. programu lekowego</w:t>
            </w:r>
            <w:r w:rsidR="008018F1" w:rsidRPr="00790291">
              <w:rPr>
                <w:rFonts w:ascii="Times New Roman" w:hAnsi="Times New Roman" w:cs="Times New Roman"/>
                <w:bCs/>
                <w:sz w:val="20"/>
                <w:szCs w:val="20"/>
              </w:rPr>
              <w:t xml:space="preserve"> </w:t>
            </w:r>
            <w:r w:rsidRPr="00790291">
              <w:rPr>
                <w:rFonts w:ascii="Times New Roman" w:hAnsi="Times New Roman" w:cs="Times New Roman"/>
                <w:bCs/>
                <w:sz w:val="20"/>
                <w:szCs w:val="20"/>
              </w:rPr>
              <w:t>- pod warunkiem</w:t>
            </w:r>
            <w:r w:rsidRPr="00790291">
              <w:rPr>
                <w:rFonts w:ascii="Times New Roman" w:hAnsi="Times New Roman" w:cs="Times New Roman"/>
                <w:sz w:val="20"/>
                <w:szCs w:val="20"/>
              </w:rPr>
              <w:t xml:space="preserve"> </w:t>
            </w:r>
            <w:r w:rsidRPr="00790291">
              <w:rPr>
                <w:rFonts w:ascii="Times New Roman" w:hAnsi="Times New Roman" w:cs="Times New Roman"/>
                <w:bCs/>
                <w:sz w:val="20"/>
                <w:szCs w:val="20"/>
              </w:rPr>
              <w:t>niespełniania kryteriów wyłączenia z programu.</w:t>
            </w:r>
          </w:p>
          <w:p w14:paraId="393E28A3" w14:textId="77777777" w:rsidR="00790291" w:rsidRPr="00790291" w:rsidRDefault="00790291" w:rsidP="00FF7DF2">
            <w:pPr>
              <w:spacing w:after="60"/>
              <w:jc w:val="both"/>
              <w:rPr>
                <w:rFonts w:ascii="Times New Roman" w:hAnsi="Times New Roman" w:cs="Times New Roman"/>
                <w:bCs/>
                <w:sz w:val="20"/>
                <w:szCs w:val="20"/>
              </w:rPr>
            </w:pPr>
          </w:p>
          <w:p w14:paraId="16A90657" w14:textId="20A9C6AA" w:rsidR="00C85CE2" w:rsidRPr="0055460A" w:rsidRDefault="00C85CE2" w:rsidP="00FF7DF2">
            <w:pPr>
              <w:pStyle w:val="Akapitzlist"/>
              <w:widowControl w:val="0"/>
              <w:numPr>
                <w:ilvl w:val="0"/>
                <w:numId w:val="34"/>
              </w:numPr>
              <w:spacing w:after="60"/>
              <w:contextualSpacing w:val="0"/>
              <w:jc w:val="both"/>
              <w:rPr>
                <w:rFonts w:ascii="Times New Roman" w:eastAsia="Times New Roman" w:hAnsi="Times New Roman" w:cs="Times New Roman"/>
                <w:b/>
                <w:sz w:val="20"/>
                <w:szCs w:val="20"/>
                <w:lang w:eastAsia="pl-PL"/>
              </w:rPr>
            </w:pPr>
            <w:r w:rsidRPr="0055460A">
              <w:rPr>
                <w:rFonts w:ascii="Times New Roman" w:eastAsia="Times New Roman" w:hAnsi="Times New Roman" w:cs="Times New Roman"/>
                <w:b/>
                <w:sz w:val="20"/>
                <w:szCs w:val="20"/>
                <w:lang w:eastAsia="pl-PL"/>
              </w:rPr>
              <w:t>Określenie czasu leczenia w programie</w:t>
            </w:r>
          </w:p>
          <w:p w14:paraId="6D64EC0E" w14:textId="70ED34DB" w:rsidR="00C85CE2" w:rsidRDefault="00C85CE2" w:rsidP="00FF7DF2">
            <w:pPr>
              <w:pStyle w:val="Tekstpodstawowy"/>
              <w:spacing w:after="60"/>
              <w:rPr>
                <w:iCs/>
                <w:sz w:val="20"/>
                <w:szCs w:val="20"/>
                <w:lang w:val="pl-PL"/>
              </w:rPr>
            </w:pPr>
            <w:r w:rsidRPr="0021726E">
              <w:rPr>
                <w:iCs/>
                <w:sz w:val="20"/>
                <w:szCs w:val="20"/>
                <w:lang w:val="pl-PL"/>
              </w:rPr>
              <w:t>Leczenie trwa do czasu podjęcia przez lekarza prowadzącego decyzji o</w:t>
            </w:r>
            <w:r w:rsidR="00B34D82">
              <w:rPr>
                <w:iCs/>
                <w:sz w:val="20"/>
                <w:szCs w:val="20"/>
                <w:lang w:val="pl-PL"/>
              </w:rPr>
              <w:t> </w:t>
            </w:r>
            <w:r w:rsidRPr="0021726E">
              <w:rPr>
                <w:iCs/>
                <w:sz w:val="20"/>
                <w:szCs w:val="20"/>
                <w:lang w:val="pl-PL"/>
              </w:rPr>
              <w:t>wyłączeniu pacjenta z programu, zgodnie z kryteriami wyłączenia z</w:t>
            </w:r>
            <w:r w:rsidR="00B34D82">
              <w:rPr>
                <w:iCs/>
                <w:sz w:val="20"/>
                <w:szCs w:val="20"/>
                <w:lang w:val="pl-PL"/>
              </w:rPr>
              <w:t> </w:t>
            </w:r>
            <w:r w:rsidRPr="0021726E">
              <w:rPr>
                <w:iCs/>
                <w:sz w:val="20"/>
                <w:szCs w:val="20"/>
                <w:lang w:val="pl-PL"/>
              </w:rPr>
              <w:t xml:space="preserve">programu określonymi w </w:t>
            </w:r>
            <w:r w:rsidR="00E555B2">
              <w:rPr>
                <w:iCs/>
                <w:sz w:val="20"/>
                <w:szCs w:val="20"/>
                <w:lang w:val="pl-PL"/>
              </w:rPr>
              <w:t>punkcie</w:t>
            </w:r>
            <w:r w:rsidRPr="0021726E">
              <w:rPr>
                <w:iCs/>
                <w:sz w:val="20"/>
                <w:szCs w:val="20"/>
                <w:lang w:val="pl-PL"/>
              </w:rPr>
              <w:t xml:space="preserve"> 3. </w:t>
            </w:r>
          </w:p>
          <w:p w14:paraId="57119970" w14:textId="77777777" w:rsidR="00790291" w:rsidRPr="0021726E" w:rsidRDefault="00790291" w:rsidP="00FF7DF2">
            <w:pPr>
              <w:pStyle w:val="Tekstpodstawowy"/>
              <w:spacing w:after="60"/>
              <w:rPr>
                <w:iCs/>
                <w:sz w:val="20"/>
                <w:szCs w:val="20"/>
                <w:lang w:val="pl-PL"/>
              </w:rPr>
            </w:pPr>
          </w:p>
          <w:p w14:paraId="53C0B49E" w14:textId="5BA9211C" w:rsidR="00C85CE2" w:rsidRPr="00B34D82" w:rsidRDefault="00C85CE2" w:rsidP="00FF7DF2">
            <w:pPr>
              <w:pStyle w:val="Akapitzlist"/>
              <w:numPr>
                <w:ilvl w:val="0"/>
                <w:numId w:val="34"/>
              </w:numPr>
              <w:spacing w:after="60"/>
              <w:contextualSpacing w:val="0"/>
              <w:jc w:val="both"/>
              <w:rPr>
                <w:rFonts w:ascii="Times New Roman" w:eastAsia="Times New Roman" w:hAnsi="Times New Roman" w:cs="Times New Roman"/>
                <w:b/>
                <w:sz w:val="20"/>
                <w:szCs w:val="20"/>
                <w:lang w:eastAsia="pl-PL"/>
              </w:rPr>
            </w:pPr>
            <w:r w:rsidRPr="00B34D82">
              <w:rPr>
                <w:rFonts w:ascii="Times New Roman" w:eastAsia="Times New Roman" w:hAnsi="Times New Roman" w:cs="Times New Roman"/>
                <w:b/>
                <w:sz w:val="20"/>
                <w:szCs w:val="20"/>
                <w:lang w:eastAsia="pl-PL"/>
              </w:rPr>
              <w:lastRenderedPageBreak/>
              <w:t>Kryteria wyłączenia z programu</w:t>
            </w:r>
          </w:p>
          <w:p w14:paraId="48DA8A99" w14:textId="77777777" w:rsidR="00AB15F3" w:rsidRPr="00AB15F3" w:rsidRDefault="00C85CE2" w:rsidP="00FF7DF2">
            <w:pPr>
              <w:pStyle w:val="Akapitzlist"/>
              <w:numPr>
                <w:ilvl w:val="2"/>
                <w:numId w:val="34"/>
              </w:numPr>
              <w:spacing w:after="60"/>
              <w:contextualSpacing w:val="0"/>
              <w:jc w:val="both"/>
              <w:rPr>
                <w:rFonts w:ascii="Times New Roman" w:eastAsia="Times New Roman" w:hAnsi="Times New Roman" w:cs="Times New Roman"/>
                <w:sz w:val="20"/>
                <w:szCs w:val="20"/>
                <w:lang w:eastAsia="pl-PL"/>
              </w:rPr>
            </w:pPr>
            <w:r w:rsidRPr="0057564A">
              <w:rPr>
                <w:rFonts w:ascii="Times New Roman" w:hAnsi="Times New Roman" w:cs="Times New Roman"/>
                <w:iCs/>
                <w:sz w:val="20"/>
                <w:szCs w:val="20"/>
              </w:rPr>
              <w:t>nadwrażliwość na</w:t>
            </w:r>
            <w:r w:rsidR="00AB15F3">
              <w:rPr>
                <w:rFonts w:ascii="Times New Roman" w:hAnsi="Times New Roman" w:cs="Times New Roman"/>
                <w:iCs/>
                <w:sz w:val="20"/>
                <w:szCs w:val="20"/>
              </w:rPr>
              <w:t>:</w:t>
            </w:r>
          </w:p>
          <w:p w14:paraId="2DE67D5A" w14:textId="12588D77" w:rsidR="00AB15F3" w:rsidRPr="00AB15F3" w:rsidRDefault="00AB15F3" w:rsidP="00FF7DF2">
            <w:pPr>
              <w:pStyle w:val="Akapitzlist"/>
              <w:numPr>
                <w:ilvl w:val="3"/>
                <w:numId w:val="34"/>
              </w:numPr>
              <w:spacing w:after="60"/>
              <w:contextualSpacing w:val="0"/>
              <w:jc w:val="both"/>
              <w:rPr>
                <w:rFonts w:ascii="Times New Roman" w:eastAsia="Times New Roman" w:hAnsi="Times New Roman" w:cs="Times New Roman"/>
                <w:sz w:val="20"/>
                <w:szCs w:val="20"/>
                <w:lang w:eastAsia="pl-PL"/>
              </w:rPr>
            </w:pPr>
            <w:r w:rsidRPr="0057564A">
              <w:rPr>
                <w:rFonts w:ascii="Times New Roman" w:hAnsi="Times New Roman" w:cs="Times New Roman"/>
                <w:iCs/>
                <w:sz w:val="20"/>
                <w:szCs w:val="20"/>
              </w:rPr>
              <w:t>substancję czynną lub którąkolwiek substancję pomocniczą</w:t>
            </w:r>
            <w:r w:rsidR="00CB4357">
              <w:rPr>
                <w:rFonts w:ascii="Times New Roman" w:hAnsi="Times New Roman" w:cs="Times New Roman"/>
                <w:iCs/>
                <w:sz w:val="20"/>
                <w:szCs w:val="20"/>
              </w:rPr>
              <w:t xml:space="preserve"> – dotyczy leczenia </w:t>
            </w:r>
            <w:proofErr w:type="spellStart"/>
            <w:r w:rsidR="00CB4357">
              <w:rPr>
                <w:rFonts w:ascii="Times New Roman" w:hAnsi="Times New Roman" w:cs="Times New Roman"/>
                <w:iCs/>
                <w:sz w:val="20"/>
                <w:szCs w:val="20"/>
              </w:rPr>
              <w:t>eltrombopagiem</w:t>
            </w:r>
            <w:proofErr w:type="spellEnd"/>
          </w:p>
          <w:p w14:paraId="22DE0205" w14:textId="12E25DA8" w:rsidR="00C85CE2" w:rsidRPr="0057564A" w:rsidRDefault="00911AB6" w:rsidP="00FF7DF2">
            <w:pPr>
              <w:pStyle w:val="Akapitzlist"/>
              <w:numPr>
                <w:ilvl w:val="3"/>
                <w:numId w:val="34"/>
              </w:numPr>
              <w:spacing w:after="60"/>
              <w:contextualSpacing w:val="0"/>
              <w:jc w:val="both"/>
              <w:rPr>
                <w:rFonts w:ascii="Times New Roman" w:eastAsia="Times New Roman" w:hAnsi="Times New Roman" w:cs="Times New Roman"/>
                <w:sz w:val="20"/>
                <w:szCs w:val="20"/>
                <w:lang w:eastAsia="pl-PL"/>
              </w:rPr>
            </w:pPr>
            <w:r w:rsidRPr="0057564A">
              <w:rPr>
                <w:rFonts w:ascii="Times New Roman" w:hAnsi="Times New Roman" w:cs="Times New Roman"/>
                <w:iCs/>
                <w:sz w:val="20"/>
                <w:szCs w:val="20"/>
              </w:rPr>
              <w:t xml:space="preserve">substancję czynną </w:t>
            </w:r>
            <w:r w:rsidR="00C85CE2" w:rsidRPr="0057564A">
              <w:rPr>
                <w:rFonts w:ascii="Times New Roman" w:hAnsi="Times New Roman" w:cs="Times New Roman"/>
                <w:iCs/>
                <w:sz w:val="20"/>
                <w:szCs w:val="20"/>
              </w:rPr>
              <w:t>lub którąkolwiek substancję pomocniczą</w:t>
            </w:r>
            <w:r w:rsidRPr="0057564A">
              <w:rPr>
                <w:rFonts w:ascii="Times New Roman" w:hAnsi="Times New Roman" w:cs="Times New Roman"/>
                <w:iCs/>
                <w:sz w:val="20"/>
                <w:szCs w:val="20"/>
              </w:rPr>
              <w:t xml:space="preserve"> </w:t>
            </w:r>
            <w:r w:rsidR="0057564A" w:rsidRPr="006B7749">
              <w:rPr>
                <w:rFonts w:ascii="Times New Roman" w:hAnsi="Times New Roman" w:cs="Times New Roman"/>
                <w:iCs/>
                <w:sz w:val="20"/>
                <w:szCs w:val="20"/>
              </w:rPr>
              <w:t xml:space="preserve">lub </w:t>
            </w:r>
            <w:r w:rsidR="0057564A" w:rsidRPr="006B7749">
              <w:rPr>
                <w:rFonts w:ascii="Times New Roman" w:hAnsi="Times New Roman"/>
                <w:sz w:val="20"/>
                <w:szCs w:val="20"/>
              </w:rPr>
              <w:t xml:space="preserve">na białka pochodzące z </w:t>
            </w:r>
            <w:r w:rsidR="0057564A" w:rsidRPr="006B7749">
              <w:rPr>
                <w:rFonts w:ascii="Times New Roman" w:hAnsi="Times New Roman"/>
                <w:i/>
                <w:sz w:val="20"/>
                <w:szCs w:val="20"/>
              </w:rPr>
              <w:t>Escherichia coli</w:t>
            </w:r>
            <w:r w:rsidR="00CB4357">
              <w:rPr>
                <w:rFonts w:ascii="Times New Roman" w:hAnsi="Times New Roman"/>
                <w:i/>
                <w:sz w:val="20"/>
                <w:szCs w:val="20"/>
              </w:rPr>
              <w:t xml:space="preserve"> </w:t>
            </w:r>
            <w:r w:rsidR="00CB4357">
              <w:rPr>
                <w:rFonts w:ascii="Times New Roman" w:hAnsi="Times New Roman" w:cs="Times New Roman"/>
                <w:iCs/>
                <w:sz w:val="20"/>
                <w:szCs w:val="20"/>
              </w:rPr>
              <w:t xml:space="preserve">– dotyczy leczenia </w:t>
            </w:r>
            <w:proofErr w:type="spellStart"/>
            <w:r w:rsidR="0057564A" w:rsidRPr="006B7749">
              <w:rPr>
                <w:rFonts w:ascii="Times New Roman" w:hAnsi="Times New Roman"/>
                <w:iCs/>
                <w:sz w:val="20"/>
                <w:szCs w:val="20"/>
              </w:rPr>
              <w:t>romip</w:t>
            </w:r>
            <w:r w:rsidR="0057564A">
              <w:rPr>
                <w:rFonts w:ascii="Times New Roman" w:hAnsi="Times New Roman"/>
                <w:iCs/>
                <w:sz w:val="20"/>
                <w:szCs w:val="20"/>
              </w:rPr>
              <w:t>l</w:t>
            </w:r>
            <w:r w:rsidR="0057564A" w:rsidRPr="006B7749">
              <w:rPr>
                <w:rFonts w:ascii="Times New Roman" w:hAnsi="Times New Roman"/>
                <w:iCs/>
                <w:sz w:val="20"/>
                <w:szCs w:val="20"/>
              </w:rPr>
              <w:t>ostymem</w:t>
            </w:r>
            <w:proofErr w:type="spellEnd"/>
            <w:r w:rsidR="00C85CE2" w:rsidRPr="0057564A">
              <w:rPr>
                <w:rFonts w:ascii="Times New Roman" w:hAnsi="Times New Roman" w:cs="Times New Roman"/>
                <w:iCs/>
                <w:sz w:val="20"/>
                <w:szCs w:val="20"/>
              </w:rPr>
              <w:t>;</w:t>
            </w:r>
          </w:p>
          <w:p w14:paraId="34D98576" w14:textId="77777777" w:rsidR="00911AB6" w:rsidRPr="00911AB6" w:rsidRDefault="00C85CE2" w:rsidP="00FF7DF2">
            <w:pPr>
              <w:pStyle w:val="Akapitzlist"/>
              <w:numPr>
                <w:ilvl w:val="2"/>
                <w:numId w:val="34"/>
              </w:numPr>
              <w:spacing w:after="60"/>
              <w:contextualSpacing w:val="0"/>
              <w:jc w:val="both"/>
              <w:rPr>
                <w:rFonts w:ascii="Times New Roman" w:eastAsia="Times New Roman" w:hAnsi="Times New Roman" w:cs="Times New Roman"/>
                <w:sz w:val="20"/>
                <w:szCs w:val="20"/>
                <w:lang w:eastAsia="pl-PL"/>
              </w:rPr>
            </w:pPr>
            <w:r w:rsidRPr="0021726E">
              <w:rPr>
                <w:rFonts w:ascii="Times New Roman" w:hAnsi="Times New Roman" w:cs="Times New Roman"/>
                <w:iCs/>
                <w:sz w:val="20"/>
                <w:szCs w:val="20"/>
              </w:rPr>
              <w:t>zaburzenia czynności wątroby</w:t>
            </w:r>
            <w:r w:rsidR="00911AB6">
              <w:rPr>
                <w:rFonts w:ascii="Times New Roman" w:hAnsi="Times New Roman" w:cs="Times New Roman"/>
                <w:iCs/>
                <w:sz w:val="20"/>
                <w:szCs w:val="20"/>
              </w:rPr>
              <w:t>:</w:t>
            </w:r>
          </w:p>
          <w:p w14:paraId="3A002D85" w14:textId="0AB32EE8" w:rsidR="00C85CE2" w:rsidRDefault="00911AB6" w:rsidP="00FF7DF2">
            <w:pPr>
              <w:pStyle w:val="Akapitzlist"/>
              <w:numPr>
                <w:ilvl w:val="4"/>
                <w:numId w:val="34"/>
              </w:numPr>
              <w:spacing w:after="60"/>
              <w:contextualSpacing w:val="0"/>
              <w:jc w:val="both"/>
              <w:rPr>
                <w:rFonts w:ascii="Times New Roman" w:hAnsi="Times New Roman" w:cs="Times New Roman"/>
                <w:iCs/>
                <w:sz w:val="20"/>
                <w:szCs w:val="20"/>
              </w:rPr>
            </w:pPr>
            <w:r>
              <w:rPr>
                <w:rFonts w:ascii="Times New Roman" w:hAnsi="Times New Roman" w:cs="Times New Roman"/>
                <w:iCs/>
                <w:sz w:val="20"/>
                <w:szCs w:val="20"/>
              </w:rPr>
              <w:t>wynik</w:t>
            </w:r>
            <w:r w:rsidR="00C85CE2" w:rsidRPr="0021726E">
              <w:rPr>
                <w:rFonts w:ascii="Times New Roman" w:hAnsi="Times New Roman" w:cs="Times New Roman"/>
                <w:iCs/>
                <w:sz w:val="20"/>
                <w:szCs w:val="20"/>
              </w:rPr>
              <w:t xml:space="preserve"> w skali Child-</w:t>
            </w:r>
            <w:proofErr w:type="spellStart"/>
            <w:r w:rsidR="00C85CE2" w:rsidRPr="0021726E">
              <w:rPr>
                <w:rFonts w:ascii="Times New Roman" w:hAnsi="Times New Roman" w:cs="Times New Roman"/>
                <w:iCs/>
                <w:sz w:val="20"/>
                <w:szCs w:val="20"/>
              </w:rPr>
              <w:t>Pugh</w:t>
            </w:r>
            <w:proofErr w:type="spellEnd"/>
            <w:r w:rsidR="00C85CE2" w:rsidRPr="0021726E">
              <w:rPr>
                <w:rFonts w:ascii="Times New Roman" w:hAnsi="Times New Roman" w:cs="Times New Roman"/>
                <w:iCs/>
                <w:sz w:val="20"/>
                <w:szCs w:val="20"/>
              </w:rPr>
              <w:t xml:space="preserve"> ≥ 5</w:t>
            </w:r>
            <w:r>
              <w:rPr>
                <w:rFonts w:ascii="Times New Roman" w:hAnsi="Times New Roman" w:cs="Times New Roman"/>
                <w:iCs/>
                <w:sz w:val="20"/>
                <w:szCs w:val="20"/>
              </w:rPr>
              <w:t xml:space="preserve"> – dotyczy </w:t>
            </w:r>
            <w:r w:rsidR="00B34D82">
              <w:rPr>
                <w:rFonts w:ascii="Times New Roman" w:hAnsi="Times New Roman" w:cs="Times New Roman"/>
                <w:iCs/>
                <w:sz w:val="20"/>
                <w:szCs w:val="20"/>
              </w:rPr>
              <w:t xml:space="preserve">leczenia </w:t>
            </w:r>
            <w:proofErr w:type="spellStart"/>
            <w:r>
              <w:rPr>
                <w:rFonts w:ascii="Times New Roman" w:hAnsi="Times New Roman" w:cs="Times New Roman"/>
                <w:iCs/>
                <w:sz w:val="20"/>
                <w:szCs w:val="20"/>
              </w:rPr>
              <w:t>eltrombopag</w:t>
            </w:r>
            <w:r w:rsidR="00B34D82">
              <w:rPr>
                <w:rFonts w:ascii="Times New Roman" w:hAnsi="Times New Roman" w:cs="Times New Roman"/>
                <w:iCs/>
                <w:sz w:val="20"/>
                <w:szCs w:val="20"/>
              </w:rPr>
              <w:t>iem</w:t>
            </w:r>
            <w:proofErr w:type="spellEnd"/>
            <w:r w:rsidR="00B34D82">
              <w:rPr>
                <w:rFonts w:ascii="Times New Roman" w:hAnsi="Times New Roman" w:cs="Times New Roman"/>
                <w:iCs/>
                <w:sz w:val="20"/>
                <w:szCs w:val="20"/>
              </w:rPr>
              <w:t>,</w:t>
            </w:r>
          </w:p>
          <w:p w14:paraId="1259393F" w14:textId="28408E6D" w:rsidR="00911AB6" w:rsidRPr="0021726E" w:rsidRDefault="00911AB6" w:rsidP="00FF7DF2">
            <w:pPr>
              <w:pStyle w:val="Akapitzlist"/>
              <w:numPr>
                <w:ilvl w:val="4"/>
                <w:numId w:val="34"/>
              </w:numPr>
              <w:spacing w:after="60"/>
              <w:contextualSpacing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wynik w skali </w:t>
            </w:r>
            <w:r w:rsidRPr="0021726E">
              <w:rPr>
                <w:rFonts w:ascii="Times New Roman" w:hAnsi="Times New Roman" w:cs="Times New Roman"/>
                <w:iCs/>
                <w:sz w:val="20"/>
                <w:szCs w:val="20"/>
              </w:rPr>
              <w:t>Child-</w:t>
            </w:r>
            <w:proofErr w:type="spellStart"/>
            <w:r w:rsidRPr="0021726E">
              <w:rPr>
                <w:rFonts w:ascii="Times New Roman" w:hAnsi="Times New Roman" w:cs="Times New Roman"/>
                <w:iCs/>
                <w:sz w:val="20"/>
                <w:szCs w:val="20"/>
              </w:rPr>
              <w:t>Pugh</w:t>
            </w:r>
            <w:proofErr w:type="spellEnd"/>
            <w:r w:rsidRPr="0021726E">
              <w:rPr>
                <w:rFonts w:ascii="Times New Roman" w:hAnsi="Times New Roman" w:cs="Times New Roman"/>
                <w:iCs/>
                <w:sz w:val="20"/>
                <w:szCs w:val="20"/>
              </w:rPr>
              <w:t xml:space="preserve"> ≥</w:t>
            </w:r>
            <w:r>
              <w:rPr>
                <w:rFonts w:ascii="Times New Roman" w:hAnsi="Times New Roman" w:cs="Times New Roman"/>
                <w:iCs/>
                <w:sz w:val="20"/>
                <w:szCs w:val="20"/>
              </w:rPr>
              <w:t xml:space="preserve"> 7 – dotyczy </w:t>
            </w:r>
            <w:r w:rsidR="00B34D82">
              <w:rPr>
                <w:rFonts w:ascii="Times New Roman" w:hAnsi="Times New Roman" w:cs="Times New Roman"/>
                <w:iCs/>
                <w:sz w:val="20"/>
                <w:szCs w:val="20"/>
              </w:rPr>
              <w:t xml:space="preserve">leczenia </w:t>
            </w:r>
            <w:proofErr w:type="spellStart"/>
            <w:r>
              <w:rPr>
                <w:rFonts w:ascii="Times New Roman" w:hAnsi="Times New Roman" w:cs="Times New Roman"/>
                <w:iCs/>
                <w:sz w:val="20"/>
                <w:szCs w:val="20"/>
              </w:rPr>
              <w:t>romip</w:t>
            </w:r>
            <w:r w:rsidR="00B73EA9">
              <w:rPr>
                <w:rFonts w:ascii="Times New Roman" w:hAnsi="Times New Roman" w:cs="Times New Roman"/>
                <w:iCs/>
                <w:sz w:val="20"/>
                <w:szCs w:val="20"/>
              </w:rPr>
              <w:t>l</w:t>
            </w:r>
            <w:r>
              <w:rPr>
                <w:rFonts w:ascii="Times New Roman" w:hAnsi="Times New Roman" w:cs="Times New Roman"/>
                <w:iCs/>
                <w:sz w:val="20"/>
                <w:szCs w:val="20"/>
              </w:rPr>
              <w:t>ostym</w:t>
            </w:r>
            <w:r w:rsidR="00B34D82">
              <w:rPr>
                <w:rFonts w:ascii="Times New Roman" w:hAnsi="Times New Roman" w:cs="Times New Roman"/>
                <w:iCs/>
                <w:sz w:val="20"/>
                <w:szCs w:val="20"/>
              </w:rPr>
              <w:t>em</w:t>
            </w:r>
            <w:proofErr w:type="spellEnd"/>
            <w:r>
              <w:rPr>
                <w:rFonts w:ascii="Times New Roman" w:hAnsi="Times New Roman" w:cs="Times New Roman"/>
                <w:iCs/>
                <w:sz w:val="20"/>
                <w:szCs w:val="20"/>
              </w:rPr>
              <w:t>;</w:t>
            </w:r>
          </w:p>
          <w:p w14:paraId="33DF0788" w14:textId="77777777" w:rsidR="00C85CE2" w:rsidRPr="0021726E" w:rsidRDefault="00C85CE2" w:rsidP="00FF7DF2">
            <w:pPr>
              <w:pStyle w:val="Akapitzlist"/>
              <w:numPr>
                <w:ilvl w:val="2"/>
                <w:numId w:val="34"/>
              </w:numPr>
              <w:spacing w:after="60"/>
              <w:contextualSpacing w:val="0"/>
              <w:jc w:val="both"/>
              <w:rPr>
                <w:rFonts w:ascii="Times New Roman" w:eastAsia="Times New Roman" w:hAnsi="Times New Roman" w:cs="Times New Roman"/>
                <w:sz w:val="20"/>
                <w:szCs w:val="20"/>
                <w:lang w:eastAsia="pl-PL"/>
              </w:rPr>
            </w:pPr>
            <w:r w:rsidRPr="0021726E">
              <w:rPr>
                <w:rFonts w:ascii="Times New Roman" w:hAnsi="Times New Roman" w:cs="Times New Roman"/>
                <w:sz w:val="20"/>
                <w:szCs w:val="20"/>
              </w:rPr>
              <w:t xml:space="preserve">istotne zwiększenie się aktywności </w:t>
            </w:r>
            <w:proofErr w:type="spellStart"/>
            <w:r w:rsidRPr="0021726E">
              <w:rPr>
                <w:rFonts w:ascii="Times New Roman" w:hAnsi="Times New Roman" w:cs="Times New Roman"/>
                <w:sz w:val="20"/>
                <w:szCs w:val="20"/>
              </w:rPr>
              <w:t>AlAT</w:t>
            </w:r>
            <w:proofErr w:type="spellEnd"/>
            <w:r w:rsidRPr="0021726E">
              <w:rPr>
                <w:rFonts w:ascii="Times New Roman" w:hAnsi="Times New Roman" w:cs="Times New Roman"/>
                <w:sz w:val="20"/>
                <w:szCs w:val="20"/>
              </w:rPr>
              <w:t xml:space="preserve"> (powyżej trzykrotności górnej granicy normy dla lokalnego laboratorium)</w:t>
            </w:r>
            <w:r w:rsidRPr="0021726E">
              <w:rPr>
                <w:rFonts w:ascii="Times New Roman" w:hAnsi="Times New Roman" w:cs="Times New Roman"/>
                <w:i/>
                <w:sz w:val="20"/>
                <w:szCs w:val="20"/>
              </w:rPr>
              <w:t xml:space="preserve"> </w:t>
            </w:r>
            <w:r w:rsidRPr="0021726E">
              <w:rPr>
                <w:rFonts w:ascii="Times New Roman" w:hAnsi="Times New Roman" w:cs="Times New Roman"/>
                <w:sz w:val="20"/>
                <w:szCs w:val="20"/>
              </w:rPr>
              <w:t>w przypadkach, gdy przekroczenie normy:</w:t>
            </w:r>
          </w:p>
          <w:p w14:paraId="0E30B970" w14:textId="77777777" w:rsidR="00C85CE2" w:rsidRPr="0021726E" w:rsidRDefault="00C85CE2" w:rsidP="00FF7DF2">
            <w:pPr>
              <w:pStyle w:val="Akapitzlist"/>
              <w:numPr>
                <w:ilvl w:val="3"/>
                <w:numId w:val="34"/>
              </w:numPr>
              <w:spacing w:after="60"/>
              <w:contextualSpacing w:val="0"/>
              <w:jc w:val="both"/>
              <w:rPr>
                <w:rFonts w:ascii="Times New Roman" w:hAnsi="Times New Roman" w:cs="Times New Roman"/>
                <w:sz w:val="20"/>
                <w:szCs w:val="20"/>
              </w:rPr>
            </w:pPr>
            <w:r w:rsidRPr="0021726E">
              <w:rPr>
                <w:rFonts w:ascii="Times New Roman" w:hAnsi="Times New Roman" w:cs="Times New Roman"/>
                <w:sz w:val="20"/>
                <w:szCs w:val="20"/>
              </w:rPr>
              <w:t>będzie narastać,</w:t>
            </w:r>
          </w:p>
          <w:p w14:paraId="7E46A6AB" w14:textId="77777777" w:rsidR="00C85CE2" w:rsidRPr="00790291" w:rsidRDefault="00C85CE2" w:rsidP="00FF7DF2">
            <w:pPr>
              <w:spacing w:after="60"/>
              <w:ind w:left="340"/>
              <w:jc w:val="both"/>
              <w:rPr>
                <w:rFonts w:ascii="Times New Roman" w:hAnsi="Times New Roman" w:cs="Times New Roman"/>
                <w:sz w:val="20"/>
                <w:szCs w:val="20"/>
              </w:rPr>
            </w:pPr>
            <w:r w:rsidRPr="00790291">
              <w:rPr>
                <w:rFonts w:ascii="Times New Roman" w:hAnsi="Times New Roman" w:cs="Times New Roman"/>
                <w:sz w:val="20"/>
                <w:szCs w:val="20"/>
              </w:rPr>
              <w:t>albo</w:t>
            </w:r>
          </w:p>
          <w:p w14:paraId="7774FC08" w14:textId="77777777" w:rsidR="00C85CE2" w:rsidRPr="0021726E" w:rsidRDefault="00C85CE2" w:rsidP="00FF7DF2">
            <w:pPr>
              <w:pStyle w:val="Akapitzlist"/>
              <w:numPr>
                <w:ilvl w:val="3"/>
                <w:numId w:val="34"/>
              </w:numPr>
              <w:spacing w:after="60"/>
              <w:contextualSpacing w:val="0"/>
              <w:jc w:val="both"/>
              <w:rPr>
                <w:rFonts w:ascii="Times New Roman" w:hAnsi="Times New Roman" w:cs="Times New Roman"/>
                <w:sz w:val="20"/>
                <w:szCs w:val="20"/>
              </w:rPr>
            </w:pPr>
            <w:r w:rsidRPr="0021726E">
              <w:rPr>
                <w:rFonts w:ascii="Times New Roman" w:hAnsi="Times New Roman" w:cs="Times New Roman"/>
                <w:sz w:val="20"/>
                <w:szCs w:val="20"/>
              </w:rPr>
              <w:t xml:space="preserve">będzie utrzymywać się ≥ 4 tygodni, </w:t>
            </w:r>
          </w:p>
          <w:p w14:paraId="5DF5C04E" w14:textId="77777777" w:rsidR="00C85CE2" w:rsidRPr="00790291" w:rsidRDefault="00C85CE2" w:rsidP="00FF7DF2">
            <w:pPr>
              <w:spacing w:after="60"/>
              <w:ind w:left="340"/>
              <w:jc w:val="both"/>
              <w:rPr>
                <w:rFonts w:ascii="Times New Roman" w:hAnsi="Times New Roman" w:cs="Times New Roman"/>
                <w:sz w:val="20"/>
                <w:szCs w:val="20"/>
              </w:rPr>
            </w:pPr>
            <w:r w:rsidRPr="00790291">
              <w:rPr>
                <w:rFonts w:ascii="Times New Roman" w:hAnsi="Times New Roman" w:cs="Times New Roman"/>
                <w:sz w:val="20"/>
                <w:szCs w:val="20"/>
              </w:rPr>
              <w:t>albo</w:t>
            </w:r>
          </w:p>
          <w:p w14:paraId="37DF64DA" w14:textId="77777777" w:rsidR="00C85CE2" w:rsidRPr="0021726E" w:rsidRDefault="00C85CE2" w:rsidP="00FF7DF2">
            <w:pPr>
              <w:pStyle w:val="Akapitzlist"/>
              <w:numPr>
                <w:ilvl w:val="3"/>
                <w:numId w:val="34"/>
              </w:numPr>
              <w:spacing w:after="60"/>
              <w:contextualSpacing w:val="0"/>
              <w:jc w:val="both"/>
              <w:rPr>
                <w:rFonts w:ascii="Times New Roman" w:hAnsi="Times New Roman" w:cs="Times New Roman"/>
                <w:sz w:val="20"/>
                <w:szCs w:val="20"/>
              </w:rPr>
            </w:pPr>
            <w:r w:rsidRPr="0021726E">
              <w:rPr>
                <w:rFonts w:ascii="Times New Roman" w:hAnsi="Times New Roman" w:cs="Times New Roman"/>
                <w:sz w:val="20"/>
                <w:szCs w:val="20"/>
              </w:rPr>
              <w:t>będzie związane ze zwiększeniem stężenia bilirubiny bezpośredniej,</w:t>
            </w:r>
          </w:p>
          <w:p w14:paraId="102CC3FC" w14:textId="77777777" w:rsidR="00C85CE2" w:rsidRPr="00790291" w:rsidRDefault="00C85CE2" w:rsidP="00FF7DF2">
            <w:pPr>
              <w:spacing w:after="60"/>
              <w:ind w:left="340"/>
              <w:jc w:val="both"/>
              <w:rPr>
                <w:rFonts w:ascii="Times New Roman" w:hAnsi="Times New Roman" w:cs="Times New Roman"/>
                <w:sz w:val="20"/>
                <w:szCs w:val="20"/>
              </w:rPr>
            </w:pPr>
            <w:r w:rsidRPr="00790291">
              <w:rPr>
                <w:rFonts w:ascii="Times New Roman" w:hAnsi="Times New Roman" w:cs="Times New Roman"/>
                <w:sz w:val="20"/>
                <w:szCs w:val="20"/>
              </w:rPr>
              <w:t>albo</w:t>
            </w:r>
          </w:p>
          <w:p w14:paraId="20674449" w14:textId="6ED32D22" w:rsidR="00C85CE2" w:rsidRDefault="00C85CE2" w:rsidP="00FF7DF2">
            <w:pPr>
              <w:pStyle w:val="Akapitzlist"/>
              <w:numPr>
                <w:ilvl w:val="3"/>
                <w:numId w:val="34"/>
              </w:numPr>
              <w:spacing w:after="60"/>
              <w:contextualSpacing w:val="0"/>
              <w:jc w:val="both"/>
              <w:rPr>
                <w:rFonts w:ascii="Times New Roman" w:hAnsi="Times New Roman" w:cs="Times New Roman"/>
                <w:sz w:val="20"/>
                <w:szCs w:val="20"/>
              </w:rPr>
            </w:pPr>
            <w:r w:rsidRPr="0021726E">
              <w:rPr>
                <w:rFonts w:ascii="Times New Roman" w:hAnsi="Times New Roman" w:cs="Times New Roman"/>
                <w:sz w:val="20"/>
                <w:szCs w:val="20"/>
              </w:rPr>
              <w:t>będzie związane z objawami klinicznymi uszkodzenia wątroby lub objawami dekompensacji wątroby</w:t>
            </w:r>
            <w:r w:rsidR="00911AB6">
              <w:rPr>
                <w:rFonts w:ascii="Times New Roman" w:hAnsi="Times New Roman" w:cs="Times New Roman"/>
                <w:sz w:val="20"/>
                <w:szCs w:val="20"/>
              </w:rPr>
              <w:t>,</w:t>
            </w:r>
          </w:p>
          <w:p w14:paraId="36776CFC" w14:textId="3FAF720B" w:rsidR="00911AB6" w:rsidRPr="00911AB6" w:rsidRDefault="00790291" w:rsidP="00FF7DF2">
            <w:pPr>
              <w:pStyle w:val="Akapitzlist"/>
              <w:spacing w:after="60"/>
              <w:ind w:left="227"/>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11AB6" w:rsidRPr="00911AB6">
              <w:rPr>
                <w:rFonts w:ascii="Times New Roman" w:hAnsi="Times New Roman" w:cs="Times New Roman"/>
                <w:sz w:val="20"/>
                <w:szCs w:val="20"/>
              </w:rPr>
              <w:t xml:space="preserve">dotyczy </w:t>
            </w:r>
            <w:r w:rsidR="00911AB6">
              <w:rPr>
                <w:rFonts w:ascii="Times New Roman" w:hAnsi="Times New Roman" w:cs="Times New Roman"/>
                <w:sz w:val="20"/>
                <w:szCs w:val="20"/>
              </w:rPr>
              <w:t xml:space="preserve">wyłącznie </w:t>
            </w:r>
            <w:r w:rsidR="00911AB6" w:rsidRPr="00911AB6">
              <w:rPr>
                <w:rFonts w:ascii="Times New Roman" w:hAnsi="Times New Roman" w:cs="Times New Roman"/>
                <w:sz w:val="20"/>
                <w:szCs w:val="20"/>
              </w:rPr>
              <w:t xml:space="preserve">leczenia </w:t>
            </w:r>
            <w:proofErr w:type="spellStart"/>
            <w:r w:rsidR="00911AB6" w:rsidRPr="00911AB6">
              <w:rPr>
                <w:rFonts w:ascii="Times New Roman" w:hAnsi="Times New Roman" w:cs="Times New Roman"/>
                <w:sz w:val="20"/>
                <w:szCs w:val="20"/>
              </w:rPr>
              <w:t>eltrombopagiem</w:t>
            </w:r>
            <w:proofErr w:type="spellEnd"/>
            <w:r w:rsidR="00911AB6">
              <w:rPr>
                <w:rFonts w:ascii="Times New Roman" w:hAnsi="Times New Roman" w:cs="Times New Roman"/>
                <w:sz w:val="20"/>
                <w:szCs w:val="20"/>
              </w:rPr>
              <w:t>;</w:t>
            </w:r>
          </w:p>
          <w:p w14:paraId="34B35EAA" w14:textId="77777777" w:rsidR="00C85CE2" w:rsidRPr="0021726E" w:rsidRDefault="00C85CE2" w:rsidP="00FF7DF2">
            <w:pPr>
              <w:pStyle w:val="Akapitzlist"/>
              <w:numPr>
                <w:ilvl w:val="2"/>
                <w:numId w:val="34"/>
              </w:numPr>
              <w:spacing w:after="60"/>
              <w:contextualSpacing w:val="0"/>
              <w:jc w:val="both"/>
              <w:rPr>
                <w:rFonts w:ascii="Times New Roman" w:eastAsia="Times New Roman" w:hAnsi="Times New Roman" w:cs="Times New Roman"/>
                <w:sz w:val="20"/>
                <w:szCs w:val="20"/>
                <w:lang w:eastAsia="pl-PL"/>
              </w:rPr>
            </w:pPr>
            <w:r w:rsidRPr="0021726E">
              <w:rPr>
                <w:rFonts w:ascii="Times New Roman" w:hAnsi="Times New Roman" w:cs="Times New Roman"/>
                <w:sz w:val="20"/>
                <w:szCs w:val="20"/>
              </w:rPr>
              <w:t xml:space="preserve">ciąża; </w:t>
            </w:r>
          </w:p>
          <w:p w14:paraId="604377CC" w14:textId="77777777" w:rsidR="00C85CE2" w:rsidRPr="0021726E" w:rsidRDefault="00C85CE2" w:rsidP="00FF7DF2">
            <w:pPr>
              <w:pStyle w:val="Akapitzlist"/>
              <w:numPr>
                <w:ilvl w:val="2"/>
                <w:numId w:val="34"/>
              </w:numPr>
              <w:spacing w:after="60"/>
              <w:contextualSpacing w:val="0"/>
              <w:jc w:val="both"/>
              <w:rPr>
                <w:rFonts w:ascii="Times New Roman" w:eastAsia="Times New Roman" w:hAnsi="Times New Roman" w:cs="Times New Roman"/>
                <w:sz w:val="20"/>
                <w:szCs w:val="20"/>
                <w:lang w:eastAsia="pl-PL"/>
              </w:rPr>
            </w:pPr>
            <w:r w:rsidRPr="0021726E">
              <w:rPr>
                <w:rFonts w:ascii="Times New Roman" w:hAnsi="Times New Roman" w:cs="Times New Roman"/>
                <w:sz w:val="20"/>
                <w:szCs w:val="20"/>
              </w:rPr>
              <w:t>karmienie piersią;</w:t>
            </w:r>
          </w:p>
          <w:p w14:paraId="3FB17B78" w14:textId="77777777" w:rsidR="00911AB6" w:rsidRDefault="00C85CE2" w:rsidP="00FF7DF2">
            <w:pPr>
              <w:pStyle w:val="Akapitzlist"/>
              <w:numPr>
                <w:ilvl w:val="2"/>
                <w:numId w:val="34"/>
              </w:numPr>
              <w:spacing w:after="60"/>
              <w:contextualSpacing w:val="0"/>
              <w:jc w:val="both"/>
              <w:rPr>
                <w:rFonts w:ascii="Times New Roman" w:hAnsi="Times New Roman" w:cs="Times New Roman"/>
                <w:iCs/>
                <w:sz w:val="20"/>
                <w:szCs w:val="20"/>
              </w:rPr>
            </w:pPr>
            <w:r w:rsidRPr="0021726E">
              <w:rPr>
                <w:rFonts w:ascii="Times New Roman" w:hAnsi="Times New Roman" w:cs="Times New Roman"/>
                <w:iCs/>
                <w:sz w:val="20"/>
                <w:szCs w:val="20"/>
              </w:rPr>
              <w:t>brak odpowiedzi na leczenie</w:t>
            </w:r>
            <w:r w:rsidR="00911AB6">
              <w:rPr>
                <w:rFonts w:ascii="Times New Roman" w:hAnsi="Times New Roman" w:cs="Times New Roman"/>
                <w:iCs/>
                <w:sz w:val="20"/>
                <w:szCs w:val="20"/>
              </w:rPr>
              <w:t>:</w:t>
            </w:r>
          </w:p>
          <w:p w14:paraId="4A72F982" w14:textId="258E45E6" w:rsidR="00911AB6" w:rsidRDefault="00C85CE2" w:rsidP="00FF7DF2">
            <w:pPr>
              <w:pStyle w:val="Akapitzlist"/>
              <w:numPr>
                <w:ilvl w:val="4"/>
                <w:numId w:val="34"/>
              </w:numPr>
              <w:spacing w:after="60"/>
              <w:contextualSpacing w:val="0"/>
              <w:jc w:val="both"/>
              <w:rPr>
                <w:rFonts w:ascii="Times New Roman" w:hAnsi="Times New Roman" w:cs="Times New Roman"/>
                <w:iCs/>
                <w:sz w:val="20"/>
                <w:szCs w:val="20"/>
              </w:rPr>
            </w:pPr>
            <w:proofErr w:type="spellStart"/>
            <w:r w:rsidRPr="0021726E">
              <w:rPr>
                <w:rFonts w:ascii="Times New Roman" w:hAnsi="Times New Roman" w:cs="Times New Roman"/>
                <w:iCs/>
                <w:sz w:val="20"/>
                <w:szCs w:val="20"/>
              </w:rPr>
              <w:t>eltrombopagiem</w:t>
            </w:r>
            <w:proofErr w:type="spellEnd"/>
            <w:r w:rsidRPr="0021726E">
              <w:rPr>
                <w:rFonts w:ascii="Times New Roman" w:hAnsi="Times New Roman" w:cs="Times New Roman"/>
                <w:iCs/>
                <w:sz w:val="20"/>
                <w:szCs w:val="20"/>
              </w:rPr>
              <w:t xml:space="preserve"> w dawce 75 mg podawanej przez 4 kolejne tygodnie leczenia (4 pomiary)</w:t>
            </w:r>
          </w:p>
          <w:p w14:paraId="5E1C3F07" w14:textId="5E257046" w:rsidR="00911AB6" w:rsidRPr="00790291" w:rsidRDefault="00911AB6" w:rsidP="00FF7DF2">
            <w:pPr>
              <w:spacing w:after="60"/>
              <w:ind w:left="510"/>
              <w:jc w:val="both"/>
              <w:rPr>
                <w:rFonts w:ascii="Times New Roman" w:hAnsi="Times New Roman" w:cs="Times New Roman"/>
                <w:iCs/>
                <w:sz w:val="20"/>
                <w:szCs w:val="20"/>
              </w:rPr>
            </w:pPr>
            <w:r w:rsidRPr="00790291">
              <w:rPr>
                <w:rFonts w:ascii="Times New Roman" w:hAnsi="Times New Roman" w:cs="Times New Roman"/>
                <w:iCs/>
                <w:sz w:val="20"/>
                <w:szCs w:val="20"/>
              </w:rPr>
              <w:t>lub</w:t>
            </w:r>
          </w:p>
          <w:p w14:paraId="2906E89A" w14:textId="77777777" w:rsidR="00415988" w:rsidRDefault="0057564A" w:rsidP="00FF7DF2">
            <w:pPr>
              <w:pStyle w:val="Akapitzlist"/>
              <w:numPr>
                <w:ilvl w:val="4"/>
                <w:numId w:val="34"/>
              </w:numPr>
              <w:spacing w:after="60"/>
              <w:contextualSpacing w:val="0"/>
              <w:jc w:val="both"/>
              <w:rPr>
                <w:rFonts w:ascii="Times New Roman" w:hAnsi="Times New Roman" w:cs="Times New Roman"/>
                <w:iCs/>
                <w:sz w:val="20"/>
                <w:szCs w:val="20"/>
              </w:rPr>
            </w:pPr>
            <w:proofErr w:type="spellStart"/>
            <w:r w:rsidRPr="00C31401">
              <w:rPr>
                <w:rFonts w:ascii="Times New Roman" w:hAnsi="Times New Roman" w:cs="Times New Roman"/>
                <w:iCs/>
                <w:sz w:val="20"/>
                <w:szCs w:val="20"/>
              </w:rPr>
              <w:t>romip</w:t>
            </w:r>
            <w:r>
              <w:rPr>
                <w:rFonts w:ascii="Times New Roman" w:hAnsi="Times New Roman" w:cs="Times New Roman"/>
                <w:iCs/>
                <w:sz w:val="20"/>
                <w:szCs w:val="20"/>
              </w:rPr>
              <w:t>l</w:t>
            </w:r>
            <w:r w:rsidRPr="00C31401">
              <w:rPr>
                <w:rFonts w:ascii="Times New Roman" w:hAnsi="Times New Roman" w:cs="Times New Roman"/>
                <w:iCs/>
                <w:sz w:val="20"/>
                <w:szCs w:val="20"/>
              </w:rPr>
              <w:t>ostymem</w:t>
            </w:r>
            <w:proofErr w:type="spellEnd"/>
            <w:r w:rsidRPr="00C31401">
              <w:rPr>
                <w:rFonts w:ascii="Times New Roman" w:hAnsi="Times New Roman" w:cs="Times New Roman"/>
                <w:iCs/>
                <w:sz w:val="20"/>
                <w:szCs w:val="20"/>
              </w:rPr>
              <w:t xml:space="preserve"> </w:t>
            </w:r>
            <w:r>
              <w:rPr>
                <w:rFonts w:ascii="Times New Roman" w:hAnsi="Times New Roman" w:cs="Times New Roman"/>
                <w:iCs/>
                <w:sz w:val="20"/>
                <w:szCs w:val="20"/>
              </w:rPr>
              <w:t xml:space="preserve">pomimo stosowania </w:t>
            </w:r>
            <w:r w:rsidRPr="00C31401">
              <w:rPr>
                <w:rFonts w:ascii="Times New Roman" w:hAnsi="Times New Roman" w:cs="Times New Roman"/>
                <w:iCs/>
                <w:sz w:val="20"/>
                <w:szCs w:val="20"/>
              </w:rPr>
              <w:t>maksymalnej daw</w:t>
            </w:r>
            <w:r>
              <w:rPr>
                <w:rFonts w:ascii="Times New Roman" w:hAnsi="Times New Roman" w:cs="Times New Roman"/>
                <w:iCs/>
                <w:sz w:val="20"/>
                <w:szCs w:val="20"/>
              </w:rPr>
              <w:t>ki</w:t>
            </w:r>
            <w:r w:rsidRPr="00C31401">
              <w:rPr>
                <w:rFonts w:ascii="Times New Roman" w:hAnsi="Times New Roman" w:cs="Times New Roman"/>
                <w:iCs/>
                <w:sz w:val="20"/>
                <w:szCs w:val="20"/>
              </w:rPr>
              <w:t xml:space="preserve"> (10</w:t>
            </w:r>
            <w:r>
              <w:rPr>
                <w:rFonts w:ascii="Times New Roman" w:hAnsi="Times New Roman" w:cs="Times New Roman"/>
                <w:iCs/>
                <w:sz w:val="20"/>
                <w:szCs w:val="20"/>
              </w:rPr>
              <w:t> </w:t>
            </w:r>
            <w:proofErr w:type="spellStart"/>
            <w:r w:rsidRPr="00C31401">
              <w:rPr>
                <w:rFonts w:ascii="Times New Roman" w:hAnsi="Times New Roman" w:cs="Times New Roman"/>
                <w:iCs/>
                <w:sz w:val="20"/>
                <w:szCs w:val="20"/>
              </w:rPr>
              <w:t>μg</w:t>
            </w:r>
            <w:proofErr w:type="spellEnd"/>
            <w:r w:rsidRPr="00C31401">
              <w:rPr>
                <w:rFonts w:ascii="Times New Roman" w:hAnsi="Times New Roman" w:cs="Times New Roman"/>
                <w:iCs/>
                <w:sz w:val="20"/>
                <w:szCs w:val="20"/>
              </w:rPr>
              <w:t>/kg</w:t>
            </w:r>
            <w:r>
              <w:rPr>
                <w:rFonts w:ascii="Times New Roman" w:hAnsi="Times New Roman" w:cs="Times New Roman"/>
                <w:iCs/>
                <w:sz w:val="20"/>
                <w:szCs w:val="20"/>
              </w:rPr>
              <w:t> </w:t>
            </w:r>
            <w:r w:rsidRPr="00C31401">
              <w:rPr>
                <w:rFonts w:ascii="Times New Roman" w:hAnsi="Times New Roman" w:cs="Times New Roman"/>
                <w:iCs/>
                <w:sz w:val="20"/>
                <w:szCs w:val="20"/>
              </w:rPr>
              <w:t>mc.) przez 4</w:t>
            </w:r>
            <w:r>
              <w:rPr>
                <w:rFonts w:ascii="Times New Roman" w:hAnsi="Times New Roman" w:cs="Times New Roman"/>
                <w:iCs/>
                <w:sz w:val="20"/>
                <w:szCs w:val="20"/>
              </w:rPr>
              <w:t> </w:t>
            </w:r>
            <w:r w:rsidRPr="00C31401">
              <w:rPr>
                <w:rFonts w:ascii="Times New Roman" w:hAnsi="Times New Roman" w:cs="Times New Roman"/>
                <w:iCs/>
                <w:sz w:val="20"/>
                <w:szCs w:val="20"/>
              </w:rPr>
              <w:t>kolejne tygodnie leczenia</w:t>
            </w:r>
            <w:r w:rsidR="00C85CE2" w:rsidRPr="0021726E">
              <w:rPr>
                <w:rFonts w:ascii="Times New Roman" w:hAnsi="Times New Roman" w:cs="Times New Roman"/>
                <w:iCs/>
                <w:sz w:val="20"/>
                <w:szCs w:val="20"/>
              </w:rPr>
              <w:t>.</w:t>
            </w:r>
          </w:p>
          <w:p w14:paraId="2B04ECFF" w14:textId="7C8F85A4" w:rsidR="00FF7DF2" w:rsidRPr="00911AB6" w:rsidRDefault="00FF7DF2" w:rsidP="00FF7DF2">
            <w:pPr>
              <w:pStyle w:val="Akapitzlist"/>
              <w:spacing w:after="60"/>
              <w:ind w:left="680"/>
              <w:contextualSpacing w:val="0"/>
              <w:jc w:val="both"/>
              <w:rPr>
                <w:rFonts w:ascii="Times New Roman" w:hAnsi="Times New Roman" w:cs="Times New Roman"/>
                <w:iCs/>
                <w:sz w:val="20"/>
                <w:szCs w:val="20"/>
              </w:rPr>
            </w:pPr>
          </w:p>
        </w:tc>
        <w:tc>
          <w:tcPr>
            <w:tcW w:w="1273" w:type="pct"/>
          </w:tcPr>
          <w:p w14:paraId="0D843D3D" w14:textId="2C84D3F7" w:rsidR="00415988" w:rsidRPr="009F096A" w:rsidRDefault="00C85CE2" w:rsidP="00FF7DF2">
            <w:pPr>
              <w:pStyle w:val="Akapitzlist"/>
              <w:widowControl w:val="0"/>
              <w:numPr>
                <w:ilvl w:val="0"/>
                <w:numId w:val="35"/>
              </w:numPr>
              <w:spacing w:before="120" w:after="60"/>
              <w:contextualSpacing w:val="0"/>
              <w:jc w:val="both"/>
              <w:rPr>
                <w:rFonts w:ascii="Times New Roman" w:eastAsia="Times New Roman" w:hAnsi="Times New Roman" w:cs="Times New Roman"/>
                <w:b/>
                <w:sz w:val="20"/>
                <w:szCs w:val="20"/>
                <w:lang w:eastAsia="pl-PL"/>
              </w:rPr>
            </w:pPr>
            <w:r w:rsidRPr="009F096A">
              <w:rPr>
                <w:rFonts w:ascii="Times New Roman" w:eastAsia="Times New Roman" w:hAnsi="Times New Roman" w:cs="Times New Roman"/>
                <w:b/>
                <w:sz w:val="20"/>
                <w:szCs w:val="20"/>
                <w:lang w:eastAsia="pl-PL"/>
              </w:rPr>
              <w:lastRenderedPageBreak/>
              <w:t>Dawkowanie</w:t>
            </w:r>
            <w:r w:rsidR="009F096A" w:rsidRPr="009F096A">
              <w:rPr>
                <w:rFonts w:ascii="Times New Roman" w:eastAsia="Times New Roman" w:hAnsi="Times New Roman" w:cs="Times New Roman"/>
                <w:b/>
                <w:sz w:val="20"/>
                <w:szCs w:val="20"/>
                <w:lang w:eastAsia="pl-PL"/>
              </w:rPr>
              <w:t xml:space="preserve"> </w:t>
            </w:r>
            <w:proofErr w:type="spellStart"/>
            <w:r w:rsidR="009F096A">
              <w:rPr>
                <w:rFonts w:ascii="Times New Roman" w:eastAsia="Times New Roman" w:hAnsi="Times New Roman" w:cs="Times New Roman"/>
                <w:b/>
                <w:sz w:val="20"/>
                <w:szCs w:val="20"/>
                <w:lang w:eastAsia="pl-PL"/>
              </w:rPr>
              <w:t>e</w:t>
            </w:r>
            <w:r w:rsidR="00415988" w:rsidRPr="009F096A">
              <w:rPr>
                <w:rFonts w:ascii="Times New Roman" w:eastAsia="Times New Roman" w:hAnsi="Times New Roman" w:cs="Times New Roman"/>
                <w:b/>
                <w:sz w:val="20"/>
                <w:szCs w:val="20"/>
                <w:lang w:eastAsia="pl-PL"/>
              </w:rPr>
              <w:t>ltrombopag</w:t>
            </w:r>
            <w:r w:rsidR="009F096A">
              <w:rPr>
                <w:rFonts w:ascii="Times New Roman" w:eastAsia="Times New Roman" w:hAnsi="Times New Roman" w:cs="Times New Roman"/>
                <w:b/>
                <w:sz w:val="20"/>
                <w:szCs w:val="20"/>
                <w:lang w:eastAsia="pl-PL"/>
              </w:rPr>
              <w:t>u</w:t>
            </w:r>
            <w:proofErr w:type="spellEnd"/>
          </w:p>
          <w:p w14:paraId="252E00F0" w14:textId="77777777" w:rsidR="00415988" w:rsidRPr="0021726E" w:rsidRDefault="00415988" w:rsidP="00FF7DF2">
            <w:pPr>
              <w:pStyle w:val="Akapitzlist"/>
              <w:numPr>
                <w:ilvl w:val="2"/>
                <w:numId w:val="35"/>
              </w:numPr>
              <w:spacing w:after="60"/>
              <w:contextualSpacing w:val="0"/>
              <w:jc w:val="both"/>
              <w:rPr>
                <w:rFonts w:ascii="Times New Roman" w:hAnsi="Times New Roman" w:cs="Times New Roman"/>
                <w:sz w:val="20"/>
                <w:szCs w:val="20"/>
              </w:rPr>
            </w:pPr>
            <w:r w:rsidRPr="0021726E">
              <w:rPr>
                <w:rFonts w:ascii="Times New Roman" w:hAnsi="Times New Roman" w:cs="Times New Roman"/>
                <w:sz w:val="20"/>
                <w:szCs w:val="20"/>
              </w:rPr>
              <w:t xml:space="preserve">zalecana dawka początkowa </w:t>
            </w:r>
            <w:proofErr w:type="spellStart"/>
            <w:r w:rsidRPr="0021726E">
              <w:rPr>
                <w:rFonts w:ascii="Times New Roman" w:hAnsi="Times New Roman" w:cs="Times New Roman"/>
                <w:sz w:val="20"/>
                <w:szCs w:val="20"/>
              </w:rPr>
              <w:t>eltrombopagu</w:t>
            </w:r>
            <w:proofErr w:type="spellEnd"/>
            <w:r w:rsidRPr="0021726E">
              <w:rPr>
                <w:rFonts w:ascii="Times New Roman" w:hAnsi="Times New Roman" w:cs="Times New Roman"/>
                <w:sz w:val="20"/>
                <w:szCs w:val="20"/>
              </w:rPr>
              <w:t xml:space="preserve"> wynosi: </w:t>
            </w:r>
          </w:p>
          <w:p w14:paraId="70E6BE5E" w14:textId="77777777" w:rsidR="00415988" w:rsidRPr="0021726E" w:rsidRDefault="00415988" w:rsidP="00FF7DF2">
            <w:pPr>
              <w:pStyle w:val="Akapitzlist"/>
              <w:numPr>
                <w:ilvl w:val="4"/>
                <w:numId w:val="35"/>
              </w:numPr>
              <w:spacing w:after="60"/>
              <w:contextualSpacing w:val="0"/>
              <w:jc w:val="both"/>
              <w:rPr>
                <w:rFonts w:ascii="Times New Roman" w:hAnsi="Times New Roman" w:cs="Times New Roman"/>
                <w:sz w:val="20"/>
                <w:szCs w:val="20"/>
              </w:rPr>
            </w:pPr>
            <w:r w:rsidRPr="0021726E">
              <w:rPr>
                <w:rFonts w:ascii="Times New Roman" w:eastAsia="ScalaLancetPro" w:hAnsi="Times New Roman" w:cs="Times New Roman"/>
                <w:sz w:val="20"/>
                <w:szCs w:val="20"/>
              </w:rPr>
              <w:t xml:space="preserve">50 mg raz na dobę - dla pacjentów w wieku 6-17 lat, </w:t>
            </w:r>
          </w:p>
          <w:p w14:paraId="5F220B6A" w14:textId="77777777" w:rsidR="00415988" w:rsidRPr="0021726E" w:rsidRDefault="00415988" w:rsidP="00FF7DF2">
            <w:pPr>
              <w:pStyle w:val="Akapitzlist"/>
              <w:numPr>
                <w:ilvl w:val="4"/>
                <w:numId w:val="35"/>
              </w:numPr>
              <w:spacing w:after="60"/>
              <w:contextualSpacing w:val="0"/>
              <w:jc w:val="both"/>
              <w:rPr>
                <w:rFonts w:ascii="Times New Roman" w:hAnsi="Times New Roman" w:cs="Times New Roman"/>
                <w:sz w:val="20"/>
                <w:szCs w:val="20"/>
              </w:rPr>
            </w:pPr>
            <w:r w:rsidRPr="0021726E">
              <w:rPr>
                <w:rFonts w:ascii="Times New Roman" w:eastAsia="ScalaLancetPro" w:hAnsi="Times New Roman" w:cs="Times New Roman"/>
                <w:sz w:val="20"/>
                <w:szCs w:val="20"/>
              </w:rPr>
              <w:t>25 mg raz na dobę - dla pacjentów w wieku 1-5 lat oraz dla pacjentów pochodzenia wschodnioazjatyckiego;</w:t>
            </w:r>
          </w:p>
          <w:p w14:paraId="381CD7AC" w14:textId="77777777" w:rsidR="00415988" w:rsidRPr="0021726E" w:rsidRDefault="00415988" w:rsidP="00FF7DF2">
            <w:pPr>
              <w:pStyle w:val="Akapitzlist"/>
              <w:numPr>
                <w:ilvl w:val="2"/>
                <w:numId w:val="35"/>
              </w:numPr>
              <w:spacing w:after="60"/>
              <w:contextualSpacing w:val="0"/>
              <w:jc w:val="both"/>
              <w:rPr>
                <w:rFonts w:ascii="Times New Roman" w:hAnsi="Times New Roman" w:cs="Times New Roman"/>
                <w:sz w:val="20"/>
                <w:szCs w:val="20"/>
              </w:rPr>
            </w:pPr>
            <w:r w:rsidRPr="0021726E">
              <w:rPr>
                <w:rFonts w:ascii="Times New Roman" w:hAnsi="Times New Roman" w:cs="Times New Roman"/>
                <w:sz w:val="20"/>
                <w:szCs w:val="20"/>
              </w:rPr>
              <w:t>maksymalna dawka dobowa wynosi 75 mg;</w:t>
            </w:r>
          </w:p>
          <w:p w14:paraId="458AA61E" w14:textId="71614318" w:rsidR="00415988" w:rsidRPr="0021726E" w:rsidRDefault="00415988" w:rsidP="00FF7DF2">
            <w:pPr>
              <w:pStyle w:val="Akapitzlist"/>
              <w:numPr>
                <w:ilvl w:val="2"/>
                <w:numId w:val="35"/>
              </w:numPr>
              <w:spacing w:after="60"/>
              <w:contextualSpacing w:val="0"/>
              <w:jc w:val="both"/>
              <w:rPr>
                <w:rFonts w:ascii="Times New Roman" w:hAnsi="Times New Roman" w:cs="Times New Roman"/>
                <w:sz w:val="20"/>
                <w:szCs w:val="20"/>
              </w:rPr>
            </w:pPr>
            <w:r w:rsidRPr="0021726E">
              <w:rPr>
                <w:rFonts w:ascii="Times New Roman" w:hAnsi="Times New Roman" w:cs="Times New Roman"/>
                <w:sz w:val="20"/>
                <w:szCs w:val="20"/>
              </w:rPr>
              <w:t>dawkę leku modyfikuje się indywidualnie w zależności od liczby płytek krwi pacjenta -</w:t>
            </w:r>
            <w:r w:rsidR="00E853F2">
              <w:rPr>
                <w:rFonts w:ascii="Times New Roman" w:hAnsi="Times New Roman" w:cs="Times New Roman"/>
                <w:sz w:val="20"/>
                <w:szCs w:val="20"/>
              </w:rPr>
              <w:t xml:space="preserve"> </w:t>
            </w:r>
            <w:r w:rsidRPr="0021726E">
              <w:rPr>
                <w:rFonts w:ascii="Times New Roman" w:hAnsi="Times New Roman" w:cs="Times New Roman"/>
                <w:sz w:val="20"/>
                <w:szCs w:val="20"/>
              </w:rPr>
              <w:t xml:space="preserve">zgodnie z aktualną </w:t>
            </w:r>
            <w:r w:rsidR="00E853F2">
              <w:rPr>
                <w:rFonts w:ascii="Times New Roman" w:hAnsi="Times New Roman" w:cs="Times New Roman"/>
                <w:sz w:val="20"/>
                <w:szCs w:val="20"/>
              </w:rPr>
              <w:t xml:space="preserve">na dzień wydania decyzji </w:t>
            </w:r>
            <w:r w:rsidRPr="0021726E">
              <w:rPr>
                <w:rFonts w:ascii="Times New Roman" w:hAnsi="Times New Roman" w:cs="Times New Roman"/>
                <w:sz w:val="20"/>
                <w:szCs w:val="20"/>
              </w:rPr>
              <w:t>Charakterystyką Produktu Leczniczego.</w:t>
            </w:r>
          </w:p>
          <w:p w14:paraId="5623D8FC" w14:textId="3E637C1D" w:rsidR="00415988" w:rsidRDefault="00415988" w:rsidP="00FF7DF2">
            <w:pPr>
              <w:pStyle w:val="Akapitzlist"/>
              <w:spacing w:after="60"/>
              <w:ind w:left="397"/>
              <w:contextualSpacing w:val="0"/>
              <w:jc w:val="both"/>
              <w:rPr>
                <w:rFonts w:ascii="Times New Roman" w:hAnsi="Times New Roman" w:cs="Times New Roman"/>
                <w:sz w:val="20"/>
                <w:szCs w:val="20"/>
              </w:rPr>
            </w:pPr>
            <w:r w:rsidRPr="00B76641">
              <w:rPr>
                <w:rFonts w:ascii="Times New Roman" w:hAnsi="Times New Roman" w:cs="Times New Roman"/>
                <w:sz w:val="20"/>
                <w:szCs w:val="20"/>
              </w:rPr>
              <w:t>Celem modyfikacji dawek jest osiągnięcie minimalnej dawki pozwalającej utrzymać liczbę płytek ≥</w:t>
            </w:r>
            <w:r w:rsidR="00E853F2" w:rsidRPr="00B76641">
              <w:rPr>
                <w:rFonts w:ascii="Times New Roman" w:hAnsi="Times New Roman" w:cs="Times New Roman"/>
                <w:sz w:val="20"/>
                <w:szCs w:val="20"/>
              </w:rPr>
              <w:t> </w:t>
            </w:r>
            <w:r w:rsidR="005923B5" w:rsidRPr="00B76641">
              <w:rPr>
                <w:rFonts w:ascii="Times New Roman" w:hAnsi="Times New Roman"/>
                <w:sz w:val="20"/>
                <w:szCs w:val="20"/>
              </w:rPr>
              <w:t xml:space="preserve">50 </w:t>
            </w:r>
            <w:proofErr w:type="spellStart"/>
            <w:r w:rsidR="005923B5" w:rsidRPr="00B76641">
              <w:rPr>
                <w:rFonts w:ascii="Times New Roman" w:hAnsi="Times New Roman"/>
                <w:sz w:val="20"/>
                <w:szCs w:val="20"/>
              </w:rPr>
              <w:t>tys</w:t>
            </w:r>
            <w:proofErr w:type="spellEnd"/>
            <w:r w:rsidR="005923B5" w:rsidRPr="00B76641">
              <w:rPr>
                <w:rFonts w:ascii="Times New Roman" w:hAnsi="Times New Roman"/>
                <w:sz w:val="20"/>
                <w:szCs w:val="20"/>
              </w:rPr>
              <w:t>/</w:t>
            </w:r>
            <w:proofErr w:type="spellStart"/>
            <w:r w:rsidR="005923B5" w:rsidRPr="00B76641">
              <w:rPr>
                <w:rFonts w:ascii="Times New Roman" w:hAnsi="Times New Roman"/>
                <w:sz w:val="20"/>
                <w:szCs w:val="20"/>
              </w:rPr>
              <w:t>μl</w:t>
            </w:r>
            <w:proofErr w:type="spellEnd"/>
            <w:r w:rsidRPr="00B76641">
              <w:rPr>
                <w:rFonts w:ascii="Times New Roman" w:hAnsi="Times New Roman" w:cs="Times New Roman"/>
                <w:sz w:val="20"/>
                <w:szCs w:val="20"/>
              </w:rPr>
              <w:t>.</w:t>
            </w:r>
          </w:p>
          <w:p w14:paraId="099D41AD" w14:textId="77777777" w:rsidR="00790291" w:rsidRPr="00B76641" w:rsidRDefault="00790291" w:rsidP="00FF7DF2">
            <w:pPr>
              <w:pStyle w:val="Akapitzlist"/>
              <w:spacing w:after="60"/>
              <w:ind w:left="397"/>
              <w:contextualSpacing w:val="0"/>
              <w:jc w:val="both"/>
              <w:rPr>
                <w:rFonts w:ascii="Times New Roman" w:hAnsi="Times New Roman" w:cs="Times New Roman"/>
                <w:sz w:val="20"/>
                <w:szCs w:val="20"/>
              </w:rPr>
            </w:pPr>
          </w:p>
          <w:p w14:paraId="400D4CC7" w14:textId="746D007F" w:rsidR="00415988" w:rsidRPr="009F096A" w:rsidRDefault="009F096A" w:rsidP="00FF7DF2">
            <w:pPr>
              <w:pStyle w:val="Akapitzlist"/>
              <w:numPr>
                <w:ilvl w:val="0"/>
                <w:numId w:val="35"/>
              </w:numPr>
              <w:spacing w:after="6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Dawkowanie </w:t>
            </w:r>
            <w:proofErr w:type="spellStart"/>
            <w:r>
              <w:rPr>
                <w:rFonts w:ascii="Times New Roman" w:hAnsi="Times New Roman" w:cs="Times New Roman"/>
                <w:b/>
                <w:sz w:val="20"/>
                <w:szCs w:val="20"/>
              </w:rPr>
              <w:t>r</w:t>
            </w:r>
            <w:r w:rsidR="00415988" w:rsidRPr="009F096A">
              <w:rPr>
                <w:rFonts w:ascii="Times New Roman" w:hAnsi="Times New Roman" w:cs="Times New Roman"/>
                <w:b/>
                <w:sz w:val="20"/>
                <w:szCs w:val="20"/>
              </w:rPr>
              <w:t>omiplostym</w:t>
            </w:r>
            <w:r>
              <w:rPr>
                <w:rFonts w:ascii="Times New Roman" w:hAnsi="Times New Roman" w:cs="Times New Roman"/>
                <w:b/>
                <w:sz w:val="20"/>
                <w:szCs w:val="20"/>
              </w:rPr>
              <w:t>u</w:t>
            </w:r>
            <w:proofErr w:type="spellEnd"/>
          </w:p>
          <w:p w14:paraId="5947321A" w14:textId="77777777" w:rsidR="00415988" w:rsidRPr="0021726E" w:rsidRDefault="00415988" w:rsidP="00FF7DF2">
            <w:pPr>
              <w:pStyle w:val="ColorfulList-Accent11"/>
              <w:numPr>
                <w:ilvl w:val="2"/>
                <w:numId w:val="35"/>
              </w:numPr>
              <w:autoSpaceDE w:val="0"/>
              <w:autoSpaceDN w:val="0"/>
              <w:adjustRightInd w:val="0"/>
              <w:spacing w:before="0"/>
              <w:contextualSpacing w:val="0"/>
              <w:rPr>
                <w:rFonts w:ascii="Times New Roman" w:hAnsi="Times New Roman"/>
                <w:sz w:val="20"/>
                <w:szCs w:val="20"/>
                <w:lang w:val="pl-PL"/>
              </w:rPr>
            </w:pPr>
            <w:proofErr w:type="spellStart"/>
            <w:r w:rsidRPr="0021726E">
              <w:rPr>
                <w:rFonts w:ascii="Times New Roman" w:hAnsi="Times New Roman"/>
                <w:sz w:val="20"/>
                <w:szCs w:val="20"/>
                <w:lang w:val="pl-PL"/>
              </w:rPr>
              <w:t>romiplostym</w:t>
            </w:r>
            <w:proofErr w:type="spellEnd"/>
            <w:r w:rsidRPr="0021726E">
              <w:rPr>
                <w:rFonts w:ascii="Times New Roman" w:hAnsi="Times New Roman"/>
                <w:sz w:val="20"/>
                <w:szCs w:val="20"/>
                <w:lang w:val="pl-PL"/>
              </w:rPr>
              <w:t xml:space="preserve"> powinien być podawany raz w tygodniu, jako wstrzyknięcie podskórne;</w:t>
            </w:r>
          </w:p>
          <w:p w14:paraId="658DADB6" w14:textId="15CF7F53" w:rsidR="00415988" w:rsidRPr="0021726E" w:rsidRDefault="00415988" w:rsidP="00FF7DF2">
            <w:pPr>
              <w:pStyle w:val="ColorfulList-Accent11"/>
              <w:numPr>
                <w:ilvl w:val="2"/>
                <w:numId w:val="35"/>
              </w:numPr>
              <w:spacing w:before="0"/>
              <w:contextualSpacing w:val="0"/>
              <w:rPr>
                <w:rFonts w:ascii="Times New Roman" w:hAnsi="Times New Roman"/>
                <w:sz w:val="20"/>
                <w:szCs w:val="20"/>
                <w:lang w:val="pl-PL"/>
              </w:rPr>
            </w:pPr>
            <w:r w:rsidRPr="0021726E">
              <w:rPr>
                <w:rFonts w:ascii="Times New Roman" w:hAnsi="Times New Roman"/>
                <w:sz w:val="20"/>
                <w:szCs w:val="20"/>
                <w:lang w:val="pl-PL"/>
              </w:rPr>
              <w:lastRenderedPageBreak/>
              <w:t xml:space="preserve">początkowa dawka </w:t>
            </w:r>
            <w:proofErr w:type="spellStart"/>
            <w:r w:rsidRPr="0021726E">
              <w:rPr>
                <w:rFonts w:ascii="Times New Roman" w:hAnsi="Times New Roman"/>
                <w:sz w:val="20"/>
                <w:szCs w:val="20"/>
                <w:lang w:val="pl-PL"/>
              </w:rPr>
              <w:t>romiplostymu</w:t>
            </w:r>
            <w:proofErr w:type="spellEnd"/>
            <w:r w:rsidRPr="0021726E">
              <w:rPr>
                <w:rFonts w:ascii="Times New Roman" w:hAnsi="Times New Roman"/>
                <w:sz w:val="20"/>
                <w:szCs w:val="20"/>
                <w:lang w:val="pl-PL"/>
              </w:rPr>
              <w:t xml:space="preserve"> wynosi 1 µg/kg mc., z uwzględnieniem masy ciała pacjenta na początku leczenia;</w:t>
            </w:r>
          </w:p>
          <w:p w14:paraId="29DA8B2C" w14:textId="77777777" w:rsidR="00C85CE2" w:rsidRDefault="00415988" w:rsidP="00FF7DF2">
            <w:pPr>
              <w:pStyle w:val="ColorfulList-Accent11"/>
              <w:numPr>
                <w:ilvl w:val="2"/>
                <w:numId w:val="35"/>
              </w:numPr>
              <w:spacing w:before="0"/>
              <w:contextualSpacing w:val="0"/>
              <w:rPr>
                <w:rFonts w:ascii="Times New Roman" w:hAnsi="Times New Roman"/>
                <w:sz w:val="20"/>
                <w:szCs w:val="20"/>
                <w:lang w:val="pl-PL"/>
              </w:rPr>
            </w:pPr>
            <w:r w:rsidRPr="0021726E">
              <w:rPr>
                <w:rFonts w:ascii="Times New Roman" w:hAnsi="Times New Roman"/>
                <w:sz w:val="20"/>
                <w:szCs w:val="20"/>
                <w:lang w:val="pl-PL"/>
              </w:rPr>
              <w:t xml:space="preserve">następnie dawkę leku ustala się indywidualnie w zależności od liczby płytek krwi </w:t>
            </w:r>
            <w:r w:rsidR="00E853F2">
              <w:rPr>
                <w:rFonts w:ascii="Times New Roman" w:hAnsi="Times New Roman"/>
                <w:sz w:val="20"/>
                <w:szCs w:val="20"/>
                <w:lang w:val="pl-PL"/>
              </w:rPr>
              <w:t>pacjenta</w:t>
            </w:r>
            <w:r w:rsidRPr="0021726E">
              <w:rPr>
                <w:rFonts w:ascii="Times New Roman" w:hAnsi="Times New Roman"/>
                <w:sz w:val="20"/>
                <w:szCs w:val="20"/>
                <w:lang w:val="pl-PL"/>
              </w:rPr>
              <w:t xml:space="preserve"> oraz zmiany masy ciała - </w:t>
            </w:r>
            <w:r w:rsidR="00E853F2" w:rsidRPr="00E853F2">
              <w:rPr>
                <w:rFonts w:ascii="Times New Roman" w:hAnsi="Times New Roman"/>
                <w:sz w:val="20"/>
                <w:szCs w:val="20"/>
                <w:lang w:val="pl-PL"/>
              </w:rPr>
              <w:t>zgodnie z aktualną na dzień wydania decyzji Charakterystyką Produktu Leczniczego</w:t>
            </w:r>
            <w:r w:rsidRPr="0021726E">
              <w:rPr>
                <w:rFonts w:ascii="Times New Roman" w:hAnsi="Times New Roman"/>
                <w:sz w:val="20"/>
                <w:szCs w:val="20"/>
                <w:lang w:val="pl-PL"/>
              </w:rPr>
              <w:t>.</w:t>
            </w:r>
          </w:p>
          <w:p w14:paraId="60FDDDFC" w14:textId="1E2587DE" w:rsidR="0018408D" w:rsidRPr="00902BBF" w:rsidRDefault="0018408D" w:rsidP="00FF7DF2">
            <w:pPr>
              <w:pStyle w:val="ColorfulList-Accent11"/>
              <w:spacing w:before="0"/>
              <w:ind w:left="397"/>
              <w:contextualSpacing w:val="0"/>
              <w:rPr>
                <w:rFonts w:ascii="Times New Roman" w:hAnsi="Times New Roman"/>
                <w:sz w:val="20"/>
                <w:szCs w:val="20"/>
                <w:lang w:val="pl-PL"/>
              </w:rPr>
            </w:pPr>
            <w:r w:rsidRPr="0018408D">
              <w:rPr>
                <w:rFonts w:ascii="Times New Roman" w:hAnsi="Times New Roman"/>
                <w:sz w:val="20"/>
                <w:szCs w:val="20"/>
                <w:lang w:val="pl-PL"/>
              </w:rPr>
              <w:t xml:space="preserve">Celem modyfikacji dawek jest osiągnięcie minimalnej dawki pozwalające utrzymać </w:t>
            </w:r>
            <w:r w:rsidR="005923B5">
              <w:rPr>
                <w:rFonts w:ascii="Times New Roman" w:hAnsi="Times New Roman"/>
                <w:sz w:val="20"/>
                <w:szCs w:val="20"/>
                <w:lang w:val="pl-PL"/>
              </w:rPr>
              <w:t xml:space="preserve">liczbę płytek </w:t>
            </w:r>
            <w:r w:rsidR="005923B5" w:rsidRPr="0021726E">
              <w:rPr>
                <w:rFonts w:ascii="Times New Roman" w:hAnsi="Times New Roman"/>
                <w:sz w:val="20"/>
                <w:szCs w:val="20"/>
              </w:rPr>
              <w:t>≥</w:t>
            </w:r>
            <w:r w:rsidR="005923B5">
              <w:rPr>
                <w:rFonts w:ascii="Times New Roman" w:hAnsi="Times New Roman"/>
                <w:sz w:val="20"/>
                <w:szCs w:val="20"/>
              </w:rPr>
              <w:t> </w:t>
            </w:r>
            <w:r w:rsidRPr="0018408D">
              <w:rPr>
                <w:rFonts w:ascii="Times New Roman" w:hAnsi="Times New Roman"/>
                <w:sz w:val="20"/>
                <w:szCs w:val="20"/>
                <w:lang w:val="pl-PL"/>
              </w:rPr>
              <w:t xml:space="preserve">50 </w:t>
            </w:r>
            <w:proofErr w:type="spellStart"/>
            <w:r w:rsidRPr="0018408D">
              <w:rPr>
                <w:rFonts w:ascii="Times New Roman" w:hAnsi="Times New Roman"/>
                <w:sz w:val="20"/>
                <w:szCs w:val="20"/>
                <w:lang w:val="pl-PL"/>
              </w:rPr>
              <w:t>tys</w:t>
            </w:r>
            <w:proofErr w:type="spellEnd"/>
            <w:r w:rsidRPr="0018408D">
              <w:rPr>
                <w:rFonts w:ascii="Times New Roman" w:hAnsi="Times New Roman"/>
                <w:sz w:val="20"/>
                <w:szCs w:val="20"/>
                <w:lang w:val="pl-PL"/>
              </w:rPr>
              <w:t>/</w:t>
            </w:r>
            <w:proofErr w:type="spellStart"/>
            <w:r w:rsidRPr="0018408D">
              <w:rPr>
                <w:rFonts w:ascii="Times New Roman" w:hAnsi="Times New Roman"/>
                <w:sz w:val="20"/>
                <w:szCs w:val="20"/>
                <w:lang w:val="pl-PL"/>
              </w:rPr>
              <w:t>μl</w:t>
            </w:r>
            <w:proofErr w:type="spellEnd"/>
            <w:r w:rsidR="005923B5">
              <w:rPr>
                <w:rFonts w:ascii="Times New Roman" w:hAnsi="Times New Roman"/>
                <w:sz w:val="20"/>
                <w:szCs w:val="20"/>
                <w:lang w:val="pl-PL"/>
              </w:rPr>
              <w:t>.</w:t>
            </w:r>
          </w:p>
        </w:tc>
        <w:tc>
          <w:tcPr>
            <w:tcW w:w="1727" w:type="pct"/>
          </w:tcPr>
          <w:p w14:paraId="063A0629" w14:textId="0FA574B2" w:rsidR="000804A7" w:rsidRPr="00B34D82" w:rsidRDefault="00C85CE2" w:rsidP="00FF7DF2">
            <w:pPr>
              <w:pStyle w:val="Akapitzlist"/>
              <w:widowControl w:val="0"/>
              <w:numPr>
                <w:ilvl w:val="0"/>
                <w:numId w:val="36"/>
              </w:numPr>
              <w:spacing w:before="120" w:after="60"/>
              <w:contextualSpacing w:val="0"/>
              <w:jc w:val="both"/>
              <w:rPr>
                <w:rFonts w:ascii="Times New Roman" w:eastAsia="Times New Roman" w:hAnsi="Times New Roman" w:cs="Times New Roman"/>
                <w:b/>
                <w:sz w:val="20"/>
                <w:szCs w:val="20"/>
                <w:lang w:eastAsia="pl-PL"/>
              </w:rPr>
            </w:pPr>
            <w:r w:rsidRPr="00B34D82">
              <w:rPr>
                <w:rFonts w:ascii="Times New Roman" w:eastAsia="Times New Roman" w:hAnsi="Times New Roman" w:cs="Times New Roman"/>
                <w:b/>
                <w:sz w:val="20"/>
                <w:szCs w:val="20"/>
                <w:lang w:eastAsia="pl-PL"/>
              </w:rPr>
              <w:lastRenderedPageBreak/>
              <w:t>Badania przy kwalifikacji</w:t>
            </w:r>
            <w:r w:rsidR="00E64301" w:rsidRPr="00B34D82">
              <w:rPr>
                <w:rFonts w:ascii="Times New Roman" w:eastAsia="Times New Roman" w:hAnsi="Times New Roman" w:cs="Times New Roman"/>
                <w:b/>
                <w:sz w:val="20"/>
                <w:szCs w:val="20"/>
                <w:lang w:eastAsia="pl-PL"/>
              </w:rPr>
              <w:t xml:space="preserve"> do leczenia</w:t>
            </w:r>
            <w:r w:rsidR="00B34D82" w:rsidRPr="00B34D82">
              <w:rPr>
                <w:rFonts w:ascii="Times New Roman" w:eastAsia="Times New Roman" w:hAnsi="Times New Roman" w:cs="Times New Roman"/>
                <w:b/>
                <w:sz w:val="20"/>
                <w:szCs w:val="20"/>
                <w:lang w:eastAsia="pl-PL"/>
              </w:rPr>
              <w:t xml:space="preserve"> </w:t>
            </w:r>
            <w:proofErr w:type="spellStart"/>
            <w:r w:rsidR="00B34D82" w:rsidRPr="00B34D82">
              <w:rPr>
                <w:rFonts w:ascii="Times New Roman" w:eastAsia="Times New Roman" w:hAnsi="Times New Roman" w:cs="Times New Roman"/>
                <w:b/>
                <w:sz w:val="20"/>
                <w:szCs w:val="20"/>
                <w:lang w:eastAsia="pl-PL"/>
              </w:rPr>
              <w:t>eltrombopagiem</w:t>
            </w:r>
            <w:proofErr w:type="spellEnd"/>
            <w:r w:rsidR="00B34D82" w:rsidRPr="00B34D82">
              <w:rPr>
                <w:rFonts w:ascii="Times New Roman" w:eastAsia="Times New Roman" w:hAnsi="Times New Roman" w:cs="Times New Roman"/>
                <w:b/>
                <w:sz w:val="20"/>
                <w:szCs w:val="20"/>
                <w:lang w:eastAsia="pl-PL"/>
              </w:rPr>
              <w:t xml:space="preserve"> lub </w:t>
            </w:r>
            <w:proofErr w:type="spellStart"/>
            <w:r w:rsidR="00B34D82" w:rsidRPr="00B34D82">
              <w:rPr>
                <w:rFonts w:ascii="Times New Roman" w:eastAsia="Times New Roman" w:hAnsi="Times New Roman" w:cs="Times New Roman"/>
                <w:b/>
                <w:sz w:val="20"/>
                <w:szCs w:val="20"/>
                <w:lang w:eastAsia="pl-PL"/>
              </w:rPr>
              <w:t>romip</w:t>
            </w:r>
            <w:r w:rsidR="00B73EA9">
              <w:rPr>
                <w:rFonts w:ascii="Times New Roman" w:eastAsia="Times New Roman" w:hAnsi="Times New Roman" w:cs="Times New Roman"/>
                <w:b/>
                <w:sz w:val="20"/>
                <w:szCs w:val="20"/>
                <w:lang w:eastAsia="pl-PL"/>
              </w:rPr>
              <w:t>l</w:t>
            </w:r>
            <w:r w:rsidR="00B34D82" w:rsidRPr="00B34D82">
              <w:rPr>
                <w:rFonts w:ascii="Times New Roman" w:eastAsia="Times New Roman" w:hAnsi="Times New Roman" w:cs="Times New Roman"/>
                <w:b/>
                <w:sz w:val="20"/>
                <w:szCs w:val="20"/>
                <w:lang w:eastAsia="pl-PL"/>
              </w:rPr>
              <w:t>ostymem</w:t>
            </w:r>
            <w:proofErr w:type="spellEnd"/>
          </w:p>
          <w:p w14:paraId="7B0AFECD" w14:textId="77777777" w:rsidR="00C85CE2" w:rsidRPr="00B34D82" w:rsidRDefault="00C85CE2" w:rsidP="00FF7DF2">
            <w:pPr>
              <w:pStyle w:val="Akapitzlist"/>
              <w:numPr>
                <w:ilvl w:val="2"/>
                <w:numId w:val="36"/>
              </w:numPr>
              <w:spacing w:after="60"/>
              <w:contextualSpacing w:val="0"/>
              <w:jc w:val="both"/>
              <w:rPr>
                <w:rFonts w:ascii="Times New Roman" w:hAnsi="Times New Roman" w:cs="Times New Roman"/>
                <w:sz w:val="20"/>
                <w:szCs w:val="20"/>
              </w:rPr>
            </w:pPr>
            <w:r w:rsidRPr="00B34D82">
              <w:rPr>
                <w:rFonts w:ascii="Times New Roman" w:hAnsi="Times New Roman" w:cs="Times New Roman"/>
                <w:sz w:val="20"/>
                <w:szCs w:val="20"/>
              </w:rPr>
              <w:t xml:space="preserve">morfologia krwi z rozmazem </w:t>
            </w:r>
            <w:proofErr w:type="spellStart"/>
            <w:r w:rsidRPr="00B34D82">
              <w:rPr>
                <w:rFonts w:ascii="Times New Roman" w:hAnsi="Times New Roman" w:cs="Times New Roman"/>
                <w:sz w:val="20"/>
                <w:szCs w:val="20"/>
              </w:rPr>
              <w:t>białokrwinkowym</w:t>
            </w:r>
            <w:proofErr w:type="spellEnd"/>
            <w:r w:rsidRPr="00B34D82">
              <w:rPr>
                <w:rFonts w:ascii="Times New Roman" w:hAnsi="Times New Roman" w:cs="Times New Roman"/>
                <w:sz w:val="20"/>
                <w:szCs w:val="20"/>
              </w:rPr>
              <w:t xml:space="preserve"> i liczbą płytek;</w:t>
            </w:r>
          </w:p>
          <w:p w14:paraId="6FDDE93E" w14:textId="6A7B0B1D" w:rsidR="00C85CE2" w:rsidRPr="00B34D82" w:rsidRDefault="00C85CE2" w:rsidP="00FF7DF2">
            <w:pPr>
              <w:pStyle w:val="Akapitzlist"/>
              <w:numPr>
                <w:ilvl w:val="2"/>
                <w:numId w:val="36"/>
              </w:numPr>
              <w:spacing w:after="60"/>
              <w:contextualSpacing w:val="0"/>
              <w:jc w:val="both"/>
              <w:rPr>
                <w:rFonts w:ascii="Times New Roman" w:hAnsi="Times New Roman" w:cs="Times New Roman"/>
                <w:sz w:val="20"/>
                <w:szCs w:val="20"/>
              </w:rPr>
            </w:pPr>
            <w:r w:rsidRPr="00B34D82">
              <w:rPr>
                <w:rFonts w:ascii="Times New Roman" w:hAnsi="Times New Roman" w:cs="Times New Roman"/>
                <w:sz w:val="20"/>
                <w:szCs w:val="20"/>
              </w:rPr>
              <w:t>parametry czynności wątroby (</w:t>
            </w:r>
            <w:proofErr w:type="spellStart"/>
            <w:r w:rsidRPr="00B34D82">
              <w:rPr>
                <w:rFonts w:ascii="Times New Roman" w:hAnsi="Times New Roman" w:cs="Times New Roman"/>
                <w:sz w:val="20"/>
                <w:szCs w:val="20"/>
              </w:rPr>
              <w:t>AlAT</w:t>
            </w:r>
            <w:proofErr w:type="spellEnd"/>
            <w:r w:rsidRPr="00B34D82">
              <w:rPr>
                <w:rFonts w:ascii="Times New Roman" w:hAnsi="Times New Roman" w:cs="Times New Roman"/>
                <w:sz w:val="20"/>
                <w:szCs w:val="20"/>
              </w:rPr>
              <w:t xml:space="preserve">, </w:t>
            </w:r>
            <w:proofErr w:type="spellStart"/>
            <w:r w:rsidRPr="00B34D82">
              <w:rPr>
                <w:rFonts w:ascii="Times New Roman" w:hAnsi="Times New Roman" w:cs="Times New Roman"/>
                <w:sz w:val="20"/>
                <w:szCs w:val="20"/>
              </w:rPr>
              <w:t>AspAT</w:t>
            </w:r>
            <w:proofErr w:type="spellEnd"/>
            <w:r w:rsidRPr="00B34D82">
              <w:rPr>
                <w:rFonts w:ascii="Times New Roman" w:hAnsi="Times New Roman" w:cs="Times New Roman"/>
                <w:sz w:val="20"/>
                <w:szCs w:val="20"/>
              </w:rPr>
              <w:t>, bilirubina całkowita</w:t>
            </w:r>
            <w:r w:rsidR="008D03FC" w:rsidRPr="00B34D82">
              <w:rPr>
                <w:rFonts w:ascii="Times New Roman" w:hAnsi="Times New Roman" w:cs="Times New Roman"/>
                <w:sz w:val="20"/>
                <w:szCs w:val="20"/>
              </w:rPr>
              <w:t>, APTT, INR, albumina</w:t>
            </w:r>
            <w:r w:rsidRPr="00B34D82">
              <w:rPr>
                <w:rFonts w:ascii="Times New Roman" w:hAnsi="Times New Roman" w:cs="Times New Roman"/>
                <w:sz w:val="20"/>
                <w:szCs w:val="20"/>
              </w:rPr>
              <w:t>);</w:t>
            </w:r>
          </w:p>
          <w:p w14:paraId="2F49E995" w14:textId="0D43DBF8" w:rsidR="00C85CE2" w:rsidRPr="00B34D82" w:rsidRDefault="00C85CE2" w:rsidP="00FF7DF2">
            <w:pPr>
              <w:pStyle w:val="Akapitzlist"/>
              <w:widowControl w:val="0"/>
              <w:numPr>
                <w:ilvl w:val="2"/>
                <w:numId w:val="36"/>
              </w:numPr>
              <w:spacing w:after="60"/>
              <w:contextualSpacing w:val="0"/>
              <w:jc w:val="both"/>
              <w:rPr>
                <w:rFonts w:ascii="Times New Roman" w:eastAsia="Times New Roman" w:hAnsi="Times New Roman" w:cs="Times New Roman"/>
                <w:sz w:val="20"/>
                <w:szCs w:val="20"/>
                <w:lang w:eastAsia="pl-PL"/>
              </w:rPr>
            </w:pPr>
            <w:r w:rsidRPr="00B34D82">
              <w:rPr>
                <w:rFonts w:ascii="Times New Roman" w:hAnsi="Times New Roman" w:cs="Times New Roman"/>
                <w:sz w:val="20"/>
                <w:szCs w:val="20"/>
              </w:rPr>
              <w:t>badanie okulistyczne</w:t>
            </w:r>
            <w:r w:rsidR="00B34D82" w:rsidRPr="00B34D82">
              <w:rPr>
                <w:rFonts w:ascii="Times New Roman" w:hAnsi="Times New Roman" w:cs="Times New Roman"/>
                <w:sz w:val="20"/>
                <w:szCs w:val="20"/>
              </w:rPr>
              <w:t xml:space="preserve"> – dotyczy </w:t>
            </w:r>
            <w:r w:rsidR="0057564A">
              <w:rPr>
                <w:rFonts w:ascii="Times New Roman" w:hAnsi="Times New Roman" w:cs="Times New Roman"/>
                <w:sz w:val="20"/>
                <w:szCs w:val="20"/>
              </w:rPr>
              <w:t xml:space="preserve">kwalifikacji do </w:t>
            </w:r>
            <w:proofErr w:type="spellStart"/>
            <w:r w:rsidR="00B34D82" w:rsidRPr="00B34D82">
              <w:rPr>
                <w:rFonts w:ascii="Times New Roman" w:hAnsi="Times New Roman" w:cs="Times New Roman"/>
                <w:sz w:val="20"/>
                <w:szCs w:val="20"/>
              </w:rPr>
              <w:t>eltrombopag</w:t>
            </w:r>
            <w:r w:rsidR="0057564A">
              <w:rPr>
                <w:rFonts w:ascii="Times New Roman" w:hAnsi="Times New Roman" w:cs="Times New Roman"/>
                <w:sz w:val="20"/>
                <w:szCs w:val="20"/>
              </w:rPr>
              <w:t>u</w:t>
            </w:r>
            <w:proofErr w:type="spellEnd"/>
            <w:r w:rsidRPr="00B34D82">
              <w:rPr>
                <w:rFonts w:ascii="Times New Roman" w:hAnsi="Times New Roman" w:cs="Times New Roman"/>
                <w:sz w:val="20"/>
                <w:szCs w:val="20"/>
              </w:rPr>
              <w:t>;</w:t>
            </w:r>
          </w:p>
          <w:p w14:paraId="4192CEEC" w14:textId="77777777" w:rsidR="00C85CE2" w:rsidRPr="00B34D82" w:rsidRDefault="00C85CE2" w:rsidP="00FF7DF2">
            <w:pPr>
              <w:pStyle w:val="Akapitzlist"/>
              <w:widowControl w:val="0"/>
              <w:numPr>
                <w:ilvl w:val="2"/>
                <w:numId w:val="36"/>
              </w:numPr>
              <w:spacing w:after="60"/>
              <w:contextualSpacing w:val="0"/>
              <w:jc w:val="both"/>
              <w:rPr>
                <w:rFonts w:ascii="Times New Roman" w:eastAsia="Times New Roman" w:hAnsi="Times New Roman" w:cs="Times New Roman"/>
                <w:sz w:val="20"/>
                <w:szCs w:val="20"/>
                <w:lang w:eastAsia="pl-PL"/>
              </w:rPr>
            </w:pPr>
            <w:proofErr w:type="spellStart"/>
            <w:r w:rsidRPr="00B34D82">
              <w:rPr>
                <w:rFonts w:ascii="Times New Roman" w:eastAsia="Times New Roman" w:hAnsi="Times New Roman" w:cs="Times New Roman"/>
                <w:sz w:val="20"/>
                <w:szCs w:val="20"/>
                <w:lang w:eastAsia="pl-PL"/>
              </w:rPr>
              <w:t>trepanobiopsja</w:t>
            </w:r>
            <w:proofErr w:type="spellEnd"/>
            <w:r w:rsidRPr="00B34D82">
              <w:rPr>
                <w:rFonts w:ascii="Times New Roman" w:eastAsia="Times New Roman" w:hAnsi="Times New Roman" w:cs="Times New Roman"/>
                <w:sz w:val="20"/>
                <w:szCs w:val="20"/>
                <w:lang w:eastAsia="pl-PL"/>
              </w:rPr>
              <w:t xml:space="preserve"> szpiku kostnego z barwieniem oceniającym włóknienie;</w:t>
            </w:r>
          </w:p>
          <w:p w14:paraId="38190CC0" w14:textId="23B3FDBA" w:rsidR="00C85CE2" w:rsidRDefault="00C85CE2" w:rsidP="00FF7DF2">
            <w:pPr>
              <w:pStyle w:val="Akapitzlist"/>
              <w:widowControl w:val="0"/>
              <w:numPr>
                <w:ilvl w:val="2"/>
                <w:numId w:val="36"/>
              </w:numPr>
              <w:spacing w:after="60"/>
              <w:contextualSpacing w:val="0"/>
              <w:jc w:val="both"/>
              <w:rPr>
                <w:rFonts w:ascii="Times New Roman" w:eastAsia="Times New Roman" w:hAnsi="Times New Roman" w:cs="Times New Roman"/>
                <w:sz w:val="20"/>
                <w:szCs w:val="20"/>
                <w:lang w:eastAsia="pl-PL"/>
              </w:rPr>
            </w:pPr>
            <w:r w:rsidRPr="00B34D82">
              <w:rPr>
                <w:rFonts w:ascii="Times New Roman" w:eastAsia="Times New Roman" w:hAnsi="Times New Roman" w:cs="Times New Roman"/>
                <w:sz w:val="20"/>
                <w:szCs w:val="20"/>
                <w:lang w:eastAsia="pl-PL"/>
              </w:rPr>
              <w:t>test ciążowy u kobiet w wieku rozrodczym – jeśli dotyczy.</w:t>
            </w:r>
          </w:p>
          <w:p w14:paraId="4B198051" w14:textId="77777777" w:rsidR="00FF7DF2" w:rsidRPr="00B34D82" w:rsidRDefault="00FF7DF2" w:rsidP="00FF7DF2">
            <w:pPr>
              <w:pStyle w:val="Akapitzlist"/>
              <w:widowControl w:val="0"/>
              <w:spacing w:after="60"/>
              <w:ind w:left="397"/>
              <w:contextualSpacing w:val="0"/>
              <w:jc w:val="both"/>
              <w:rPr>
                <w:rFonts w:ascii="Times New Roman" w:eastAsia="Times New Roman" w:hAnsi="Times New Roman" w:cs="Times New Roman"/>
                <w:sz w:val="20"/>
                <w:szCs w:val="20"/>
                <w:lang w:eastAsia="pl-PL"/>
              </w:rPr>
            </w:pPr>
          </w:p>
          <w:p w14:paraId="230A9A20" w14:textId="3B069314" w:rsidR="00C85CE2" w:rsidRPr="00B34D82" w:rsidRDefault="00C85CE2" w:rsidP="00FF7DF2">
            <w:pPr>
              <w:pStyle w:val="Akapitzlist"/>
              <w:widowControl w:val="0"/>
              <w:numPr>
                <w:ilvl w:val="0"/>
                <w:numId w:val="36"/>
              </w:numPr>
              <w:spacing w:after="60"/>
              <w:contextualSpacing w:val="0"/>
              <w:jc w:val="both"/>
              <w:rPr>
                <w:rFonts w:ascii="Times New Roman" w:eastAsia="Times New Roman" w:hAnsi="Times New Roman" w:cs="Times New Roman"/>
                <w:b/>
                <w:sz w:val="20"/>
                <w:szCs w:val="20"/>
                <w:lang w:eastAsia="pl-PL"/>
              </w:rPr>
            </w:pPr>
            <w:r w:rsidRPr="00B34D82">
              <w:rPr>
                <w:rFonts w:ascii="Times New Roman" w:eastAsia="Times New Roman" w:hAnsi="Times New Roman" w:cs="Times New Roman"/>
                <w:b/>
                <w:sz w:val="20"/>
                <w:szCs w:val="20"/>
                <w:lang w:eastAsia="pl-PL"/>
              </w:rPr>
              <w:t>Monitorowanie leczenia</w:t>
            </w:r>
            <w:r w:rsidR="00B34D82" w:rsidRPr="00B34D82">
              <w:rPr>
                <w:rFonts w:ascii="Times New Roman" w:eastAsia="Times New Roman" w:hAnsi="Times New Roman" w:cs="Times New Roman"/>
                <w:b/>
                <w:sz w:val="20"/>
                <w:szCs w:val="20"/>
                <w:lang w:eastAsia="pl-PL"/>
              </w:rPr>
              <w:t xml:space="preserve"> </w:t>
            </w:r>
            <w:proofErr w:type="spellStart"/>
            <w:r w:rsidR="00B34D82" w:rsidRPr="00B34D82">
              <w:rPr>
                <w:rFonts w:ascii="Times New Roman" w:eastAsia="Times New Roman" w:hAnsi="Times New Roman" w:cs="Times New Roman"/>
                <w:b/>
                <w:sz w:val="20"/>
                <w:szCs w:val="20"/>
                <w:lang w:eastAsia="pl-PL"/>
              </w:rPr>
              <w:t>eltrombopagiem</w:t>
            </w:r>
            <w:proofErr w:type="spellEnd"/>
            <w:r w:rsidR="00B34D82" w:rsidRPr="00B34D82">
              <w:rPr>
                <w:rFonts w:ascii="Times New Roman" w:eastAsia="Times New Roman" w:hAnsi="Times New Roman" w:cs="Times New Roman"/>
                <w:b/>
                <w:sz w:val="20"/>
                <w:szCs w:val="20"/>
                <w:lang w:eastAsia="pl-PL"/>
              </w:rPr>
              <w:t xml:space="preserve"> lub </w:t>
            </w:r>
            <w:proofErr w:type="spellStart"/>
            <w:r w:rsidR="00B34D82" w:rsidRPr="00B34D82">
              <w:rPr>
                <w:rFonts w:ascii="Times New Roman" w:eastAsia="Times New Roman" w:hAnsi="Times New Roman" w:cs="Times New Roman"/>
                <w:b/>
                <w:sz w:val="20"/>
                <w:szCs w:val="20"/>
                <w:lang w:eastAsia="pl-PL"/>
              </w:rPr>
              <w:t>romip</w:t>
            </w:r>
            <w:r w:rsidR="00B73EA9">
              <w:rPr>
                <w:rFonts w:ascii="Times New Roman" w:eastAsia="Times New Roman" w:hAnsi="Times New Roman" w:cs="Times New Roman"/>
                <w:b/>
                <w:sz w:val="20"/>
                <w:szCs w:val="20"/>
                <w:lang w:eastAsia="pl-PL"/>
              </w:rPr>
              <w:t>l</w:t>
            </w:r>
            <w:r w:rsidR="00B34D82" w:rsidRPr="00B34D82">
              <w:rPr>
                <w:rFonts w:ascii="Times New Roman" w:eastAsia="Times New Roman" w:hAnsi="Times New Roman" w:cs="Times New Roman"/>
                <w:b/>
                <w:sz w:val="20"/>
                <w:szCs w:val="20"/>
                <w:lang w:eastAsia="pl-PL"/>
              </w:rPr>
              <w:t>ostymem</w:t>
            </w:r>
            <w:proofErr w:type="spellEnd"/>
            <w:r w:rsidRPr="00B34D82">
              <w:rPr>
                <w:rFonts w:ascii="Times New Roman" w:eastAsia="Times New Roman" w:hAnsi="Times New Roman" w:cs="Times New Roman"/>
                <w:b/>
                <w:sz w:val="20"/>
                <w:szCs w:val="20"/>
                <w:lang w:eastAsia="pl-PL"/>
              </w:rPr>
              <w:t>:</w:t>
            </w:r>
          </w:p>
          <w:p w14:paraId="68C789FA" w14:textId="46D9DC79" w:rsidR="00C85CE2" w:rsidRPr="00B34D82" w:rsidRDefault="00C85CE2" w:rsidP="00FF7DF2">
            <w:pPr>
              <w:pStyle w:val="Akapitzlist"/>
              <w:numPr>
                <w:ilvl w:val="2"/>
                <w:numId w:val="36"/>
              </w:numPr>
              <w:spacing w:after="60"/>
              <w:contextualSpacing w:val="0"/>
              <w:jc w:val="both"/>
              <w:rPr>
                <w:rFonts w:ascii="Times New Roman" w:hAnsi="Times New Roman" w:cs="Times New Roman"/>
                <w:sz w:val="20"/>
                <w:szCs w:val="20"/>
              </w:rPr>
            </w:pPr>
            <w:r w:rsidRPr="00B34D82">
              <w:rPr>
                <w:rFonts w:ascii="Times New Roman" w:hAnsi="Times New Roman" w:cs="Times New Roman"/>
                <w:iCs/>
                <w:sz w:val="20"/>
                <w:szCs w:val="20"/>
              </w:rPr>
              <w:t>badani</w:t>
            </w:r>
            <w:r w:rsidR="00B34D82" w:rsidRPr="00B34D82">
              <w:rPr>
                <w:rFonts w:ascii="Times New Roman" w:hAnsi="Times New Roman" w:cs="Times New Roman"/>
                <w:iCs/>
                <w:sz w:val="20"/>
                <w:szCs w:val="20"/>
              </w:rPr>
              <w:t>a</w:t>
            </w:r>
            <w:r w:rsidRPr="00B34D82">
              <w:rPr>
                <w:rFonts w:ascii="Times New Roman" w:hAnsi="Times New Roman" w:cs="Times New Roman"/>
                <w:iCs/>
                <w:sz w:val="20"/>
                <w:szCs w:val="20"/>
              </w:rPr>
              <w:t xml:space="preserve"> przeprowadzane w pierwszych 4 tygodniach leczenia oraz w okresie </w:t>
            </w:r>
            <w:r w:rsidRPr="00B34D82">
              <w:rPr>
                <w:rFonts w:ascii="Times New Roman" w:hAnsi="Times New Roman" w:cs="Times New Roman"/>
                <w:sz w:val="20"/>
                <w:szCs w:val="20"/>
              </w:rPr>
              <w:t>braku odpowiedzi:</w:t>
            </w:r>
          </w:p>
          <w:p w14:paraId="4A05192E" w14:textId="77777777" w:rsidR="00C85CE2" w:rsidRPr="00B34D82" w:rsidRDefault="00C85CE2" w:rsidP="00FF7DF2">
            <w:pPr>
              <w:pStyle w:val="Akapitzlist"/>
              <w:numPr>
                <w:ilvl w:val="3"/>
                <w:numId w:val="36"/>
              </w:numPr>
              <w:spacing w:after="60"/>
              <w:contextualSpacing w:val="0"/>
              <w:jc w:val="both"/>
              <w:rPr>
                <w:rFonts w:ascii="Times New Roman" w:hAnsi="Times New Roman" w:cs="Times New Roman"/>
                <w:sz w:val="20"/>
                <w:szCs w:val="20"/>
              </w:rPr>
            </w:pPr>
            <w:r w:rsidRPr="00B34D82">
              <w:rPr>
                <w:rFonts w:ascii="Times New Roman" w:hAnsi="Times New Roman" w:cs="Times New Roman"/>
                <w:sz w:val="20"/>
                <w:szCs w:val="20"/>
              </w:rPr>
              <w:t>wykonywane co 1 tydzień:</w:t>
            </w:r>
          </w:p>
          <w:p w14:paraId="40A3DFFD" w14:textId="0FBAA03E" w:rsidR="00C85CE2" w:rsidRPr="00B34D82" w:rsidRDefault="00C85CE2" w:rsidP="00FF7DF2">
            <w:pPr>
              <w:pStyle w:val="Akapitzlist"/>
              <w:numPr>
                <w:ilvl w:val="4"/>
                <w:numId w:val="36"/>
              </w:numPr>
              <w:spacing w:after="60"/>
              <w:contextualSpacing w:val="0"/>
              <w:jc w:val="both"/>
              <w:rPr>
                <w:rFonts w:ascii="Times New Roman" w:hAnsi="Times New Roman" w:cs="Times New Roman"/>
                <w:sz w:val="20"/>
                <w:szCs w:val="20"/>
              </w:rPr>
            </w:pPr>
            <w:r w:rsidRPr="00B34D82">
              <w:rPr>
                <w:rFonts w:ascii="Times New Roman" w:hAnsi="Times New Roman" w:cs="Times New Roman"/>
                <w:sz w:val="20"/>
                <w:szCs w:val="20"/>
              </w:rPr>
              <w:t xml:space="preserve">morfologia krwi z rozmazem </w:t>
            </w:r>
            <w:proofErr w:type="spellStart"/>
            <w:r w:rsidRPr="00B34D82">
              <w:rPr>
                <w:rFonts w:ascii="Times New Roman" w:hAnsi="Times New Roman" w:cs="Times New Roman"/>
                <w:sz w:val="20"/>
                <w:szCs w:val="20"/>
              </w:rPr>
              <w:t>białokrwinkowym</w:t>
            </w:r>
            <w:proofErr w:type="spellEnd"/>
            <w:r w:rsidRPr="00B34D82">
              <w:rPr>
                <w:rFonts w:ascii="Times New Roman" w:hAnsi="Times New Roman" w:cs="Times New Roman"/>
                <w:sz w:val="20"/>
                <w:szCs w:val="20"/>
              </w:rPr>
              <w:t xml:space="preserve"> i</w:t>
            </w:r>
            <w:r w:rsidR="00073E26">
              <w:rPr>
                <w:rFonts w:ascii="Times New Roman" w:hAnsi="Times New Roman" w:cs="Times New Roman"/>
                <w:sz w:val="20"/>
                <w:szCs w:val="20"/>
              </w:rPr>
              <w:t> </w:t>
            </w:r>
            <w:r w:rsidRPr="00B34D82">
              <w:rPr>
                <w:rFonts w:ascii="Times New Roman" w:hAnsi="Times New Roman" w:cs="Times New Roman"/>
                <w:sz w:val="20"/>
                <w:szCs w:val="20"/>
              </w:rPr>
              <w:t>liczbą płytek,</w:t>
            </w:r>
          </w:p>
          <w:p w14:paraId="69D4C46D" w14:textId="77777777" w:rsidR="00C85CE2" w:rsidRPr="00B34D82" w:rsidRDefault="00C85CE2" w:rsidP="00FF7DF2">
            <w:pPr>
              <w:pStyle w:val="Akapitzlist"/>
              <w:numPr>
                <w:ilvl w:val="3"/>
                <w:numId w:val="36"/>
              </w:numPr>
              <w:spacing w:after="60"/>
              <w:contextualSpacing w:val="0"/>
              <w:jc w:val="both"/>
              <w:rPr>
                <w:rFonts w:ascii="Times New Roman" w:hAnsi="Times New Roman" w:cs="Times New Roman"/>
                <w:sz w:val="20"/>
                <w:szCs w:val="20"/>
              </w:rPr>
            </w:pPr>
            <w:r w:rsidRPr="00B34D82">
              <w:rPr>
                <w:rFonts w:ascii="Times New Roman" w:hAnsi="Times New Roman" w:cs="Times New Roman"/>
                <w:sz w:val="20"/>
                <w:szCs w:val="20"/>
              </w:rPr>
              <w:t>wykonywane co 2 tygodnie:</w:t>
            </w:r>
          </w:p>
          <w:p w14:paraId="2280696F" w14:textId="7F7AD2FB" w:rsidR="00C85CE2" w:rsidRPr="00B34D82" w:rsidRDefault="00C85CE2" w:rsidP="00FF7DF2">
            <w:pPr>
              <w:pStyle w:val="Akapitzlist"/>
              <w:numPr>
                <w:ilvl w:val="4"/>
                <w:numId w:val="36"/>
              </w:numPr>
              <w:spacing w:after="60"/>
              <w:contextualSpacing w:val="0"/>
              <w:jc w:val="both"/>
              <w:rPr>
                <w:rFonts w:ascii="Times New Roman" w:hAnsi="Times New Roman" w:cs="Times New Roman"/>
                <w:iCs/>
                <w:sz w:val="20"/>
                <w:szCs w:val="20"/>
              </w:rPr>
            </w:pPr>
            <w:r w:rsidRPr="00B34D82">
              <w:rPr>
                <w:rFonts w:ascii="Times New Roman" w:hAnsi="Times New Roman" w:cs="Times New Roman"/>
                <w:sz w:val="20"/>
                <w:szCs w:val="20"/>
              </w:rPr>
              <w:t>parametry czynności wątroby (</w:t>
            </w:r>
            <w:proofErr w:type="spellStart"/>
            <w:r w:rsidR="008D03FC" w:rsidRPr="00B34D82">
              <w:rPr>
                <w:rFonts w:ascii="Times New Roman" w:hAnsi="Times New Roman" w:cs="Times New Roman"/>
                <w:sz w:val="20"/>
                <w:szCs w:val="20"/>
              </w:rPr>
              <w:t>AlAT</w:t>
            </w:r>
            <w:proofErr w:type="spellEnd"/>
            <w:r w:rsidR="008D03FC" w:rsidRPr="00B34D82">
              <w:rPr>
                <w:rFonts w:ascii="Times New Roman" w:hAnsi="Times New Roman" w:cs="Times New Roman"/>
                <w:sz w:val="20"/>
                <w:szCs w:val="20"/>
              </w:rPr>
              <w:t xml:space="preserve">, </w:t>
            </w:r>
            <w:proofErr w:type="spellStart"/>
            <w:r w:rsidR="008D03FC" w:rsidRPr="00B34D82">
              <w:rPr>
                <w:rFonts w:ascii="Times New Roman" w:hAnsi="Times New Roman" w:cs="Times New Roman"/>
                <w:sz w:val="20"/>
                <w:szCs w:val="20"/>
              </w:rPr>
              <w:t>AspAT</w:t>
            </w:r>
            <w:proofErr w:type="spellEnd"/>
            <w:r w:rsidR="008D03FC" w:rsidRPr="00B34D82">
              <w:rPr>
                <w:rFonts w:ascii="Times New Roman" w:hAnsi="Times New Roman" w:cs="Times New Roman"/>
                <w:sz w:val="20"/>
                <w:szCs w:val="20"/>
              </w:rPr>
              <w:t>, bilirubina całkowita, APTT, INR, albumina</w:t>
            </w:r>
            <w:r w:rsidRPr="00B34D82">
              <w:rPr>
                <w:rFonts w:ascii="Times New Roman" w:hAnsi="Times New Roman" w:cs="Times New Roman"/>
                <w:sz w:val="20"/>
                <w:szCs w:val="20"/>
              </w:rPr>
              <w:t>);</w:t>
            </w:r>
          </w:p>
          <w:p w14:paraId="33598704" w14:textId="6897A744" w:rsidR="00C85CE2" w:rsidRPr="00B34D82" w:rsidRDefault="00C85CE2" w:rsidP="00FF7DF2">
            <w:pPr>
              <w:pStyle w:val="Akapitzlist"/>
              <w:numPr>
                <w:ilvl w:val="2"/>
                <w:numId w:val="36"/>
              </w:numPr>
              <w:spacing w:after="60"/>
              <w:contextualSpacing w:val="0"/>
              <w:jc w:val="both"/>
              <w:rPr>
                <w:rFonts w:ascii="Times New Roman" w:hAnsi="Times New Roman" w:cs="Times New Roman"/>
                <w:iCs/>
                <w:sz w:val="20"/>
                <w:szCs w:val="20"/>
              </w:rPr>
            </w:pPr>
            <w:r w:rsidRPr="00B34D82">
              <w:rPr>
                <w:rFonts w:ascii="Times New Roman" w:hAnsi="Times New Roman" w:cs="Times New Roman"/>
                <w:sz w:val="20"/>
                <w:szCs w:val="20"/>
              </w:rPr>
              <w:lastRenderedPageBreak/>
              <w:t>badania przeprowadzane od 4 tygodnia leczenia u odpowiadających pacjentów:</w:t>
            </w:r>
          </w:p>
          <w:p w14:paraId="0C9D6711" w14:textId="77777777" w:rsidR="00C85CE2" w:rsidRPr="00B34D82" w:rsidRDefault="00C85CE2" w:rsidP="00FF7DF2">
            <w:pPr>
              <w:pStyle w:val="Akapitzlist"/>
              <w:numPr>
                <w:ilvl w:val="3"/>
                <w:numId w:val="36"/>
              </w:numPr>
              <w:spacing w:after="60"/>
              <w:contextualSpacing w:val="0"/>
              <w:jc w:val="both"/>
              <w:rPr>
                <w:rFonts w:ascii="Times New Roman" w:hAnsi="Times New Roman" w:cs="Times New Roman"/>
                <w:iCs/>
                <w:sz w:val="20"/>
                <w:szCs w:val="20"/>
              </w:rPr>
            </w:pPr>
            <w:r w:rsidRPr="00B34D82">
              <w:rPr>
                <w:rFonts w:ascii="Times New Roman" w:hAnsi="Times New Roman" w:cs="Times New Roman"/>
                <w:sz w:val="20"/>
                <w:szCs w:val="20"/>
              </w:rPr>
              <w:t>wykonywane co 1 miesiąc:</w:t>
            </w:r>
          </w:p>
          <w:p w14:paraId="0D87BD03" w14:textId="6FF9F5AC" w:rsidR="00C85CE2" w:rsidRPr="00B34D82" w:rsidRDefault="00C85CE2" w:rsidP="00FF7DF2">
            <w:pPr>
              <w:pStyle w:val="Akapitzlist"/>
              <w:numPr>
                <w:ilvl w:val="4"/>
                <w:numId w:val="36"/>
              </w:numPr>
              <w:spacing w:after="60"/>
              <w:contextualSpacing w:val="0"/>
              <w:jc w:val="both"/>
              <w:rPr>
                <w:rFonts w:ascii="Times New Roman" w:hAnsi="Times New Roman" w:cs="Times New Roman"/>
                <w:sz w:val="20"/>
                <w:szCs w:val="20"/>
              </w:rPr>
            </w:pPr>
            <w:r w:rsidRPr="00B34D82">
              <w:rPr>
                <w:rFonts w:ascii="Times New Roman" w:hAnsi="Times New Roman" w:cs="Times New Roman"/>
                <w:sz w:val="20"/>
                <w:szCs w:val="20"/>
              </w:rPr>
              <w:t xml:space="preserve">morfologia krwi z rozmazem </w:t>
            </w:r>
            <w:proofErr w:type="spellStart"/>
            <w:r w:rsidRPr="00B34D82">
              <w:rPr>
                <w:rFonts w:ascii="Times New Roman" w:hAnsi="Times New Roman" w:cs="Times New Roman"/>
                <w:sz w:val="20"/>
                <w:szCs w:val="20"/>
              </w:rPr>
              <w:t>białokrwinkowym</w:t>
            </w:r>
            <w:proofErr w:type="spellEnd"/>
            <w:r w:rsidRPr="00B34D82">
              <w:rPr>
                <w:rFonts w:ascii="Times New Roman" w:hAnsi="Times New Roman" w:cs="Times New Roman"/>
                <w:sz w:val="20"/>
                <w:szCs w:val="20"/>
              </w:rPr>
              <w:t xml:space="preserve"> i</w:t>
            </w:r>
            <w:r w:rsidR="00073E26">
              <w:rPr>
                <w:rFonts w:ascii="Times New Roman" w:hAnsi="Times New Roman" w:cs="Times New Roman"/>
                <w:sz w:val="20"/>
                <w:szCs w:val="20"/>
              </w:rPr>
              <w:t> </w:t>
            </w:r>
            <w:r w:rsidRPr="00B34D82">
              <w:rPr>
                <w:rFonts w:ascii="Times New Roman" w:hAnsi="Times New Roman" w:cs="Times New Roman"/>
                <w:sz w:val="20"/>
                <w:szCs w:val="20"/>
              </w:rPr>
              <w:t>liczbą płytek,</w:t>
            </w:r>
          </w:p>
          <w:p w14:paraId="2B6ADAA8" w14:textId="77777777" w:rsidR="00C85CE2" w:rsidRPr="00B34D82" w:rsidRDefault="00C85CE2" w:rsidP="00FF7DF2">
            <w:pPr>
              <w:pStyle w:val="Akapitzlist"/>
              <w:numPr>
                <w:ilvl w:val="3"/>
                <w:numId w:val="36"/>
              </w:numPr>
              <w:spacing w:after="60"/>
              <w:contextualSpacing w:val="0"/>
              <w:jc w:val="both"/>
              <w:rPr>
                <w:rFonts w:ascii="Times New Roman" w:hAnsi="Times New Roman" w:cs="Times New Roman"/>
                <w:sz w:val="20"/>
                <w:szCs w:val="20"/>
              </w:rPr>
            </w:pPr>
            <w:r w:rsidRPr="00B34D82">
              <w:rPr>
                <w:rFonts w:ascii="Times New Roman" w:hAnsi="Times New Roman" w:cs="Times New Roman"/>
                <w:sz w:val="20"/>
                <w:szCs w:val="20"/>
              </w:rPr>
              <w:t>wykonywane co 3 miesiące:</w:t>
            </w:r>
          </w:p>
          <w:p w14:paraId="3D532C35" w14:textId="4BA253A0" w:rsidR="00C85CE2" w:rsidRPr="00B34D82" w:rsidRDefault="00C85CE2" w:rsidP="00FF7DF2">
            <w:pPr>
              <w:pStyle w:val="Akapitzlist"/>
              <w:numPr>
                <w:ilvl w:val="4"/>
                <w:numId w:val="36"/>
              </w:numPr>
              <w:spacing w:after="60"/>
              <w:contextualSpacing w:val="0"/>
              <w:jc w:val="both"/>
              <w:rPr>
                <w:rFonts w:ascii="Times New Roman" w:hAnsi="Times New Roman" w:cs="Times New Roman"/>
                <w:sz w:val="20"/>
                <w:szCs w:val="20"/>
              </w:rPr>
            </w:pPr>
            <w:r w:rsidRPr="00B34D82">
              <w:rPr>
                <w:rFonts w:ascii="Times New Roman" w:hAnsi="Times New Roman" w:cs="Times New Roman"/>
                <w:sz w:val="20"/>
                <w:szCs w:val="20"/>
              </w:rPr>
              <w:t>parametry czynności wątroby (</w:t>
            </w:r>
            <w:proofErr w:type="spellStart"/>
            <w:r w:rsidR="008D03FC" w:rsidRPr="00B34D82">
              <w:rPr>
                <w:rFonts w:ascii="Times New Roman" w:hAnsi="Times New Roman" w:cs="Times New Roman"/>
                <w:sz w:val="20"/>
                <w:szCs w:val="20"/>
              </w:rPr>
              <w:t>AlAT</w:t>
            </w:r>
            <w:proofErr w:type="spellEnd"/>
            <w:r w:rsidR="008D03FC" w:rsidRPr="00B34D82">
              <w:rPr>
                <w:rFonts w:ascii="Times New Roman" w:hAnsi="Times New Roman" w:cs="Times New Roman"/>
                <w:sz w:val="20"/>
                <w:szCs w:val="20"/>
              </w:rPr>
              <w:t xml:space="preserve">, </w:t>
            </w:r>
            <w:proofErr w:type="spellStart"/>
            <w:r w:rsidR="008D03FC" w:rsidRPr="00B34D82">
              <w:rPr>
                <w:rFonts w:ascii="Times New Roman" w:hAnsi="Times New Roman" w:cs="Times New Roman"/>
                <w:sz w:val="20"/>
                <w:szCs w:val="20"/>
              </w:rPr>
              <w:t>AspAT</w:t>
            </w:r>
            <w:proofErr w:type="spellEnd"/>
            <w:r w:rsidR="008D03FC" w:rsidRPr="00B34D82">
              <w:rPr>
                <w:rFonts w:ascii="Times New Roman" w:hAnsi="Times New Roman" w:cs="Times New Roman"/>
                <w:sz w:val="20"/>
                <w:szCs w:val="20"/>
              </w:rPr>
              <w:t>, bilirubina całkowita, APTT, INR, albumina</w:t>
            </w:r>
            <w:r w:rsidRPr="00B34D82">
              <w:rPr>
                <w:rFonts w:ascii="Times New Roman" w:hAnsi="Times New Roman" w:cs="Times New Roman"/>
                <w:sz w:val="20"/>
                <w:szCs w:val="20"/>
              </w:rPr>
              <w:t xml:space="preserve">); </w:t>
            </w:r>
          </w:p>
          <w:p w14:paraId="3AD3CA8A" w14:textId="24190DA3" w:rsidR="00C85CE2" w:rsidRPr="00B34D82" w:rsidRDefault="00C85CE2" w:rsidP="00FF7DF2">
            <w:pPr>
              <w:pStyle w:val="Akapitzlist"/>
              <w:numPr>
                <w:ilvl w:val="2"/>
                <w:numId w:val="36"/>
              </w:numPr>
              <w:spacing w:after="60"/>
              <w:contextualSpacing w:val="0"/>
              <w:jc w:val="both"/>
              <w:rPr>
                <w:rFonts w:ascii="Times New Roman" w:hAnsi="Times New Roman" w:cs="Times New Roman"/>
                <w:sz w:val="20"/>
                <w:szCs w:val="20"/>
              </w:rPr>
            </w:pPr>
            <w:r w:rsidRPr="00B34D82">
              <w:rPr>
                <w:rFonts w:ascii="Times New Roman" w:hAnsi="Times New Roman" w:cs="Times New Roman"/>
                <w:sz w:val="20"/>
                <w:szCs w:val="20"/>
              </w:rPr>
              <w:t>badani</w:t>
            </w:r>
            <w:r w:rsidR="00B34D82" w:rsidRPr="00B34D82">
              <w:rPr>
                <w:rFonts w:ascii="Times New Roman" w:hAnsi="Times New Roman" w:cs="Times New Roman"/>
                <w:sz w:val="20"/>
                <w:szCs w:val="20"/>
              </w:rPr>
              <w:t>e</w:t>
            </w:r>
            <w:r w:rsidRPr="00B34D82">
              <w:rPr>
                <w:rFonts w:ascii="Times New Roman" w:hAnsi="Times New Roman" w:cs="Times New Roman"/>
                <w:sz w:val="20"/>
                <w:szCs w:val="20"/>
              </w:rPr>
              <w:t xml:space="preserve"> przeprowadzane w przypadku wystąpienia nowych lub postępujących nieprawidłowości </w:t>
            </w:r>
            <w:r w:rsidR="008D03FC" w:rsidRPr="00B34D82">
              <w:rPr>
                <w:rFonts w:ascii="Times New Roman" w:hAnsi="Times New Roman" w:cs="Times New Roman"/>
                <w:bCs/>
                <w:sz w:val="20"/>
                <w:szCs w:val="20"/>
              </w:rPr>
              <w:t>w morfologii krwi</w:t>
            </w:r>
            <w:r w:rsidRPr="00B34D82">
              <w:rPr>
                <w:rFonts w:ascii="Times New Roman" w:hAnsi="Times New Roman" w:cs="Times New Roman"/>
                <w:sz w:val="20"/>
                <w:szCs w:val="20"/>
              </w:rPr>
              <w:t>:</w:t>
            </w:r>
          </w:p>
          <w:p w14:paraId="6A0DEF70" w14:textId="77777777" w:rsidR="00C85CE2" w:rsidRPr="00B34D82" w:rsidRDefault="00C85CE2" w:rsidP="00FF7DF2">
            <w:pPr>
              <w:pStyle w:val="Akapitzlist"/>
              <w:widowControl w:val="0"/>
              <w:numPr>
                <w:ilvl w:val="3"/>
                <w:numId w:val="36"/>
              </w:numPr>
              <w:spacing w:after="60"/>
              <w:contextualSpacing w:val="0"/>
              <w:jc w:val="both"/>
              <w:rPr>
                <w:rFonts w:ascii="Times New Roman" w:hAnsi="Times New Roman" w:cs="Times New Roman"/>
                <w:sz w:val="20"/>
                <w:szCs w:val="20"/>
              </w:rPr>
            </w:pPr>
            <w:r w:rsidRPr="00B34D82">
              <w:rPr>
                <w:rFonts w:ascii="Times New Roman" w:hAnsi="Times New Roman" w:cs="Times New Roman"/>
                <w:sz w:val="20"/>
                <w:szCs w:val="20"/>
              </w:rPr>
              <w:t>biopsja szpiku kostnego z barwieniem oceniającym włóknienie;</w:t>
            </w:r>
          </w:p>
          <w:p w14:paraId="33A79DB0" w14:textId="594BF6F9" w:rsidR="00C85CE2" w:rsidRPr="00B34D82" w:rsidRDefault="00C85CE2" w:rsidP="00FF7DF2">
            <w:pPr>
              <w:pStyle w:val="Akapitzlist"/>
              <w:widowControl w:val="0"/>
              <w:numPr>
                <w:ilvl w:val="2"/>
                <w:numId w:val="36"/>
              </w:numPr>
              <w:spacing w:after="60"/>
              <w:contextualSpacing w:val="0"/>
              <w:jc w:val="both"/>
              <w:rPr>
                <w:rFonts w:ascii="Times New Roman" w:eastAsia="Times New Roman" w:hAnsi="Times New Roman" w:cs="Times New Roman"/>
                <w:sz w:val="20"/>
                <w:szCs w:val="20"/>
                <w:lang w:eastAsia="pl-PL"/>
              </w:rPr>
            </w:pPr>
            <w:r w:rsidRPr="00B34D82">
              <w:rPr>
                <w:rFonts w:ascii="Times New Roman" w:eastAsia="Times New Roman" w:hAnsi="Times New Roman" w:cs="Times New Roman"/>
                <w:sz w:val="20"/>
                <w:szCs w:val="20"/>
                <w:lang w:eastAsia="pl-PL"/>
              </w:rPr>
              <w:t xml:space="preserve">badanie </w:t>
            </w:r>
            <w:r w:rsidR="00B34D82" w:rsidRPr="00B34D82">
              <w:rPr>
                <w:rFonts w:ascii="Times New Roman" w:eastAsia="Times New Roman" w:hAnsi="Times New Roman" w:cs="Times New Roman"/>
                <w:sz w:val="20"/>
                <w:szCs w:val="20"/>
                <w:lang w:eastAsia="pl-PL"/>
              </w:rPr>
              <w:t xml:space="preserve">okulistyczne </w:t>
            </w:r>
            <w:r w:rsidRPr="00B34D82">
              <w:rPr>
                <w:rFonts w:ascii="Times New Roman" w:eastAsia="Times New Roman" w:hAnsi="Times New Roman" w:cs="Times New Roman"/>
                <w:sz w:val="20"/>
                <w:szCs w:val="20"/>
                <w:lang w:eastAsia="pl-PL"/>
              </w:rPr>
              <w:t>co 6 miesięcy</w:t>
            </w:r>
            <w:r w:rsidR="00B34D82" w:rsidRPr="00B34D82">
              <w:rPr>
                <w:rFonts w:ascii="Times New Roman" w:eastAsia="Times New Roman" w:hAnsi="Times New Roman" w:cs="Times New Roman"/>
                <w:sz w:val="20"/>
                <w:szCs w:val="20"/>
                <w:lang w:eastAsia="pl-PL"/>
              </w:rPr>
              <w:t xml:space="preserve"> – dotyczy </w:t>
            </w:r>
            <w:r w:rsidR="0057564A">
              <w:rPr>
                <w:rFonts w:ascii="Times New Roman" w:eastAsia="Times New Roman" w:hAnsi="Times New Roman" w:cs="Times New Roman"/>
                <w:sz w:val="20"/>
                <w:szCs w:val="20"/>
                <w:lang w:eastAsia="pl-PL"/>
              </w:rPr>
              <w:t xml:space="preserve">leczenia </w:t>
            </w:r>
            <w:proofErr w:type="spellStart"/>
            <w:r w:rsidR="00B34D82" w:rsidRPr="00B34D82">
              <w:rPr>
                <w:rFonts w:ascii="Times New Roman" w:eastAsia="Times New Roman" w:hAnsi="Times New Roman" w:cs="Times New Roman"/>
                <w:sz w:val="20"/>
                <w:szCs w:val="20"/>
                <w:lang w:eastAsia="pl-PL"/>
              </w:rPr>
              <w:t>eltrombopag</w:t>
            </w:r>
            <w:r w:rsidR="0057564A">
              <w:rPr>
                <w:rFonts w:ascii="Times New Roman" w:eastAsia="Times New Roman" w:hAnsi="Times New Roman" w:cs="Times New Roman"/>
                <w:sz w:val="20"/>
                <w:szCs w:val="20"/>
                <w:lang w:eastAsia="pl-PL"/>
              </w:rPr>
              <w:t>iem</w:t>
            </w:r>
            <w:proofErr w:type="spellEnd"/>
            <w:r w:rsidR="00B34D82" w:rsidRPr="00B34D82">
              <w:rPr>
                <w:rFonts w:ascii="Times New Roman" w:eastAsia="Times New Roman" w:hAnsi="Times New Roman" w:cs="Times New Roman"/>
                <w:sz w:val="20"/>
                <w:szCs w:val="20"/>
                <w:lang w:eastAsia="pl-PL"/>
              </w:rPr>
              <w:t>;</w:t>
            </w:r>
          </w:p>
          <w:p w14:paraId="683186C9" w14:textId="0CBBCD6F" w:rsidR="009F096A" w:rsidRDefault="00C85CE2" w:rsidP="00FF7DF2">
            <w:pPr>
              <w:pStyle w:val="Akapitzlist"/>
              <w:widowControl w:val="0"/>
              <w:numPr>
                <w:ilvl w:val="2"/>
                <w:numId w:val="36"/>
              </w:numPr>
              <w:spacing w:after="60"/>
              <w:contextualSpacing w:val="0"/>
              <w:jc w:val="both"/>
              <w:rPr>
                <w:rFonts w:ascii="Times New Roman" w:eastAsia="Times New Roman" w:hAnsi="Times New Roman" w:cs="Times New Roman"/>
                <w:sz w:val="20"/>
                <w:szCs w:val="20"/>
                <w:lang w:eastAsia="pl-PL"/>
              </w:rPr>
            </w:pPr>
            <w:r w:rsidRPr="00B34D82">
              <w:rPr>
                <w:rFonts w:ascii="Times New Roman" w:eastAsia="Times New Roman" w:hAnsi="Times New Roman" w:cs="Times New Roman"/>
                <w:sz w:val="20"/>
                <w:szCs w:val="20"/>
                <w:lang w:eastAsia="pl-PL"/>
              </w:rPr>
              <w:t>w przypadku przerwania leczenia z powodu wzrostu liczby płytek krwi powyżej 250x10</w:t>
            </w:r>
            <w:r w:rsidRPr="00B34D82">
              <w:rPr>
                <w:rFonts w:ascii="Times New Roman" w:eastAsia="Times New Roman" w:hAnsi="Times New Roman" w:cs="Times New Roman"/>
                <w:sz w:val="20"/>
                <w:szCs w:val="20"/>
                <w:vertAlign w:val="superscript"/>
                <w:lang w:eastAsia="pl-PL"/>
              </w:rPr>
              <w:t>9</w:t>
            </w:r>
            <w:r w:rsidRPr="00B34D82">
              <w:rPr>
                <w:rFonts w:ascii="Times New Roman" w:eastAsia="Times New Roman" w:hAnsi="Times New Roman" w:cs="Times New Roman"/>
                <w:sz w:val="20"/>
                <w:szCs w:val="20"/>
                <w:lang w:eastAsia="pl-PL"/>
              </w:rPr>
              <w:t xml:space="preserve">/l, należy kontrolować liczbę płytek krwi </w:t>
            </w:r>
            <w:r w:rsidR="00902BBF" w:rsidRPr="00B34D82">
              <w:rPr>
                <w:rFonts w:ascii="Times New Roman" w:eastAsia="Times New Roman" w:hAnsi="Times New Roman" w:cs="Times New Roman"/>
                <w:sz w:val="20"/>
                <w:szCs w:val="20"/>
                <w:lang w:eastAsia="pl-PL"/>
              </w:rPr>
              <w:t>1</w:t>
            </w:r>
            <w:r w:rsidR="00A562F9" w:rsidRPr="00B34D82">
              <w:rPr>
                <w:rFonts w:ascii="Times New Roman" w:eastAsia="Times New Roman" w:hAnsi="Times New Roman" w:cs="Times New Roman"/>
                <w:sz w:val="20"/>
                <w:szCs w:val="20"/>
                <w:lang w:eastAsia="pl-PL"/>
              </w:rPr>
              <w:t> </w:t>
            </w:r>
            <w:r w:rsidRPr="00B34D82">
              <w:rPr>
                <w:rFonts w:ascii="Times New Roman" w:eastAsia="Times New Roman" w:hAnsi="Times New Roman" w:cs="Times New Roman"/>
                <w:sz w:val="20"/>
                <w:szCs w:val="20"/>
                <w:lang w:eastAsia="pl-PL"/>
              </w:rPr>
              <w:t>razy w tygodniu, aż do osiągnięcia wartość mniejszej lub równej 100x10</w:t>
            </w:r>
            <w:r w:rsidRPr="00B34D82">
              <w:rPr>
                <w:rFonts w:ascii="Times New Roman" w:eastAsia="Times New Roman" w:hAnsi="Times New Roman" w:cs="Times New Roman"/>
                <w:sz w:val="20"/>
                <w:szCs w:val="20"/>
                <w:vertAlign w:val="superscript"/>
                <w:lang w:eastAsia="pl-PL"/>
              </w:rPr>
              <w:t>9</w:t>
            </w:r>
            <w:r w:rsidRPr="00B34D82">
              <w:rPr>
                <w:rFonts w:ascii="Times New Roman" w:eastAsia="Times New Roman" w:hAnsi="Times New Roman" w:cs="Times New Roman"/>
                <w:sz w:val="20"/>
                <w:szCs w:val="20"/>
                <w:lang w:eastAsia="pl-PL"/>
              </w:rPr>
              <w:t>/l.</w:t>
            </w:r>
          </w:p>
          <w:p w14:paraId="1BC4E116" w14:textId="77777777" w:rsidR="00FF7DF2" w:rsidRPr="00B34D82" w:rsidRDefault="00FF7DF2" w:rsidP="00FF7DF2">
            <w:pPr>
              <w:pStyle w:val="Akapitzlist"/>
              <w:widowControl w:val="0"/>
              <w:spacing w:after="60"/>
              <w:ind w:left="397"/>
              <w:contextualSpacing w:val="0"/>
              <w:jc w:val="both"/>
              <w:rPr>
                <w:rFonts w:ascii="Times New Roman" w:eastAsia="Times New Roman" w:hAnsi="Times New Roman" w:cs="Times New Roman"/>
                <w:sz w:val="20"/>
                <w:szCs w:val="20"/>
                <w:lang w:eastAsia="pl-PL"/>
              </w:rPr>
            </w:pPr>
          </w:p>
          <w:p w14:paraId="305E880A" w14:textId="46BC0134" w:rsidR="00C85CE2" w:rsidRPr="00B34D82" w:rsidRDefault="00C85CE2" w:rsidP="00FF7DF2">
            <w:pPr>
              <w:pStyle w:val="Akapitzlist"/>
              <w:widowControl w:val="0"/>
              <w:numPr>
                <w:ilvl w:val="0"/>
                <w:numId w:val="36"/>
              </w:numPr>
              <w:spacing w:after="60"/>
              <w:contextualSpacing w:val="0"/>
              <w:jc w:val="both"/>
              <w:rPr>
                <w:rFonts w:ascii="Times New Roman" w:hAnsi="Times New Roman" w:cs="Times New Roman"/>
                <w:b/>
                <w:sz w:val="20"/>
                <w:szCs w:val="20"/>
              </w:rPr>
            </w:pPr>
            <w:r w:rsidRPr="00B34D82">
              <w:rPr>
                <w:rFonts w:ascii="Times New Roman" w:hAnsi="Times New Roman" w:cs="Times New Roman"/>
                <w:b/>
                <w:sz w:val="20"/>
                <w:szCs w:val="20"/>
              </w:rPr>
              <w:t>Monitorowanie programu</w:t>
            </w:r>
          </w:p>
          <w:p w14:paraId="2693E90C" w14:textId="69042360" w:rsidR="009F096A" w:rsidRPr="00B34D82" w:rsidRDefault="00E555B2" w:rsidP="00FF7DF2">
            <w:pPr>
              <w:widowControl w:val="0"/>
              <w:numPr>
                <w:ilvl w:val="2"/>
                <w:numId w:val="36"/>
              </w:numPr>
              <w:spacing w:after="60"/>
              <w:jc w:val="both"/>
              <w:rPr>
                <w:rFonts w:ascii="Times New Roman" w:hAnsi="Times New Roman" w:cs="Times New Roman"/>
                <w:sz w:val="20"/>
                <w:szCs w:val="20"/>
              </w:rPr>
            </w:pPr>
            <w:r w:rsidRPr="00B34D82">
              <w:rPr>
                <w:rFonts w:ascii="Times New Roman" w:hAnsi="Times New Roman" w:cs="Times New Roman"/>
                <w:sz w:val="20"/>
                <w:szCs w:val="20"/>
              </w:rPr>
              <w:t>gromadzenie w dokumentacji medycznej pacjenta danych dotyczących monitorowania leczenia i każdorazowe ich przedstawianie na żądanie kontrolerów Narodowego Funduszu Zdrowia;</w:t>
            </w:r>
          </w:p>
          <w:p w14:paraId="5ECDFD01" w14:textId="71F92F4F" w:rsidR="00E555B2" w:rsidRPr="00B34D82" w:rsidRDefault="00E555B2" w:rsidP="00FF7DF2">
            <w:pPr>
              <w:widowControl w:val="0"/>
              <w:numPr>
                <w:ilvl w:val="2"/>
                <w:numId w:val="36"/>
              </w:numPr>
              <w:spacing w:after="60"/>
              <w:jc w:val="both"/>
              <w:rPr>
                <w:rFonts w:ascii="Times New Roman" w:hAnsi="Times New Roman" w:cs="Times New Roman"/>
                <w:sz w:val="20"/>
                <w:szCs w:val="20"/>
              </w:rPr>
            </w:pPr>
            <w:r w:rsidRPr="00B34D82">
              <w:rPr>
                <w:rFonts w:ascii="Times New Roman" w:hAnsi="Times New Roman" w:cs="Times New Roman"/>
                <w:sz w:val="20"/>
                <w:szCs w:val="20"/>
              </w:rPr>
              <w:t>uzupełnianie danych zawartych w rejestrze (SMPT) dostępnym za pomocą aplikacji internetowej udostępnionej przez OW NFZ, nie rzadziej niż co 3 miesiące oraz na zakończenie leczenia;</w:t>
            </w:r>
          </w:p>
          <w:p w14:paraId="0D52A5B5" w14:textId="77777777" w:rsidR="00FF7DF2" w:rsidRDefault="00E555B2" w:rsidP="00FF7DF2">
            <w:pPr>
              <w:widowControl w:val="0"/>
              <w:numPr>
                <w:ilvl w:val="2"/>
                <w:numId w:val="36"/>
              </w:numPr>
              <w:spacing w:after="60"/>
              <w:jc w:val="both"/>
              <w:rPr>
                <w:rFonts w:ascii="Times New Roman" w:hAnsi="Times New Roman" w:cs="Times New Roman"/>
                <w:sz w:val="20"/>
                <w:szCs w:val="20"/>
              </w:rPr>
            </w:pPr>
            <w:r w:rsidRPr="00B34D82">
              <w:rPr>
                <w:rFonts w:ascii="Times New Roman" w:hAnsi="Times New Roman" w:cs="Times New Roman"/>
                <w:sz w:val="20"/>
                <w:szCs w:val="20"/>
              </w:rPr>
              <w:t>przekazywanie informacji sprawozdawczo - rozliczeniowych do NFZ: informacje przekazuje się do NFZ w formie papierowej lub w formie elektronicznej, zgodnie z wymaganiami opublikowanymi przez Narodowy Fundusz Zdrowia.</w:t>
            </w:r>
          </w:p>
          <w:p w14:paraId="1A71847A" w14:textId="36E86AB6" w:rsidR="00FF7DF2" w:rsidRPr="00FF7DF2" w:rsidRDefault="00FF7DF2" w:rsidP="00FF7DF2">
            <w:pPr>
              <w:widowControl w:val="0"/>
              <w:spacing w:after="60"/>
              <w:ind w:left="397"/>
              <w:jc w:val="both"/>
              <w:rPr>
                <w:rFonts w:ascii="Times New Roman" w:hAnsi="Times New Roman" w:cs="Times New Roman"/>
                <w:sz w:val="20"/>
                <w:szCs w:val="20"/>
              </w:rPr>
            </w:pPr>
          </w:p>
        </w:tc>
      </w:tr>
    </w:tbl>
    <w:p w14:paraId="1F8A9105" w14:textId="77777777" w:rsidR="00097CEA" w:rsidRPr="0092102B" w:rsidRDefault="00097CEA" w:rsidP="0015336C">
      <w:pPr>
        <w:rPr>
          <w:rFonts w:ascii="Times New Roman" w:hAnsi="Times New Roman" w:cs="Times New Roman"/>
          <w:sz w:val="2"/>
          <w:szCs w:val="2"/>
        </w:rPr>
      </w:pPr>
    </w:p>
    <w:sectPr w:rsidR="00097CEA" w:rsidRPr="0092102B" w:rsidSect="006501FD">
      <w:pgSz w:w="16838" w:h="11906" w:orient="landscape"/>
      <w:pgMar w:top="1588"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A6A24" w14:textId="77777777" w:rsidR="00550189" w:rsidRDefault="00550189" w:rsidP="00EA1DA5">
      <w:pPr>
        <w:spacing w:after="0" w:line="240" w:lineRule="auto"/>
      </w:pPr>
      <w:r>
        <w:separator/>
      </w:r>
    </w:p>
  </w:endnote>
  <w:endnote w:type="continuationSeparator" w:id="0">
    <w:p w14:paraId="65F72B71" w14:textId="77777777" w:rsidR="00550189" w:rsidRDefault="00550189" w:rsidP="00EA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calaLancetPro">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BBB7A" w14:textId="77777777" w:rsidR="00550189" w:rsidRDefault="00550189" w:rsidP="00EA1DA5">
      <w:pPr>
        <w:spacing w:after="0" w:line="240" w:lineRule="auto"/>
      </w:pPr>
      <w:r>
        <w:separator/>
      </w:r>
    </w:p>
  </w:footnote>
  <w:footnote w:type="continuationSeparator" w:id="0">
    <w:p w14:paraId="7FB568F1" w14:textId="77777777" w:rsidR="00550189" w:rsidRDefault="00550189" w:rsidP="00EA1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10E"/>
    <w:multiLevelType w:val="hybridMultilevel"/>
    <w:tmpl w:val="C834FF08"/>
    <w:lvl w:ilvl="0" w:tplc="04150017">
      <w:start w:val="1"/>
      <w:numFmt w:val="lowerLetter"/>
      <w:lvlText w:val="%1)"/>
      <w:lvlJc w:val="left"/>
      <w:pPr>
        <w:ind w:left="942" w:hanging="360"/>
      </w:pPr>
    </w:lvl>
    <w:lvl w:ilvl="1" w:tplc="04150019" w:tentative="1">
      <w:start w:val="1"/>
      <w:numFmt w:val="lowerLetter"/>
      <w:lvlText w:val="%2."/>
      <w:lvlJc w:val="left"/>
      <w:pPr>
        <w:ind w:left="1662" w:hanging="360"/>
      </w:pPr>
    </w:lvl>
    <w:lvl w:ilvl="2" w:tplc="0415001B" w:tentative="1">
      <w:start w:val="1"/>
      <w:numFmt w:val="lowerRoman"/>
      <w:lvlText w:val="%3."/>
      <w:lvlJc w:val="right"/>
      <w:pPr>
        <w:ind w:left="2382" w:hanging="180"/>
      </w:pPr>
    </w:lvl>
    <w:lvl w:ilvl="3" w:tplc="0415000F" w:tentative="1">
      <w:start w:val="1"/>
      <w:numFmt w:val="decimal"/>
      <w:lvlText w:val="%4."/>
      <w:lvlJc w:val="left"/>
      <w:pPr>
        <w:ind w:left="3102" w:hanging="360"/>
      </w:pPr>
    </w:lvl>
    <w:lvl w:ilvl="4" w:tplc="04150019" w:tentative="1">
      <w:start w:val="1"/>
      <w:numFmt w:val="lowerLetter"/>
      <w:lvlText w:val="%5."/>
      <w:lvlJc w:val="left"/>
      <w:pPr>
        <w:ind w:left="3822" w:hanging="360"/>
      </w:pPr>
    </w:lvl>
    <w:lvl w:ilvl="5" w:tplc="0415001B" w:tentative="1">
      <w:start w:val="1"/>
      <w:numFmt w:val="lowerRoman"/>
      <w:lvlText w:val="%6."/>
      <w:lvlJc w:val="right"/>
      <w:pPr>
        <w:ind w:left="4542" w:hanging="180"/>
      </w:pPr>
    </w:lvl>
    <w:lvl w:ilvl="6" w:tplc="0415000F" w:tentative="1">
      <w:start w:val="1"/>
      <w:numFmt w:val="decimal"/>
      <w:lvlText w:val="%7."/>
      <w:lvlJc w:val="left"/>
      <w:pPr>
        <w:ind w:left="5262" w:hanging="360"/>
      </w:pPr>
    </w:lvl>
    <w:lvl w:ilvl="7" w:tplc="04150019" w:tentative="1">
      <w:start w:val="1"/>
      <w:numFmt w:val="lowerLetter"/>
      <w:lvlText w:val="%8."/>
      <w:lvlJc w:val="left"/>
      <w:pPr>
        <w:ind w:left="5982" w:hanging="360"/>
      </w:pPr>
    </w:lvl>
    <w:lvl w:ilvl="8" w:tplc="0415001B" w:tentative="1">
      <w:start w:val="1"/>
      <w:numFmt w:val="lowerRoman"/>
      <w:lvlText w:val="%9."/>
      <w:lvlJc w:val="right"/>
      <w:pPr>
        <w:ind w:left="6702" w:hanging="180"/>
      </w:pPr>
    </w:lvl>
  </w:abstractNum>
  <w:abstractNum w:abstractNumId="1" w15:restartNumberingAfterBreak="0">
    <w:nsid w:val="08AF51B0"/>
    <w:multiLevelType w:val="hybridMultilevel"/>
    <w:tmpl w:val="D4A2C24E"/>
    <w:lvl w:ilvl="0" w:tplc="76263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72192B"/>
    <w:multiLevelType w:val="multilevel"/>
    <w:tmpl w:val="850C9B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1913EE"/>
    <w:multiLevelType w:val="hybridMultilevel"/>
    <w:tmpl w:val="8BFCBFC6"/>
    <w:lvl w:ilvl="0" w:tplc="EAD453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D441F1"/>
    <w:multiLevelType w:val="hybridMultilevel"/>
    <w:tmpl w:val="06E01A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D414CE"/>
    <w:multiLevelType w:val="multilevel"/>
    <w:tmpl w:val="9EE0A2D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6" w15:restartNumberingAfterBreak="0">
    <w:nsid w:val="23692DD5"/>
    <w:multiLevelType w:val="hybridMultilevel"/>
    <w:tmpl w:val="A9AA899C"/>
    <w:lvl w:ilvl="0" w:tplc="E5CC5B82">
      <w:start w:val="1"/>
      <w:numFmt w:val="decimal"/>
      <w:lvlText w:val="%1)"/>
      <w:lvlJc w:val="right"/>
      <w:pPr>
        <w:ind w:left="72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E19AE"/>
    <w:multiLevelType w:val="hybridMultilevel"/>
    <w:tmpl w:val="B05071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29324A"/>
    <w:multiLevelType w:val="hybridMultilevel"/>
    <w:tmpl w:val="14E846C8"/>
    <w:lvl w:ilvl="0" w:tplc="50EE299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A5546A0"/>
    <w:multiLevelType w:val="multilevel"/>
    <w:tmpl w:val="9A621D8E"/>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9943C8"/>
    <w:multiLevelType w:val="hybridMultilevel"/>
    <w:tmpl w:val="512A4A0A"/>
    <w:lvl w:ilvl="0" w:tplc="C086457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34771FC"/>
    <w:multiLevelType w:val="hybridMultilevel"/>
    <w:tmpl w:val="53D6CC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73D6973"/>
    <w:multiLevelType w:val="hybridMultilevel"/>
    <w:tmpl w:val="4C9ED50C"/>
    <w:lvl w:ilvl="0" w:tplc="50EE299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E52211E"/>
    <w:multiLevelType w:val="hybridMultilevel"/>
    <w:tmpl w:val="6BAACEE2"/>
    <w:lvl w:ilvl="0" w:tplc="209EAE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80611F"/>
    <w:multiLevelType w:val="hybridMultilevel"/>
    <w:tmpl w:val="0660D322"/>
    <w:lvl w:ilvl="0" w:tplc="76263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C9597A"/>
    <w:multiLevelType w:val="hybridMultilevel"/>
    <w:tmpl w:val="442CD96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6D63A21"/>
    <w:multiLevelType w:val="hybridMultilevel"/>
    <w:tmpl w:val="7C0087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F175F7"/>
    <w:multiLevelType w:val="multilevel"/>
    <w:tmpl w:val="9D069B5A"/>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3D5639"/>
    <w:multiLevelType w:val="hybridMultilevel"/>
    <w:tmpl w:val="8A429E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F0F27D4"/>
    <w:multiLevelType w:val="hybridMultilevel"/>
    <w:tmpl w:val="3F2A92E0"/>
    <w:lvl w:ilvl="0" w:tplc="50EE299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50E401FB"/>
    <w:multiLevelType w:val="multilevel"/>
    <w:tmpl w:val="6EC01F16"/>
    <w:lvl w:ilvl="0">
      <w:start w:val="1"/>
      <w:numFmt w:val="decimal"/>
      <w:lvlText w:val="%1."/>
      <w:lvlJc w:val="left"/>
      <w:pPr>
        <w:ind w:left="360" w:hanging="360"/>
      </w:pPr>
      <w:rPr>
        <w:rFonts w:hint="default"/>
      </w:rPr>
    </w:lvl>
    <w:lvl w:ilvl="1">
      <w:start w:val="1"/>
      <w:numFmt w:val="decimal"/>
      <w:lvlText w:val="%1.%2."/>
      <w:lvlJc w:val="left"/>
      <w:pPr>
        <w:ind w:left="414" w:hanging="360"/>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404" w:hanging="108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1" w15:restartNumberingAfterBreak="0">
    <w:nsid w:val="512D02FA"/>
    <w:multiLevelType w:val="hybridMultilevel"/>
    <w:tmpl w:val="442CD96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28453C2"/>
    <w:multiLevelType w:val="hybridMultilevel"/>
    <w:tmpl w:val="42842EF2"/>
    <w:lvl w:ilvl="0" w:tplc="F75285CC">
      <w:start w:val="1"/>
      <w:numFmt w:val="lowerLetter"/>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23" w15:restartNumberingAfterBreak="0">
    <w:nsid w:val="576041E6"/>
    <w:multiLevelType w:val="multilevel"/>
    <w:tmpl w:val="CD640B0E"/>
    <w:lvl w:ilvl="0">
      <w:start w:val="1"/>
      <w:numFmt w:val="decimal"/>
      <w:lvlText w:val="%1)"/>
      <w:lvlJc w:val="right"/>
      <w:pPr>
        <w:ind w:left="360" w:hanging="360"/>
      </w:pPr>
      <w:rPr>
        <w:rFonts w:ascii="Times New Roman" w:eastAsiaTheme="minorHAnsi" w:hAnsi="Times New Roman" w:cs="Times New Roman"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76E665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4F1F8D"/>
    <w:multiLevelType w:val="hybridMultilevel"/>
    <w:tmpl w:val="DD4A0F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82FF9"/>
    <w:multiLevelType w:val="hybridMultilevel"/>
    <w:tmpl w:val="46408562"/>
    <w:lvl w:ilvl="0" w:tplc="76263364">
      <w:start w:val="1"/>
      <w:numFmt w:val="bullet"/>
      <w:lvlText w:val=""/>
      <w:lvlJc w:val="left"/>
      <w:pPr>
        <w:ind w:left="942" w:hanging="360"/>
      </w:pPr>
      <w:rPr>
        <w:rFonts w:ascii="Symbol" w:hAnsi="Symbol" w:hint="default"/>
      </w:rPr>
    </w:lvl>
    <w:lvl w:ilvl="1" w:tplc="04150003" w:tentative="1">
      <w:start w:val="1"/>
      <w:numFmt w:val="bullet"/>
      <w:lvlText w:val="o"/>
      <w:lvlJc w:val="left"/>
      <w:pPr>
        <w:ind w:left="1662" w:hanging="360"/>
      </w:pPr>
      <w:rPr>
        <w:rFonts w:ascii="Courier New" w:hAnsi="Courier New" w:cs="Courier New" w:hint="default"/>
      </w:rPr>
    </w:lvl>
    <w:lvl w:ilvl="2" w:tplc="04150005" w:tentative="1">
      <w:start w:val="1"/>
      <w:numFmt w:val="bullet"/>
      <w:lvlText w:val=""/>
      <w:lvlJc w:val="left"/>
      <w:pPr>
        <w:ind w:left="2382" w:hanging="360"/>
      </w:pPr>
      <w:rPr>
        <w:rFonts w:ascii="Wingdings" w:hAnsi="Wingdings" w:hint="default"/>
      </w:rPr>
    </w:lvl>
    <w:lvl w:ilvl="3" w:tplc="04150001" w:tentative="1">
      <w:start w:val="1"/>
      <w:numFmt w:val="bullet"/>
      <w:lvlText w:val=""/>
      <w:lvlJc w:val="left"/>
      <w:pPr>
        <w:ind w:left="3102" w:hanging="360"/>
      </w:pPr>
      <w:rPr>
        <w:rFonts w:ascii="Symbol" w:hAnsi="Symbol" w:hint="default"/>
      </w:rPr>
    </w:lvl>
    <w:lvl w:ilvl="4" w:tplc="04150003" w:tentative="1">
      <w:start w:val="1"/>
      <w:numFmt w:val="bullet"/>
      <w:lvlText w:val="o"/>
      <w:lvlJc w:val="left"/>
      <w:pPr>
        <w:ind w:left="3822" w:hanging="360"/>
      </w:pPr>
      <w:rPr>
        <w:rFonts w:ascii="Courier New" w:hAnsi="Courier New" w:cs="Courier New" w:hint="default"/>
      </w:rPr>
    </w:lvl>
    <w:lvl w:ilvl="5" w:tplc="04150005" w:tentative="1">
      <w:start w:val="1"/>
      <w:numFmt w:val="bullet"/>
      <w:lvlText w:val=""/>
      <w:lvlJc w:val="left"/>
      <w:pPr>
        <w:ind w:left="4542" w:hanging="360"/>
      </w:pPr>
      <w:rPr>
        <w:rFonts w:ascii="Wingdings" w:hAnsi="Wingdings" w:hint="default"/>
      </w:rPr>
    </w:lvl>
    <w:lvl w:ilvl="6" w:tplc="04150001" w:tentative="1">
      <w:start w:val="1"/>
      <w:numFmt w:val="bullet"/>
      <w:lvlText w:val=""/>
      <w:lvlJc w:val="left"/>
      <w:pPr>
        <w:ind w:left="5262" w:hanging="360"/>
      </w:pPr>
      <w:rPr>
        <w:rFonts w:ascii="Symbol" w:hAnsi="Symbol" w:hint="default"/>
      </w:rPr>
    </w:lvl>
    <w:lvl w:ilvl="7" w:tplc="04150003" w:tentative="1">
      <w:start w:val="1"/>
      <w:numFmt w:val="bullet"/>
      <w:lvlText w:val="o"/>
      <w:lvlJc w:val="left"/>
      <w:pPr>
        <w:ind w:left="5982" w:hanging="360"/>
      </w:pPr>
      <w:rPr>
        <w:rFonts w:ascii="Courier New" w:hAnsi="Courier New" w:cs="Courier New" w:hint="default"/>
      </w:rPr>
    </w:lvl>
    <w:lvl w:ilvl="8" w:tplc="04150005" w:tentative="1">
      <w:start w:val="1"/>
      <w:numFmt w:val="bullet"/>
      <w:lvlText w:val=""/>
      <w:lvlJc w:val="left"/>
      <w:pPr>
        <w:ind w:left="6702" w:hanging="360"/>
      </w:pPr>
      <w:rPr>
        <w:rFonts w:ascii="Wingdings" w:hAnsi="Wingdings" w:hint="default"/>
      </w:rPr>
    </w:lvl>
  </w:abstractNum>
  <w:abstractNum w:abstractNumId="27" w15:restartNumberingAfterBreak="0">
    <w:nsid w:val="5CAF7195"/>
    <w:multiLevelType w:val="multilevel"/>
    <w:tmpl w:val="9EE0A2D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8" w15:restartNumberingAfterBreak="0">
    <w:nsid w:val="5E064C57"/>
    <w:multiLevelType w:val="hybridMultilevel"/>
    <w:tmpl w:val="C2862BE6"/>
    <w:lvl w:ilvl="0" w:tplc="E5CC5B82">
      <w:start w:val="1"/>
      <w:numFmt w:val="decimal"/>
      <w:lvlText w:val="%1)"/>
      <w:lvlJc w:val="right"/>
      <w:pPr>
        <w:ind w:left="501"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76506F"/>
    <w:multiLevelType w:val="hybridMultilevel"/>
    <w:tmpl w:val="A06A7B9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D2C6FC1"/>
    <w:multiLevelType w:val="multilevel"/>
    <w:tmpl w:val="9EE0A2D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31" w15:restartNumberingAfterBreak="0">
    <w:nsid w:val="6D8F4CF6"/>
    <w:multiLevelType w:val="hybridMultilevel"/>
    <w:tmpl w:val="89924AA6"/>
    <w:lvl w:ilvl="0" w:tplc="04150017">
      <w:start w:val="1"/>
      <w:numFmt w:val="lowerLetter"/>
      <w:lvlText w:val="%1)"/>
      <w:lvlJc w:val="left"/>
      <w:pPr>
        <w:ind w:left="895" w:hanging="360"/>
      </w:p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32" w15:restartNumberingAfterBreak="0">
    <w:nsid w:val="734A1E30"/>
    <w:multiLevelType w:val="hybridMultilevel"/>
    <w:tmpl w:val="BCDA73A6"/>
    <w:lvl w:ilvl="0" w:tplc="E5CC5B82">
      <w:start w:val="1"/>
      <w:numFmt w:val="decimal"/>
      <w:lvlText w:val="%1)"/>
      <w:lvlJc w:val="righ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5422A9"/>
    <w:multiLevelType w:val="hybridMultilevel"/>
    <w:tmpl w:val="B20858CC"/>
    <w:lvl w:ilvl="0" w:tplc="50EE299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79487F19"/>
    <w:multiLevelType w:val="hybridMultilevel"/>
    <w:tmpl w:val="07F8398A"/>
    <w:lvl w:ilvl="0" w:tplc="E5CC5B82">
      <w:start w:val="1"/>
      <w:numFmt w:val="decimal"/>
      <w:lvlText w:val="%1)"/>
      <w:lvlJc w:val="right"/>
      <w:pPr>
        <w:ind w:left="720" w:hanging="360"/>
      </w:pPr>
      <w:rPr>
        <w:rFonts w:ascii="Times New Roman" w:eastAsiaTheme="minorHAnsi"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ED05ED"/>
    <w:multiLevelType w:val="hybridMultilevel"/>
    <w:tmpl w:val="6EBCA882"/>
    <w:lvl w:ilvl="0" w:tplc="E508F59C">
      <w:start w:val="1"/>
      <w:numFmt w:val="bullet"/>
      <w:lvlText w:val=""/>
      <w:lvlJc w:val="left"/>
      <w:pPr>
        <w:ind w:left="1685" w:hanging="360"/>
      </w:pPr>
      <w:rPr>
        <w:rFonts w:ascii="Symbol" w:hAnsi="Symbol" w:hint="default"/>
      </w:rPr>
    </w:lvl>
    <w:lvl w:ilvl="1" w:tplc="04150003" w:tentative="1">
      <w:start w:val="1"/>
      <w:numFmt w:val="bullet"/>
      <w:lvlText w:val="o"/>
      <w:lvlJc w:val="left"/>
      <w:pPr>
        <w:ind w:left="2405" w:hanging="360"/>
      </w:pPr>
      <w:rPr>
        <w:rFonts w:ascii="Courier New" w:hAnsi="Courier New" w:cs="Courier New" w:hint="default"/>
      </w:rPr>
    </w:lvl>
    <w:lvl w:ilvl="2" w:tplc="04150005" w:tentative="1">
      <w:start w:val="1"/>
      <w:numFmt w:val="bullet"/>
      <w:lvlText w:val=""/>
      <w:lvlJc w:val="left"/>
      <w:pPr>
        <w:ind w:left="3125" w:hanging="360"/>
      </w:pPr>
      <w:rPr>
        <w:rFonts w:ascii="Wingdings" w:hAnsi="Wingdings" w:hint="default"/>
      </w:rPr>
    </w:lvl>
    <w:lvl w:ilvl="3" w:tplc="04150001" w:tentative="1">
      <w:start w:val="1"/>
      <w:numFmt w:val="bullet"/>
      <w:lvlText w:val=""/>
      <w:lvlJc w:val="left"/>
      <w:pPr>
        <w:ind w:left="3845" w:hanging="360"/>
      </w:pPr>
      <w:rPr>
        <w:rFonts w:ascii="Symbol" w:hAnsi="Symbol" w:hint="default"/>
      </w:rPr>
    </w:lvl>
    <w:lvl w:ilvl="4" w:tplc="04150003" w:tentative="1">
      <w:start w:val="1"/>
      <w:numFmt w:val="bullet"/>
      <w:lvlText w:val="o"/>
      <w:lvlJc w:val="left"/>
      <w:pPr>
        <w:ind w:left="4565" w:hanging="360"/>
      </w:pPr>
      <w:rPr>
        <w:rFonts w:ascii="Courier New" w:hAnsi="Courier New" w:cs="Courier New" w:hint="default"/>
      </w:rPr>
    </w:lvl>
    <w:lvl w:ilvl="5" w:tplc="04150005" w:tentative="1">
      <w:start w:val="1"/>
      <w:numFmt w:val="bullet"/>
      <w:lvlText w:val=""/>
      <w:lvlJc w:val="left"/>
      <w:pPr>
        <w:ind w:left="5285" w:hanging="360"/>
      </w:pPr>
      <w:rPr>
        <w:rFonts w:ascii="Wingdings" w:hAnsi="Wingdings" w:hint="default"/>
      </w:rPr>
    </w:lvl>
    <w:lvl w:ilvl="6" w:tplc="04150001" w:tentative="1">
      <w:start w:val="1"/>
      <w:numFmt w:val="bullet"/>
      <w:lvlText w:val=""/>
      <w:lvlJc w:val="left"/>
      <w:pPr>
        <w:ind w:left="6005" w:hanging="360"/>
      </w:pPr>
      <w:rPr>
        <w:rFonts w:ascii="Symbol" w:hAnsi="Symbol" w:hint="default"/>
      </w:rPr>
    </w:lvl>
    <w:lvl w:ilvl="7" w:tplc="04150003" w:tentative="1">
      <w:start w:val="1"/>
      <w:numFmt w:val="bullet"/>
      <w:lvlText w:val="o"/>
      <w:lvlJc w:val="left"/>
      <w:pPr>
        <w:ind w:left="6725" w:hanging="360"/>
      </w:pPr>
      <w:rPr>
        <w:rFonts w:ascii="Courier New" w:hAnsi="Courier New" w:cs="Courier New" w:hint="default"/>
      </w:rPr>
    </w:lvl>
    <w:lvl w:ilvl="8" w:tplc="04150005" w:tentative="1">
      <w:start w:val="1"/>
      <w:numFmt w:val="bullet"/>
      <w:lvlText w:val=""/>
      <w:lvlJc w:val="left"/>
      <w:pPr>
        <w:ind w:left="7445" w:hanging="360"/>
      </w:pPr>
      <w:rPr>
        <w:rFonts w:ascii="Wingdings" w:hAnsi="Wingdings" w:hint="default"/>
      </w:rPr>
    </w:lvl>
  </w:abstractNum>
  <w:num w:numId="1">
    <w:abstractNumId w:val="17"/>
  </w:num>
  <w:num w:numId="2">
    <w:abstractNumId w:val="9"/>
  </w:num>
  <w:num w:numId="3">
    <w:abstractNumId w:val="24"/>
  </w:num>
  <w:num w:numId="4">
    <w:abstractNumId w:val="13"/>
  </w:num>
  <w:num w:numId="5">
    <w:abstractNumId w:val="23"/>
  </w:num>
  <w:num w:numId="6">
    <w:abstractNumId w:val="32"/>
  </w:num>
  <w:num w:numId="7">
    <w:abstractNumId w:val="14"/>
  </w:num>
  <w:num w:numId="8">
    <w:abstractNumId w:val="6"/>
  </w:num>
  <w:num w:numId="9">
    <w:abstractNumId w:val="34"/>
  </w:num>
  <w:num w:numId="10">
    <w:abstractNumId w:val="16"/>
  </w:num>
  <w:num w:numId="11">
    <w:abstractNumId w:val="28"/>
  </w:num>
  <w:num w:numId="12">
    <w:abstractNumId w:val="31"/>
  </w:num>
  <w:num w:numId="13">
    <w:abstractNumId w:val="1"/>
  </w:num>
  <w:num w:numId="14">
    <w:abstractNumId w:val="0"/>
  </w:num>
  <w:num w:numId="15">
    <w:abstractNumId w:val="26"/>
  </w:num>
  <w:num w:numId="16">
    <w:abstractNumId w:val="3"/>
  </w:num>
  <w:num w:numId="17">
    <w:abstractNumId w:val="18"/>
  </w:num>
  <w:num w:numId="18">
    <w:abstractNumId w:val="10"/>
  </w:num>
  <w:num w:numId="19">
    <w:abstractNumId w:val="11"/>
  </w:num>
  <w:num w:numId="20">
    <w:abstractNumId w:val="29"/>
  </w:num>
  <w:num w:numId="21">
    <w:abstractNumId w:val="15"/>
  </w:num>
  <w:num w:numId="22">
    <w:abstractNumId w:val="25"/>
  </w:num>
  <w:num w:numId="23">
    <w:abstractNumId w:val="22"/>
  </w:num>
  <w:num w:numId="24">
    <w:abstractNumId w:val="35"/>
  </w:num>
  <w:num w:numId="25">
    <w:abstractNumId w:val="2"/>
  </w:num>
  <w:num w:numId="26">
    <w:abstractNumId w:val="20"/>
  </w:num>
  <w:num w:numId="27">
    <w:abstractNumId w:val="4"/>
  </w:num>
  <w:num w:numId="28">
    <w:abstractNumId w:val="21"/>
  </w:num>
  <w:num w:numId="29">
    <w:abstractNumId w:val="33"/>
  </w:num>
  <w:num w:numId="30">
    <w:abstractNumId w:val="8"/>
  </w:num>
  <w:num w:numId="31">
    <w:abstractNumId w:val="12"/>
  </w:num>
  <w:num w:numId="32">
    <w:abstractNumId w:val="19"/>
  </w:num>
  <w:num w:numId="33">
    <w:abstractNumId w:val="7"/>
  </w:num>
  <w:num w:numId="34">
    <w:abstractNumId w:val="5"/>
  </w:num>
  <w:num w:numId="35">
    <w:abstractNumId w:val="27"/>
  </w:num>
  <w:num w:numId="3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EA"/>
    <w:rsid w:val="0000774E"/>
    <w:rsid w:val="00016E7D"/>
    <w:rsid w:val="0001743B"/>
    <w:rsid w:val="0002328C"/>
    <w:rsid w:val="00026323"/>
    <w:rsid w:val="0004348E"/>
    <w:rsid w:val="0004522F"/>
    <w:rsid w:val="00073E26"/>
    <w:rsid w:val="000754AD"/>
    <w:rsid w:val="000804A7"/>
    <w:rsid w:val="0008481F"/>
    <w:rsid w:val="00090E05"/>
    <w:rsid w:val="00097CEA"/>
    <w:rsid w:val="000A3B50"/>
    <w:rsid w:val="000A4C13"/>
    <w:rsid w:val="000B5424"/>
    <w:rsid w:val="000B54B9"/>
    <w:rsid w:val="000C26A5"/>
    <w:rsid w:val="00101A8D"/>
    <w:rsid w:val="00102D95"/>
    <w:rsid w:val="001122F3"/>
    <w:rsid w:val="00133F4C"/>
    <w:rsid w:val="00151EB2"/>
    <w:rsid w:val="0015336C"/>
    <w:rsid w:val="00171A23"/>
    <w:rsid w:val="001807E9"/>
    <w:rsid w:val="0018408D"/>
    <w:rsid w:val="00184FCE"/>
    <w:rsid w:val="001B1B22"/>
    <w:rsid w:val="001B56AA"/>
    <w:rsid w:val="001D2025"/>
    <w:rsid w:val="001F2F3D"/>
    <w:rsid w:val="001F319F"/>
    <w:rsid w:val="002026CD"/>
    <w:rsid w:val="00206061"/>
    <w:rsid w:val="00211ACB"/>
    <w:rsid w:val="0021726E"/>
    <w:rsid w:val="00230B01"/>
    <w:rsid w:val="00242455"/>
    <w:rsid w:val="0027460A"/>
    <w:rsid w:val="00282981"/>
    <w:rsid w:val="00291924"/>
    <w:rsid w:val="002A4ECE"/>
    <w:rsid w:val="002B3FE9"/>
    <w:rsid w:val="002B5618"/>
    <w:rsid w:val="002C2200"/>
    <w:rsid w:val="002C6734"/>
    <w:rsid w:val="002D435F"/>
    <w:rsid w:val="002D5B09"/>
    <w:rsid w:val="002E31C9"/>
    <w:rsid w:val="002F15EF"/>
    <w:rsid w:val="002F3B5F"/>
    <w:rsid w:val="00300AA6"/>
    <w:rsid w:val="00320E06"/>
    <w:rsid w:val="00333F0F"/>
    <w:rsid w:val="00344669"/>
    <w:rsid w:val="00367687"/>
    <w:rsid w:val="00392D9A"/>
    <w:rsid w:val="003A3258"/>
    <w:rsid w:val="003C53D3"/>
    <w:rsid w:val="003D7CCF"/>
    <w:rsid w:val="003E4C68"/>
    <w:rsid w:val="004003FF"/>
    <w:rsid w:val="00403769"/>
    <w:rsid w:val="00415988"/>
    <w:rsid w:val="00431822"/>
    <w:rsid w:val="00440404"/>
    <w:rsid w:val="00457635"/>
    <w:rsid w:val="004605DF"/>
    <w:rsid w:val="004736A6"/>
    <w:rsid w:val="00473F47"/>
    <w:rsid w:val="00475A61"/>
    <w:rsid w:val="004858FC"/>
    <w:rsid w:val="004E554D"/>
    <w:rsid w:val="00502DAD"/>
    <w:rsid w:val="005031B4"/>
    <w:rsid w:val="00511432"/>
    <w:rsid w:val="0052217A"/>
    <w:rsid w:val="0054156D"/>
    <w:rsid w:val="00550189"/>
    <w:rsid w:val="00553F95"/>
    <w:rsid w:val="0055460A"/>
    <w:rsid w:val="0057219F"/>
    <w:rsid w:val="005733DB"/>
    <w:rsid w:val="0057564A"/>
    <w:rsid w:val="00576457"/>
    <w:rsid w:val="00587EC9"/>
    <w:rsid w:val="005923B5"/>
    <w:rsid w:val="005B5CAD"/>
    <w:rsid w:val="005E2AE0"/>
    <w:rsid w:val="00604FC6"/>
    <w:rsid w:val="006133BA"/>
    <w:rsid w:val="0061367F"/>
    <w:rsid w:val="0061787D"/>
    <w:rsid w:val="00626BA2"/>
    <w:rsid w:val="006319DB"/>
    <w:rsid w:val="00642468"/>
    <w:rsid w:val="0064490F"/>
    <w:rsid w:val="006501FD"/>
    <w:rsid w:val="0066548C"/>
    <w:rsid w:val="00674148"/>
    <w:rsid w:val="006778BC"/>
    <w:rsid w:val="006977EB"/>
    <w:rsid w:val="006A08EF"/>
    <w:rsid w:val="006B21DC"/>
    <w:rsid w:val="006C3862"/>
    <w:rsid w:val="006F4E84"/>
    <w:rsid w:val="007432F4"/>
    <w:rsid w:val="00776914"/>
    <w:rsid w:val="00790291"/>
    <w:rsid w:val="00793566"/>
    <w:rsid w:val="007A41E4"/>
    <w:rsid w:val="007B7E5B"/>
    <w:rsid w:val="007C7350"/>
    <w:rsid w:val="008018F1"/>
    <w:rsid w:val="00804B1A"/>
    <w:rsid w:val="008137BC"/>
    <w:rsid w:val="0083577B"/>
    <w:rsid w:val="00847A8D"/>
    <w:rsid w:val="008628A9"/>
    <w:rsid w:val="00863FA2"/>
    <w:rsid w:val="00874EB3"/>
    <w:rsid w:val="00882A3F"/>
    <w:rsid w:val="008843E4"/>
    <w:rsid w:val="008D03FC"/>
    <w:rsid w:val="008D3D48"/>
    <w:rsid w:val="008E251B"/>
    <w:rsid w:val="008E3C9B"/>
    <w:rsid w:val="00902BBF"/>
    <w:rsid w:val="009032E5"/>
    <w:rsid w:val="00906740"/>
    <w:rsid w:val="00911AB6"/>
    <w:rsid w:val="0092102B"/>
    <w:rsid w:val="00921383"/>
    <w:rsid w:val="0092492F"/>
    <w:rsid w:val="009434BE"/>
    <w:rsid w:val="009440F9"/>
    <w:rsid w:val="009520EF"/>
    <w:rsid w:val="009528A7"/>
    <w:rsid w:val="00960C78"/>
    <w:rsid w:val="00966741"/>
    <w:rsid w:val="009815E4"/>
    <w:rsid w:val="00986B20"/>
    <w:rsid w:val="00990321"/>
    <w:rsid w:val="009A2A0C"/>
    <w:rsid w:val="009A4CE1"/>
    <w:rsid w:val="009A5CA2"/>
    <w:rsid w:val="009B6E4C"/>
    <w:rsid w:val="009C3E5B"/>
    <w:rsid w:val="009F096A"/>
    <w:rsid w:val="00A336F5"/>
    <w:rsid w:val="00A36C05"/>
    <w:rsid w:val="00A45067"/>
    <w:rsid w:val="00A50EF9"/>
    <w:rsid w:val="00A562F9"/>
    <w:rsid w:val="00A704EC"/>
    <w:rsid w:val="00A9435D"/>
    <w:rsid w:val="00AB0E0C"/>
    <w:rsid w:val="00AB15F3"/>
    <w:rsid w:val="00AB57CB"/>
    <w:rsid w:val="00AC0A47"/>
    <w:rsid w:val="00AC1C08"/>
    <w:rsid w:val="00AC4DD3"/>
    <w:rsid w:val="00AC5229"/>
    <w:rsid w:val="00AE5D08"/>
    <w:rsid w:val="00AF268E"/>
    <w:rsid w:val="00AF2FCC"/>
    <w:rsid w:val="00B07645"/>
    <w:rsid w:val="00B15C1C"/>
    <w:rsid w:val="00B34D82"/>
    <w:rsid w:val="00B5090C"/>
    <w:rsid w:val="00B73EA9"/>
    <w:rsid w:val="00B74261"/>
    <w:rsid w:val="00B750CC"/>
    <w:rsid w:val="00B76641"/>
    <w:rsid w:val="00B8422E"/>
    <w:rsid w:val="00B967BB"/>
    <w:rsid w:val="00BC029A"/>
    <w:rsid w:val="00BD08EF"/>
    <w:rsid w:val="00BD7F6C"/>
    <w:rsid w:val="00C02F73"/>
    <w:rsid w:val="00C138A1"/>
    <w:rsid w:val="00C166A1"/>
    <w:rsid w:val="00C2669C"/>
    <w:rsid w:val="00C32310"/>
    <w:rsid w:val="00C45D55"/>
    <w:rsid w:val="00C53B9F"/>
    <w:rsid w:val="00C63FF0"/>
    <w:rsid w:val="00C64FB5"/>
    <w:rsid w:val="00C76D55"/>
    <w:rsid w:val="00C85CE2"/>
    <w:rsid w:val="00C876D4"/>
    <w:rsid w:val="00CA1D97"/>
    <w:rsid w:val="00CA38FD"/>
    <w:rsid w:val="00CB413C"/>
    <w:rsid w:val="00CB4357"/>
    <w:rsid w:val="00CC0726"/>
    <w:rsid w:val="00CD3F29"/>
    <w:rsid w:val="00CD5BB3"/>
    <w:rsid w:val="00CE7D6A"/>
    <w:rsid w:val="00D11E58"/>
    <w:rsid w:val="00D17380"/>
    <w:rsid w:val="00D24802"/>
    <w:rsid w:val="00D40121"/>
    <w:rsid w:val="00D41DF5"/>
    <w:rsid w:val="00D56B8C"/>
    <w:rsid w:val="00D676D8"/>
    <w:rsid w:val="00D831D4"/>
    <w:rsid w:val="00D90491"/>
    <w:rsid w:val="00DA42F4"/>
    <w:rsid w:val="00DC135D"/>
    <w:rsid w:val="00DE6C55"/>
    <w:rsid w:val="00E05816"/>
    <w:rsid w:val="00E12A3D"/>
    <w:rsid w:val="00E21710"/>
    <w:rsid w:val="00E334B6"/>
    <w:rsid w:val="00E370B0"/>
    <w:rsid w:val="00E40EA2"/>
    <w:rsid w:val="00E54496"/>
    <w:rsid w:val="00E555B2"/>
    <w:rsid w:val="00E64301"/>
    <w:rsid w:val="00E70753"/>
    <w:rsid w:val="00E853F2"/>
    <w:rsid w:val="00EA03AB"/>
    <w:rsid w:val="00EA1DA5"/>
    <w:rsid w:val="00EB75DF"/>
    <w:rsid w:val="00EC6693"/>
    <w:rsid w:val="00EF4B76"/>
    <w:rsid w:val="00EF71D4"/>
    <w:rsid w:val="00F20A3A"/>
    <w:rsid w:val="00F33D11"/>
    <w:rsid w:val="00F37C14"/>
    <w:rsid w:val="00F438F6"/>
    <w:rsid w:val="00F45ED6"/>
    <w:rsid w:val="00F57FAD"/>
    <w:rsid w:val="00F71E5E"/>
    <w:rsid w:val="00F76008"/>
    <w:rsid w:val="00F866BC"/>
    <w:rsid w:val="00FA0578"/>
    <w:rsid w:val="00FA1D99"/>
    <w:rsid w:val="00FD18A1"/>
    <w:rsid w:val="00FD2B5C"/>
    <w:rsid w:val="00FF7D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83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97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97CEA"/>
    <w:pPr>
      <w:ind w:left="720"/>
      <w:contextualSpacing/>
    </w:pPr>
  </w:style>
  <w:style w:type="paragraph" w:styleId="Tekstdymka">
    <w:name w:val="Balloon Text"/>
    <w:basedOn w:val="Normalny"/>
    <w:link w:val="TekstdymkaZnak"/>
    <w:uiPriority w:val="99"/>
    <w:semiHidden/>
    <w:unhideWhenUsed/>
    <w:rsid w:val="002F15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15EF"/>
    <w:rPr>
      <w:rFonts w:ascii="Tahoma" w:hAnsi="Tahoma" w:cs="Tahoma"/>
      <w:sz w:val="16"/>
      <w:szCs w:val="16"/>
    </w:rPr>
  </w:style>
  <w:style w:type="paragraph" w:styleId="Nagwek">
    <w:name w:val="header"/>
    <w:basedOn w:val="Normalny"/>
    <w:link w:val="NagwekZnak"/>
    <w:uiPriority w:val="99"/>
    <w:unhideWhenUsed/>
    <w:rsid w:val="00EA1D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DA5"/>
  </w:style>
  <w:style w:type="paragraph" w:styleId="Stopka">
    <w:name w:val="footer"/>
    <w:basedOn w:val="Normalny"/>
    <w:link w:val="StopkaZnak"/>
    <w:uiPriority w:val="99"/>
    <w:unhideWhenUsed/>
    <w:rsid w:val="00EA1D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DA5"/>
  </w:style>
  <w:style w:type="paragraph" w:styleId="Bezodstpw">
    <w:name w:val="No Spacing"/>
    <w:basedOn w:val="Normalny"/>
    <w:uiPriority w:val="1"/>
    <w:qFormat/>
    <w:rsid w:val="00090E05"/>
    <w:pPr>
      <w:autoSpaceDE w:val="0"/>
      <w:autoSpaceDN w:val="0"/>
      <w:adjustRightInd w:val="0"/>
      <w:spacing w:before="60" w:after="0" w:line="240" w:lineRule="auto"/>
      <w:jc w:val="both"/>
    </w:pPr>
    <w:rPr>
      <w:rFonts w:ascii="Times New Roman" w:eastAsia="Times New Roman" w:hAnsi="Times New Roman" w:cs="Times New Roman"/>
      <w:sz w:val="20"/>
      <w:szCs w:val="20"/>
      <w:lang w:val="en-GB" w:eastAsia="pl-PL"/>
    </w:rPr>
  </w:style>
  <w:style w:type="table" w:styleId="Jasnecieniowanie">
    <w:name w:val="Light Shading"/>
    <w:basedOn w:val="Standardowy"/>
    <w:uiPriority w:val="60"/>
    <w:rsid w:val="00090E05"/>
    <w:pPr>
      <w:spacing w:after="0" w:line="240" w:lineRule="auto"/>
    </w:pPr>
    <w:rPr>
      <w:rFonts w:ascii="Calibri" w:eastAsia="Calibri" w:hAnsi="Calibri" w:cs="Times New Roman"/>
      <w:color w:val="000000" w:themeColor="text1" w:themeShade="BF"/>
      <w:lang w:eastAsia="pl-P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Odwoaniedokomentarza">
    <w:name w:val="annotation reference"/>
    <w:basedOn w:val="Domylnaczcionkaakapitu"/>
    <w:uiPriority w:val="99"/>
    <w:semiHidden/>
    <w:unhideWhenUsed/>
    <w:rsid w:val="009A2A0C"/>
    <w:rPr>
      <w:sz w:val="16"/>
      <w:szCs w:val="16"/>
    </w:rPr>
  </w:style>
  <w:style w:type="paragraph" w:styleId="Tekstkomentarza">
    <w:name w:val="annotation text"/>
    <w:basedOn w:val="Normalny"/>
    <w:link w:val="TekstkomentarzaZnak"/>
    <w:uiPriority w:val="99"/>
    <w:semiHidden/>
    <w:unhideWhenUsed/>
    <w:rsid w:val="009A2A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A0C"/>
    <w:rPr>
      <w:sz w:val="20"/>
      <w:szCs w:val="20"/>
    </w:rPr>
  </w:style>
  <w:style w:type="paragraph" w:styleId="Tematkomentarza">
    <w:name w:val="annotation subject"/>
    <w:basedOn w:val="Tekstkomentarza"/>
    <w:next w:val="Tekstkomentarza"/>
    <w:link w:val="TematkomentarzaZnak"/>
    <w:uiPriority w:val="99"/>
    <w:semiHidden/>
    <w:unhideWhenUsed/>
    <w:rsid w:val="009A2A0C"/>
    <w:rPr>
      <w:b/>
      <w:bCs/>
    </w:rPr>
  </w:style>
  <w:style w:type="character" w:customStyle="1" w:styleId="TematkomentarzaZnak">
    <w:name w:val="Temat komentarza Znak"/>
    <w:basedOn w:val="TekstkomentarzaZnak"/>
    <w:link w:val="Tematkomentarza"/>
    <w:uiPriority w:val="99"/>
    <w:semiHidden/>
    <w:rsid w:val="009A2A0C"/>
    <w:rPr>
      <w:b/>
      <w:bCs/>
      <w:sz w:val="20"/>
      <w:szCs w:val="20"/>
    </w:rPr>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rsid w:val="00C85CE2"/>
    <w:pPr>
      <w:spacing w:after="0" w:line="240" w:lineRule="auto"/>
      <w:jc w:val="both"/>
    </w:pPr>
    <w:rPr>
      <w:rFonts w:ascii="Times New Roman" w:eastAsia="Times New Roman" w:hAnsi="Times New Roman" w:cs="Times New Roman"/>
      <w:sz w:val="24"/>
      <w:szCs w:val="24"/>
      <w:lang w:val="en-US" w:eastAsia="pl-PL"/>
    </w:r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basedOn w:val="Domylnaczcionkaakapitu"/>
    <w:link w:val="Tekstpodstawowy"/>
    <w:rsid w:val="00C85CE2"/>
    <w:rPr>
      <w:rFonts w:ascii="Times New Roman" w:eastAsia="Times New Roman" w:hAnsi="Times New Roman" w:cs="Times New Roman"/>
      <w:sz w:val="24"/>
      <w:szCs w:val="24"/>
      <w:lang w:val="en-US" w:eastAsia="pl-PL"/>
    </w:rPr>
  </w:style>
  <w:style w:type="paragraph" w:customStyle="1" w:styleId="ColorfulList-Accent11">
    <w:name w:val="Colorful List - Accent 11"/>
    <w:basedOn w:val="Normalny"/>
    <w:uiPriority w:val="34"/>
    <w:qFormat/>
    <w:rsid w:val="00415988"/>
    <w:pPr>
      <w:spacing w:before="60" w:after="60" w:line="240" w:lineRule="auto"/>
      <w:ind w:left="720"/>
      <w:contextualSpacing/>
      <w:jc w:val="both"/>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36348">
      <w:bodyDiv w:val="1"/>
      <w:marLeft w:val="0"/>
      <w:marRight w:val="0"/>
      <w:marTop w:val="0"/>
      <w:marBottom w:val="0"/>
      <w:divBdr>
        <w:top w:val="none" w:sz="0" w:space="0" w:color="auto"/>
        <w:left w:val="none" w:sz="0" w:space="0" w:color="auto"/>
        <w:bottom w:val="none" w:sz="0" w:space="0" w:color="auto"/>
        <w:right w:val="none" w:sz="0" w:space="0" w:color="auto"/>
      </w:divBdr>
    </w:div>
    <w:div w:id="296183663">
      <w:bodyDiv w:val="1"/>
      <w:marLeft w:val="0"/>
      <w:marRight w:val="0"/>
      <w:marTop w:val="0"/>
      <w:marBottom w:val="0"/>
      <w:divBdr>
        <w:top w:val="none" w:sz="0" w:space="0" w:color="auto"/>
        <w:left w:val="none" w:sz="0" w:space="0" w:color="auto"/>
        <w:bottom w:val="none" w:sz="0" w:space="0" w:color="auto"/>
        <w:right w:val="none" w:sz="0" w:space="0" w:color="auto"/>
      </w:divBdr>
      <w:divsChild>
        <w:div w:id="1387529635">
          <w:marLeft w:val="0"/>
          <w:marRight w:val="0"/>
          <w:marTop w:val="0"/>
          <w:marBottom w:val="0"/>
          <w:divBdr>
            <w:top w:val="none" w:sz="0" w:space="0" w:color="auto"/>
            <w:left w:val="none" w:sz="0" w:space="0" w:color="auto"/>
            <w:bottom w:val="none" w:sz="0" w:space="0" w:color="auto"/>
            <w:right w:val="none" w:sz="0" w:space="0" w:color="auto"/>
          </w:divBdr>
        </w:div>
        <w:div w:id="1485853389">
          <w:marLeft w:val="0"/>
          <w:marRight w:val="0"/>
          <w:marTop w:val="0"/>
          <w:marBottom w:val="0"/>
          <w:divBdr>
            <w:top w:val="none" w:sz="0" w:space="0" w:color="auto"/>
            <w:left w:val="none" w:sz="0" w:space="0" w:color="auto"/>
            <w:bottom w:val="none" w:sz="0" w:space="0" w:color="auto"/>
            <w:right w:val="none" w:sz="0" w:space="0" w:color="auto"/>
          </w:divBdr>
        </w:div>
        <w:div w:id="873470666">
          <w:marLeft w:val="0"/>
          <w:marRight w:val="0"/>
          <w:marTop w:val="0"/>
          <w:marBottom w:val="0"/>
          <w:divBdr>
            <w:top w:val="none" w:sz="0" w:space="0" w:color="auto"/>
            <w:left w:val="none" w:sz="0" w:space="0" w:color="auto"/>
            <w:bottom w:val="none" w:sz="0" w:space="0" w:color="auto"/>
            <w:right w:val="none" w:sz="0" w:space="0" w:color="auto"/>
          </w:divBdr>
        </w:div>
        <w:div w:id="1507599100">
          <w:marLeft w:val="0"/>
          <w:marRight w:val="0"/>
          <w:marTop w:val="0"/>
          <w:marBottom w:val="0"/>
          <w:divBdr>
            <w:top w:val="none" w:sz="0" w:space="0" w:color="auto"/>
            <w:left w:val="none" w:sz="0" w:space="0" w:color="auto"/>
            <w:bottom w:val="none" w:sz="0" w:space="0" w:color="auto"/>
            <w:right w:val="none" w:sz="0" w:space="0" w:color="auto"/>
          </w:divBdr>
        </w:div>
        <w:div w:id="686179365">
          <w:marLeft w:val="0"/>
          <w:marRight w:val="0"/>
          <w:marTop w:val="0"/>
          <w:marBottom w:val="0"/>
          <w:divBdr>
            <w:top w:val="none" w:sz="0" w:space="0" w:color="auto"/>
            <w:left w:val="none" w:sz="0" w:space="0" w:color="auto"/>
            <w:bottom w:val="none" w:sz="0" w:space="0" w:color="auto"/>
            <w:right w:val="none" w:sz="0" w:space="0" w:color="auto"/>
          </w:divBdr>
        </w:div>
        <w:div w:id="1530490156">
          <w:marLeft w:val="0"/>
          <w:marRight w:val="0"/>
          <w:marTop w:val="0"/>
          <w:marBottom w:val="0"/>
          <w:divBdr>
            <w:top w:val="none" w:sz="0" w:space="0" w:color="auto"/>
            <w:left w:val="none" w:sz="0" w:space="0" w:color="auto"/>
            <w:bottom w:val="none" w:sz="0" w:space="0" w:color="auto"/>
            <w:right w:val="none" w:sz="0" w:space="0" w:color="auto"/>
          </w:divBdr>
        </w:div>
        <w:div w:id="1638299960">
          <w:marLeft w:val="0"/>
          <w:marRight w:val="0"/>
          <w:marTop w:val="0"/>
          <w:marBottom w:val="0"/>
          <w:divBdr>
            <w:top w:val="none" w:sz="0" w:space="0" w:color="auto"/>
            <w:left w:val="none" w:sz="0" w:space="0" w:color="auto"/>
            <w:bottom w:val="none" w:sz="0" w:space="0" w:color="auto"/>
            <w:right w:val="none" w:sz="0" w:space="0" w:color="auto"/>
          </w:divBdr>
        </w:div>
      </w:divsChild>
    </w:div>
    <w:div w:id="18362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C93B-09C4-4340-87FE-C2FD3B38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4815</Characters>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2020-06-08T10:18:00Z</dcterms:created>
  <dcterms:modified xsi:type="dcterms:W3CDTF">2020-07-30T12:32:00Z</dcterms:modified>
</cp:coreProperties>
</file>