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bookmarkStart w:id="0" w:name="_GoBack"/>
      <w:bookmarkEnd w:id="0"/>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701" w:type="dxa"/>
        <w:jc w:val="center"/>
        <w:shd w:val="pct12" w:color="auto" w:fill="auto"/>
        <w:tblLayout w:type="fixed"/>
        <w:tblLook w:val="04A0" w:firstRow="1" w:lastRow="0" w:firstColumn="1" w:lastColumn="0" w:noHBand="0" w:noVBand="1"/>
      </w:tblPr>
      <w:tblGrid>
        <w:gridCol w:w="852"/>
        <w:gridCol w:w="2856"/>
        <w:gridCol w:w="2999"/>
        <w:gridCol w:w="3569"/>
        <w:gridCol w:w="1142"/>
        <w:gridCol w:w="1713"/>
        <w:gridCol w:w="1285"/>
        <w:gridCol w:w="1285"/>
      </w:tblGrid>
      <w:tr w:rsidR="00F80ABA" w:rsidRPr="00E10012" w14:paraId="2DF8F5AF" w14:textId="77777777" w:rsidTr="008C1F79">
        <w:trPr>
          <w:jc w:val="center"/>
        </w:trPr>
        <w:tc>
          <w:tcPr>
            <w:tcW w:w="852"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56"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299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69"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42"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13"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85"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85"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8C1F79">
        <w:trPr>
          <w:trHeight w:val="325"/>
          <w:jc w:val="center"/>
        </w:trPr>
        <w:tc>
          <w:tcPr>
            <w:tcW w:w="852"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56"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299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69"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42"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13"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85"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85"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8C1F79">
        <w:tblPrEx>
          <w:jc w:val="left"/>
          <w:shd w:val="clear" w:color="auto" w:fill="auto"/>
        </w:tblPrEx>
        <w:trPr>
          <w:trHeight w:val="347"/>
        </w:trPr>
        <w:tc>
          <w:tcPr>
            <w:tcW w:w="852"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56"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299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69"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42"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13"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85"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8C1F79">
        <w:tblPrEx>
          <w:jc w:val="left"/>
          <w:shd w:val="clear" w:color="auto" w:fill="auto"/>
        </w:tblPrEx>
        <w:trPr>
          <w:trHeight w:val="347"/>
        </w:trPr>
        <w:tc>
          <w:tcPr>
            <w:tcW w:w="852"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56"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299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69"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42"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13"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8C1F79">
        <w:tblPrEx>
          <w:jc w:val="left"/>
          <w:shd w:val="clear" w:color="auto" w:fill="auto"/>
        </w:tblPrEx>
        <w:trPr>
          <w:trHeight w:val="347"/>
        </w:trPr>
        <w:tc>
          <w:tcPr>
            <w:tcW w:w="852"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56"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299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69"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42"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13"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A4154C">
        <w:tblPrEx>
          <w:jc w:val="left"/>
          <w:shd w:val="clear" w:color="auto" w:fill="auto"/>
        </w:tblPrEx>
        <w:trPr>
          <w:trHeight w:val="850"/>
        </w:trPr>
        <w:tc>
          <w:tcPr>
            <w:tcW w:w="852"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56"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299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69"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42"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13"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85"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A4154C">
        <w:tblPrEx>
          <w:jc w:val="left"/>
          <w:shd w:val="clear" w:color="auto" w:fill="auto"/>
        </w:tblPrEx>
        <w:trPr>
          <w:trHeight w:val="850"/>
        </w:trPr>
        <w:tc>
          <w:tcPr>
            <w:tcW w:w="852"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56"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299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69"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 xml:space="preserve">tryb wyrażania zgody na pobyt opiekuna lub najbliższego członka </w:t>
            </w:r>
            <w:r w:rsidRPr="00737F0C">
              <w:rPr>
                <w:rFonts w:cs="Times New Roman"/>
                <w:szCs w:val="24"/>
              </w:rPr>
              <w:lastRenderedPageBreak/>
              <w:t>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42"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13"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85"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A4154C">
        <w:tblPrEx>
          <w:jc w:val="left"/>
          <w:shd w:val="clear" w:color="auto" w:fill="auto"/>
        </w:tblPrEx>
        <w:trPr>
          <w:trHeight w:val="850"/>
        </w:trPr>
        <w:tc>
          <w:tcPr>
            <w:tcW w:w="852"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56"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299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69"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42"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13"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85"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85"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A4154C">
        <w:tblPrEx>
          <w:jc w:val="left"/>
          <w:shd w:val="clear" w:color="auto" w:fill="auto"/>
        </w:tblPrEx>
        <w:trPr>
          <w:trHeight w:val="850"/>
        </w:trPr>
        <w:tc>
          <w:tcPr>
            <w:tcW w:w="852"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56"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299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69"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42"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13"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85"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85"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A4154C">
        <w:tblPrEx>
          <w:jc w:val="left"/>
          <w:shd w:val="clear" w:color="auto" w:fill="auto"/>
        </w:tblPrEx>
        <w:trPr>
          <w:trHeight w:val="850"/>
        </w:trPr>
        <w:tc>
          <w:tcPr>
            <w:tcW w:w="852"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56"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2999" w:type="dxa"/>
          </w:tcPr>
          <w:p w14:paraId="05484641" w14:textId="0504821A" w:rsidR="0068581A" w:rsidRPr="0068581A" w:rsidRDefault="0068581A" w:rsidP="0068581A">
            <w:pPr>
              <w:pStyle w:val="Styl1"/>
              <w:spacing w:after="0" w:line="240" w:lineRule="auto"/>
              <w:ind w:firstLine="0"/>
              <w:rPr>
                <w:szCs w:val="24"/>
              </w:rPr>
            </w:pPr>
            <w:r w:rsidRPr="0068581A">
              <w:rPr>
                <w:szCs w:val="24"/>
              </w:rPr>
              <w:t>Projekt stanowi wykonanie upoważnienia ustawowego zawartego w art. 616a ust. 6 ustawy z dnia 11 marca 2022 r. o obronie Ojczyzny (Dz. U. poz. 2305, z późn. zm.)</w:t>
            </w:r>
          </w:p>
        </w:tc>
        <w:tc>
          <w:tcPr>
            <w:tcW w:w="3569"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42"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MON</w:t>
            </w:r>
          </w:p>
        </w:tc>
        <w:tc>
          <w:tcPr>
            <w:tcW w:w="1713"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85"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85"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D405C8">
        <w:tblPrEx>
          <w:jc w:val="left"/>
          <w:shd w:val="clear" w:color="auto" w:fill="auto"/>
        </w:tblPrEx>
        <w:trPr>
          <w:trHeight w:val="850"/>
        </w:trPr>
        <w:tc>
          <w:tcPr>
            <w:tcW w:w="852"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56"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299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69"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42"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13"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85"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D405C8">
        <w:tblPrEx>
          <w:jc w:val="left"/>
          <w:shd w:val="clear" w:color="auto" w:fill="auto"/>
        </w:tblPrEx>
        <w:trPr>
          <w:trHeight w:val="850"/>
        </w:trPr>
        <w:tc>
          <w:tcPr>
            <w:tcW w:w="852"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56"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299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69"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42"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13"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D405C8">
        <w:tblPrEx>
          <w:jc w:val="left"/>
          <w:shd w:val="clear" w:color="auto" w:fill="auto"/>
        </w:tblPrEx>
        <w:trPr>
          <w:trHeight w:val="850"/>
        </w:trPr>
        <w:tc>
          <w:tcPr>
            <w:tcW w:w="852"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56"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 xml:space="preserve">rojekt rozporządzenia Ministra Obrony Narodowej w sprawie wykazu chorób i  schorzeń dyskwalifikujących </w:t>
            </w:r>
            <w:r w:rsidRPr="003B57A7">
              <w:rPr>
                <w:rFonts w:ascii="Times New Roman" w:hAnsi="Times New Roman" w:cs="Times New Roman"/>
                <w:sz w:val="24"/>
                <w:szCs w:val="24"/>
              </w:rPr>
              <w:lastRenderedPageBreak/>
              <w:t>z wykonywania zadań służbowych lub ograniczających ich wykonywanie</w:t>
            </w:r>
          </w:p>
        </w:tc>
        <w:tc>
          <w:tcPr>
            <w:tcW w:w="2999" w:type="dxa"/>
          </w:tcPr>
          <w:p w14:paraId="1A65C74A" w14:textId="71A0056E" w:rsidR="003B57A7" w:rsidRPr="0068581A" w:rsidRDefault="003B57A7" w:rsidP="003B57A7">
            <w:pPr>
              <w:pStyle w:val="Styl1"/>
              <w:spacing w:after="0" w:line="240" w:lineRule="auto"/>
              <w:ind w:firstLine="0"/>
              <w:rPr>
                <w:szCs w:val="24"/>
              </w:rPr>
            </w:pPr>
            <w:r w:rsidRPr="003B57A7">
              <w:rPr>
                <w:szCs w:val="24"/>
              </w:rPr>
              <w:lastRenderedPageBreak/>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69"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 xml:space="preserve">Rozporządzenie określa wykaz chorób i schorzeń dyskwalifikujących żołnierzy zawodowych z wykonywania zadań służbowych lub ograniczających ich wykonywanie, zajmujących stanowiska służbowe wymagające szczególnych predyspozycji </w:t>
            </w:r>
            <w:r w:rsidRPr="003B57A7">
              <w:rPr>
                <w:rFonts w:ascii="Times New Roman" w:hAnsi="Times New Roman" w:cs="Times New Roman"/>
                <w:sz w:val="24"/>
                <w:szCs w:val="24"/>
              </w:rPr>
              <w:lastRenderedPageBreak/>
              <w:t>zdrowotnych. Przedmiotowy wykaz chorób i  schorzeń dotyczy stanowisk służbowych zajmowanych m.in. przez pilotów, nawigatorów, nurków i płetwonurków, a także stanowisk w jednostkach wojsk specjalnych czy też jednostkach wojsk powietrznodesantowych.</w:t>
            </w:r>
          </w:p>
        </w:tc>
        <w:tc>
          <w:tcPr>
            <w:tcW w:w="1142"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13"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85"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D405C8">
        <w:tblPrEx>
          <w:jc w:val="left"/>
          <w:shd w:val="clear" w:color="auto" w:fill="auto"/>
        </w:tblPrEx>
        <w:trPr>
          <w:trHeight w:val="850"/>
        </w:trPr>
        <w:tc>
          <w:tcPr>
            <w:tcW w:w="852"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56"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299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69"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42"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13"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D405C8">
        <w:tblPrEx>
          <w:jc w:val="left"/>
          <w:shd w:val="clear" w:color="auto" w:fill="auto"/>
        </w:tblPrEx>
        <w:trPr>
          <w:trHeight w:val="850"/>
        </w:trPr>
        <w:tc>
          <w:tcPr>
            <w:tcW w:w="852"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56"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299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69"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42"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13"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85"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D405C8">
        <w:tblPrEx>
          <w:jc w:val="left"/>
          <w:shd w:val="clear" w:color="auto" w:fill="auto"/>
        </w:tblPrEx>
        <w:trPr>
          <w:trHeight w:val="850"/>
        </w:trPr>
        <w:tc>
          <w:tcPr>
            <w:tcW w:w="852"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56"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299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ustawy z dnia 11 marca 2022 r. o obronie Ojczyzny (Dz. U. z 2022 r. poz. 2305, z późn. zm.)</w:t>
            </w:r>
            <w:r>
              <w:rPr>
                <w:szCs w:val="24"/>
              </w:rPr>
              <w:t>.</w:t>
            </w:r>
          </w:p>
        </w:tc>
        <w:tc>
          <w:tcPr>
            <w:tcW w:w="3569"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Proponuje się zmianę w zakresie dodatku za długoletnią służbę wojskową dla żołnierzy posiadających staż służby poniżej 15 lat. Zmiana  polega na tym, że dodatek za długoletnią służbę wojskową będzie przyznawany już po roku służby wojskowej, a jego zwiększenie następować będzie po każdym kolejnym roku służby wojskowej o 1% należnego uposażenia zasadniczego.</w:t>
            </w:r>
          </w:p>
        </w:tc>
        <w:tc>
          <w:tcPr>
            <w:tcW w:w="1142"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MON</w:t>
            </w:r>
          </w:p>
        </w:tc>
        <w:tc>
          <w:tcPr>
            <w:tcW w:w="1713"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D405C8">
        <w:tblPrEx>
          <w:jc w:val="left"/>
          <w:shd w:val="clear" w:color="auto" w:fill="auto"/>
        </w:tblPrEx>
        <w:trPr>
          <w:trHeight w:val="850"/>
        </w:trPr>
        <w:tc>
          <w:tcPr>
            <w:tcW w:w="852"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56"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2999" w:type="dxa"/>
          </w:tcPr>
          <w:p w14:paraId="69C643A0" w14:textId="5B2DD30F" w:rsidR="00AF2D1A" w:rsidRPr="00AF2D1A" w:rsidRDefault="00AF2D1A" w:rsidP="00AF2D1A">
            <w:pPr>
              <w:contextualSpacing/>
              <w:rPr>
                <w:rFonts w:ascii="Times New Roman" w:eastAsia="Times New Roman" w:hAnsi="Times New Roman" w:cs="Times New Roman"/>
                <w:sz w:val="24"/>
                <w:szCs w:val="24"/>
                <w:lang w:eastAsia="pl-PL"/>
              </w:rPr>
            </w:pPr>
            <w:r>
              <w:rPr>
                <w:szCs w:val="24"/>
              </w:rPr>
              <w:t>P</w:t>
            </w:r>
            <w:r w:rsidRPr="00AF2D1A">
              <w:rPr>
                <w:rFonts w:ascii="Times New Roman" w:eastAsia="Times New Roman" w:hAnsi="Times New Roman" w:cs="Times New Roman"/>
                <w:sz w:val="24"/>
                <w:szCs w:val="24"/>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69"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AF2D1A">
              <w:rPr>
                <w:rFonts w:ascii="Times New Roman" w:eastAsia="Calibri" w:hAnsi="Times New Roman" w:cs="Times New Roman"/>
                <w:sz w:val="24"/>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42" w:type="dxa"/>
            <w:shd w:val="clear" w:color="auto" w:fill="auto"/>
          </w:tcPr>
          <w:p w14:paraId="640F65A0" w14:textId="571EA2D1" w:rsidR="00AF2D1A" w:rsidRDefault="00AF2D1A" w:rsidP="000716E9">
            <w:pPr>
              <w:jc w:val="center"/>
              <w:rPr>
                <w:rFonts w:ascii="Times New Roman" w:hAnsi="Times New Roman" w:cs="Times New Roman"/>
                <w:sz w:val="24"/>
                <w:szCs w:val="24"/>
              </w:rPr>
            </w:pPr>
            <w:r>
              <w:rPr>
                <w:rFonts w:ascii="Times New Roman" w:hAnsi="Times New Roman" w:cs="Times New Roman"/>
                <w:sz w:val="24"/>
                <w:szCs w:val="24"/>
              </w:rPr>
              <w:t>MON</w:t>
            </w:r>
          </w:p>
        </w:tc>
        <w:tc>
          <w:tcPr>
            <w:tcW w:w="1713" w:type="dxa"/>
            <w:shd w:val="clear" w:color="auto" w:fill="auto"/>
          </w:tcPr>
          <w:p w14:paraId="3DBA9EBD" w14:textId="462232E2" w:rsidR="00AF2D1A" w:rsidRDefault="00AF2D1A" w:rsidP="000716E9">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w:t>
            </w:r>
          </w:p>
        </w:tc>
        <w:tc>
          <w:tcPr>
            <w:tcW w:w="1285" w:type="dxa"/>
            <w:shd w:val="clear" w:color="auto" w:fill="auto"/>
          </w:tcPr>
          <w:p w14:paraId="6FC1865C" w14:textId="77777777" w:rsidR="00AF2D1A" w:rsidRPr="00E10012" w:rsidRDefault="00AF2D1A" w:rsidP="00AF2D1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4C577A" w14:textId="77777777" w:rsidR="00AF2D1A" w:rsidRDefault="00AF2D1A" w:rsidP="00AF2D1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B689CEA" w14:textId="01C4DE6E" w:rsidR="00AF2D1A" w:rsidRPr="00E10012" w:rsidRDefault="00AF2D1A" w:rsidP="00AF2D1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37589832" w14:textId="77777777" w:rsidR="00AF2D1A" w:rsidRPr="0068581A" w:rsidRDefault="00AF2D1A" w:rsidP="000716E9">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5B52F" w14:textId="77777777" w:rsidR="001F20F5" w:rsidRDefault="001F20F5" w:rsidP="000C3879">
      <w:pPr>
        <w:spacing w:after="0" w:line="240" w:lineRule="auto"/>
      </w:pPr>
      <w:r>
        <w:separator/>
      </w:r>
    </w:p>
  </w:endnote>
  <w:endnote w:type="continuationSeparator" w:id="0">
    <w:p w14:paraId="7BD0CA40" w14:textId="77777777" w:rsidR="001F20F5" w:rsidRDefault="001F20F5"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charset w:val="EE"/>
    <w:family w:val="swiss"/>
    <w:pitch w:val="variable"/>
    <w:sig w:usb0="00000001"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C6127" w14:textId="77777777" w:rsidR="001F20F5" w:rsidRDefault="001F20F5" w:rsidP="000C3879">
      <w:pPr>
        <w:spacing w:after="0" w:line="240" w:lineRule="auto"/>
      </w:pPr>
      <w:r>
        <w:separator/>
      </w:r>
    </w:p>
  </w:footnote>
  <w:footnote w:type="continuationSeparator" w:id="0">
    <w:p w14:paraId="267A6870" w14:textId="77777777" w:rsidR="001F20F5" w:rsidRDefault="001F20F5"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C61B3"/>
    <w:multiLevelType w:val="hybridMultilevel"/>
    <w:tmpl w:val="CB2CD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45F06"/>
    <w:multiLevelType w:val="hybridMultilevel"/>
    <w:tmpl w:val="50CC3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164898"/>
    <w:multiLevelType w:val="hybridMultilevel"/>
    <w:tmpl w:val="84621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0"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37921A5"/>
    <w:multiLevelType w:val="hybridMultilevel"/>
    <w:tmpl w:val="78503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0"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4"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6"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0"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73FA7E59"/>
    <w:multiLevelType w:val="hybridMultilevel"/>
    <w:tmpl w:val="27068774"/>
    <w:lvl w:ilvl="0" w:tplc="9F46B5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6"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36"/>
  </w:num>
  <w:num w:numId="2">
    <w:abstractNumId w:val="31"/>
  </w:num>
  <w:num w:numId="3">
    <w:abstractNumId w:val="22"/>
  </w:num>
  <w:num w:numId="4">
    <w:abstractNumId w:val="18"/>
  </w:num>
  <w:num w:numId="5">
    <w:abstractNumId w:val="7"/>
  </w:num>
  <w:num w:numId="6">
    <w:abstractNumId w:val="55"/>
  </w:num>
  <w:num w:numId="7">
    <w:abstractNumId w:val="25"/>
  </w:num>
  <w:num w:numId="8">
    <w:abstractNumId w:val="8"/>
  </w:num>
  <w:num w:numId="9">
    <w:abstractNumId w:val="12"/>
  </w:num>
  <w:num w:numId="10">
    <w:abstractNumId w:val="51"/>
  </w:num>
  <w:num w:numId="11">
    <w:abstractNumId w:val="33"/>
  </w:num>
  <w:num w:numId="12">
    <w:abstractNumId w:val="11"/>
  </w:num>
  <w:num w:numId="13">
    <w:abstractNumId w:val="5"/>
  </w:num>
  <w:num w:numId="14">
    <w:abstractNumId w:val="14"/>
  </w:num>
  <w:num w:numId="15">
    <w:abstractNumId w:val="34"/>
  </w:num>
  <w:num w:numId="16">
    <w:abstractNumId w:val="0"/>
  </w:num>
  <w:num w:numId="17">
    <w:abstractNumId w:val="21"/>
  </w:num>
  <w:num w:numId="18">
    <w:abstractNumId w:val="35"/>
  </w:num>
  <w:num w:numId="19">
    <w:abstractNumId w:val="56"/>
  </w:num>
  <w:num w:numId="20">
    <w:abstractNumId w:val="42"/>
  </w:num>
  <w:num w:numId="21">
    <w:abstractNumId w:val="40"/>
  </w:num>
  <w:num w:numId="22">
    <w:abstractNumId w:val="15"/>
  </w:num>
  <w:num w:numId="23">
    <w:abstractNumId w:val="24"/>
  </w:num>
  <w:num w:numId="24">
    <w:abstractNumId w:val="37"/>
  </w:num>
  <w:num w:numId="25">
    <w:abstractNumId w:val="46"/>
  </w:num>
  <w:num w:numId="26">
    <w:abstractNumId w:val="4"/>
  </w:num>
  <w:num w:numId="27">
    <w:abstractNumId w:val="54"/>
  </w:num>
  <w:num w:numId="28">
    <w:abstractNumId w:val="39"/>
  </w:num>
  <w:num w:numId="29">
    <w:abstractNumId w:val="45"/>
  </w:num>
  <w:num w:numId="30">
    <w:abstractNumId w:val="48"/>
  </w:num>
  <w:num w:numId="31">
    <w:abstractNumId w:val="32"/>
  </w:num>
  <w:num w:numId="32">
    <w:abstractNumId w:val="28"/>
  </w:num>
  <w:num w:numId="33">
    <w:abstractNumId w:val="9"/>
  </w:num>
  <w:num w:numId="34">
    <w:abstractNumId w:val="41"/>
  </w:num>
  <w:num w:numId="35">
    <w:abstractNumId w:val="52"/>
  </w:num>
  <w:num w:numId="36">
    <w:abstractNumId w:val="29"/>
  </w:num>
  <w:num w:numId="37">
    <w:abstractNumId w:val="50"/>
  </w:num>
  <w:num w:numId="38">
    <w:abstractNumId w:val="30"/>
  </w:num>
  <w:num w:numId="39">
    <w:abstractNumId w:val="27"/>
  </w:num>
  <w:num w:numId="40">
    <w:abstractNumId w:val="49"/>
  </w:num>
  <w:num w:numId="41">
    <w:abstractNumId w:val="43"/>
  </w:num>
  <w:num w:numId="42">
    <w:abstractNumId w:val="47"/>
  </w:num>
  <w:num w:numId="43">
    <w:abstractNumId w:val="13"/>
  </w:num>
  <w:num w:numId="44">
    <w:abstractNumId w:val="26"/>
  </w:num>
  <w:num w:numId="45">
    <w:abstractNumId w:val="17"/>
  </w:num>
  <w:num w:numId="46">
    <w:abstractNumId w:val="6"/>
  </w:num>
  <w:num w:numId="47">
    <w:abstractNumId w:val="20"/>
  </w:num>
  <w:num w:numId="48">
    <w:abstractNumId w:val="1"/>
  </w:num>
  <w:num w:numId="49">
    <w:abstractNumId w:val="3"/>
  </w:num>
  <w:num w:numId="50">
    <w:abstractNumId w:val="44"/>
  </w:num>
  <w:num w:numId="51">
    <w:abstractNumId w:val="23"/>
  </w:num>
  <w:num w:numId="52">
    <w:abstractNumId w:val="16"/>
  </w:num>
  <w:num w:numId="53">
    <w:abstractNumId w:val="19"/>
  </w:num>
  <w:num w:numId="54">
    <w:abstractNumId w:val="53"/>
  </w:num>
  <w:num w:numId="55">
    <w:abstractNumId w:val="10"/>
  </w:num>
  <w:num w:numId="56">
    <w:abstractNumId w:val="2"/>
  </w:num>
  <w:num w:numId="57">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2493"/>
    <w:rsid w:val="000176A4"/>
    <w:rsid w:val="00017DAB"/>
    <w:rsid w:val="00044054"/>
    <w:rsid w:val="00044A76"/>
    <w:rsid w:val="00051330"/>
    <w:rsid w:val="00051980"/>
    <w:rsid w:val="00052243"/>
    <w:rsid w:val="000547A4"/>
    <w:rsid w:val="000657E9"/>
    <w:rsid w:val="00070350"/>
    <w:rsid w:val="00070C77"/>
    <w:rsid w:val="000716E9"/>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1E17"/>
    <w:rsid w:val="000C3879"/>
    <w:rsid w:val="000D357C"/>
    <w:rsid w:val="000D4AE7"/>
    <w:rsid w:val="000D4DF2"/>
    <w:rsid w:val="000E006B"/>
    <w:rsid w:val="000E59F0"/>
    <w:rsid w:val="000F2545"/>
    <w:rsid w:val="000F60DC"/>
    <w:rsid w:val="000F657C"/>
    <w:rsid w:val="001067DB"/>
    <w:rsid w:val="001124BC"/>
    <w:rsid w:val="0012468A"/>
    <w:rsid w:val="0013297A"/>
    <w:rsid w:val="00140CD8"/>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528C"/>
    <w:rsid w:val="001B6AED"/>
    <w:rsid w:val="001D0273"/>
    <w:rsid w:val="001D03FC"/>
    <w:rsid w:val="001D19A7"/>
    <w:rsid w:val="001D48EB"/>
    <w:rsid w:val="001E0A78"/>
    <w:rsid w:val="001E6D97"/>
    <w:rsid w:val="001F20F5"/>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60F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789C"/>
    <w:rsid w:val="0040029A"/>
    <w:rsid w:val="00411C48"/>
    <w:rsid w:val="00412B83"/>
    <w:rsid w:val="0042438A"/>
    <w:rsid w:val="00424D32"/>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09E5"/>
    <w:rsid w:val="005056FC"/>
    <w:rsid w:val="0051017A"/>
    <w:rsid w:val="00510207"/>
    <w:rsid w:val="00511A13"/>
    <w:rsid w:val="00513561"/>
    <w:rsid w:val="00514466"/>
    <w:rsid w:val="00514C72"/>
    <w:rsid w:val="00517CFE"/>
    <w:rsid w:val="005229FE"/>
    <w:rsid w:val="00524058"/>
    <w:rsid w:val="0053094B"/>
    <w:rsid w:val="00531A1F"/>
    <w:rsid w:val="005404F3"/>
    <w:rsid w:val="00552383"/>
    <w:rsid w:val="005538D3"/>
    <w:rsid w:val="00557677"/>
    <w:rsid w:val="00560DCB"/>
    <w:rsid w:val="00561D6A"/>
    <w:rsid w:val="0056787C"/>
    <w:rsid w:val="00567C0C"/>
    <w:rsid w:val="00570396"/>
    <w:rsid w:val="00574B31"/>
    <w:rsid w:val="005768A8"/>
    <w:rsid w:val="00577997"/>
    <w:rsid w:val="0058178E"/>
    <w:rsid w:val="005819F7"/>
    <w:rsid w:val="00587D9C"/>
    <w:rsid w:val="005965A7"/>
    <w:rsid w:val="005A5862"/>
    <w:rsid w:val="005B5BD5"/>
    <w:rsid w:val="005B69D5"/>
    <w:rsid w:val="005C259C"/>
    <w:rsid w:val="005C3CD3"/>
    <w:rsid w:val="005C6C64"/>
    <w:rsid w:val="005D249D"/>
    <w:rsid w:val="005D36CE"/>
    <w:rsid w:val="005E6CE5"/>
    <w:rsid w:val="005F00BA"/>
    <w:rsid w:val="005F1F39"/>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8581A"/>
    <w:rsid w:val="00691DFC"/>
    <w:rsid w:val="006975C3"/>
    <w:rsid w:val="006A113E"/>
    <w:rsid w:val="006A20F2"/>
    <w:rsid w:val="006B0BB1"/>
    <w:rsid w:val="006C1809"/>
    <w:rsid w:val="006C4054"/>
    <w:rsid w:val="006C7271"/>
    <w:rsid w:val="006D1BAD"/>
    <w:rsid w:val="006D2E56"/>
    <w:rsid w:val="006D5381"/>
    <w:rsid w:val="006D66A3"/>
    <w:rsid w:val="006D779D"/>
    <w:rsid w:val="006E2B6D"/>
    <w:rsid w:val="006F488D"/>
    <w:rsid w:val="006F66B3"/>
    <w:rsid w:val="006F7A42"/>
    <w:rsid w:val="006F7C95"/>
    <w:rsid w:val="00701E37"/>
    <w:rsid w:val="00702723"/>
    <w:rsid w:val="00702913"/>
    <w:rsid w:val="00706DC3"/>
    <w:rsid w:val="00707EDC"/>
    <w:rsid w:val="00713A8B"/>
    <w:rsid w:val="00716DA1"/>
    <w:rsid w:val="0072382C"/>
    <w:rsid w:val="0072445E"/>
    <w:rsid w:val="0072590B"/>
    <w:rsid w:val="0072735D"/>
    <w:rsid w:val="00731685"/>
    <w:rsid w:val="00734305"/>
    <w:rsid w:val="007345A2"/>
    <w:rsid w:val="00734D90"/>
    <w:rsid w:val="00737F0C"/>
    <w:rsid w:val="00740B92"/>
    <w:rsid w:val="007433F5"/>
    <w:rsid w:val="00744C1B"/>
    <w:rsid w:val="0076043A"/>
    <w:rsid w:val="00760A64"/>
    <w:rsid w:val="00761BA9"/>
    <w:rsid w:val="007620B2"/>
    <w:rsid w:val="00765981"/>
    <w:rsid w:val="007667F1"/>
    <w:rsid w:val="00767B5F"/>
    <w:rsid w:val="007715B6"/>
    <w:rsid w:val="00775487"/>
    <w:rsid w:val="0077693E"/>
    <w:rsid w:val="00777FAB"/>
    <w:rsid w:val="007803CA"/>
    <w:rsid w:val="007854AD"/>
    <w:rsid w:val="00786016"/>
    <w:rsid w:val="0079340B"/>
    <w:rsid w:val="00793E0C"/>
    <w:rsid w:val="007A2037"/>
    <w:rsid w:val="007A2651"/>
    <w:rsid w:val="007B0001"/>
    <w:rsid w:val="007B00C4"/>
    <w:rsid w:val="007B0AD2"/>
    <w:rsid w:val="007B3566"/>
    <w:rsid w:val="007C08AA"/>
    <w:rsid w:val="007C20C9"/>
    <w:rsid w:val="007C330C"/>
    <w:rsid w:val="007C44E5"/>
    <w:rsid w:val="007C461E"/>
    <w:rsid w:val="007C60C8"/>
    <w:rsid w:val="007C71B5"/>
    <w:rsid w:val="007D45BA"/>
    <w:rsid w:val="007E2908"/>
    <w:rsid w:val="007E2D28"/>
    <w:rsid w:val="007E4E8D"/>
    <w:rsid w:val="007F773E"/>
    <w:rsid w:val="00801846"/>
    <w:rsid w:val="0080321D"/>
    <w:rsid w:val="00811C84"/>
    <w:rsid w:val="0084389E"/>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1F79"/>
    <w:rsid w:val="008C3D6F"/>
    <w:rsid w:val="008D2582"/>
    <w:rsid w:val="008D2CDC"/>
    <w:rsid w:val="008D63C6"/>
    <w:rsid w:val="008D6B96"/>
    <w:rsid w:val="008D73C8"/>
    <w:rsid w:val="008E2ABD"/>
    <w:rsid w:val="00902F53"/>
    <w:rsid w:val="0090378A"/>
    <w:rsid w:val="00913FF1"/>
    <w:rsid w:val="00921E19"/>
    <w:rsid w:val="00921EC9"/>
    <w:rsid w:val="00923CED"/>
    <w:rsid w:val="00930DEE"/>
    <w:rsid w:val="00936E8C"/>
    <w:rsid w:val="00937FF9"/>
    <w:rsid w:val="00947E78"/>
    <w:rsid w:val="0095147F"/>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3286"/>
    <w:rsid w:val="009E5329"/>
    <w:rsid w:val="00A00573"/>
    <w:rsid w:val="00A31D56"/>
    <w:rsid w:val="00A37750"/>
    <w:rsid w:val="00A37B40"/>
    <w:rsid w:val="00A40AB2"/>
    <w:rsid w:val="00A40D94"/>
    <w:rsid w:val="00A4154C"/>
    <w:rsid w:val="00A47975"/>
    <w:rsid w:val="00A67B09"/>
    <w:rsid w:val="00A703E2"/>
    <w:rsid w:val="00A70A7B"/>
    <w:rsid w:val="00A7611B"/>
    <w:rsid w:val="00A7721D"/>
    <w:rsid w:val="00A87C0E"/>
    <w:rsid w:val="00A91CBC"/>
    <w:rsid w:val="00A935B5"/>
    <w:rsid w:val="00A9548D"/>
    <w:rsid w:val="00AA44F0"/>
    <w:rsid w:val="00AA7309"/>
    <w:rsid w:val="00AB3110"/>
    <w:rsid w:val="00AB69AA"/>
    <w:rsid w:val="00AC0B0E"/>
    <w:rsid w:val="00AD192C"/>
    <w:rsid w:val="00AD524F"/>
    <w:rsid w:val="00AE3CF3"/>
    <w:rsid w:val="00AE494F"/>
    <w:rsid w:val="00AE76E7"/>
    <w:rsid w:val="00AE7C04"/>
    <w:rsid w:val="00AF2D1A"/>
    <w:rsid w:val="00B00C34"/>
    <w:rsid w:val="00B046DA"/>
    <w:rsid w:val="00B206A2"/>
    <w:rsid w:val="00B233F7"/>
    <w:rsid w:val="00B31A0B"/>
    <w:rsid w:val="00B36597"/>
    <w:rsid w:val="00B36FD5"/>
    <w:rsid w:val="00B37D5C"/>
    <w:rsid w:val="00B43618"/>
    <w:rsid w:val="00B43BF9"/>
    <w:rsid w:val="00B43C94"/>
    <w:rsid w:val="00B44364"/>
    <w:rsid w:val="00B4543D"/>
    <w:rsid w:val="00B50213"/>
    <w:rsid w:val="00B53B2E"/>
    <w:rsid w:val="00B55B1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40BB"/>
    <w:rsid w:val="00BA5B31"/>
    <w:rsid w:val="00BA6799"/>
    <w:rsid w:val="00BB3355"/>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E4CD7"/>
    <w:rsid w:val="00CF0658"/>
    <w:rsid w:val="00CF5272"/>
    <w:rsid w:val="00CF62DF"/>
    <w:rsid w:val="00D00485"/>
    <w:rsid w:val="00D02342"/>
    <w:rsid w:val="00D034C2"/>
    <w:rsid w:val="00D07925"/>
    <w:rsid w:val="00D10F47"/>
    <w:rsid w:val="00D11DB0"/>
    <w:rsid w:val="00D1244B"/>
    <w:rsid w:val="00D15967"/>
    <w:rsid w:val="00D1692B"/>
    <w:rsid w:val="00D255EF"/>
    <w:rsid w:val="00D329A4"/>
    <w:rsid w:val="00D34EF5"/>
    <w:rsid w:val="00D636C1"/>
    <w:rsid w:val="00D73919"/>
    <w:rsid w:val="00D81615"/>
    <w:rsid w:val="00D81C3E"/>
    <w:rsid w:val="00D82DC1"/>
    <w:rsid w:val="00D84BFD"/>
    <w:rsid w:val="00D84D94"/>
    <w:rsid w:val="00D87385"/>
    <w:rsid w:val="00D901BA"/>
    <w:rsid w:val="00D9389A"/>
    <w:rsid w:val="00DB1FA1"/>
    <w:rsid w:val="00DB3CFF"/>
    <w:rsid w:val="00DB64B8"/>
    <w:rsid w:val="00DC674B"/>
    <w:rsid w:val="00DC7929"/>
    <w:rsid w:val="00DD5822"/>
    <w:rsid w:val="00DE0A4A"/>
    <w:rsid w:val="00DE4BE5"/>
    <w:rsid w:val="00DE4CDC"/>
    <w:rsid w:val="00DF152F"/>
    <w:rsid w:val="00DF5186"/>
    <w:rsid w:val="00DF544A"/>
    <w:rsid w:val="00E05C80"/>
    <w:rsid w:val="00E10012"/>
    <w:rsid w:val="00E152A1"/>
    <w:rsid w:val="00E20D20"/>
    <w:rsid w:val="00E22BBC"/>
    <w:rsid w:val="00E31218"/>
    <w:rsid w:val="00E32FD7"/>
    <w:rsid w:val="00E36143"/>
    <w:rsid w:val="00E4314A"/>
    <w:rsid w:val="00E43905"/>
    <w:rsid w:val="00E4702E"/>
    <w:rsid w:val="00E47AD4"/>
    <w:rsid w:val="00E5461A"/>
    <w:rsid w:val="00E5644C"/>
    <w:rsid w:val="00E5662F"/>
    <w:rsid w:val="00E70D33"/>
    <w:rsid w:val="00E738EF"/>
    <w:rsid w:val="00E8081C"/>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0224"/>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86F38"/>
    <w:rsid w:val="00F94C0F"/>
    <w:rsid w:val="00FA1EEA"/>
    <w:rsid w:val="00FA63B8"/>
    <w:rsid w:val="00FA6C7F"/>
    <w:rsid w:val="00FB15A4"/>
    <w:rsid w:val="00FD36A3"/>
    <w:rsid w:val="00FE1E83"/>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6E94-F043-4984-B263-0A798A53209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F07C068-360B-4BD4-B220-AD587FCB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1916</Words>
  <Characters>11498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Kozerawska Beata</cp:lastModifiedBy>
  <cp:revision>2</cp:revision>
  <dcterms:created xsi:type="dcterms:W3CDTF">2024-03-01T16:02:00Z</dcterms:created>
  <dcterms:modified xsi:type="dcterms:W3CDTF">2024-03-01T16:02:00Z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