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3BB0" w14:textId="5FF727E9" w:rsidR="00D022F1" w:rsidRPr="00D022F1" w:rsidRDefault="00D022F1" w:rsidP="00D022F1">
      <w:pPr>
        <w:spacing w:after="0" w:line="240" w:lineRule="auto"/>
        <w:rPr>
          <w:rFonts w:ascii="Times New Roman" w:hAnsi="Times New Roman"/>
          <w:sz w:val="24"/>
          <w:szCs w:val="24"/>
        </w:rPr>
      </w:pPr>
      <w:r w:rsidRPr="00D022F1">
        <w:rPr>
          <w:rFonts w:ascii="Times New Roman" w:hAnsi="Times New Roman"/>
          <w:sz w:val="24"/>
          <w:szCs w:val="24"/>
        </w:rPr>
        <w:t>Generalny Dyrektor Ochrony Środowiska</w:t>
      </w:r>
    </w:p>
    <w:p w14:paraId="2C04981D" w14:textId="5FE644E0" w:rsidR="0045178F" w:rsidRPr="00D022F1" w:rsidRDefault="00D2625B" w:rsidP="00D022F1">
      <w:pPr>
        <w:spacing w:after="0" w:line="240" w:lineRule="auto"/>
        <w:rPr>
          <w:rFonts w:ascii="Times New Roman" w:hAnsi="Times New Roman"/>
          <w:sz w:val="24"/>
          <w:szCs w:val="24"/>
        </w:rPr>
      </w:pPr>
      <w:r w:rsidRPr="00D022F1">
        <w:rPr>
          <w:rFonts w:ascii="Times New Roman" w:hAnsi="Times New Roman"/>
          <w:sz w:val="24"/>
          <w:szCs w:val="24"/>
        </w:rPr>
        <w:t xml:space="preserve">Warszawa, </w:t>
      </w:r>
      <w:bookmarkStart w:id="0" w:name="ezdDataPodpisu"/>
      <w:r w:rsidRPr="00D022F1">
        <w:rPr>
          <w:rFonts w:ascii="Times New Roman" w:hAnsi="Times New Roman"/>
          <w:sz w:val="24"/>
          <w:szCs w:val="24"/>
        </w:rPr>
        <w:t>28 marca 2025</w:t>
      </w:r>
      <w:bookmarkEnd w:id="0"/>
      <w:r w:rsidRPr="00D022F1">
        <w:rPr>
          <w:rFonts w:ascii="Times New Roman" w:hAnsi="Times New Roman"/>
          <w:sz w:val="24"/>
          <w:szCs w:val="24"/>
        </w:rPr>
        <w:t xml:space="preserve"> r.</w:t>
      </w:r>
    </w:p>
    <w:p w14:paraId="474C64AE" w14:textId="77777777" w:rsidR="0045178F" w:rsidRPr="00D022F1" w:rsidRDefault="00D2625B" w:rsidP="00D022F1">
      <w:pPr>
        <w:spacing w:after="0" w:line="240" w:lineRule="auto"/>
        <w:rPr>
          <w:rFonts w:ascii="Times New Roman" w:hAnsi="Times New Roman"/>
          <w:sz w:val="24"/>
          <w:szCs w:val="24"/>
        </w:rPr>
      </w:pPr>
      <w:bookmarkStart w:id="1" w:name="ezdSprawaZnak"/>
      <w:r w:rsidRPr="00D022F1">
        <w:rPr>
          <w:rFonts w:ascii="Times New Roman" w:hAnsi="Times New Roman"/>
          <w:sz w:val="24"/>
          <w:szCs w:val="24"/>
        </w:rPr>
        <w:t>DOOŚ-WDŚIII.420.2.2024</w:t>
      </w:r>
      <w:bookmarkEnd w:id="1"/>
      <w:r w:rsidRPr="00D022F1">
        <w:rPr>
          <w:rFonts w:ascii="Times New Roman" w:hAnsi="Times New Roman"/>
          <w:sz w:val="24"/>
          <w:szCs w:val="24"/>
        </w:rPr>
        <w:t>.mk.37</w:t>
      </w:r>
    </w:p>
    <w:p w14:paraId="3C15828F" w14:textId="77777777" w:rsidR="0045178F" w:rsidRPr="00D022F1" w:rsidRDefault="00D2625B" w:rsidP="00D022F1">
      <w:pPr>
        <w:spacing w:after="0" w:line="240" w:lineRule="auto"/>
        <w:rPr>
          <w:rFonts w:ascii="Times New Roman" w:eastAsia="Hoefler Text" w:hAnsi="Times New Roman"/>
          <w:color w:val="000000" w:themeColor="text1"/>
          <w:sz w:val="24"/>
          <w:szCs w:val="24"/>
        </w:rPr>
      </w:pPr>
      <w:r w:rsidRPr="00D022F1">
        <w:rPr>
          <w:rFonts w:ascii="Times New Roman" w:hAnsi="Times New Roman"/>
          <w:color w:val="000000" w:themeColor="text1"/>
          <w:sz w:val="24"/>
          <w:szCs w:val="24"/>
        </w:rPr>
        <w:t>DECYZJA</w:t>
      </w:r>
    </w:p>
    <w:p w14:paraId="18C3D708"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color w:val="000000" w:themeColor="text1"/>
          <w:sz w:val="24"/>
          <w:szCs w:val="24"/>
        </w:rPr>
        <w:t xml:space="preserve">Generalny Dyrektor Ochrony Środowiska, w związku z podaniem Generalnego Dyrektora Dróg Krajowych i Autostrad z 14 marca 2025 r., znak: OWA.KP-16.4170.5.9.2025.AS, cofającym wniosek z </w:t>
      </w:r>
      <w:r w:rsidRPr="00D022F1">
        <w:rPr>
          <w:rFonts w:ascii="Times New Roman" w:hAnsi="Times New Roman"/>
          <w:sz w:val="24"/>
          <w:szCs w:val="24"/>
        </w:rPr>
        <w:t>2 lipca 2015 r., znak: O.WA.KP-3.WOW.4110.2015.74,</w:t>
      </w:r>
      <w:r w:rsidRPr="00D022F1">
        <w:rPr>
          <w:rFonts w:ascii="Times New Roman" w:hAnsi="Times New Roman"/>
          <w:color w:val="000000" w:themeColor="text1"/>
          <w:sz w:val="24"/>
          <w:szCs w:val="24"/>
        </w:rPr>
        <w:t xml:space="preserve"> o wydanie decyzji o środowiskowych uwarunkowaniach dla przedsięwzięcia polegającego na „Budowie Wschodniej Obwodnicy Warszawy w ciągu drogi krajowej nr 17 na parametrach trasy ekspresowej na odcinku od km ok. 3+600 do km ok. 13+782 węzeł „Zakręt” (bez węzła)”, na podstawie art. </w:t>
      </w:r>
      <w:r w:rsidRPr="00D022F1">
        <w:rPr>
          <w:rFonts w:ascii="Times New Roman" w:hAnsi="Times New Roman"/>
          <w:color w:val="000000" w:themeColor="text1"/>
          <w:sz w:val="24"/>
          <w:szCs w:val="24"/>
          <w:u w:color="FF0000"/>
        </w:rPr>
        <w:t xml:space="preserve">138 § 1 pkt 2 </w:t>
      </w:r>
      <w:r w:rsidRPr="00D022F1">
        <w:rPr>
          <w:rFonts w:ascii="Times New Roman" w:hAnsi="Times New Roman"/>
          <w:color w:val="000000" w:themeColor="text1"/>
          <w:sz w:val="24"/>
          <w:szCs w:val="24"/>
        </w:rPr>
        <w:t xml:space="preserve">ustawy z dnia 14 czerwca 1960 r. – Kodeks postępowania administracyjnego (Dz. U. z 2016 r., poz. 23, ze zm.), dalej k.p.a., </w:t>
      </w:r>
    </w:p>
    <w:p w14:paraId="726E5FE1" w14:textId="77777777" w:rsidR="0045178F" w:rsidRPr="00D022F1" w:rsidRDefault="00D2625B" w:rsidP="00D022F1">
      <w:pPr>
        <w:spacing w:after="0" w:line="240" w:lineRule="auto"/>
        <w:rPr>
          <w:rFonts w:ascii="Times New Roman" w:eastAsia="Hoefler Text" w:hAnsi="Times New Roman"/>
          <w:color w:val="000000" w:themeColor="text1"/>
          <w:sz w:val="24"/>
          <w:szCs w:val="24"/>
          <w:u w:color="FF0000"/>
        </w:rPr>
      </w:pPr>
      <w:r w:rsidRPr="00D022F1">
        <w:rPr>
          <w:rFonts w:ascii="Times New Roman" w:hAnsi="Times New Roman"/>
          <w:color w:val="000000" w:themeColor="text1"/>
          <w:sz w:val="24"/>
          <w:szCs w:val="24"/>
          <w:u w:color="FF0000"/>
        </w:rPr>
        <w:t>uchyla decyzję Regionalnego Dyrektora Ochrony Środowiska w Białymstoku z 28 grudnia 2018 r., znak: WOOŚ.4200.2.2017.DK, o środowiskowych uwarunkowaniach dla przedsięwzięcia polegającego na „Budowie Wschodniej Obwodnicy Warszawy w ciągu drogi krajowej nr 17 na parametrach trasy ekspresowej na odcinku od km ok. 3+600 do km ok. 13+782 węzeł „Zakręt” (bez węzła)” w całości i umarza postępowanie organu pierwszej instancji w całości</w:t>
      </w:r>
      <w:r w:rsidRPr="00D022F1">
        <w:rPr>
          <w:rFonts w:ascii="Times New Roman" w:hAnsi="Times New Roman"/>
          <w:color w:val="000000" w:themeColor="text1"/>
          <w:sz w:val="24"/>
          <w:szCs w:val="24"/>
        </w:rPr>
        <w:t xml:space="preserve">. </w:t>
      </w:r>
    </w:p>
    <w:p w14:paraId="1EA6722B" w14:textId="77777777" w:rsidR="0045178F" w:rsidRPr="00D022F1" w:rsidRDefault="00D2625B" w:rsidP="00D022F1">
      <w:pPr>
        <w:spacing w:after="0" w:line="240" w:lineRule="auto"/>
        <w:rPr>
          <w:rFonts w:ascii="Times New Roman" w:eastAsia="Hoefler Text" w:hAnsi="Times New Roman"/>
          <w:color w:val="000000" w:themeColor="text1"/>
          <w:sz w:val="24"/>
          <w:szCs w:val="24"/>
        </w:rPr>
      </w:pPr>
      <w:r w:rsidRPr="00D022F1">
        <w:rPr>
          <w:rFonts w:ascii="Times New Roman" w:hAnsi="Times New Roman"/>
          <w:color w:val="000000" w:themeColor="text1"/>
          <w:sz w:val="24"/>
          <w:szCs w:val="24"/>
        </w:rPr>
        <w:t>Uzasadnienie</w:t>
      </w:r>
    </w:p>
    <w:p w14:paraId="49B59FBF"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color w:val="000000" w:themeColor="text1"/>
          <w:sz w:val="24"/>
          <w:szCs w:val="24"/>
        </w:rPr>
        <w:t xml:space="preserve">Decyzją z 28 grudnia 2018 r., znak: WOOŚ.4200.2.2017.DK, Regionalny Dyrektor Ochrony Środowiska w Białymstoku, dalej RDOŚ w Białymstoku, na wniosek Generalnego Dyrektora Dróg Krajowych i Autostrad, dalej GDDKiA, z </w:t>
      </w:r>
      <w:bookmarkStart w:id="2" w:name="_Hlk193193695"/>
      <w:r w:rsidRPr="00D022F1">
        <w:rPr>
          <w:rFonts w:ascii="Times New Roman" w:hAnsi="Times New Roman"/>
          <w:sz w:val="24"/>
          <w:szCs w:val="24"/>
        </w:rPr>
        <w:t>2 lipca 2015 r.</w:t>
      </w:r>
      <w:bookmarkEnd w:id="2"/>
      <w:r w:rsidRPr="00D022F1">
        <w:rPr>
          <w:rFonts w:ascii="Times New Roman" w:hAnsi="Times New Roman"/>
          <w:sz w:val="24"/>
          <w:szCs w:val="24"/>
        </w:rPr>
        <w:t>, znak: O.WA.KP-3.WOW.4110.2015.74,</w:t>
      </w:r>
      <w:r w:rsidRPr="00D022F1">
        <w:rPr>
          <w:rFonts w:ascii="Times New Roman" w:hAnsi="Times New Roman"/>
          <w:color w:val="000000" w:themeColor="text1"/>
          <w:sz w:val="24"/>
          <w:szCs w:val="24"/>
        </w:rPr>
        <w:t xml:space="preserve"> określił środowiskowe uwarunkowania dla ww. przedsięwzięcia. Decyzji tej na podstawie art. 108 </w:t>
      </w:r>
      <w:r w:rsidRPr="00D022F1">
        <w:rPr>
          <w:rFonts w:ascii="Times New Roman" w:hAnsi="Times New Roman"/>
          <w:color w:val="000000" w:themeColor="text1"/>
          <w:sz w:val="24"/>
          <w:szCs w:val="24"/>
          <w:u w:color="FF0000"/>
        </w:rPr>
        <w:t xml:space="preserve">§ 1 k.p.a. </w:t>
      </w:r>
      <w:r w:rsidRPr="00D022F1">
        <w:rPr>
          <w:rFonts w:ascii="Times New Roman" w:hAnsi="Times New Roman"/>
          <w:color w:val="000000" w:themeColor="text1"/>
          <w:sz w:val="24"/>
          <w:szCs w:val="24"/>
        </w:rPr>
        <w:t>nadany</w:t>
      </w:r>
      <w:r w:rsidRPr="00D022F1">
        <w:rPr>
          <w:rFonts w:ascii="Times New Roman" w:hAnsi="Times New Roman"/>
          <w:color w:val="000000" w:themeColor="text1"/>
          <w:sz w:val="24"/>
          <w:szCs w:val="24"/>
          <w:u w:color="FF0000"/>
        </w:rPr>
        <w:t xml:space="preserve"> został </w:t>
      </w:r>
      <w:r w:rsidRPr="00D022F1">
        <w:rPr>
          <w:rFonts w:ascii="Times New Roman" w:hAnsi="Times New Roman"/>
          <w:color w:val="000000" w:themeColor="text1"/>
          <w:sz w:val="24"/>
          <w:szCs w:val="24"/>
        </w:rPr>
        <w:t xml:space="preserve">rygor natychmiastowej wykonalności. </w:t>
      </w:r>
    </w:p>
    <w:p w14:paraId="57BE2F30"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color w:val="000000" w:themeColor="text1"/>
          <w:sz w:val="24"/>
          <w:szCs w:val="24"/>
        </w:rPr>
        <w:t xml:space="preserve">Od decyzji RDOŚ w Białymstoku z </w:t>
      </w:r>
      <w:r w:rsidRPr="00D022F1">
        <w:rPr>
          <w:rFonts w:ascii="Times New Roman" w:hAnsi="Times New Roman"/>
          <w:color w:val="000000" w:themeColor="text1"/>
          <w:sz w:val="24"/>
          <w:szCs w:val="24"/>
          <w:u w:color="FF0000"/>
        </w:rPr>
        <w:t>28 grudnia 2018 r., w terminie ustawowym, skutecznie zostały złożone odwołania.</w:t>
      </w:r>
      <w:r w:rsidRPr="00D022F1">
        <w:rPr>
          <w:rFonts w:ascii="Times New Roman" w:hAnsi="Times New Roman"/>
          <w:color w:val="000000" w:themeColor="text1"/>
          <w:sz w:val="24"/>
          <w:szCs w:val="24"/>
        </w:rPr>
        <w:t xml:space="preserve"> W stosunku do osób, którym nie przysługuje przymiot strony postępowania w rozpatrywanej sprawie GDOŚ decyzją z 15 lipca 2020 r., znak: DOOŚ-WDŚ/ZIL.420.13.2019.mk.435, na podstawie art. 138 </w:t>
      </w:r>
      <w:r w:rsidRPr="00D022F1">
        <w:rPr>
          <w:rFonts w:ascii="Times New Roman" w:hAnsi="Times New Roman"/>
          <w:color w:val="000000" w:themeColor="text1"/>
          <w:sz w:val="24"/>
          <w:szCs w:val="24"/>
          <w:u w:color="FF0000"/>
        </w:rPr>
        <w:t xml:space="preserve">§ 1 pkt 3 k.p.a. </w:t>
      </w:r>
      <w:r w:rsidRPr="00D022F1">
        <w:rPr>
          <w:rFonts w:ascii="Times New Roman" w:hAnsi="Times New Roman"/>
          <w:color w:val="000000" w:themeColor="text1"/>
          <w:sz w:val="24"/>
          <w:szCs w:val="24"/>
        </w:rPr>
        <w:t>umorzył postępowanie odwoławcze. Natomiast 25 września 2020 r. wydana została decyzja autokontrolna, znak: DOOŚ-WDŚ/ZIL.420.13.2019.mk.459, uwzględniająca skargę dwóch osób na ww. decyzję umarzającą. Postanowieniem z 26 stycz</w:t>
      </w:r>
      <w:r w:rsidRPr="00D022F1">
        <w:rPr>
          <w:rFonts w:ascii="Times New Roman" w:hAnsi="Times New Roman"/>
          <w:color w:val="000000" w:themeColor="text1"/>
          <w:sz w:val="24"/>
          <w:szCs w:val="24"/>
        </w:rPr>
        <w:t>nia 2021 r., sygn. akt IV SA/Wa 2172/20, Wojewódzki Sąd Administracyjny w Warszawie, dalej WSA w Warszawie, umorzył postępowanie w tej sprawie. Ponadto postanowieniem z 17 lipca 2020 r., znak: DOOŚ-WDŚ/ZIL.420.13.2019.mk.450, GDOŚ na podstawie art. 134 k.p.a. stwierdził uchybienie terminu do wniesienia odwołania oraz postanowieniem z 23 lipca 2020 r., znak: DOOŚ-WDŚ/ZIL.420.13.2019.mk.451, stwierdził niedopuszczalność odwołania. Natomiast wnioski, których braki formalnoprawne nie zostały uzupełnione, pozost</w:t>
      </w:r>
      <w:r w:rsidRPr="00D022F1">
        <w:rPr>
          <w:rFonts w:ascii="Times New Roman" w:hAnsi="Times New Roman"/>
          <w:color w:val="000000" w:themeColor="text1"/>
          <w:sz w:val="24"/>
          <w:szCs w:val="24"/>
        </w:rPr>
        <w:t xml:space="preserve">awiono bez rozpoznania. W związku z zawartymi w środkach zaskarżenia wnioskami w trybie art. 135 k.p.a., GDOŚ, po rozważeniu argumentów przedstawionych przez odwołujących się postanowieniem z 12 lutego 2021 r., znak: DOOŚ-WDŚ/ZIL.13.2019.mk.467, wstrzymał z urzędu natychmiastowe wykonanie decyzji RDOŚ w Białymstoku. GDOŚ uznał, że mogło dojść do naruszenia przepisów o właściwości, tj. sprawę załatwił organ wyznaczony na podstawie art. 26 </w:t>
      </w:r>
      <w:r w:rsidRPr="00D022F1">
        <w:rPr>
          <w:rFonts w:ascii="Times New Roman" w:hAnsi="Times New Roman"/>
          <w:color w:val="000000" w:themeColor="text1"/>
          <w:sz w:val="24"/>
          <w:szCs w:val="24"/>
          <w:u w:color="FF0000"/>
        </w:rPr>
        <w:t xml:space="preserve">§ 2 </w:t>
      </w:r>
      <w:r w:rsidRPr="00D022F1">
        <w:rPr>
          <w:rFonts w:ascii="Times New Roman" w:hAnsi="Times New Roman"/>
          <w:color w:val="000000" w:themeColor="text1"/>
          <w:sz w:val="24"/>
          <w:szCs w:val="24"/>
        </w:rPr>
        <w:t>k.p.a., mimo, że brak było podstaw do wyłączenia organu właściwego</w:t>
      </w:r>
      <w:r w:rsidRPr="00D022F1">
        <w:rPr>
          <w:rFonts w:ascii="Times New Roman" w:hAnsi="Times New Roman"/>
          <w:color w:val="000000" w:themeColor="text1"/>
          <w:sz w:val="24"/>
          <w:szCs w:val="24"/>
        </w:rPr>
        <w:t>.</w:t>
      </w:r>
    </w:p>
    <w:p w14:paraId="3625253F"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color w:val="000000" w:themeColor="text1"/>
          <w:sz w:val="24"/>
          <w:szCs w:val="24"/>
        </w:rPr>
        <w:t xml:space="preserve">W wyniku kontroli instancyjnej GDOŚ decyzją z 15 lutego 2021 r., znak: DOOŚ-WDŚ/ZIL.420.13.2019.mk.470, na podstawie art. 138 </w:t>
      </w:r>
      <w:r w:rsidRPr="00D022F1">
        <w:rPr>
          <w:rFonts w:ascii="Times New Roman" w:hAnsi="Times New Roman"/>
          <w:color w:val="000000" w:themeColor="text1"/>
          <w:sz w:val="24"/>
          <w:szCs w:val="24"/>
          <w:u w:color="FF0000"/>
        </w:rPr>
        <w:t>§ 1 pkt 2 k.p.a. u</w:t>
      </w:r>
      <w:r w:rsidRPr="00D022F1">
        <w:rPr>
          <w:rFonts w:ascii="Times New Roman" w:hAnsi="Times New Roman"/>
          <w:color w:val="000000" w:themeColor="text1"/>
          <w:sz w:val="24"/>
          <w:szCs w:val="24"/>
        </w:rPr>
        <w:t xml:space="preserve">chylił decyzję RDOŚ w Białymstoku z 28 grudnia 2018 r. i umorzył postępowanie przed tym organem, bowiem została ona wydana z naruszeniem przepisów o właściwości. Na decyzję GDOŚ zostały wniesione skargi do WSA w Warszawie. Wskutek kontroli sądowej wyrokiem z 24 sierpnia 2021 r., sygn. akt IV SA/Wa 716/21, WSA w Warszawie, uchylił decyzję GDOŚ z 15 lutego </w:t>
      </w:r>
      <w:r w:rsidRPr="00D022F1">
        <w:rPr>
          <w:rFonts w:ascii="Times New Roman" w:hAnsi="Times New Roman"/>
          <w:color w:val="000000" w:themeColor="text1"/>
          <w:sz w:val="24"/>
          <w:szCs w:val="24"/>
        </w:rPr>
        <w:lastRenderedPageBreak/>
        <w:t>2021 r. W wyniku złożonych skarg kasacyjnych wyrok ten został uchylony przez Naczelny Sąd Administracyjny wyrokiem z 7 marca 2023 r., syg</w:t>
      </w:r>
      <w:r w:rsidRPr="00D022F1">
        <w:rPr>
          <w:rFonts w:ascii="Times New Roman" w:hAnsi="Times New Roman"/>
          <w:color w:val="000000" w:themeColor="text1"/>
          <w:sz w:val="24"/>
          <w:szCs w:val="24"/>
        </w:rPr>
        <w:t>n. akt III OSK 135/22, a sprawę przekazano do ponownego rozpoznania przez Sąd. WSA w Warszawie wyrokiem z 30 stycznia 2024 r., sygn. akt IV SA/Wa 921/23, uchylił decyzję GDOŚ z 15 lutego 2021 r. oraz zawarł wytyczne co do dalszego postępowania.</w:t>
      </w:r>
    </w:p>
    <w:p w14:paraId="4A12AF70" w14:textId="77777777" w:rsidR="0045178F" w:rsidRPr="00D022F1" w:rsidRDefault="00D2625B" w:rsidP="00D022F1">
      <w:pPr>
        <w:spacing w:after="0" w:line="240" w:lineRule="auto"/>
        <w:rPr>
          <w:rFonts w:ascii="Times New Roman" w:hAnsi="Times New Roman"/>
          <w:sz w:val="24"/>
          <w:szCs w:val="24"/>
        </w:rPr>
      </w:pPr>
      <w:r w:rsidRPr="00D022F1">
        <w:rPr>
          <w:rFonts w:ascii="Times New Roman" w:hAnsi="Times New Roman"/>
          <w:sz w:val="24"/>
          <w:szCs w:val="24"/>
        </w:rPr>
        <w:t>W trakcie postępowania odwoławczego, ponownie prowadzonego przez GDOŚ,</w:t>
      </w:r>
      <w:r w:rsidRPr="00D022F1">
        <w:rPr>
          <w:rFonts w:ascii="Times New Roman" w:hAnsi="Times New Roman"/>
          <w:color w:val="000000" w:themeColor="text1"/>
          <w:sz w:val="24"/>
          <w:szCs w:val="24"/>
        </w:rPr>
        <w:t xml:space="preserve"> wpłynęło podanie GDDKiA z 14 marca 2025 r., znak: OWA.KP-16.4170.5.9.2025.AS, cofające wniosek z </w:t>
      </w:r>
      <w:r w:rsidRPr="00D022F1">
        <w:rPr>
          <w:rFonts w:ascii="Times New Roman" w:hAnsi="Times New Roman"/>
          <w:sz w:val="24"/>
          <w:szCs w:val="24"/>
        </w:rPr>
        <w:t>2 lipca 2015 r.</w:t>
      </w:r>
      <w:r w:rsidRPr="00D022F1">
        <w:rPr>
          <w:rFonts w:ascii="Times New Roman" w:hAnsi="Times New Roman"/>
          <w:color w:val="000000" w:themeColor="text1"/>
          <w:sz w:val="24"/>
          <w:szCs w:val="24"/>
        </w:rPr>
        <w:t xml:space="preserve"> o wydanie decyzji o środowiskowych uwarunkowaniach dla drogi ekspresowej oraz wnoszące o umorzenie postępowania na podstawie art. 86d ustawy z dnia 3 października 2008 r. o udostępnianiu informacji o środowisku i jego ochronie, udziale społeczeństwa w ochronie środowiska oraz o ocenach oddziaływania na środowisko (Dz. U. z 2024 r., poz. 1112), dalej u.o.o.ś.</w:t>
      </w:r>
      <w:r w:rsidRPr="00D022F1">
        <w:rPr>
          <w:rFonts w:ascii="Times New Roman" w:hAnsi="Times New Roman"/>
          <w:sz w:val="24"/>
          <w:szCs w:val="24"/>
        </w:rPr>
        <w:t xml:space="preserve"> </w:t>
      </w:r>
    </w:p>
    <w:p w14:paraId="5FCC6DD8" w14:textId="77777777" w:rsidR="0045178F" w:rsidRPr="00D022F1" w:rsidRDefault="00D2625B" w:rsidP="00D022F1">
      <w:pPr>
        <w:spacing w:after="0" w:line="240" w:lineRule="auto"/>
        <w:rPr>
          <w:rFonts w:ascii="Times New Roman" w:hAnsi="Times New Roman"/>
          <w:sz w:val="24"/>
          <w:szCs w:val="24"/>
        </w:rPr>
      </w:pPr>
      <w:r w:rsidRPr="00D022F1">
        <w:rPr>
          <w:rFonts w:ascii="Times New Roman" w:hAnsi="Times New Roman"/>
          <w:sz w:val="24"/>
          <w:szCs w:val="24"/>
        </w:rPr>
        <w:t>GDOŚ ustalił i zważył, co następuje.</w:t>
      </w:r>
    </w:p>
    <w:p w14:paraId="285D6F09"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sz w:val="24"/>
          <w:szCs w:val="24"/>
        </w:rPr>
        <w:t>Zgodnie z art. 86d ust. 1 pkt 2</w:t>
      </w:r>
      <w:r w:rsidRPr="00D022F1">
        <w:rPr>
          <w:rFonts w:ascii="Times New Roman" w:hAnsi="Times New Roman"/>
          <w:color w:val="000000" w:themeColor="text1"/>
          <w:sz w:val="24"/>
          <w:szCs w:val="24"/>
        </w:rPr>
        <w:t xml:space="preserve"> u.o.o.ś.</w:t>
      </w:r>
      <w:r w:rsidRPr="00D022F1">
        <w:rPr>
          <w:rFonts w:ascii="Times New Roman" w:hAnsi="Times New Roman"/>
          <w:sz w:val="24"/>
          <w:szCs w:val="24"/>
        </w:rPr>
        <w:t xml:space="preserve">, organ właściwy do wydania decyzji o środowiskowych uwarunkowaniach na wniosek podmiotu planującego podjęcie realizacji przedsięwzięcia umarza postępowanie w sprawie wydania decyzji o środowiskowych uwarunkowaniach jeżeli nie zagraża to interesowi społecznemu. Natomiast w myśl ust. 3 przepisów art. 105 </w:t>
      </w:r>
      <w:r w:rsidRPr="00D022F1">
        <w:rPr>
          <w:rFonts w:ascii="Times New Roman" w:hAnsi="Times New Roman"/>
          <w:color w:val="000000" w:themeColor="text1"/>
          <w:sz w:val="24"/>
          <w:szCs w:val="24"/>
          <w:u w:color="FF0000"/>
        </w:rPr>
        <w:t xml:space="preserve">§ 2 k.p.a. </w:t>
      </w:r>
      <w:r w:rsidRPr="00D022F1">
        <w:rPr>
          <w:rFonts w:ascii="Times New Roman" w:hAnsi="Times New Roman"/>
          <w:color w:val="000000" w:themeColor="text1"/>
          <w:sz w:val="24"/>
          <w:szCs w:val="24"/>
        </w:rPr>
        <w:t xml:space="preserve">nie stosuje się. </w:t>
      </w:r>
      <w:r w:rsidRPr="00D022F1">
        <w:rPr>
          <w:rFonts w:ascii="Times New Roman" w:hAnsi="Times New Roman"/>
          <w:sz w:val="24"/>
          <w:szCs w:val="24"/>
        </w:rPr>
        <w:t>Artykuł ten został dodany ustawą z 19 lipca 2019 r. o zmianie ustawy o udostępnianiu informacji o środowisku i jego ochronie, udziale społeczeństwa w ochronie środowiska oraz o oc</w:t>
      </w:r>
      <w:r w:rsidRPr="00D022F1">
        <w:rPr>
          <w:rFonts w:ascii="Times New Roman" w:hAnsi="Times New Roman"/>
          <w:sz w:val="24"/>
          <w:szCs w:val="24"/>
        </w:rPr>
        <w:t xml:space="preserve">enach oddziaływania na środowisko oraz niektórych innych ustaw (Dz.U. z 2019 r. </w:t>
      </w:r>
      <w:hyperlink r:id="rId8" w:history="1">
        <w:r w:rsidRPr="00D022F1">
          <w:rPr>
            <w:rStyle w:val="Hipercze"/>
            <w:rFonts w:ascii="Times New Roman" w:hAnsi="Times New Roman"/>
            <w:color w:val="000000" w:themeColor="text1"/>
            <w:sz w:val="24"/>
            <w:szCs w:val="24"/>
            <w:u w:val="none"/>
          </w:rPr>
          <w:t>poz. 1712</w:t>
        </w:r>
      </w:hyperlink>
      <w:r w:rsidRPr="00D022F1">
        <w:rPr>
          <w:rFonts w:ascii="Times New Roman" w:hAnsi="Times New Roman"/>
          <w:sz w:val="24"/>
          <w:szCs w:val="24"/>
        </w:rPr>
        <w:t>), która weszła w życie 24 września 2019 r., odnosi się do stosowania szczególnych regulacji wobec k.p.a. Pomimo, że postępowanie w sprawie wydania decyzji o środowiskowych uwarunkowaniach zostało wszczęte 2 lipca 2015 r. to zgodnie z przepisem przejściowym art. 4 ust. 2 ustawy zmieniającej, przepis ten ma zastosowanie w rozpatrywanej sprawie.</w:t>
      </w:r>
    </w:p>
    <w:p w14:paraId="23797B8C"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sz w:val="24"/>
          <w:szCs w:val="24"/>
        </w:rPr>
        <w:t xml:space="preserve">Postępowanie w sprawie wydania decyzji o środowiskowych uwarunkowaniach dla planowanej drogi ekspresowej zostało wszczęte na wniosek </w:t>
      </w:r>
      <w:r w:rsidRPr="00D022F1">
        <w:rPr>
          <w:rFonts w:ascii="Times New Roman" w:hAnsi="Times New Roman"/>
          <w:color w:val="000000" w:themeColor="text1"/>
          <w:sz w:val="24"/>
          <w:szCs w:val="24"/>
        </w:rPr>
        <w:t xml:space="preserve">GDDKiA z </w:t>
      </w:r>
      <w:r w:rsidRPr="00D022F1">
        <w:rPr>
          <w:rFonts w:ascii="Times New Roman" w:hAnsi="Times New Roman"/>
          <w:sz w:val="24"/>
          <w:szCs w:val="24"/>
        </w:rPr>
        <w:t xml:space="preserve">2 lipca 2015 r. Z kolei pismem z </w:t>
      </w:r>
      <w:r w:rsidRPr="00D022F1">
        <w:rPr>
          <w:rFonts w:ascii="Times New Roman" w:hAnsi="Times New Roman"/>
          <w:color w:val="000000" w:themeColor="text1"/>
          <w:sz w:val="24"/>
          <w:szCs w:val="24"/>
        </w:rPr>
        <w:t xml:space="preserve">14 marca 2025 r. GDDKiA cofnął </w:t>
      </w:r>
      <w:r w:rsidRPr="00D022F1">
        <w:rPr>
          <w:rFonts w:ascii="Times New Roman" w:eastAsia="Times New Roman" w:hAnsi="Times New Roman"/>
          <w:sz w:val="24"/>
          <w:szCs w:val="24"/>
          <w:lang w:eastAsia="pl-PL"/>
        </w:rPr>
        <w:t xml:space="preserve">swój wniosek, co jest równoznaczne z brakiem żądania strony. </w:t>
      </w:r>
    </w:p>
    <w:p w14:paraId="06856415"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hAnsi="Times New Roman"/>
          <w:sz w:val="24"/>
          <w:szCs w:val="24"/>
        </w:rPr>
        <w:t>W myśl art. 105 § 1 k.p.a organ administracji publicznej wydaje decyzję o umorzeniu postępowania w sytuacji, gdy postępowanie z jakiejkolwiek przyczyny stało się bezprzedmiotowe. W doktrynie przyjmuje się zaś, że bezprzedmiotowość postępowania administracyjnego, o której stanowi art. 105 § 1 k.p.a oznacza, że brak jest któregoś z elementów materialnego stosunku prawnego, a wobec tego nie można wydać decyzji załatwiającej sprawę przez rozstrzygnięcie jej, co do istoty. Z taką sytuacją mamy do czynienia w roz</w:t>
      </w:r>
      <w:r w:rsidRPr="00D022F1">
        <w:rPr>
          <w:rFonts w:ascii="Times New Roman" w:hAnsi="Times New Roman"/>
          <w:sz w:val="24"/>
          <w:szCs w:val="24"/>
        </w:rPr>
        <w:t>poznawanej sprawie. Zgodnie bowiem z art. 73 ust. 1 u.o.o.ś. postępowanie w sprawie wydania decyzji o środowiskowych uwarunkowaniach jest uruchamiane na wniosek podmiotu planującego podjęcie realizacji przedsięwzięcia. Przepis ten stanowi przejaw zasady dyspozycyjności, oznaczającej, że postępowanie administracyjne może zostać wszczęte wyłącznie na wniosek podmiotu. Zatem rozporządzanie sprawą administracyjną do czasu jej zakończenia dokonuje wnioskodawca, który podejmując decyzję o wszczęciu postępowania a</w:t>
      </w:r>
      <w:r w:rsidRPr="00D022F1">
        <w:rPr>
          <w:rFonts w:ascii="Times New Roman" w:hAnsi="Times New Roman"/>
          <w:sz w:val="24"/>
          <w:szCs w:val="24"/>
        </w:rPr>
        <w:t xml:space="preserve">dministracyjnego, staje się tego postępowania dysponentem i to od niego w takiej sytuacji zależy, czy będzie zmierzał do rozpatrzenia przez organ administracji publicznej sprawy administracyjnej, w której jest stroną. Skoro inwestor w toku postępowania odwoławczego, pismem z </w:t>
      </w:r>
      <w:r w:rsidRPr="00D022F1">
        <w:rPr>
          <w:rFonts w:ascii="Times New Roman" w:hAnsi="Times New Roman"/>
          <w:color w:val="000000" w:themeColor="text1"/>
          <w:sz w:val="24"/>
          <w:szCs w:val="24"/>
        </w:rPr>
        <w:t>14 marca 2025 r.</w:t>
      </w:r>
      <w:r w:rsidRPr="00D022F1">
        <w:rPr>
          <w:rFonts w:ascii="Times New Roman" w:hAnsi="Times New Roman"/>
          <w:sz w:val="24"/>
          <w:szCs w:val="24"/>
        </w:rPr>
        <w:t xml:space="preserve">, złożył oświadczenie, że cofa swój wniosek o wydanie decyzji o środowiskowych uwarunkowaniach, to należy uznać, że nie jest już zainteresowany dalszym prowadzeniem postępowania zainicjowanego wnioskiem </w:t>
      </w:r>
      <w:r w:rsidRPr="00D022F1">
        <w:rPr>
          <w:rFonts w:ascii="Times New Roman" w:hAnsi="Times New Roman"/>
          <w:color w:val="000000" w:themeColor="text1"/>
          <w:sz w:val="24"/>
          <w:szCs w:val="24"/>
        </w:rPr>
        <w:t xml:space="preserve">z </w:t>
      </w:r>
      <w:r w:rsidRPr="00D022F1">
        <w:rPr>
          <w:rFonts w:ascii="Times New Roman" w:hAnsi="Times New Roman"/>
          <w:sz w:val="24"/>
          <w:szCs w:val="24"/>
        </w:rPr>
        <w:t>2 lipca 2015 r.</w:t>
      </w:r>
      <w:r w:rsidRPr="00D022F1">
        <w:rPr>
          <w:rFonts w:ascii="Times New Roman" w:hAnsi="Times New Roman"/>
          <w:sz w:val="24"/>
          <w:szCs w:val="24"/>
        </w:rPr>
        <w:t xml:space="preserve"> Oświadczenie takie oznacza, że postępowanie w sprawie wydania decyzji stało się bezprzedmiotowe, bowiem strona zrezygnowała z ubiegania się o rozstrzygnięcie określonej treści. Cofnięcie wniosku o wydanie decyzji administracyjnej jest równoznaczne bowiem z brakiem żądania </w:t>
      </w:r>
      <w:r w:rsidRPr="00D022F1">
        <w:rPr>
          <w:rFonts w:ascii="Times New Roman" w:hAnsi="Times New Roman"/>
          <w:sz w:val="24"/>
          <w:szCs w:val="24"/>
        </w:rPr>
        <w:lastRenderedPageBreak/>
        <w:t xml:space="preserve">uprawnionego podmiotu do rozpoznania konkretnej sprawy administracyjnej, co oznacza, że przedmiot postępowania, wskazany we wniosku, przestaje istnieć. </w:t>
      </w:r>
      <w:r w:rsidRPr="00D022F1">
        <w:rPr>
          <w:rFonts w:ascii="Times New Roman" w:hAnsi="Times New Roman"/>
          <w:color w:val="000000" w:themeColor="text1"/>
          <w:sz w:val="24"/>
          <w:szCs w:val="24"/>
        </w:rPr>
        <w:t>Okoliczność taka obliguje organ do umorzenia postępowania na podstawie art. 105 § 1 k.</w:t>
      </w:r>
      <w:r w:rsidRPr="00D022F1">
        <w:rPr>
          <w:rFonts w:ascii="Times New Roman" w:hAnsi="Times New Roman"/>
          <w:color w:val="000000" w:themeColor="text1"/>
          <w:sz w:val="24"/>
          <w:szCs w:val="24"/>
        </w:rPr>
        <w:t xml:space="preserve">p.a., przy czym nie ma znaczenia, na jakim etapie postępowania cofnięcie to nastąpiło. Cofnięcie wniosku może nastąpić również po wydaniu decyzji przez organ pierwszej  instancji, co ma miejsce w rozpatrywanej sprawie. Zastosowanie w tej sytuacji znajduje art. 138 § 1 pkt 2 k.p.a. w zw. z art. 105 § 1 k.p.a., organ odwoławczy uchyla zaskarżoną decyzję w całości i umarza postępowanie organu pierwszej  instancji w całości. </w:t>
      </w:r>
    </w:p>
    <w:p w14:paraId="465D3246" w14:textId="77777777" w:rsidR="0045178F" w:rsidRPr="00D022F1" w:rsidRDefault="00D2625B" w:rsidP="00D022F1">
      <w:pPr>
        <w:spacing w:after="0" w:line="240" w:lineRule="auto"/>
        <w:rPr>
          <w:rFonts w:ascii="Times New Roman" w:hAnsi="Times New Roman"/>
          <w:color w:val="000000" w:themeColor="text1"/>
          <w:sz w:val="24"/>
          <w:szCs w:val="24"/>
        </w:rPr>
      </w:pPr>
      <w:r w:rsidRPr="00D022F1">
        <w:rPr>
          <w:rFonts w:ascii="Times New Roman" w:eastAsia="Times New Roman" w:hAnsi="Times New Roman"/>
          <w:sz w:val="24"/>
          <w:szCs w:val="24"/>
          <w:lang w:eastAsia="pl-PL"/>
        </w:rPr>
        <w:t xml:space="preserve">Wypełniając wymogi </w:t>
      </w:r>
      <w:r w:rsidRPr="00D022F1">
        <w:rPr>
          <w:rFonts w:ascii="Times New Roman" w:hAnsi="Times New Roman"/>
          <w:sz w:val="24"/>
          <w:szCs w:val="24"/>
        </w:rPr>
        <w:t>art. 86d ust. 1 pkt 2 u.o.o.ś., w</w:t>
      </w:r>
      <w:r w:rsidRPr="00D022F1">
        <w:rPr>
          <w:rFonts w:ascii="Times New Roman" w:hAnsi="Times New Roman"/>
          <w:color w:val="000000" w:themeColor="text1"/>
          <w:sz w:val="24"/>
          <w:szCs w:val="24"/>
        </w:rPr>
        <w:t xml:space="preserve"> uzasadnieniu podania z 14 marca 2025 r., inwestor wskazał, że wniosek o umorzenie postępowania nie zagraża interesowi społecznemu, ponieważ nie podjęto działań skutkujących negatywnym oddziaływaniem na środowisko. </w:t>
      </w:r>
    </w:p>
    <w:p w14:paraId="005E8D90" w14:textId="77777777" w:rsidR="0045178F" w:rsidRPr="00D022F1" w:rsidRDefault="00D2625B" w:rsidP="00D022F1">
      <w:pPr>
        <w:spacing w:after="0" w:line="240" w:lineRule="auto"/>
        <w:rPr>
          <w:rFonts w:ascii="Times New Roman" w:hAnsi="Times New Roman"/>
          <w:sz w:val="24"/>
          <w:szCs w:val="24"/>
        </w:rPr>
      </w:pPr>
      <w:r w:rsidRPr="00D022F1">
        <w:rPr>
          <w:rFonts w:ascii="Times New Roman" w:hAnsi="Times New Roman"/>
          <w:sz w:val="24"/>
          <w:szCs w:val="24"/>
        </w:rPr>
        <w:t xml:space="preserve">Wybór przebiegu Wschodniej Obwodnicy Warszawy (na odcinku </w:t>
      </w:r>
      <w:r w:rsidRPr="00D022F1">
        <w:rPr>
          <w:rFonts w:ascii="Times New Roman" w:hAnsi="Times New Roman"/>
          <w:color w:val="000000" w:themeColor="text1"/>
          <w:sz w:val="24"/>
          <w:szCs w:val="24"/>
        </w:rPr>
        <w:t xml:space="preserve">od km ok. 3+600 do km ok. 13+782 węzeł „Zakręt” (bez węzła)) według </w:t>
      </w:r>
      <w:r w:rsidRPr="00D022F1">
        <w:rPr>
          <w:rFonts w:ascii="Times New Roman" w:hAnsi="Times New Roman"/>
          <w:sz w:val="24"/>
          <w:szCs w:val="24"/>
        </w:rPr>
        <w:t xml:space="preserve">wariantu 3, </w:t>
      </w:r>
      <w:r w:rsidRPr="00D022F1">
        <w:rPr>
          <w:rFonts w:ascii="Times New Roman" w:hAnsi="Times New Roman"/>
          <w:color w:val="000000" w:themeColor="text1"/>
          <w:sz w:val="24"/>
          <w:szCs w:val="24"/>
        </w:rPr>
        <w:t xml:space="preserve">jako wariantu inwestycyjnego, </w:t>
      </w:r>
      <w:r w:rsidRPr="00D022F1">
        <w:rPr>
          <w:rFonts w:ascii="Times New Roman" w:hAnsi="Times New Roman"/>
          <w:sz w:val="24"/>
          <w:szCs w:val="24"/>
        </w:rPr>
        <w:t xml:space="preserve">na który GDDKiA złożył wniosek o wydanie decyzji o środowiskowych uwarunkowaniach, </w:t>
      </w:r>
      <w:r w:rsidRPr="00D022F1">
        <w:rPr>
          <w:rFonts w:ascii="Times New Roman" w:hAnsi="Times New Roman"/>
          <w:color w:val="000000" w:themeColor="text1"/>
          <w:sz w:val="24"/>
          <w:szCs w:val="24"/>
        </w:rPr>
        <w:t xml:space="preserve">był kwestionowany przez </w:t>
      </w:r>
      <w:r w:rsidRPr="00D022F1">
        <w:rPr>
          <w:rFonts w:ascii="Times New Roman" w:hAnsi="Times New Roman"/>
          <w:sz w:val="24"/>
          <w:szCs w:val="24"/>
        </w:rPr>
        <w:t>strony postępowania, podmioty na prawach strony, jak również zainteresowaną społeczność, na etapie postępowania pierwszoinstancyjnego oraz odwoławczego. Zastrzeżenia dotyczyły przede wszystkim lokalizacji drogi ekspresowej na terenie Dzielnicy Wesoła m.st. Warszawy oraz Sulejówka. Należy jednak</w:t>
      </w:r>
      <w:r w:rsidRPr="00D022F1">
        <w:rPr>
          <w:rFonts w:ascii="Times New Roman" w:hAnsi="Times New Roman"/>
          <w:sz w:val="24"/>
          <w:szCs w:val="24"/>
        </w:rPr>
        <w:t xml:space="preserve"> podkreślić, że do GDOŚ wpłynęły także stanowiska uprawnionych podmiotów popierających realizację drogi w wariancie inwestycyjnym, jako najmniej inwazyjnym środowiskowo w porównaniu z innymi rozpatrywanymi wariantami, w zakresie zasobów przyrody ożywionej i nieożywionej, uciążliwości dla mieszkańców i optymalnym pod względem techniczno-komunikacyjnym. Każdy z przebiegów Wschodniej Obwodnicy Warszawy, który ma na celu domknięcie tzw. Warszawskiego Węzła Drogowego, ma swoich zwolenników, jak i przeciwników, c</w:t>
      </w:r>
      <w:r w:rsidRPr="00D022F1">
        <w:rPr>
          <w:rFonts w:ascii="Times New Roman" w:hAnsi="Times New Roman"/>
          <w:sz w:val="24"/>
          <w:szCs w:val="24"/>
        </w:rPr>
        <w:t>o znajduje odzwierciedlenie w aktach sprawy zgromadzonych przez organ pierwszej i drugiej instancji. W tej sytuacji wycofanie wniosku przez inwestora o wydanie rozpatrywanej decyzji otworzy możliwość ponownej analizy i dyskusji nad przebiegiem Wschodniej Obwodnicy Warszawy. Zdaniem GDOŚ umorzenie postępowania w sprawie wydania decyzji o środowiskowych uwarunkowaniach dla analizowanej drogi ekspresowej nie zagraża</w:t>
      </w:r>
      <w:r w:rsidRPr="00D022F1">
        <w:rPr>
          <w:rFonts w:ascii="Times New Roman" w:hAnsi="Times New Roman"/>
          <w:color w:val="000000" w:themeColor="text1"/>
          <w:sz w:val="24"/>
          <w:szCs w:val="24"/>
        </w:rPr>
        <w:t xml:space="preserve"> interesowi społecznemu.</w:t>
      </w:r>
      <w:r w:rsidRPr="00D022F1">
        <w:rPr>
          <w:rFonts w:ascii="Times New Roman" w:hAnsi="Times New Roman"/>
          <w:sz w:val="24"/>
          <w:szCs w:val="24"/>
        </w:rPr>
        <w:t xml:space="preserve"> </w:t>
      </w:r>
    </w:p>
    <w:p w14:paraId="46697087" w14:textId="77777777" w:rsidR="0045178F" w:rsidRPr="00D022F1" w:rsidRDefault="00D2625B" w:rsidP="00D022F1">
      <w:pPr>
        <w:autoSpaceDE w:val="0"/>
        <w:autoSpaceDN w:val="0"/>
        <w:adjustRightInd w:val="0"/>
        <w:spacing w:after="0" w:line="240" w:lineRule="auto"/>
        <w:rPr>
          <w:rFonts w:ascii="Times New Roman" w:hAnsi="Times New Roman"/>
          <w:sz w:val="24"/>
          <w:szCs w:val="24"/>
        </w:rPr>
      </w:pPr>
      <w:r w:rsidRPr="00D022F1">
        <w:rPr>
          <w:rFonts w:ascii="Times New Roman" w:hAnsi="Times New Roman"/>
          <w:sz w:val="24"/>
          <w:szCs w:val="24"/>
        </w:rPr>
        <w:t>Zgodnie z art. 138 § 1 pkt 2 k.p.a. organ odwoławczy uchyla zaskarżoną decyzję w całości albo w części i w tym zakresie orzeka co do istoty sprawy albo uchylając tę decyzję – umarza postępowanie pierwszej instancji w całości albo w części. Przepis ten nie określa przesłanek stanowiących podstawę do uchylenia zaskarżonej decyzji i umorzenia postępowania pierwszej instancji, dlatego też przesłanek tych należy poszukiwać w treści art. 105 § 1 k.p.a. (por. wyrok NSA z 19 stycznia 2010 r., sygn. akt: II GSK 301/</w:t>
      </w:r>
      <w:r w:rsidRPr="00D022F1">
        <w:rPr>
          <w:rFonts w:ascii="Times New Roman" w:hAnsi="Times New Roman"/>
          <w:sz w:val="24"/>
          <w:szCs w:val="24"/>
        </w:rPr>
        <w:t>09). Z uwagi na fakt, że GDDKiA jako dysponent wniosku z 2 lipca 2015 r., o wydanie decyzji o środowiskowych uwarunkowaniach dla planowanej drogi wniósł do GDOŚ podanie o jego cofnięcie, organ drugiej instancji zobligowany jest do uchylenia zaskarżonej decyzji w całości i umorzenia postępowania pierwszej instancji w całości zgodnie z dyspozycją zawartą w art. 138 § 1 pkt 2 w związku z art. 105 § 1 k.p.a.</w:t>
      </w:r>
    </w:p>
    <w:p w14:paraId="560ED31E" w14:textId="77777777" w:rsidR="0045178F" w:rsidRPr="00D022F1" w:rsidRDefault="00D2625B" w:rsidP="00D022F1">
      <w:pPr>
        <w:spacing w:after="0" w:line="240" w:lineRule="auto"/>
        <w:rPr>
          <w:rStyle w:val="Brak"/>
          <w:rFonts w:ascii="Times New Roman" w:eastAsia="Garamond" w:hAnsi="Times New Roman"/>
          <w:sz w:val="24"/>
          <w:szCs w:val="24"/>
          <w:shd w:val="clear" w:color="auto" w:fill="00FF00"/>
        </w:rPr>
      </w:pPr>
      <w:r w:rsidRPr="00D022F1">
        <w:rPr>
          <w:rFonts w:ascii="Times New Roman" w:hAnsi="Times New Roman"/>
          <w:sz w:val="24"/>
          <w:szCs w:val="24"/>
        </w:rPr>
        <w:t>Wobec powyższego orzeczono jak w sentencji.</w:t>
      </w:r>
    </w:p>
    <w:p w14:paraId="39BCF40C" w14:textId="77777777" w:rsidR="00D022F1" w:rsidRDefault="00D2625B" w:rsidP="00D022F1">
      <w:pPr>
        <w:spacing w:after="0" w:line="240" w:lineRule="auto"/>
        <w:rPr>
          <w:rFonts w:ascii="Times New Roman" w:hAnsi="Times New Roman"/>
          <w:iCs/>
        </w:rPr>
      </w:pPr>
      <w:r w:rsidRPr="00D022F1">
        <w:rPr>
          <w:rFonts w:ascii="Times New Roman" w:hAnsi="Times New Roman"/>
          <w:iCs/>
        </w:rPr>
        <w:t>Pouczenie</w:t>
      </w:r>
    </w:p>
    <w:p w14:paraId="7575F865" w14:textId="40167CC2" w:rsidR="0045178F" w:rsidRPr="00D022F1" w:rsidRDefault="00D2625B" w:rsidP="00D022F1">
      <w:pPr>
        <w:spacing w:after="0" w:line="240" w:lineRule="auto"/>
        <w:rPr>
          <w:rFonts w:ascii="Times New Roman" w:hAnsi="Times New Roman"/>
          <w:iCs/>
        </w:rPr>
      </w:pPr>
      <w:r w:rsidRPr="00D022F1">
        <w:rPr>
          <w:rFonts w:ascii="Times New Roman" w:hAnsi="Times New Roman"/>
          <w:sz w:val="24"/>
          <w:szCs w:val="24"/>
        </w:rPr>
        <w:t xml:space="preserve">Niniejsza decyzja jest </w:t>
      </w:r>
      <w:r w:rsidRPr="00D022F1">
        <w:rPr>
          <w:rFonts w:ascii="Times New Roman" w:hAnsi="Times New Roman"/>
          <w:sz w:val="24"/>
          <w:szCs w:val="24"/>
        </w:rPr>
        <w:t xml:space="preserve">ostateczna w administracyjnym toku instancji. Na decyzję, zgodnie z art. 50 § 1 w związku z art. 3 § 2 pkt 1 ustawy z dnia 30 sierpnia 2002 r. – Prawo o postępowaniu przed sądami administracyjnymi (Dz. U. z 2024 r. poz. 935), dalej p.p.s.a., służy skarga do Wojewódzkiego Sądu Administracyjnego w Warszawie. Zgodnie z art. 54 § 1 oraz art. 53 § 1 p.p.s.a. skargę wnosi się za pośrednictwem GDOŚ (w formie elektronicznej – adres do e-Doręczeń: AE:PL-14966-78422-TRCJH-21 lub adres ePUAP: /gdosgovpl/SkrytkaESP; w </w:t>
      </w:r>
      <w:r w:rsidRPr="00D022F1">
        <w:rPr>
          <w:rFonts w:ascii="Times New Roman" w:hAnsi="Times New Roman"/>
          <w:sz w:val="24"/>
          <w:szCs w:val="24"/>
        </w:rPr>
        <w:t>formie papierowej – Al. Jerozolimskie 136, 02-305 Warszawa) w terminie trzydziestu dni od dnia doręczenia skarżącemu decyzji.</w:t>
      </w:r>
    </w:p>
    <w:p w14:paraId="78B4BCF5" w14:textId="77777777" w:rsidR="00D022F1" w:rsidRPr="001A684D" w:rsidRDefault="00D022F1" w:rsidP="00D022F1">
      <w:pPr>
        <w:pStyle w:val="menfont"/>
        <w:spacing w:line="276" w:lineRule="auto"/>
        <w:rPr>
          <w:rFonts w:ascii="Times New Roman" w:hAnsi="Times New Roman" w:cs="Times New Roman"/>
          <w:smallCaps/>
          <w:sz w:val="22"/>
        </w:rPr>
      </w:pPr>
      <w:bookmarkStart w:id="3" w:name="ezdPracownikPodpisNazwa"/>
      <w:r w:rsidRPr="001A684D">
        <w:rPr>
          <w:rFonts w:ascii="Times New Roman" w:hAnsi="Times New Roman" w:cs="Times New Roman"/>
          <w:smallCaps/>
          <w:sz w:val="22"/>
        </w:rPr>
        <w:lastRenderedPageBreak/>
        <w:t xml:space="preserve">Piotr </w:t>
      </w:r>
      <w:proofErr w:type="spellStart"/>
      <w:r w:rsidRPr="001A684D">
        <w:rPr>
          <w:rFonts w:ascii="Times New Roman" w:hAnsi="Times New Roman" w:cs="Times New Roman"/>
          <w:smallCaps/>
          <w:sz w:val="22"/>
        </w:rPr>
        <w:t>Otawski</w:t>
      </w:r>
      <w:bookmarkEnd w:id="3"/>
      <w:proofErr w:type="spellEnd"/>
    </w:p>
    <w:p w14:paraId="48C1F4D2" w14:textId="77777777" w:rsidR="00D022F1" w:rsidRPr="001A684D" w:rsidRDefault="00D022F1" w:rsidP="00D022F1">
      <w:pPr>
        <w:pStyle w:val="menfont"/>
        <w:spacing w:line="276" w:lineRule="auto"/>
        <w:rPr>
          <w:rFonts w:ascii="Times New Roman" w:hAnsi="Times New Roman" w:cs="Times New Roman"/>
          <w:sz w:val="22"/>
        </w:rPr>
      </w:pPr>
      <w:bookmarkStart w:id="4" w:name="ezdPracownikPodpisStanowisko"/>
      <w:r w:rsidRPr="001A684D">
        <w:rPr>
          <w:rFonts w:ascii="Times New Roman" w:hAnsi="Times New Roman" w:cs="Times New Roman"/>
          <w:sz w:val="22"/>
        </w:rPr>
        <w:t>Generalny Dyrektor Ochrony Środowiska</w:t>
      </w:r>
      <w:bookmarkEnd w:id="4"/>
    </w:p>
    <w:p w14:paraId="53D9F2D5" w14:textId="77777777" w:rsidR="00D022F1" w:rsidRPr="00D022F1" w:rsidRDefault="00D022F1" w:rsidP="00D022F1">
      <w:pPr>
        <w:pStyle w:val="menfont"/>
        <w:spacing w:line="276" w:lineRule="auto"/>
        <w:rPr>
          <w:rFonts w:ascii="Times New Roman" w:hAnsi="Times New Roman" w:cs="Times New Roman"/>
          <w:sz w:val="22"/>
          <w:szCs w:val="22"/>
        </w:rPr>
      </w:pPr>
      <w:r w:rsidRPr="00D022F1">
        <w:rPr>
          <w:rFonts w:ascii="Times New Roman" w:hAnsi="Times New Roman" w:cs="Times New Roman"/>
          <w:sz w:val="20"/>
          <w:szCs w:val="22"/>
        </w:rPr>
        <w:t xml:space="preserve">/ </w:t>
      </w:r>
      <w:r w:rsidRPr="00D022F1">
        <w:rPr>
          <w:rFonts w:ascii="Times New Roman" w:hAnsi="Times New Roman" w:cs="Times New Roman"/>
          <w:sz w:val="18"/>
          <w:szCs w:val="20"/>
        </w:rPr>
        <w:t xml:space="preserve">– podpisano cyfrowo – </w:t>
      </w:r>
      <w:r w:rsidRPr="00D022F1">
        <w:rPr>
          <w:rFonts w:ascii="Times New Roman" w:hAnsi="Times New Roman" w:cs="Times New Roman"/>
          <w:sz w:val="20"/>
          <w:szCs w:val="22"/>
        </w:rPr>
        <w:t>/</w:t>
      </w:r>
    </w:p>
    <w:p w14:paraId="26B8E724" w14:textId="77777777" w:rsidR="0045178F" w:rsidRPr="00D022F1" w:rsidRDefault="00D2625B" w:rsidP="00D022F1">
      <w:pPr>
        <w:spacing w:after="0" w:line="240" w:lineRule="auto"/>
        <w:rPr>
          <w:rStyle w:val="Brak"/>
          <w:rFonts w:ascii="Times New Roman" w:eastAsia="Hoefler Text" w:hAnsi="Times New Roman"/>
          <w:sz w:val="24"/>
          <w:szCs w:val="24"/>
        </w:rPr>
      </w:pPr>
      <w:r w:rsidRPr="00D022F1">
        <w:rPr>
          <w:rStyle w:val="Brak"/>
          <w:rFonts w:ascii="Times New Roman" w:hAnsi="Times New Roman"/>
          <w:sz w:val="24"/>
          <w:szCs w:val="24"/>
        </w:rPr>
        <w:t>Otrzymują:</w:t>
      </w:r>
    </w:p>
    <w:p w14:paraId="1E88080D" w14:textId="77777777" w:rsidR="0045178F" w:rsidRPr="00D022F1" w:rsidRDefault="00D2625B" w:rsidP="00D022F1">
      <w:pPr>
        <w:pStyle w:val="Akapitzlist"/>
        <w:numPr>
          <w:ilvl w:val="0"/>
          <w:numId w:val="2"/>
        </w:numPr>
        <w:ind w:left="284"/>
        <w:rPr>
          <w:rFonts w:cs="Times New Roman"/>
          <w:color w:val="auto"/>
          <w:lang w:val="pl-PL"/>
        </w:rPr>
      </w:pPr>
      <w:r w:rsidRPr="00D022F1">
        <w:rPr>
          <w:rFonts w:cs="Times New Roman"/>
          <w:color w:val="auto"/>
          <w:lang w:val="pl-PL"/>
        </w:rPr>
        <w:t xml:space="preserve">Jarosław Wąsowski, Dyrektor </w:t>
      </w:r>
      <w:r w:rsidRPr="00D022F1">
        <w:rPr>
          <w:rFonts w:cs="Times New Roman"/>
          <w:color w:val="auto"/>
          <w:lang w:val="pl-PL"/>
        </w:rPr>
        <w:t>Oddziału w Warszawie GDDKiA, reprezentujący Generalnego Dyrektora Dróg Krajowych i Autostrad, adres do e-doręczeń: AE:PL-73338-91155-ATCBB-21;</w:t>
      </w:r>
    </w:p>
    <w:p w14:paraId="63A9A87F" w14:textId="77777777" w:rsidR="0045178F" w:rsidRPr="00D022F1" w:rsidRDefault="00D2625B" w:rsidP="00D022F1">
      <w:pPr>
        <w:pStyle w:val="Akapitzlist"/>
        <w:numPr>
          <w:ilvl w:val="0"/>
          <w:numId w:val="2"/>
        </w:numPr>
        <w:ind w:left="284"/>
        <w:rPr>
          <w:rFonts w:cs="Times New Roman"/>
          <w:color w:val="auto"/>
          <w:lang w:val="pl-PL"/>
        </w:rPr>
      </w:pPr>
      <w:r w:rsidRPr="00D022F1">
        <w:rPr>
          <w:rFonts w:cs="Times New Roman"/>
          <w:color w:val="auto"/>
          <w:lang w:val="pl-PL"/>
        </w:rPr>
        <w:t>Pozostałe strony – zgodnie z art. 49 k.p.a..</w:t>
      </w:r>
    </w:p>
    <w:p w14:paraId="7EB1FECD" w14:textId="77777777" w:rsidR="0045178F" w:rsidRPr="00D022F1" w:rsidRDefault="00D2625B" w:rsidP="00D022F1">
      <w:pPr>
        <w:pStyle w:val="Akapitzlist"/>
        <w:ind w:left="0"/>
        <w:rPr>
          <w:rStyle w:val="Brak"/>
          <w:rFonts w:eastAsia="Hoefler Text" w:cs="Times New Roman"/>
          <w:color w:val="auto"/>
          <w:lang w:val="pl-PL"/>
        </w:rPr>
      </w:pPr>
      <w:r w:rsidRPr="00D022F1">
        <w:rPr>
          <w:rStyle w:val="Brak"/>
          <w:rFonts w:cs="Times New Roman"/>
          <w:color w:val="auto"/>
          <w:lang w:val="pl-PL"/>
        </w:rPr>
        <w:t>Do wiadomości:</w:t>
      </w:r>
    </w:p>
    <w:p w14:paraId="0D89098B" w14:textId="77777777" w:rsidR="0045178F" w:rsidRPr="00D022F1" w:rsidRDefault="00D2625B" w:rsidP="00D022F1">
      <w:pPr>
        <w:pStyle w:val="Akapitzlist"/>
        <w:numPr>
          <w:ilvl w:val="0"/>
          <w:numId w:val="4"/>
        </w:numPr>
        <w:ind w:left="284"/>
        <w:rPr>
          <w:rFonts w:cs="Times New Roman"/>
          <w:color w:val="auto"/>
          <w:lang w:val="pl-PL"/>
        </w:rPr>
      </w:pPr>
      <w:r w:rsidRPr="00D022F1">
        <w:rPr>
          <w:rFonts w:cs="Times New Roman"/>
          <w:color w:val="auto"/>
          <w:lang w:val="pl-PL"/>
        </w:rPr>
        <w:t>Regionalny Dyrektor Ochrony Środowiska w Białymstoku, adres do e-doręczeń AE:PL-59083-83538-SSWJF-15;</w:t>
      </w:r>
    </w:p>
    <w:p w14:paraId="5D3FD1C4" w14:textId="77777777" w:rsidR="0045178F" w:rsidRPr="00D022F1" w:rsidRDefault="00D2625B" w:rsidP="00D022F1">
      <w:pPr>
        <w:pStyle w:val="Akapitzlist"/>
        <w:numPr>
          <w:ilvl w:val="0"/>
          <w:numId w:val="5"/>
        </w:numPr>
        <w:ind w:left="284"/>
        <w:rPr>
          <w:rFonts w:cs="Times New Roman"/>
          <w:color w:val="auto"/>
          <w:lang w:val="pl-PL"/>
        </w:rPr>
      </w:pPr>
      <w:r w:rsidRPr="00D022F1">
        <w:rPr>
          <w:rFonts w:cs="Times New Roman"/>
          <w:color w:val="auto"/>
          <w:lang w:val="pl-PL"/>
        </w:rPr>
        <w:t>Regionalny Dyrektor Ochrony Środowiska w Warszawie, adres do e-doręczeń: AE:PL-10609-91337-SAIBG-23.</w:t>
      </w:r>
    </w:p>
    <w:p w14:paraId="3D6D71EB" w14:textId="77777777" w:rsidR="00D022F1" w:rsidRPr="00D022F1" w:rsidRDefault="00D022F1" w:rsidP="00D022F1">
      <w:pPr>
        <w:tabs>
          <w:tab w:val="left" w:pos="8280"/>
        </w:tabs>
        <w:ind w:left="-142"/>
      </w:pPr>
    </w:p>
    <w:sectPr w:rsidR="00D022F1" w:rsidRPr="00D022F1" w:rsidSect="00A3212B">
      <w:headerReference w:type="default" r:id="rId9"/>
      <w:footerReference w:type="default" r:id="rId10"/>
      <w:headerReference w:type="first" r:id="rId11"/>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438C" w14:textId="77777777" w:rsidR="002B2023" w:rsidRDefault="002B2023">
      <w:pPr>
        <w:spacing w:after="0" w:line="240" w:lineRule="auto"/>
      </w:pPr>
      <w:r>
        <w:separator/>
      </w:r>
    </w:p>
  </w:endnote>
  <w:endnote w:type="continuationSeparator" w:id="0">
    <w:p w14:paraId="119ED5DD" w14:textId="77777777" w:rsidR="002B2023" w:rsidRDefault="002B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oefler Text">
    <w:altName w:val="﷽﷽﷽﷽﷽﷽﷽﷽w Roman"/>
    <w:charset w:val="00"/>
    <w:family w:val="roman"/>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148273"/>
      <w:docPartObj>
        <w:docPartGallery w:val="Page Numbers (Bottom of Page)"/>
        <w:docPartUnique/>
      </w:docPartObj>
    </w:sdtPr>
    <w:sdtEndPr>
      <w:rPr>
        <w:rFonts w:ascii="Times New Roman" w:hAnsi="Times New Roman"/>
        <w:sz w:val="20"/>
        <w:szCs w:val="20"/>
      </w:rPr>
    </w:sdtEndPr>
    <w:sdtContent>
      <w:p w14:paraId="0EB22FCD" w14:textId="77777777" w:rsidR="0045178F" w:rsidRPr="008D28E4" w:rsidRDefault="00D2625B">
        <w:pPr>
          <w:pStyle w:val="Stopka"/>
          <w:jc w:val="center"/>
          <w:rPr>
            <w:rFonts w:ascii="Times New Roman" w:hAnsi="Times New Roman"/>
            <w:sz w:val="20"/>
            <w:szCs w:val="20"/>
          </w:rPr>
        </w:pPr>
        <w:r w:rsidRPr="008D28E4">
          <w:rPr>
            <w:rFonts w:ascii="Times New Roman" w:hAnsi="Times New Roman"/>
            <w:sz w:val="20"/>
            <w:szCs w:val="20"/>
          </w:rPr>
          <w:fldChar w:fldCharType="begin"/>
        </w:r>
        <w:r w:rsidRPr="008D28E4">
          <w:rPr>
            <w:rFonts w:ascii="Times New Roman" w:hAnsi="Times New Roman"/>
            <w:sz w:val="20"/>
            <w:szCs w:val="20"/>
          </w:rPr>
          <w:instrText>PAGE   \* MERGEFORMAT</w:instrText>
        </w:r>
        <w:r w:rsidRPr="008D28E4">
          <w:rPr>
            <w:rFonts w:ascii="Times New Roman" w:hAnsi="Times New Roman"/>
            <w:sz w:val="20"/>
            <w:szCs w:val="20"/>
          </w:rPr>
          <w:fldChar w:fldCharType="separate"/>
        </w:r>
        <w:r>
          <w:rPr>
            <w:rFonts w:ascii="Times New Roman" w:hAnsi="Times New Roman"/>
            <w:noProof/>
            <w:sz w:val="20"/>
            <w:szCs w:val="20"/>
          </w:rPr>
          <w:t>4</w:t>
        </w:r>
        <w:r w:rsidRPr="008D28E4">
          <w:rPr>
            <w:rFonts w:ascii="Times New Roman" w:hAnsi="Times New Roman"/>
            <w:sz w:val="20"/>
            <w:szCs w:val="20"/>
          </w:rPr>
          <w:fldChar w:fldCharType="end"/>
        </w:r>
      </w:p>
    </w:sdtContent>
  </w:sdt>
  <w:p w14:paraId="64E08F0E" w14:textId="77777777" w:rsidR="0045178F" w:rsidRDefault="0045178F"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6AD8" w14:textId="77777777" w:rsidR="002B2023" w:rsidRDefault="002B2023">
      <w:pPr>
        <w:spacing w:after="0" w:line="240" w:lineRule="auto"/>
      </w:pPr>
      <w:r>
        <w:separator/>
      </w:r>
    </w:p>
  </w:footnote>
  <w:footnote w:type="continuationSeparator" w:id="0">
    <w:p w14:paraId="2660AE4E" w14:textId="77777777" w:rsidR="002B2023" w:rsidRDefault="002B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066F" w14:textId="77777777" w:rsidR="0045178F" w:rsidRDefault="0045178F"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41"/>
    </w:tblGrid>
    <w:tr w:rsidR="003D45CA" w14:paraId="68782101" w14:textId="77777777" w:rsidTr="00A3212B">
      <w:trPr>
        <w:trHeight w:val="470"/>
      </w:trPr>
      <w:tc>
        <w:tcPr>
          <w:tcW w:w="4641" w:type="dxa"/>
          <w:vAlign w:val="center"/>
        </w:tcPr>
        <w:p w14:paraId="7FA4986A" w14:textId="3E806D1A" w:rsidR="0045178F" w:rsidRPr="00A65CAB" w:rsidRDefault="0045178F" w:rsidP="006B6274">
          <w:pPr>
            <w:pStyle w:val="Nagwek"/>
            <w:tabs>
              <w:tab w:val="clear" w:pos="4536"/>
              <w:tab w:val="clear" w:pos="9072"/>
              <w:tab w:val="left" w:pos="1698"/>
              <w:tab w:val="left" w:pos="2719"/>
            </w:tabs>
            <w:jc w:val="center"/>
            <w:rPr>
              <w:rFonts w:ascii="Garamond" w:hAnsi="Garamond"/>
              <w:b/>
              <w:smallCaps/>
              <w:sz w:val="40"/>
              <w:szCs w:val="40"/>
            </w:rPr>
          </w:pPr>
        </w:p>
      </w:tc>
    </w:tr>
  </w:tbl>
  <w:p w14:paraId="6396FF00" w14:textId="77777777" w:rsidR="0045178F" w:rsidRDefault="004517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ADB"/>
    <w:multiLevelType w:val="hybridMultilevel"/>
    <w:tmpl w:val="BF6299E4"/>
    <w:numStyleLink w:val="Zaimportowanystyl7"/>
  </w:abstractNum>
  <w:abstractNum w:abstractNumId="1" w15:restartNumberingAfterBreak="0">
    <w:nsid w:val="46D82255"/>
    <w:multiLevelType w:val="hybridMultilevel"/>
    <w:tmpl w:val="BF6299E4"/>
    <w:styleLink w:val="Zaimportowanystyl7"/>
    <w:lvl w:ilvl="0" w:tplc="592EB59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08255D4">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4DC59C0">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910884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FAA0E54">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FAEEC38">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C3EC6B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21037B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E729B82">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ED96CC2"/>
    <w:multiLevelType w:val="hybridMultilevel"/>
    <w:tmpl w:val="4D9E293E"/>
    <w:styleLink w:val="Zaimportowanystyl8"/>
    <w:lvl w:ilvl="0" w:tplc="FF90E56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5BAEA6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9EC0AB0">
      <w:start w:val="1"/>
      <w:numFmt w:val="lowerRoman"/>
      <w:lvlText w:val="%3."/>
      <w:lvlJc w:val="left"/>
      <w:pPr>
        <w:ind w:left="1866" w:hanging="359"/>
      </w:pPr>
      <w:rPr>
        <w:rFonts w:hAnsi="Arial Unicode MS"/>
        <w:caps w:val="0"/>
        <w:smallCaps w:val="0"/>
        <w:strike w:val="0"/>
        <w:dstrike w:val="0"/>
        <w:outline w:val="0"/>
        <w:emboss w:val="0"/>
        <w:imprint w:val="0"/>
        <w:spacing w:val="0"/>
        <w:w w:val="100"/>
        <w:kern w:val="0"/>
        <w:position w:val="0"/>
        <w:highlight w:val="none"/>
        <w:vertAlign w:val="baseline"/>
      </w:rPr>
    </w:lvl>
    <w:lvl w:ilvl="3" w:tplc="721AC8D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682BE0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17C8516">
      <w:start w:val="1"/>
      <w:numFmt w:val="lowerRoman"/>
      <w:lvlText w:val="%6."/>
      <w:lvlJc w:val="left"/>
      <w:pPr>
        <w:ind w:left="4026" w:hanging="359"/>
      </w:pPr>
      <w:rPr>
        <w:rFonts w:hAnsi="Arial Unicode MS"/>
        <w:caps w:val="0"/>
        <w:smallCaps w:val="0"/>
        <w:strike w:val="0"/>
        <w:dstrike w:val="0"/>
        <w:outline w:val="0"/>
        <w:emboss w:val="0"/>
        <w:imprint w:val="0"/>
        <w:spacing w:val="0"/>
        <w:w w:val="100"/>
        <w:kern w:val="0"/>
        <w:position w:val="0"/>
        <w:highlight w:val="none"/>
        <w:vertAlign w:val="baseline"/>
      </w:rPr>
    </w:lvl>
    <w:lvl w:ilvl="6" w:tplc="0356642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C3CE99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EC675C">
      <w:start w:val="1"/>
      <w:numFmt w:val="lowerRoman"/>
      <w:lvlText w:val="%9."/>
      <w:lvlJc w:val="left"/>
      <w:pPr>
        <w:ind w:left="6186"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1F288E"/>
    <w:multiLevelType w:val="hybridMultilevel"/>
    <w:tmpl w:val="4D9E293E"/>
    <w:numStyleLink w:val="Zaimportowanystyl8"/>
  </w:abstractNum>
  <w:num w:numId="1" w16cid:durableId="513808727">
    <w:abstractNumId w:val="1"/>
  </w:num>
  <w:num w:numId="2" w16cid:durableId="745538224">
    <w:abstractNumId w:val="0"/>
  </w:num>
  <w:num w:numId="3" w16cid:durableId="2092576018">
    <w:abstractNumId w:val="2"/>
  </w:num>
  <w:num w:numId="4" w16cid:durableId="2104300748">
    <w:abstractNumId w:val="3"/>
  </w:num>
  <w:num w:numId="5" w16cid:durableId="710885218">
    <w:abstractNumId w:val="3"/>
    <w:lvlOverride w:ilvl="0">
      <w:lvl w:ilvl="0" w:tplc="942CDA4C">
        <w:start w:val="1"/>
        <w:numFmt w:val="decimal"/>
        <w:lvlText w:val="%1."/>
        <w:lvlJc w:val="left"/>
        <w:pPr>
          <w:tabs>
            <w:tab w:val="left" w:pos="82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82F40A">
        <w:start w:val="1"/>
        <w:numFmt w:val="lowerLetter"/>
        <w:lvlText w:val="%2."/>
        <w:lvlJc w:val="left"/>
        <w:pPr>
          <w:tabs>
            <w:tab w:val="left" w:pos="828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60351C">
        <w:start w:val="1"/>
        <w:numFmt w:val="lowerRoman"/>
        <w:lvlText w:val="%3."/>
        <w:lvlJc w:val="left"/>
        <w:pPr>
          <w:tabs>
            <w:tab w:val="left" w:pos="8280"/>
          </w:tabs>
          <w:ind w:left="1866"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0AF18C">
        <w:start w:val="1"/>
        <w:numFmt w:val="decimal"/>
        <w:lvlText w:val="%4."/>
        <w:lvlJc w:val="left"/>
        <w:pPr>
          <w:tabs>
            <w:tab w:val="left" w:pos="828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B94E960">
        <w:start w:val="1"/>
        <w:numFmt w:val="lowerLetter"/>
        <w:lvlText w:val="%5."/>
        <w:lvlJc w:val="left"/>
        <w:pPr>
          <w:tabs>
            <w:tab w:val="left" w:pos="828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3EE174">
        <w:start w:val="1"/>
        <w:numFmt w:val="lowerRoman"/>
        <w:lvlText w:val="%6."/>
        <w:lvlJc w:val="left"/>
        <w:pPr>
          <w:tabs>
            <w:tab w:val="left" w:pos="8280"/>
          </w:tabs>
          <w:ind w:left="4026"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68A324">
        <w:start w:val="1"/>
        <w:numFmt w:val="decimal"/>
        <w:lvlText w:val="%7."/>
        <w:lvlJc w:val="left"/>
        <w:pPr>
          <w:tabs>
            <w:tab w:val="left" w:pos="828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A8B88C">
        <w:start w:val="1"/>
        <w:numFmt w:val="lowerLetter"/>
        <w:lvlText w:val="%8."/>
        <w:lvlJc w:val="left"/>
        <w:pPr>
          <w:tabs>
            <w:tab w:val="left" w:pos="828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8098FE">
        <w:start w:val="1"/>
        <w:numFmt w:val="lowerRoman"/>
        <w:lvlText w:val="%9."/>
        <w:lvlJc w:val="left"/>
        <w:pPr>
          <w:tabs>
            <w:tab w:val="left" w:pos="8280"/>
          </w:tabs>
          <w:ind w:left="6186" w:hanging="3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CA"/>
    <w:rsid w:val="002B2023"/>
    <w:rsid w:val="00370107"/>
    <w:rsid w:val="003D45CA"/>
    <w:rsid w:val="0045178F"/>
    <w:rsid w:val="00A957CB"/>
    <w:rsid w:val="00D022F1"/>
    <w:rsid w:val="00D2625B"/>
    <w:rsid w:val="00FB4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2D4B"/>
  <w15:docId w15:val="{0D934164-21BD-487D-B933-F575B836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_wyliczenie,Akapit z listą31,Akapit z listą4,Akapit z listą5,BulletC,K-P_odwolanie,List Paragraph1,List Paragraph_0,List Paragraph_0_0,Liste à puces retrait droite,Nagłówek_JP,Numerowanie,Obiekt,Wyliczanie,noramlny2,normalny tekst"/>
    <w:link w:val="AkapitzlistZnak"/>
    <w:qFormat/>
    <w:rsid w:val="001A684D"/>
    <w:pPr>
      <w:pBdr>
        <w:top w:val="nil"/>
        <w:left w:val="nil"/>
        <w:bottom w:val="nil"/>
        <w:right w:val="nil"/>
        <w:between w:val="nil"/>
        <w:bar w:val="nil"/>
      </w:pBdr>
      <w:ind w:left="720"/>
    </w:pPr>
    <w:rPr>
      <w:rFonts w:ascii="Times New Roman" w:eastAsia="Arial Unicode MS" w:hAnsi="Times New Roman" w:cs="Arial Unicode MS"/>
      <w:color w:val="000000"/>
      <w:sz w:val="24"/>
      <w:szCs w:val="24"/>
      <w:u w:color="000000"/>
      <w:bdr w:val="nil"/>
      <w:lang w:val="en-US" w:eastAsia="en-US"/>
    </w:rPr>
  </w:style>
  <w:style w:type="character" w:customStyle="1" w:styleId="Brak">
    <w:name w:val="Brak"/>
    <w:rsid w:val="001A684D"/>
  </w:style>
  <w:style w:type="paragraph" w:styleId="Tekstkomentarza">
    <w:name w:val="annotation text"/>
    <w:basedOn w:val="Normalny"/>
    <w:link w:val="TekstkomentarzaZnak"/>
    <w:uiPriority w:val="99"/>
    <w:semiHidden/>
    <w:unhideWhenUsed/>
    <w:rsid w:val="001A684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TekstkomentarzaZnak">
    <w:name w:val="Tekst komentarza Znak"/>
    <w:basedOn w:val="Domylnaczcionkaakapitu"/>
    <w:link w:val="Tekstkomentarza"/>
    <w:uiPriority w:val="99"/>
    <w:semiHidden/>
    <w:rsid w:val="001A684D"/>
    <w:rPr>
      <w:rFonts w:ascii="Times New Roman" w:eastAsia="Arial Unicode MS" w:hAnsi="Times New Roman" w:cs="Arial Unicode MS"/>
      <w:color w:val="000000"/>
      <w:u w:color="000000"/>
      <w:bdr w:val="nil"/>
      <w:lang w:eastAsia="en-US"/>
    </w:rPr>
  </w:style>
  <w:style w:type="character" w:styleId="Odwoaniedokomentarza">
    <w:name w:val="annotation reference"/>
    <w:basedOn w:val="Domylnaczcionkaakapitu"/>
    <w:uiPriority w:val="99"/>
    <w:semiHidden/>
    <w:unhideWhenUsed/>
    <w:rsid w:val="001A684D"/>
    <w:rPr>
      <w:sz w:val="16"/>
      <w:szCs w:val="16"/>
    </w:rPr>
  </w:style>
  <w:style w:type="character" w:customStyle="1" w:styleId="AkapitzlistZnak">
    <w:name w:val="Akapit z listą Znak"/>
    <w:aliases w:val="A_wyliczenie Znak,Akapit z listą31 Znak,Akapit z listą4 Znak,Akapit z listą5 Znak,BulletC Znak,K-P_odwolanie Znak,List Paragraph1 Znak,List Paragraph_0 Znak,List Paragraph_0_0 Znak,Liste à puces retrait droite Znak,Nagłówek_JP Znak"/>
    <w:link w:val="Akapitzlist"/>
    <w:uiPriority w:val="34"/>
    <w:rsid w:val="001A684D"/>
    <w:rPr>
      <w:rFonts w:ascii="Times New Roman" w:eastAsia="Arial Unicode MS" w:hAnsi="Times New Roman" w:cs="Arial Unicode MS"/>
      <w:color w:val="000000"/>
      <w:sz w:val="24"/>
      <w:szCs w:val="24"/>
      <w:u w:color="000000"/>
      <w:bdr w:val="nil"/>
      <w:lang w:val="en-US" w:eastAsia="en-US"/>
    </w:rPr>
  </w:style>
  <w:style w:type="numbering" w:customStyle="1" w:styleId="Zaimportowanystyl7">
    <w:name w:val="Zaimportowany styl 7"/>
    <w:rsid w:val="00604B0C"/>
    <w:pPr>
      <w:numPr>
        <w:numId w:val="1"/>
      </w:numPr>
    </w:pPr>
  </w:style>
  <w:style w:type="numbering" w:customStyle="1" w:styleId="Zaimportowanystyl8">
    <w:name w:val="Zaimportowany styl 8"/>
    <w:rsid w:val="00604B0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mbvga4toltqmfyc4njqgq4doojugi&amp;refSource=hyp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1FF0-0F1B-4A54-BAB1-5C77B0D0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GDOS_GD_Andrzej_Szweda-Lewandowski.dot</Template>
  <TotalTime>2</TotalTime>
  <Pages>4</Pages>
  <Words>1781</Words>
  <Characters>10686</Characters>
  <Application>Microsoft Office Word</Application>
  <DocSecurity>4</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2025-03-28T13:31:00Z</dcterms:created>
  <dcterms:modified xsi:type="dcterms:W3CDTF">2025-03-28T13:31:00Z</dcterms:modified>
</cp:coreProperties>
</file>