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51F15" w14:textId="77777777" w:rsidR="00294E11" w:rsidRDefault="00294E11" w:rsidP="004F04CD">
      <w:pPr>
        <w:pStyle w:val="Tytu"/>
      </w:pPr>
    </w:p>
    <w:p w14:paraId="7FB94B8A" w14:textId="77777777" w:rsidR="00294E11" w:rsidRDefault="00294E11">
      <w:pPr>
        <w:pStyle w:val="Nagwekspisutreci"/>
      </w:pPr>
      <w:r>
        <w:rPr>
          <w:noProof/>
        </w:rPr>
        <w:drawing>
          <wp:inline distT="0" distB="0" distL="0" distR="0" wp14:anchorId="3F78477B" wp14:editId="1CCBF4F9">
            <wp:extent cx="5760720" cy="8148320"/>
            <wp:effectExtent l="0" t="0" r="0" b="5080"/>
            <wp:docPr id="279859095" name="Obraz 1" descr="Obraz zawierający tekst, zrzut ekranu, Czcionka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59095" name="Obraz 1" descr="Obraz zawierający tekst, zrzut ekranu, Czcionka, wizytów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17969600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pacing w:val="0"/>
          <w:kern w:val="0"/>
          <w:sz w:val="24"/>
        </w:rPr>
      </w:sdtEndPr>
      <w:sdtContent>
        <w:p w14:paraId="4300BA5D" w14:textId="082E9FE8" w:rsidR="000A35F7" w:rsidRPr="00294E11" w:rsidRDefault="000A35F7" w:rsidP="00294E11">
          <w:pPr>
            <w:pStyle w:val="Tytu"/>
            <w:rPr>
              <w:rStyle w:val="Nagwek1Znak"/>
              <w:rFonts w:eastAsiaTheme="majorEastAsia"/>
            </w:rPr>
          </w:pPr>
          <w:r w:rsidRPr="00294E11">
            <w:rPr>
              <w:rStyle w:val="Nagwek1Znak"/>
              <w:rFonts w:eastAsiaTheme="majorEastAsia"/>
            </w:rPr>
            <w:t>Spis treści</w:t>
          </w:r>
        </w:p>
        <w:p w14:paraId="59EE2657" w14:textId="2D927BD6" w:rsidR="00294E11" w:rsidRDefault="000A35F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152819" w:history="1">
            <w:r w:rsidR="00294E11" w:rsidRPr="000C0E2A">
              <w:rPr>
                <w:rStyle w:val="Hipercze"/>
                <w:noProof/>
              </w:rPr>
              <w:t xml:space="preserve">Wyrok z dnia 18 stycznia 2024 r. w sprawie C-303/22 </w:t>
            </w:r>
            <w:r w:rsidR="00294E11" w:rsidRPr="000C0E2A">
              <w:rPr>
                <w:rStyle w:val="Hipercze"/>
                <w:i/>
                <w:iCs/>
                <w:noProof/>
              </w:rPr>
              <w:t>CROSS Zlín</w:t>
            </w:r>
            <w:r w:rsidR="00294E11" w:rsidRPr="000C0E2A">
              <w:rPr>
                <w:rStyle w:val="Hipercze"/>
                <w:noProof/>
              </w:rPr>
              <w:t xml:space="preserve"> </w:t>
            </w:r>
            <w:r w:rsidR="00294E11" w:rsidRPr="000C0E2A">
              <w:rPr>
                <w:rStyle w:val="Hipercze"/>
                <w:i/>
                <w:iCs/>
                <w:noProof/>
              </w:rPr>
              <w:t>a.s. przeciwko Úřad pro ochranu hospodářské soutěže</w:t>
            </w:r>
            <w:r w:rsidR="00294E11" w:rsidRPr="000C0E2A">
              <w:rPr>
                <w:rStyle w:val="Hipercze"/>
                <w:noProof/>
              </w:rPr>
              <w:t>, ECLI:EU:C:2024:60</w:t>
            </w:r>
            <w:r w:rsidR="00294E11">
              <w:rPr>
                <w:noProof/>
                <w:webHidden/>
              </w:rPr>
              <w:tab/>
            </w:r>
            <w:r w:rsidR="00294E11">
              <w:rPr>
                <w:noProof/>
                <w:webHidden/>
              </w:rPr>
              <w:fldChar w:fldCharType="begin"/>
            </w:r>
            <w:r w:rsidR="00294E11">
              <w:rPr>
                <w:noProof/>
                <w:webHidden/>
              </w:rPr>
              <w:instrText xml:space="preserve"> PAGEREF _Toc173152819 \h </w:instrText>
            </w:r>
            <w:r w:rsidR="00294E11">
              <w:rPr>
                <w:noProof/>
                <w:webHidden/>
              </w:rPr>
            </w:r>
            <w:r w:rsidR="00294E11">
              <w:rPr>
                <w:noProof/>
                <w:webHidden/>
              </w:rPr>
              <w:fldChar w:fldCharType="separate"/>
            </w:r>
            <w:r w:rsidR="005C2062">
              <w:rPr>
                <w:noProof/>
                <w:webHidden/>
              </w:rPr>
              <w:t>3</w:t>
            </w:r>
            <w:r w:rsidR="00294E11">
              <w:rPr>
                <w:noProof/>
                <w:webHidden/>
              </w:rPr>
              <w:fldChar w:fldCharType="end"/>
            </w:r>
          </w:hyperlink>
        </w:p>
        <w:p w14:paraId="2041CD2C" w14:textId="12E81A74" w:rsidR="00294E11" w:rsidRDefault="00294E1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3152820" w:history="1">
            <w:r w:rsidRPr="000C0E2A">
              <w:rPr>
                <w:rStyle w:val="Hipercze"/>
                <w:noProof/>
              </w:rPr>
              <w:t xml:space="preserve">Wyrok z dnia 6 czerwca 2024 r. w sprawie C-547/22 </w:t>
            </w:r>
            <w:r w:rsidRPr="000C0E2A">
              <w:rPr>
                <w:rStyle w:val="Hipercze"/>
                <w:i/>
                <w:iCs/>
                <w:noProof/>
              </w:rPr>
              <w:t>INGSTEEL spol. s. r. o. przeciwko Úrad pre verejné obstarávanie</w:t>
            </w:r>
            <w:r w:rsidRPr="000C0E2A">
              <w:rPr>
                <w:rStyle w:val="Hipercze"/>
                <w:noProof/>
              </w:rPr>
              <w:t>, ECLI:EU:C:2024:478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20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8C43D" w14:textId="06C97CA0" w:rsidR="00294E11" w:rsidRDefault="00294E1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73152821" w:history="1">
            <w:r w:rsidRPr="000C0E2A">
              <w:rPr>
                <w:rStyle w:val="Hipercze"/>
                <w:noProof/>
              </w:rPr>
              <w:t xml:space="preserve">Wyrok z dnia 13 czerwca 2024 r. w sprawie C-737/22 </w:t>
            </w:r>
            <w:r w:rsidRPr="000C0E2A">
              <w:rPr>
                <w:rStyle w:val="Hipercze"/>
                <w:i/>
                <w:iCs/>
                <w:noProof/>
              </w:rPr>
              <w:t>Staten og Kommunernes Indkøbsservice A/S przeciwko</w:t>
            </w:r>
            <w:r w:rsidRPr="000C0E2A">
              <w:rPr>
                <w:rStyle w:val="Hipercze"/>
                <w:noProof/>
              </w:rPr>
              <w:t xml:space="preserve"> </w:t>
            </w:r>
            <w:r w:rsidRPr="000C0E2A">
              <w:rPr>
                <w:rStyle w:val="Hipercze"/>
                <w:i/>
                <w:iCs/>
                <w:noProof/>
              </w:rPr>
              <w:t>BibMedia A/S</w:t>
            </w:r>
            <w:r w:rsidRPr="000C0E2A">
              <w:rPr>
                <w:rStyle w:val="Hipercze"/>
                <w:noProof/>
              </w:rPr>
              <w:t>, ECLI:EU:C:2024:495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206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F4F98" w14:textId="293D14EE" w:rsidR="00294E11" w:rsidRDefault="000A35F7" w:rsidP="00294E11">
          <w:r>
            <w:rPr>
              <w:b/>
              <w:bCs/>
            </w:rPr>
            <w:fldChar w:fldCharType="end"/>
          </w:r>
        </w:p>
      </w:sdtContent>
    </w:sdt>
    <w:p w14:paraId="1FF5641F" w14:textId="08702538" w:rsidR="009820A8" w:rsidRPr="001C2CCD" w:rsidRDefault="00294E11" w:rsidP="004F04CD">
      <w:pPr>
        <w:pStyle w:val="Nagwek1"/>
        <w:rPr>
          <w:color w:val="FF0000"/>
        </w:rPr>
      </w:pPr>
      <w:r>
        <w:br w:type="column"/>
      </w:r>
      <w:bookmarkStart w:id="0" w:name="_Toc173152819"/>
      <w:r w:rsidR="001919C2" w:rsidRPr="00AE114C">
        <w:lastRenderedPageBreak/>
        <w:t xml:space="preserve">Wyrok z dnia </w:t>
      </w:r>
      <w:r w:rsidR="00DA3EB3" w:rsidRPr="00DA3EB3">
        <w:t>18 stycznia 2024 r.</w:t>
      </w:r>
      <w:r w:rsidR="00DA3EB3">
        <w:rPr>
          <w:color w:val="FF0000"/>
        </w:rPr>
        <w:t xml:space="preserve"> </w:t>
      </w:r>
      <w:r w:rsidR="001919C2" w:rsidRPr="00AE114C">
        <w:t xml:space="preserve">w sprawie </w:t>
      </w:r>
      <w:r w:rsidR="00AE114C" w:rsidRPr="00AE114C">
        <w:t xml:space="preserve">C-303/22 </w:t>
      </w:r>
      <w:r w:rsidR="00AE114C" w:rsidRPr="0027069C">
        <w:rPr>
          <w:i/>
          <w:iCs/>
        </w:rPr>
        <w:t xml:space="preserve">CROSS </w:t>
      </w:r>
      <w:proofErr w:type="spellStart"/>
      <w:r w:rsidR="00AE114C" w:rsidRPr="0027069C">
        <w:rPr>
          <w:i/>
          <w:iCs/>
        </w:rPr>
        <w:t>Zlín</w:t>
      </w:r>
      <w:proofErr w:type="spellEnd"/>
      <w:r w:rsidR="00A65DCA" w:rsidRPr="00A65DCA">
        <w:t xml:space="preserve"> </w:t>
      </w:r>
      <w:proofErr w:type="spellStart"/>
      <w:r w:rsidR="00A65DCA" w:rsidRPr="00A65DCA">
        <w:rPr>
          <w:i/>
          <w:iCs/>
        </w:rPr>
        <w:t>a.s</w:t>
      </w:r>
      <w:proofErr w:type="spellEnd"/>
      <w:r w:rsidR="00A65DCA" w:rsidRPr="00A65DCA">
        <w:rPr>
          <w:i/>
          <w:iCs/>
        </w:rPr>
        <w:t xml:space="preserve">. przeciwko </w:t>
      </w:r>
      <w:proofErr w:type="spellStart"/>
      <w:r w:rsidR="00A65DCA" w:rsidRPr="00A65DCA">
        <w:rPr>
          <w:i/>
          <w:iCs/>
        </w:rPr>
        <w:t>Úřad</w:t>
      </w:r>
      <w:proofErr w:type="spellEnd"/>
      <w:r w:rsidR="00A65DCA" w:rsidRPr="00A65DCA">
        <w:rPr>
          <w:i/>
          <w:iCs/>
        </w:rPr>
        <w:t xml:space="preserve"> pro </w:t>
      </w:r>
      <w:proofErr w:type="spellStart"/>
      <w:r w:rsidR="00A65DCA" w:rsidRPr="00A65DCA">
        <w:rPr>
          <w:i/>
          <w:iCs/>
        </w:rPr>
        <w:t>ochranu</w:t>
      </w:r>
      <w:proofErr w:type="spellEnd"/>
      <w:r w:rsidR="00A65DCA" w:rsidRPr="00A65DCA">
        <w:rPr>
          <w:i/>
          <w:iCs/>
        </w:rPr>
        <w:t xml:space="preserve"> </w:t>
      </w:r>
      <w:proofErr w:type="spellStart"/>
      <w:r w:rsidR="00A65DCA" w:rsidRPr="00A65DCA">
        <w:rPr>
          <w:i/>
          <w:iCs/>
        </w:rPr>
        <w:t>hospodářské</w:t>
      </w:r>
      <w:proofErr w:type="spellEnd"/>
      <w:r w:rsidR="00A65DCA" w:rsidRPr="00A65DCA">
        <w:rPr>
          <w:i/>
          <w:iCs/>
        </w:rPr>
        <w:t xml:space="preserve"> </w:t>
      </w:r>
      <w:proofErr w:type="spellStart"/>
      <w:r w:rsidR="00A65DCA" w:rsidRPr="00A65DCA">
        <w:rPr>
          <w:i/>
          <w:iCs/>
        </w:rPr>
        <w:t>soutěže</w:t>
      </w:r>
      <w:proofErr w:type="spellEnd"/>
      <w:r w:rsidR="001C2CCD">
        <w:t xml:space="preserve">, </w:t>
      </w:r>
      <w:r w:rsidR="001C2CCD" w:rsidRPr="001C2CCD">
        <w:t>ECLI:EU:C:2024:60</w:t>
      </w:r>
      <w:bookmarkEnd w:id="0"/>
    </w:p>
    <w:p w14:paraId="1CF54C9B" w14:textId="6D116915" w:rsidR="00ED5F5B" w:rsidRPr="00294E11" w:rsidRDefault="00ED5F5B" w:rsidP="00294E11">
      <w:r w:rsidRPr="00294E11">
        <w:t>Czeski sąd odsyłający zwrócił się do Trybunału z jednym pytaniem prejudycjalnym, dążąc do ustalenia</w:t>
      </w:r>
      <w:r w:rsidR="00927CA6" w:rsidRPr="00294E11">
        <w:t>,</w:t>
      </w:r>
      <w:r w:rsidRPr="00294E11">
        <w:t xml:space="preserve"> czy art. 2 ust. 3 i art. 2a ust. 2 dyrektywy 89/665</w:t>
      </w:r>
      <w:r w:rsidR="00A25E55" w:rsidRPr="00294E11">
        <w:t>/EWG</w:t>
      </w:r>
      <w:r w:rsidR="00A25E55" w:rsidRPr="00294E11">
        <w:rPr>
          <w:rStyle w:val="Odwoanieprzypisudolnego"/>
          <w:rFonts w:cs="Times New Roman"/>
        </w:rPr>
        <w:footnoteReference w:id="1"/>
      </w:r>
      <w:r w:rsidRPr="00294E11">
        <w:t xml:space="preserve"> stoją na przeszkodzie przepisom p</w:t>
      </w:r>
      <w:r w:rsidR="003E3F19" w:rsidRPr="00294E11">
        <w:t>ra</w:t>
      </w:r>
      <w:r w:rsidRPr="00294E11">
        <w:t xml:space="preserve">wa </w:t>
      </w:r>
      <w:r w:rsidR="003E3F19" w:rsidRPr="00294E11">
        <w:t>krajowego</w:t>
      </w:r>
      <w:r w:rsidRPr="00294E11">
        <w:t>, które zakazują instytucji zamawiającej zawarcia umowy w sprawie zamówienia publicznego jedynie do dnia, w którym organ pierwszej instancji w rozumieniu art. 2 ust. 3, który w tym państwie członkowskim nie ma charakteru sądowego, wyda rozstrzygnięcie w przedmiocie odwołania od decyzji o udzieleniu zamówienia.</w:t>
      </w:r>
    </w:p>
    <w:p w14:paraId="09889135" w14:textId="63552096" w:rsidR="00ED5F5B" w:rsidRPr="00294E11" w:rsidRDefault="00ED5F5B" w:rsidP="00294E11">
      <w:r w:rsidRPr="00294E11">
        <w:t xml:space="preserve">Trybunał </w:t>
      </w:r>
      <w:r w:rsidR="003F5D29" w:rsidRPr="00294E11">
        <w:t>przede wszystkim</w:t>
      </w:r>
      <w:r w:rsidR="00B20675" w:rsidRPr="00294E11">
        <w:t xml:space="preserve"> wskazał</w:t>
      </w:r>
      <w:r w:rsidRPr="00294E11">
        <w:t xml:space="preserve">, że z brzmienia </w:t>
      </w:r>
      <w:r w:rsidR="00663105" w:rsidRPr="00294E11">
        <w:t xml:space="preserve">przepisu </w:t>
      </w:r>
      <w:r w:rsidRPr="00294E11">
        <w:t xml:space="preserve">art. 2 ust. 3 dyrektywy 89/665/EWG wynika, że w przypadku gdy organ pierwszej instancji, niezależny od instytucji zamawiającej, rozpatruje odwołanie od decyzji o udzieleniu zamówienia, instytucja zamawiająca nie może zawrzeć tej umowy przed wydaniem przez ten organ rozstrzygnięcia w przedmiocie wniosku o zastosowanie środków tymczasowych lub w przedmiocie tego odwołania. Trybunał </w:t>
      </w:r>
      <w:r w:rsidR="003F5D29" w:rsidRPr="00294E11">
        <w:t>zauważy</w:t>
      </w:r>
      <w:r w:rsidRPr="00294E11">
        <w:t xml:space="preserve">ł, </w:t>
      </w:r>
      <w:r w:rsidR="003F5D29" w:rsidRPr="00294E11">
        <w:t xml:space="preserve">po pierwsze, </w:t>
      </w:r>
      <w:r w:rsidRPr="00294E11">
        <w:t xml:space="preserve">że </w:t>
      </w:r>
      <w:r w:rsidR="00DA1532" w:rsidRPr="00294E11">
        <w:t xml:space="preserve">ten </w:t>
      </w:r>
      <w:r w:rsidRPr="00294E11">
        <w:t>przepis przewiduje skutek zawieszający odwołania od decyzji o udzieleniu zamówienia publicznego względem podpisania umowy w trakcie postępowania przed organem pierwszej instancji, do którego wniesiono odwołanie, lub przynajmniej do czasu wydania przez ten organ rozstrzygnięcia w przedmiocie ewentualnego wniosku o zastosowanie środków tymczasowych. Po drugie</w:t>
      </w:r>
      <w:r w:rsidR="000D2679" w:rsidRPr="00294E11">
        <w:t>,</w:t>
      </w:r>
      <w:r w:rsidRPr="00294E11">
        <w:t xml:space="preserve"> Trybunał zwrócił uwagę, że chociaż przepis wymaga, aby organ ten był niezależny od instytucji zamawiającej, nie zawiera on żadnej wskazówki, z której wynikałoby, że organ ten powinien mieć charakter sądowy.</w:t>
      </w:r>
    </w:p>
    <w:p w14:paraId="573748E3" w14:textId="2559803C" w:rsidR="00ED5F5B" w:rsidRPr="00294E11" w:rsidRDefault="00ED5F5B" w:rsidP="00294E11">
      <w:r w:rsidRPr="00294E11">
        <w:t xml:space="preserve">W związku z powyższym, w przypadku gdy państwo członkowskie zdecyduje się przyznać tę kompetencję organowi pierwszej instancji, który nie ma charakteru sądowego, wyrażenie „organ odwoławczy” zawarte w art. 2 ust. 3 </w:t>
      </w:r>
      <w:r w:rsidR="00CE7484" w:rsidRPr="00294E11">
        <w:t xml:space="preserve">dyrektywy 89/665/EWG </w:t>
      </w:r>
      <w:r w:rsidRPr="00294E11">
        <w:t>jak najbardziej odnosi się do organu</w:t>
      </w:r>
      <w:r w:rsidR="00CE7484" w:rsidRPr="00294E11">
        <w:t>, który nie ma charakteru sądowego</w:t>
      </w:r>
      <w:r w:rsidRPr="00294E11">
        <w:t xml:space="preserve">. W takim przypadku państwa członkowskie powinny przewidzieć zawieszenie możliwości zawarcia umowy w </w:t>
      </w:r>
      <w:r w:rsidRPr="00294E11">
        <w:lastRenderedPageBreak/>
        <w:t xml:space="preserve">sprawie zamówienia publicznego z mocy prawa do czasu wydania przez ten organ rozstrzygnięcia w przedmiocie odwołania albo przynajmniej do czasu wydania przez </w:t>
      </w:r>
      <w:r w:rsidR="00D72FD1" w:rsidRPr="00294E11">
        <w:t xml:space="preserve">ten organ </w:t>
      </w:r>
      <w:r w:rsidRPr="00294E11">
        <w:t xml:space="preserve">rozstrzygnięcia w przedmiocie wniosku o zastosowanie środków tymczasowych zmierzających do takiego zawieszenia. Natomiast art. 2 ust. 3 w związku z art. 2 ust. 9 </w:t>
      </w:r>
      <w:r w:rsidR="003B34D0" w:rsidRPr="00294E11">
        <w:t xml:space="preserve">dyrektywy 89/665/EWG </w:t>
      </w:r>
      <w:r w:rsidRPr="00294E11">
        <w:t>nie wymaga, aby zawieszenie to trwało po zakończeniu postępowania przed takim niesądowym organem odwoławczym, na przykład do czasu wydania przez organ sądowy rozstrzygnięcia w przedmiocie skargi, która może zostać wniesiona na decyzję nie</w:t>
      </w:r>
      <w:r w:rsidR="003B34D0" w:rsidRPr="00294E11">
        <w:t xml:space="preserve">mającego charakteru </w:t>
      </w:r>
      <w:r w:rsidRPr="00294E11">
        <w:t>sądowego organu odwoławczego.</w:t>
      </w:r>
    </w:p>
    <w:p w14:paraId="7EF413DD" w14:textId="6F9961E7" w:rsidR="00ED5F5B" w:rsidRPr="00294E11" w:rsidRDefault="00ED5F5B" w:rsidP="00294E11">
      <w:r w:rsidRPr="00294E11">
        <w:t xml:space="preserve">Trybunał </w:t>
      </w:r>
      <w:r w:rsidR="00EE7774" w:rsidRPr="00294E11">
        <w:t xml:space="preserve">zarazem </w:t>
      </w:r>
      <w:r w:rsidRPr="00294E11">
        <w:t>zauważył, że za pomocą przepisów dyrektywy 89/665/EWG prawodawca Unii zamierzał pogodzić interesy odrzuconego oferenta z interesami instytucji zamawiającej i wybranego oferenta, co prowadzi do wykładni, zgodnie z którą zawieszenie zawarcia umowy w sprawie zamówienia publicznego, przewidziane we wspomnianym art. 2 ust. 3</w:t>
      </w:r>
      <w:r w:rsidR="00EE7774" w:rsidRPr="00294E11">
        <w:t xml:space="preserve"> dyrektywy 89/665/EWG</w:t>
      </w:r>
      <w:r w:rsidRPr="00294E11">
        <w:t>, trwa najpóźniej do dnia, w którym organ pierwszej instancji rozstrzygnie w przedmiocie odwołania wniesionego od decyzji o udzieleniu tego zamówienia, bez względu na to, czy organ ten ma charakter sądowy, czy też nie.</w:t>
      </w:r>
    </w:p>
    <w:p w14:paraId="74AAF899" w14:textId="74C5C5E7" w:rsidR="00ED5F5B" w:rsidRPr="00294E11" w:rsidRDefault="00ED5F5B" w:rsidP="00294E11">
      <w:r w:rsidRPr="00294E11">
        <w:t xml:space="preserve">W nawiązaniu do wyroku z dnia 21 grudnia 2021 r. w sprawie C 497/20 </w:t>
      </w:r>
      <w:proofErr w:type="spellStart"/>
      <w:r w:rsidRPr="00294E11">
        <w:rPr>
          <w:i/>
          <w:iCs/>
        </w:rPr>
        <w:t>Randstad</w:t>
      </w:r>
      <w:proofErr w:type="spellEnd"/>
      <w:r w:rsidRPr="00294E11">
        <w:rPr>
          <w:i/>
          <w:iCs/>
        </w:rPr>
        <w:t xml:space="preserve"> Italia</w:t>
      </w:r>
      <w:r w:rsidRPr="00294E11">
        <w:t>, Trybunał wskazał, że nieostateczny jeszcze charakter decyzji o wykluczeniu decyduje w odniesieniu do tych oferentów o tym, czy mają oni legitymację do zaskarżenia decyzji o udzieleniu zamówienia. Następnie Trybunał wyjaśnił, że jedynie ostateczne wykluczenie w rozumieniu art. 2a ust. 2 akapit drugi dyrektywy 89/665</w:t>
      </w:r>
      <w:r w:rsidR="009711EF" w:rsidRPr="00294E11">
        <w:t>/EWG</w:t>
      </w:r>
      <w:r w:rsidRPr="00294E11">
        <w:t xml:space="preserve"> może skutkować pozbawieniem oferenta legitymacji procesowej do zaskarżenia decyzji o udzieleniu zamówienia.</w:t>
      </w:r>
    </w:p>
    <w:p w14:paraId="5E0FF466" w14:textId="254AFFA6" w:rsidR="00ED5F5B" w:rsidRPr="00294E11" w:rsidRDefault="00ED5F5B" w:rsidP="00294E11">
      <w:r w:rsidRPr="00294E11">
        <w:t>W świetle powyższych rozważań Trybunał orzekł, że art. 2 ust. 3 i art. 2a ust. 2 dyrektywy 89/665/EWG nie stoją na przeszkodzie przepisom krajowym, które zakazują instytucji zamawiającej zawarcia umowy w sprawie zamówienia publicznego jedynie do dnia, w którym organ pierwszej instancji w rozumieniu art. 2 ust. 3</w:t>
      </w:r>
      <w:r w:rsidR="00372969" w:rsidRPr="00294E11">
        <w:t xml:space="preserve"> dyrektywy 89/665/EWG</w:t>
      </w:r>
      <w:r w:rsidRPr="00294E11">
        <w:t xml:space="preserve"> wyda rozstrzygnięcie w przedmiocie odwołania od decyzji o udzieleniu tego zamówienia, przy czym nie ma w tym względzie znaczenia, czy ten organ odwoławczy ma charakter sądowy, czy też nie.</w:t>
      </w:r>
    </w:p>
    <w:p w14:paraId="47B16F32" w14:textId="77777777" w:rsidR="00294E11" w:rsidRDefault="00ED5F5B" w:rsidP="00294E11">
      <w:pPr>
        <w:rPr>
          <w:rStyle w:val="Hipercze"/>
          <w:rFonts w:cs="Times New Roman"/>
        </w:rPr>
      </w:pPr>
      <w:r w:rsidRPr="00294E11">
        <w:t xml:space="preserve">Pełen tekst wyroku w tej sprawie można znaleźć pod adresem: </w:t>
      </w:r>
      <w:hyperlink r:id="rId9" w:history="1">
        <w:r w:rsidRPr="00294E11">
          <w:rPr>
            <w:rStyle w:val="Hipercze"/>
            <w:rFonts w:cs="Times New Roman"/>
          </w:rPr>
          <w:t>https://curia.europa.eu/juris/document/document.jsf?text=&amp;docid=281794&amp;pageIndex=0&amp;doclang=pl&amp;mode=lst&amp;dir=&amp;occ=first&amp;part=1&amp;cid=9513887</w:t>
        </w:r>
      </w:hyperlink>
    </w:p>
    <w:p w14:paraId="0A1EF794" w14:textId="431C1AF1" w:rsidR="00ED5F5B" w:rsidRPr="000427F0" w:rsidRDefault="00294E11" w:rsidP="00294E11">
      <w:pPr>
        <w:pStyle w:val="Nagwek1"/>
        <w:rPr>
          <w:color w:val="FF0000"/>
        </w:rPr>
      </w:pPr>
      <w:r>
        <w:rPr>
          <w:rStyle w:val="Hipercze"/>
        </w:rPr>
        <w:br w:type="column"/>
      </w:r>
      <w:bookmarkStart w:id="1" w:name="_Toc173152820"/>
      <w:r w:rsidR="00ED5F5B">
        <w:lastRenderedPageBreak/>
        <w:t xml:space="preserve">Wyrok z dnia 6 czerwca 2024 r. w sprawie </w:t>
      </w:r>
      <w:r w:rsidR="00ED5F5B" w:rsidRPr="009820A8">
        <w:t xml:space="preserve">C-547/22 </w:t>
      </w:r>
      <w:r w:rsidR="00ED5F5B" w:rsidRPr="0027069C">
        <w:rPr>
          <w:i/>
          <w:iCs/>
        </w:rPr>
        <w:t>INGSTEEL</w:t>
      </w:r>
      <w:r w:rsidR="000427F0">
        <w:rPr>
          <w:i/>
          <w:iCs/>
        </w:rPr>
        <w:t xml:space="preserve"> </w:t>
      </w:r>
      <w:proofErr w:type="spellStart"/>
      <w:r w:rsidR="000427F0" w:rsidRPr="000427F0">
        <w:rPr>
          <w:i/>
          <w:iCs/>
        </w:rPr>
        <w:t>spol</w:t>
      </w:r>
      <w:proofErr w:type="spellEnd"/>
      <w:r w:rsidR="000427F0" w:rsidRPr="000427F0">
        <w:rPr>
          <w:i/>
          <w:iCs/>
        </w:rPr>
        <w:t xml:space="preserve">. s. r. o. przeciwko </w:t>
      </w:r>
      <w:proofErr w:type="spellStart"/>
      <w:r w:rsidR="000427F0" w:rsidRPr="000427F0">
        <w:rPr>
          <w:i/>
          <w:iCs/>
        </w:rPr>
        <w:t>Úrad</w:t>
      </w:r>
      <w:proofErr w:type="spellEnd"/>
      <w:r w:rsidR="000427F0" w:rsidRPr="000427F0">
        <w:rPr>
          <w:i/>
          <w:iCs/>
        </w:rPr>
        <w:t xml:space="preserve"> </w:t>
      </w:r>
      <w:proofErr w:type="spellStart"/>
      <w:r w:rsidR="000427F0" w:rsidRPr="000427F0">
        <w:rPr>
          <w:i/>
          <w:iCs/>
        </w:rPr>
        <w:t>pre</w:t>
      </w:r>
      <w:proofErr w:type="spellEnd"/>
      <w:r w:rsidR="000427F0" w:rsidRPr="000427F0">
        <w:rPr>
          <w:i/>
          <w:iCs/>
        </w:rPr>
        <w:t xml:space="preserve"> </w:t>
      </w:r>
      <w:proofErr w:type="spellStart"/>
      <w:r w:rsidR="000427F0" w:rsidRPr="000427F0">
        <w:rPr>
          <w:i/>
          <w:iCs/>
        </w:rPr>
        <w:t>verejné</w:t>
      </w:r>
      <w:proofErr w:type="spellEnd"/>
      <w:r w:rsidR="000427F0" w:rsidRPr="000427F0">
        <w:rPr>
          <w:i/>
          <w:iCs/>
        </w:rPr>
        <w:t xml:space="preserve"> </w:t>
      </w:r>
      <w:proofErr w:type="spellStart"/>
      <w:r w:rsidR="000427F0" w:rsidRPr="000427F0">
        <w:rPr>
          <w:i/>
          <w:iCs/>
        </w:rPr>
        <w:t>obstarávanie</w:t>
      </w:r>
      <w:proofErr w:type="spellEnd"/>
      <w:r w:rsidR="000427F0">
        <w:t>,</w:t>
      </w:r>
      <w:r w:rsidR="00361356">
        <w:t xml:space="preserve"> </w:t>
      </w:r>
      <w:r w:rsidR="00361356" w:rsidRPr="00361356">
        <w:t>ECLI:EU:C:2024:478</w:t>
      </w:r>
      <w:bookmarkEnd w:id="1"/>
    </w:p>
    <w:p w14:paraId="0E88C448" w14:textId="5BC9B51A" w:rsidR="00347DA3" w:rsidRDefault="00347DA3" w:rsidP="00294E11">
      <w:r w:rsidRPr="000D7CC8">
        <w:t xml:space="preserve">Słowacki sad odsyłający </w:t>
      </w:r>
      <w:r w:rsidR="000D7CC8" w:rsidRPr="000D7CC8">
        <w:t>zwrócił się do Trybunału z dwoma pytaniami prejudycjalnymi</w:t>
      </w:r>
      <w:r w:rsidR="007966B7">
        <w:t xml:space="preserve">. Poprzez swoje pytania, które Trybunał rozpatrzył łącznie, sąd dążył </w:t>
      </w:r>
      <w:r w:rsidR="00DB1891" w:rsidRPr="00DB1891">
        <w:t>do ustalenia, czy art. 2 ust. 1 lit. c) dyrektywy 89/665</w:t>
      </w:r>
      <w:r w:rsidR="000239A0">
        <w:t>/EWG</w:t>
      </w:r>
      <w:r w:rsidR="00DB1891" w:rsidRPr="00DB1891">
        <w:t xml:space="preserve"> należy interpretować w ten sposób, że stoi on na przeszkodzie krajowym przepisom lub praktyce, które wyłączają możliwość uzyskania przez oferenta</w:t>
      </w:r>
      <w:r w:rsidR="009C16CD">
        <w:t>, który został</w:t>
      </w:r>
      <w:r w:rsidR="00DB1891" w:rsidRPr="00DB1891">
        <w:t xml:space="preserve"> wykluczon</w:t>
      </w:r>
      <w:r w:rsidR="009C16CD">
        <w:t>y</w:t>
      </w:r>
      <w:r w:rsidR="00DB1891" w:rsidRPr="00DB1891">
        <w:t xml:space="preserve"> z </w:t>
      </w:r>
      <w:r w:rsidR="009C16CD">
        <w:t xml:space="preserve">udziału w </w:t>
      </w:r>
      <w:r w:rsidR="00DB1891" w:rsidRPr="00DB1891">
        <w:t>postępowani</w:t>
      </w:r>
      <w:r w:rsidR="009C16CD">
        <w:t>u</w:t>
      </w:r>
      <w:r w:rsidR="00DB1891" w:rsidRPr="00DB1891">
        <w:t xml:space="preserve"> o udzielenie zamówienia publicznego </w:t>
      </w:r>
      <w:r w:rsidR="00694297">
        <w:t>mocą</w:t>
      </w:r>
      <w:r w:rsidR="00DB1891" w:rsidRPr="00DB1891">
        <w:t xml:space="preserve"> bezprawnej decyzji instytucji zamawiającej</w:t>
      </w:r>
      <w:r w:rsidR="009C16CD">
        <w:t>,</w:t>
      </w:r>
      <w:r w:rsidR="00DB1891" w:rsidRPr="00DB1891">
        <w:t xml:space="preserve"> odszkodowania za szkodę poniesioną w wyniku utraty szansy udziału w tym postępowaniu w celu uzyskania danego zamówienia.</w:t>
      </w:r>
    </w:p>
    <w:p w14:paraId="0F0C222A" w14:textId="0B3724C4" w:rsidR="001B0715" w:rsidRDefault="00C6136B" w:rsidP="00294E11">
      <w:r>
        <w:t>Odpowiadając</w:t>
      </w:r>
      <w:r w:rsidR="00540D04">
        <w:t xml:space="preserve"> na </w:t>
      </w:r>
      <w:r>
        <w:t xml:space="preserve">te </w:t>
      </w:r>
      <w:r w:rsidR="00540D04">
        <w:t xml:space="preserve">pytania, </w:t>
      </w:r>
      <w:r w:rsidR="002E21C9" w:rsidRPr="002E21C9">
        <w:t>Trybunał przeanalizował brzmienie, kontekst i cele dyrektywy 89/665</w:t>
      </w:r>
      <w:r>
        <w:t>/EWG</w:t>
      </w:r>
      <w:r w:rsidR="002E21C9" w:rsidRPr="002E21C9">
        <w:t xml:space="preserve">. </w:t>
      </w:r>
      <w:r w:rsidRPr="002E21C9">
        <w:t xml:space="preserve">Trybunał </w:t>
      </w:r>
      <w:r>
        <w:t>s</w:t>
      </w:r>
      <w:r w:rsidR="002E21C9" w:rsidRPr="002E21C9">
        <w:t>twierdził, że art. 2 ust. 1 lit. c) dyrektywy</w:t>
      </w:r>
      <w:r w:rsidR="00BB1922">
        <w:t xml:space="preserve"> </w:t>
      </w:r>
      <w:r w:rsidRPr="002E21C9">
        <w:t>89/665</w:t>
      </w:r>
      <w:r>
        <w:t>/EWG</w:t>
      </w:r>
      <w:r w:rsidR="002E21C9" w:rsidRPr="002E21C9">
        <w:t xml:space="preserve"> jest sformułowany szeroko i przewiduje, że państwa członkowskie muszą zapewnić odszkodowanie podmiotom, które doznały uszczerbku w wyniku naruszenia prawa Unii w dziedzinie zamówień publicznych, niezależnie od rodzaju szkody, w tym szkody wynikającej z utraty szansy udziału w postępowaniu o udzielenie zamówienia. Trybunał zauważył, że zgodnie z utrwalonym orzecznictwem</w:t>
      </w:r>
      <w:r w:rsidR="00244402">
        <w:t xml:space="preserve"> (wyrok z dnia 29 lipca 2019 r w sprawie C-620/17</w:t>
      </w:r>
      <w:r w:rsidR="00EE6917">
        <w:t xml:space="preserve"> </w:t>
      </w:r>
      <w:r w:rsidR="00EE6917" w:rsidRPr="00EE6917">
        <w:rPr>
          <w:i/>
          <w:iCs/>
        </w:rPr>
        <w:t xml:space="preserve">Hochtief Solutions </w:t>
      </w:r>
      <w:proofErr w:type="spellStart"/>
      <w:r w:rsidR="00EE6917" w:rsidRPr="00EE6917">
        <w:rPr>
          <w:i/>
          <w:iCs/>
        </w:rPr>
        <w:t>Magyarországi</w:t>
      </w:r>
      <w:proofErr w:type="spellEnd"/>
      <w:r w:rsidR="00EE6917" w:rsidRPr="00EE6917">
        <w:rPr>
          <w:i/>
          <w:iCs/>
        </w:rPr>
        <w:t xml:space="preserve"> </w:t>
      </w:r>
      <w:proofErr w:type="spellStart"/>
      <w:r w:rsidR="00EE6917" w:rsidRPr="00EE6917">
        <w:rPr>
          <w:i/>
          <w:iCs/>
        </w:rPr>
        <w:t>Fióktelepe</w:t>
      </w:r>
      <w:proofErr w:type="spellEnd"/>
      <w:r w:rsidR="00EE6917">
        <w:t xml:space="preserve">), </w:t>
      </w:r>
      <w:r w:rsidR="002E21C9" w:rsidRPr="002E21C9">
        <w:t>osoby poszkodowane w wyniku naruszenia prawa Unii mają prawo do odszkodowania, jeśli spełnione są trzy przesłanki:</w:t>
      </w:r>
      <w:r w:rsidR="00AC69FF">
        <w:t xml:space="preserve"> (i)</w:t>
      </w:r>
      <w:r w:rsidR="002E21C9" w:rsidRPr="002E21C9">
        <w:t xml:space="preserve"> naruszony przepis przyznaje prawa jednostkom, </w:t>
      </w:r>
      <w:r w:rsidR="00AC69FF">
        <w:t xml:space="preserve">(ii) </w:t>
      </w:r>
      <w:r w:rsidR="002E21C9" w:rsidRPr="002E21C9">
        <w:t xml:space="preserve">naruszenie jest wystarczająco istotne oraz </w:t>
      </w:r>
      <w:r w:rsidR="00AC69FF">
        <w:t xml:space="preserve">(iii) </w:t>
      </w:r>
      <w:r w:rsidR="002E21C9" w:rsidRPr="002E21C9">
        <w:t>istnieje bezpośredni związek przyczynowy między naruszeniem a szkodą. Następnie Trybunał wskazał, że odszkodowanie powinno być adekwatne do poniesionej szkody i obejmować pełne naprawienie rzeczywiście poniesionych strat. Ponadto procedury odwoławcze muszą być dostępne dla każdego podmiotu, który ma interes w uzyskaniu zamówienia i poniósł szkodę w wyniku naruszenia. Trybunał podkreślił, że dyrektywa nie przewiduje żadnej możliwości ograniczenia tego dostępu, a odszkodowanie za szkodę poniesioną w wyniku utraty szansy udziału w postępowaniu jest zgodne z celem dyrektywy</w:t>
      </w:r>
      <w:r w:rsidR="00BB1922">
        <w:t xml:space="preserve"> </w:t>
      </w:r>
      <w:r w:rsidR="00BB1922" w:rsidRPr="002E21C9">
        <w:t>89/665</w:t>
      </w:r>
      <w:r w:rsidR="00BB1922">
        <w:t>/EWG</w:t>
      </w:r>
      <w:r w:rsidR="002E21C9" w:rsidRPr="002E21C9">
        <w:t>, jakim jest zapewnienie skutecznego środka prawnego i dostępu do bezstronnego sądu.</w:t>
      </w:r>
    </w:p>
    <w:p w14:paraId="02836DAE" w14:textId="76E01114" w:rsidR="00975619" w:rsidRDefault="00975619" w:rsidP="00294E11">
      <w:r>
        <w:t xml:space="preserve">W wyniku powyższych rozważań </w:t>
      </w:r>
      <w:r w:rsidRPr="00975619">
        <w:t xml:space="preserve">Trybunał orzekł, że przepis </w:t>
      </w:r>
      <w:r w:rsidR="000239A0" w:rsidRPr="000239A0">
        <w:t>art. 2 ust. 1 lit. c) dyrektywy 89/665/EWG</w:t>
      </w:r>
      <w:r w:rsidRPr="00975619">
        <w:t xml:space="preserve"> nie pozwala na wyłączenie</w:t>
      </w:r>
      <w:r w:rsidR="00EB789C">
        <w:t xml:space="preserve"> możliwości uzyskania odszkodowania za szkodę poniesioną w wyniku utraty szansy udziału w postępowaniu o udzielenie zamówienia </w:t>
      </w:r>
      <w:r w:rsidR="00EB789C">
        <w:lastRenderedPageBreak/>
        <w:t>publicznego</w:t>
      </w:r>
      <w:r w:rsidR="00D04AB0">
        <w:t xml:space="preserve"> </w:t>
      </w:r>
      <w:r w:rsidRPr="00975619">
        <w:t>i oferent</w:t>
      </w:r>
      <w:r w:rsidR="00F068A5">
        <w:t>, który został</w:t>
      </w:r>
      <w:r w:rsidRPr="00975619">
        <w:t xml:space="preserve"> wykluczony </w:t>
      </w:r>
      <w:r w:rsidR="00AA6C95">
        <w:t>na mocy</w:t>
      </w:r>
      <w:r w:rsidRPr="00975619">
        <w:t xml:space="preserve"> bezprawnej decyzji instytucji zamawiającej</w:t>
      </w:r>
      <w:r w:rsidR="00F068A5">
        <w:t>,</w:t>
      </w:r>
      <w:r w:rsidRPr="00975619">
        <w:t xml:space="preserve"> może </w:t>
      </w:r>
      <w:r w:rsidR="00F068A5" w:rsidRPr="00975619">
        <w:t xml:space="preserve">się </w:t>
      </w:r>
      <w:r w:rsidRPr="00975619">
        <w:t>domagać odszkodowania za utraconą szansę</w:t>
      </w:r>
      <w:r w:rsidR="00C21000">
        <w:t xml:space="preserve"> udziału w </w:t>
      </w:r>
      <w:r w:rsidR="00C21000" w:rsidRPr="00DB1891">
        <w:t>postępowani</w:t>
      </w:r>
      <w:r w:rsidR="00C21000">
        <w:t>u</w:t>
      </w:r>
      <w:r w:rsidR="00C21000" w:rsidRPr="00DB1891">
        <w:t xml:space="preserve"> o udzielenie zamówienia publicznego</w:t>
      </w:r>
      <w:r w:rsidRPr="00975619">
        <w:t>.</w:t>
      </w:r>
    </w:p>
    <w:p w14:paraId="787B9845" w14:textId="2617CE38" w:rsidR="00294E11" w:rsidRDefault="00D04AB0" w:rsidP="00294E11">
      <w:pPr>
        <w:rPr>
          <w:rStyle w:val="Hipercze"/>
          <w:rFonts w:cs="Times New Roman"/>
        </w:rPr>
      </w:pPr>
      <w:r w:rsidRPr="00ED5F5B">
        <w:t>Pełen tekst wyroku w tej sprawie można znaleźć pod adresem:</w:t>
      </w:r>
      <w:r>
        <w:t xml:space="preserve"> </w:t>
      </w:r>
      <w:hyperlink r:id="rId10" w:history="1">
        <w:r w:rsidR="00BF5A85" w:rsidRPr="00294E11">
          <w:rPr>
            <w:rStyle w:val="Hipercze"/>
            <w:rFonts w:cs="Times New Roman"/>
          </w:rPr>
          <w:t>https://curia.europa.eu/juris/document/document.jsf;jsessionid=0AC54BD808A8A9D97B892ED1C65F85FA?text=&amp;docid=286844&amp;pageIndex=0&amp;doclang=PL&amp;mode=lst&amp;dir=&amp;occ=first&amp;part=1&amp;cid=14232581</w:t>
        </w:r>
      </w:hyperlink>
    </w:p>
    <w:p w14:paraId="1A50F349" w14:textId="7A4EFF33" w:rsidR="009820A8" w:rsidRPr="00AF349D" w:rsidRDefault="00294E11" w:rsidP="00294E11">
      <w:pPr>
        <w:pStyle w:val="Nagwek1"/>
        <w:rPr>
          <w:color w:val="FF0000"/>
        </w:rPr>
      </w:pPr>
      <w:r>
        <w:rPr>
          <w:rStyle w:val="Hipercze"/>
        </w:rPr>
        <w:br w:type="column"/>
      </w:r>
      <w:bookmarkStart w:id="2" w:name="_Toc173152821"/>
      <w:r w:rsidR="009820A8" w:rsidRPr="009820A8">
        <w:lastRenderedPageBreak/>
        <w:t xml:space="preserve">Wyrok z dnia 13 czerwca 2024 r. w sprawie C-737/22 </w:t>
      </w:r>
      <w:proofErr w:type="spellStart"/>
      <w:r w:rsidR="00AF349D" w:rsidRPr="00AF349D">
        <w:rPr>
          <w:i/>
          <w:iCs/>
        </w:rPr>
        <w:t>Staten</w:t>
      </w:r>
      <w:proofErr w:type="spellEnd"/>
      <w:r w:rsidR="00AF349D" w:rsidRPr="00AF349D">
        <w:rPr>
          <w:i/>
          <w:iCs/>
        </w:rPr>
        <w:t xml:space="preserve"> </w:t>
      </w:r>
      <w:proofErr w:type="spellStart"/>
      <w:r w:rsidR="00AF349D" w:rsidRPr="00AF349D">
        <w:rPr>
          <w:i/>
          <w:iCs/>
        </w:rPr>
        <w:t>og</w:t>
      </w:r>
      <w:proofErr w:type="spellEnd"/>
      <w:r w:rsidR="00AF349D" w:rsidRPr="00AF349D">
        <w:rPr>
          <w:i/>
          <w:iCs/>
        </w:rPr>
        <w:t xml:space="preserve"> </w:t>
      </w:r>
      <w:proofErr w:type="spellStart"/>
      <w:r w:rsidR="00AF349D" w:rsidRPr="00AF349D">
        <w:rPr>
          <w:i/>
          <w:iCs/>
        </w:rPr>
        <w:t>Kommunernes</w:t>
      </w:r>
      <w:proofErr w:type="spellEnd"/>
      <w:r w:rsidR="00AF349D" w:rsidRPr="00AF349D">
        <w:rPr>
          <w:i/>
          <w:iCs/>
        </w:rPr>
        <w:t xml:space="preserve"> </w:t>
      </w:r>
      <w:proofErr w:type="spellStart"/>
      <w:r w:rsidR="00AF349D" w:rsidRPr="00AF349D">
        <w:rPr>
          <w:i/>
          <w:iCs/>
        </w:rPr>
        <w:t>Indkøbsservice</w:t>
      </w:r>
      <w:proofErr w:type="spellEnd"/>
      <w:r w:rsidR="00AF349D" w:rsidRPr="00AF349D">
        <w:rPr>
          <w:i/>
          <w:iCs/>
        </w:rPr>
        <w:t xml:space="preserve"> A/S przeciwko</w:t>
      </w:r>
      <w:r w:rsidR="00AF349D" w:rsidRPr="00AF349D">
        <w:t xml:space="preserve"> </w:t>
      </w:r>
      <w:proofErr w:type="spellStart"/>
      <w:r w:rsidR="009820A8" w:rsidRPr="0027069C">
        <w:rPr>
          <w:i/>
          <w:iCs/>
        </w:rPr>
        <w:t>BibMedia</w:t>
      </w:r>
      <w:proofErr w:type="spellEnd"/>
      <w:r w:rsidR="00AF349D">
        <w:rPr>
          <w:i/>
          <w:iCs/>
        </w:rPr>
        <w:t xml:space="preserve"> </w:t>
      </w:r>
      <w:r w:rsidR="00AF349D" w:rsidRPr="00AF349D">
        <w:rPr>
          <w:i/>
          <w:iCs/>
        </w:rPr>
        <w:t>A/S</w:t>
      </w:r>
      <w:r w:rsidR="00AF349D">
        <w:t xml:space="preserve">, </w:t>
      </w:r>
      <w:r w:rsidR="00942301" w:rsidRPr="00942301">
        <w:t>ECLI:EU:C:2024:495</w:t>
      </w:r>
      <w:bookmarkEnd w:id="2"/>
    </w:p>
    <w:p w14:paraId="52A3B09C" w14:textId="490D8DE8" w:rsidR="00F866A7" w:rsidRDefault="00725F2E" w:rsidP="00294E11">
      <w:r>
        <w:t>Duński sąd odsyłający zwrócił się do Trybunału z pytaniem prejudycjalnym,</w:t>
      </w:r>
      <w:r w:rsidR="00C25A7A">
        <w:t xml:space="preserve"> w którym dążył do ustalenia</w:t>
      </w:r>
      <w:r w:rsidR="00C21000">
        <w:t>,</w:t>
      </w:r>
      <w:r w:rsidR="00863943">
        <w:t xml:space="preserve"> </w:t>
      </w:r>
      <w:r w:rsidR="00863943" w:rsidRPr="00863943">
        <w:t>czy art. 18 ust. 1 dyrektywy 2014/24</w:t>
      </w:r>
      <w:r w:rsidR="00BE6328">
        <w:t>/UE</w:t>
      </w:r>
      <w:r w:rsidR="00BE6328">
        <w:rPr>
          <w:rStyle w:val="Odwoanieprzypisudolnego"/>
          <w:rFonts w:ascii="Verdana" w:hAnsi="Verdana"/>
        </w:rPr>
        <w:footnoteReference w:id="2"/>
      </w:r>
      <w:r w:rsidR="00863943" w:rsidRPr="00863943">
        <w:t xml:space="preserve"> należy interpretować w ten sposób, że zasady równego traktowania i przejrzystości określone w tym przepisie stoją na przeszkodzie temu, by w ramach postępowania o udzielenie zamówienia publicznego podzielonego na części oferentowi, który złożył drugą najkorzystniejszą ekonomicznie ofertę, udzielono zamówienia na jedną część zgodnie z zasadami określonymi w dokumentach zamówienia, pod warunkiem że zgodzi się on na wykonanie dostaw i usług w ramach tej części po takiej samej cenie, jaka została zaproponowana przez oferenta, który przedstawił ofertę najkorzystniejszą ekonomicznie, i któremu w konsekwencji udzielono zamówienia na inną, większą część tego zamówienia.</w:t>
      </w:r>
    </w:p>
    <w:p w14:paraId="392CA11D" w14:textId="0B1EC9A2" w:rsidR="000057D0" w:rsidRDefault="00220A99" w:rsidP="00294E11">
      <w:r>
        <w:t xml:space="preserve">W odpowiedzi na pytanie, Trybunał zauważył, </w:t>
      </w:r>
      <w:r w:rsidR="00CD7640">
        <w:t>powołując się na wyrok z dnia</w:t>
      </w:r>
      <w:r w:rsidR="000063D7">
        <w:t xml:space="preserve"> 14 września 2017 r. w sprawie C-223/16 </w:t>
      </w:r>
      <w:proofErr w:type="spellStart"/>
      <w:r w:rsidR="000063D7" w:rsidRPr="000063D7">
        <w:rPr>
          <w:i/>
          <w:iCs/>
        </w:rPr>
        <w:t>Casertana</w:t>
      </w:r>
      <w:proofErr w:type="spellEnd"/>
      <w:r w:rsidR="000063D7" w:rsidRPr="000063D7">
        <w:rPr>
          <w:i/>
          <w:iCs/>
        </w:rPr>
        <w:t xml:space="preserve"> </w:t>
      </w:r>
      <w:proofErr w:type="spellStart"/>
      <w:r w:rsidR="000063D7" w:rsidRPr="000063D7">
        <w:rPr>
          <w:i/>
          <w:iCs/>
        </w:rPr>
        <w:t>Costruzioni</w:t>
      </w:r>
      <w:proofErr w:type="spellEnd"/>
      <w:r w:rsidR="000063D7">
        <w:rPr>
          <w:i/>
          <w:iCs/>
        </w:rPr>
        <w:t>,</w:t>
      </w:r>
      <w:r w:rsidR="000063D7">
        <w:t xml:space="preserve"> </w:t>
      </w:r>
      <w:r>
        <w:t>że</w:t>
      </w:r>
      <w:r w:rsidR="00CD7640">
        <w:t xml:space="preserve"> </w:t>
      </w:r>
      <w:r w:rsidR="00CD7640" w:rsidRPr="00CD7640">
        <w:t>zasady równego traktowania i przejrzystości stoją na przeszkodzie negocjacjom między instytucją zamawiającą a oferentem w ramach postępowania o udzielenie zamówienia publicznego, w związku z czym co do zasady oferta nie może być modyfikowana po jej złożeniu ani z inicjatywy instytucji zamawiającej, ani z inicjatywy oferenta</w:t>
      </w:r>
      <w:r w:rsidR="00784E4C">
        <w:t xml:space="preserve">. Jednocześnie Trybunał wskazał, że </w:t>
      </w:r>
      <w:r w:rsidR="00331D19">
        <w:t>sposób</w:t>
      </w:r>
      <w:r w:rsidR="002C1203" w:rsidRPr="002C1203">
        <w:t xml:space="preserve"> udzielenia zamówienia publicznego taki jak przedstawiony w specyfikacji warunków zamówienia rozpatrywanego w postępowaniu głównym</w:t>
      </w:r>
      <w:r w:rsidR="002870F0">
        <w:t xml:space="preserve"> –</w:t>
      </w:r>
      <w:r w:rsidR="002C1203" w:rsidRPr="002C1203">
        <w:t xml:space="preserve"> w ramach którego zamówienie jest podzielone na części, z których największa zostanie udzielona oferentowi, który przedstawił ofertę najkorzystniejszą ekonomicznie, podczas gdy w celu utrzymania konkurencji w danym sektorze gospodarczym preferowane będzie przyznanie części o mniejszej wartości oferentowi, który przedstawi drugą najkorzystniejszą ekonomicznie ofertę, pod warunkiem że zgodzi się on wykonać tę część po cenie oferenta, który przedstawi ofertę najkorzystniejszą ekonomicznie</w:t>
      </w:r>
      <w:r w:rsidR="002870F0">
        <w:t xml:space="preserve"> – </w:t>
      </w:r>
      <w:r w:rsidR="002C1203" w:rsidRPr="002C1203">
        <w:t>nie zawiera żadnego elementu negocjacji w rozumieniu wyżej wymienionego orzecznictwa.</w:t>
      </w:r>
      <w:r>
        <w:t xml:space="preserve"> </w:t>
      </w:r>
      <w:r w:rsidRPr="00220A99">
        <w:t xml:space="preserve">W tym względzie </w:t>
      </w:r>
      <w:r w:rsidR="00932F0D">
        <w:t>Trybunał</w:t>
      </w:r>
      <w:r w:rsidR="007C1461">
        <w:t xml:space="preserve"> zaznaczył</w:t>
      </w:r>
      <w:r w:rsidRPr="00220A99">
        <w:t xml:space="preserve">, że taki sposób udzielania zamówień publicznych gwarantuje, w odniesieniu do udzielenia wszystkich części zamówienia, poszanowanie kryterium najniższej ceny bez możliwości odstąpienia przez instytucję </w:t>
      </w:r>
      <w:r w:rsidRPr="00220A99">
        <w:lastRenderedPageBreak/>
        <w:t>zamawiającą od tego kryterium lub wezwania oferenta do zmiany jego oferty, ponieważ instytucja zamawiająca musi oprzeć się na cenach zaproponowanych przed upływem terminu składania ofert i przestrzegać w toku całej procedury kolejności klasyfikacji, która wynika z tych ofert cenowych.</w:t>
      </w:r>
      <w:r w:rsidR="003B037E">
        <w:t xml:space="preserve"> W związku z tym Trybunał wskazał, że ż</w:t>
      </w:r>
      <w:r w:rsidR="003B037E" w:rsidRPr="003B037E">
        <w:t xml:space="preserve">adna z decyzji, które mogą zostać podjęte przez oferentów sklasyfikowanych na miejscach od drugiego do ostatniego, nie oznacza zmiany ofert, które złożyli przed upływem przewidzianego w tym celu terminu, ani negocjacji z instytucją zamawiającą. </w:t>
      </w:r>
      <w:r w:rsidR="00BD3D2E">
        <w:t>W konsekwencji</w:t>
      </w:r>
      <w:r w:rsidR="000668A5">
        <w:t xml:space="preserve"> Trybunał uznał, że </w:t>
      </w:r>
      <w:r w:rsidR="000668A5" w:rsidRPr="000668A5">
        <w:t>sposób udzielenia zamówienia taki jak rozpatrywany w postępowaniu głównym mieści się, bez naruszenia zasad równego traktowania i przejrzystości, w ramach sytuacji wskazanej w art. 46 dyrektywy 2014/24</w:t>
      </w:r>
      <w:r w:rsidR="006526FF">
        <w:t>/UE</w:t>
      </w:r>
      <w:r w:rsidR="00A8007F" w:rsidRPr="00A8007F">
        <w:t>, w której instytucja zamawiająca postanawia udzielić zamówienia w postaci odrębnych części, precyzując w dokumentacji przetargowej, czy dopuszczalne jest złożenie oferty na jedną część, kilka części lub wszystkie części, oraz wskazując, jakie obiektywne i niedyskryminujące kryteria zostaną zastosowane w celu ustalenia udzielenia zamówienia w odniesieniu do jego poszczególnych części.</w:t>
      </w:r>
    </w:p>
    <w:p w14:paraId="35BF4F62" w14:textId="372A0207" w:rsidR="007C0822" w:rsidRPr="00F866A7" w:rsidRDefault="007C0822" w:rsidP="00294E11">
      <w:r>
        <w:t xml:space="preserve">Konkludując, Trybunał stwierdził, że </w:t>
      </w:r>
      <w:r w:rsidR="00F2327B" w:rsidRPr="00F2327B">
        <w:t>art. 18 ust. 1 dyrektywy 2014/24</w:t>
      </w:r>
      <w:r w:rsidR="00DE4FCD">
        <w:t>/UE</w:t>
      </w:r>
      <w:r w:rsidR="00F2327B" w:rsidRPr="00F2327B">
        <w:t xml:space="preserve"> należy interpretować w ten sposób, że zasady równego traktowania i przejrzystości określone w tym przepisie nie stoją na przeszkodzie temu, by w ramach postępowania o udzielenie zamówienia publicznego podzielonego na części oferentowi, który złożył drugą najkorzystniejszą ekonomicznie ofertę, udzielono zamówienia na jedną część zgodnie z zasadami określonymi w dokumentach zamówienia, pod warunkiem że zgodzi się on na wykonanie dostaw i usług w ramach tej części po takiej samej cenie, jaka została zaproponowana przez oferenta, który przedstawił ofertę najkorzystniejszą ekonomicznie i któremu w konsekwencji udzielono zamówienia na inną, większą część tego zamówienia.</w:t>
      </w:r>
    </w:p>
    <w:p w14:paraId="4E6F57B0" w14:textId="3FEF71D3" w:rsidR="00BF5A85" w:rsidRPr="00BF5A85" w:rsidRDefault="00BF5A85" w:rsidP="00294E11">
      <w:r w:rsidRPr="00ED5F5B">
        <w:t>Pełen tekst wyroku w tej sprawie można znaleźć pod adresem:</w:t>
      </w:r>
      <w:r w:rsidR="00D13922">
        <w:t xml:space="preserve"> </w:t>
      </w:r>
      <w:hyperlink r:id="rId11" w:history="1">
        <w:r w:rsidR="00D13922" w:rsidRPr="00294E11">
          <w:rPr>
            <w:rStyle w:val="Hipercze"/>
            <w:rFonts w:cs="Times New Roman"/>
          </w:rPr>
          <w:t>https://curia.europa.eu/juris/document/document.jsf;jsessionid=6F89626DA0CFAA9642A01FAEA51A4A4C?text=&amp;docid=287068&amp;pageIndex=0&amp;doclang=PL&amp;mode=req&amp;dir=&amp;occ=first&amp;part=1&amp;cid=2833411</w:t>
        </w:r>
      </w:hyperlink>
      <w:r w:rsidR="00D13922">
        <w:t xml:space="preserve"> </w:t>
      </w:r>
    </w:p>
    <w:sectPr w:rsidR="00BF5A85" w:rsidRPr="00BF5A85" w:rsidSect="0026012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A2F9" w14:textId="77777777" w:rsidR="00755DDC" w:rsidRDefault="00755DDC" w:rsidP="00A25E55">
      <w:pPr>
        <w:spacing w:after="0" w:line="240" w:lineRule="auto"/>
      </w:pPr>
      <w:r>
        <w:separator/>
      </w:r>
    </w:p>
  </w:endnote>
  <w:endnote w:type="continuationSeparator" w:id="0">
    <w:p w14:paraId="5C01206E" w14:textId="77777777" w:rsidR="00755DDC" w:rsidRDefault="00755DDC" w:rsidP="00A2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7015564"/>
      <w:docPartObj>
        <w:docPartGallery w:val="Page Numbers (Bottom of Page)"/>
        <w:docPartUnique/>
      </w:docPartObj>
    </w:sdtPr>
    <w:sdtContent>
      <w:p w14:paraId="06FA86FD" w14:textId="27C79F23" w:rsidR="0026012E" w:rsidRDefault="002601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B0D8D" w14:textId="77777777" w:rsidR="0026012E" w:rsidRDefault="00260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0C0F7" w14:textId="77777777" w:rsidR="00755DDC" w:rsidRDefault="00755DDC" w:rsidP="00A25E55">
      <w:pPr>
        <w:spacing w:after="0" w:line="240" w:lineRule="auto"/>
      </w:pPr>
      <w:r>
        <w:separator/>
      </w:r>
    </w:p>
  </w:footnote>
  <w:footnote w:type="continuationSeparator" w:id="0">
    <w:p w14:paraId="70C15B35" w14:textId="77777777" w:rsidR="00755DDC" w:rsidRDefault="00755DDC" w:rsidP="00A25E55">
      <w:pPr>
        <w:spacing w:after="0" w:line="240" w:lineRule="auto"/>
      </w:pPr>
      <w:r>
        <w:continuationSeparator/>
      </w:r>
    </w:p>
  </w:footnote>
  <w:footnote w:id="1">
    <w:p w14:paraId="1E5FD92D" w14:textId="26B34F11" w:rsidR="00A25E55" w:rsidRPr="00F51BCA" w:rsidRDefault="00A25E55" w:rsidP="005B0B11">
      <w:pPr>
        <w:pStyle w:val="Tekstprzypisudolnego"/>
        <w:rPr>
          <w:rFonts w:ascii="Verdana" w:hAnsi="Verdana"/>
          <w:sz w:val="18"/>
          <w:szCs w:val="18"/>
        </w:rPr>
      </w:pPr>
      <w:r w:rsidRPr="00F51BCA">
        <w:rPr>
          <w:rStyle w:val="Odwoanieprzypisudolnego"/>
          <w:rFonts w:ascii="Verdana" w:hAnsi="Verdana"/>
          <w:sz w:val="18"/>
          <w:szCs w:val="18"/>
        </w:rPr>
        <w:footnoteRef/>
      </w:r>
      <w:r w:rsidRPr="00F51BCA">
        <w:rPr>
          <w:rFonts w:ascii="Verdana" w:hAnsi="Verdana"/>
          <w:sz w:val="18"/>
          <w:szCs w:val="18"/>
        </w:rPr>
        <w:t xml:space="preserve"> </w:t>
      </w:r>
      <w:r w:rsidR="00ED0855" w:rsidRPr="00F51BCA">
        <w:rPr>
          <w:rFonts w:ascii="Verdana" w:hAnsi="Verdana"/>
          <w:sz w:val="18"/>
          <w:szCs w:val="18"/>
        </w:rPr>
        <w:t>dyrektywa Rady 89/665/EWG z dnia 21 grudnia 1989 r. w sprawie koordynacji przepisów ustawowych, wykonawczych i administracyjnych odnoszących się do stosowania procedur odwoławczych w zakresie udzielania zamówień publicznych na dostawy i roboty budowlane (Dz. Urz. WE L 395 z 30.12.1989, str. 33; Dz. Urz. UE Polskie wydanie specjalne, rozdz. 06, t. 1, str. 246)</w:t>
      </w:r>
    </w:p>
  </w:footnote>
  <w:footnote w:id="2">
    <w:p w14:paraId="2809DF84" w14:textId="4E6B8908" w:rsidR="00BE6328" w:rsidRPr="00F51BCA" w:rsidRDefault="00BE6328" w:rsidP="005B0B11">
      <w:pPr>
        <w:pStyle w:val="Tekstprzypisudolnego"/>
        <w:rPr>
          <w:rFonts w:ascii="Verdana" w:hAnsi="Verdana"/>
          <w:sz w:val="18"/>
          <w:szCs w:val="18"/>
        </w:rPr>
      </w:pPr>
      <w:r w:rsidRPr="00F51BCA">
        <w:rPr>
          <w:rStyle w:val="Odwoanieprzypisudolnego"/>
          <w:rFonts w:ascii="Verdana" w:hAnsi="Verdana"/>
          <w:sz w:val="18"/>
          <w:szCs w:val="18"/>
        </w:rPr>
        <w:footnoteRef/>
      </w:r>
      <w:r w:rsidRPr="00F51BCA">
        <w:rPr>
          <w:rFonts w:ascii="Verdana" w:hAnsi="Verdana"/>
          <w:sz w:val="18"/>
          <w:szCs w:val="18"/>
        </w:rPr>
        <w:t xml:space="preserve"> </w:t>
      </w:r>
      <w:r w:rsidR="00F51BCA" w:rsidRPr="00F51BCA">
        <w:rPr>
          <w:rFonts w:ascii="Verdana" w:hAnsi="Verdana"/>
          <w:sz w:val="18"/>
          <w:szCs w:val="18"/>
        </w:rPr>
        <w:t>dyrektywa Parlamentu Europejskiego i Rady 2014/24/UE z dnia 26 lutego 2014 r. w sprawie zamówień publicznych, uchylająca dyrektywę 2004/18/WE (Dz. Urz. UE L 94 z 28.3.2014, str. 65)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9A0"/>
    <w:multiLevelType w:val="hybridMultilevel"/>
    <w:tmpl w:val="75AA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4BB"/>
    <w:multiLevelType w:val="hybridMultilevel"/>
    <w:tmpl w:val="D804B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6591"/>
    <w:multiLevelType w:val="hybridMultilevel"/>
    <w:tmpl w:val="3A8EA1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23A4E"/>
    <w:multiLevelType w:val="hybridMultilevel"/>
    <w:tmpl w:val="E2649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5E21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E219B"/>
    <w:multiLevelType w:val="hybridMultilevel"/>
    <w:tmpl w:val="11203C02"/>
    <w:lvl w:ilvl="0" w:tplc="A508C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039"/>
    <w:multiLevelType w:val="hybridMultilevel"/>
    <w:tmpl w:val="E3829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2CD4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A305C"/>
    <w:multiLevelType w:val="hybridMultilevel"/>
    <w:tmpl w:val="D3BC6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330E"/>
    <w:multiLevelType w:val="hybridMultilevel"/>
    <w:tmpl w:val="D9D08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62D19"/>
    <w:multiLevelType w:val="hybridMultilevel"/>
    <w:tmpl w:val="DF3CC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A43AD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24B12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C25F3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96A63"/>
    <w:multiLevelType w:val="hybridMultilevel"/>
    <w:tmpl w:val="73DA0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10121"/>
    <w:multiLevelType w:val="hybridMultilevel"/>
    <w:tmpl w:val="3A8EA1C4"/>
    <w:lvl w:ilvl="0" w:tplc="72300E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7627B"/>
    <w:multiLevelType w:val="hybridMultilevel"/>
    <w:tmpl w:val="3A8EA1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B4992"/>
    <w:multiLevelType w:val="hybridMultilevel"/>
    <w:tmpl w:val="3A8EA1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443D94"/>
    <w:multiLevelType w:val="hybridMultilevel"/>
    <w:tmpl w:val="6B3C6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90179"/>
    <w:multiLevelType w:val="hybridMultilevel"/>
    <w:tmpl w:val="8F44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5010">
    <w:abstractNumId w:val="8"/>
  </w:num>
  <w:num w:numId="2" w16cid:durableId="91518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344867">
    <w:abstractNumId w:val="1"/>
  </w:num>
  <w:num w:numId="4" w16cid:durableId="725370311">
    <w:abstractNumId w:val="5"/>
  </w:num>
  <w:num w:numId="5" w16cid:durableId="784616179">
    <w:abstractNumId w:val="6"/>
  </w:num>
  <w:num w:numId="6" w16cid:durableId="388306639">
    <w:abstractNumId w:val="10"/>
  </w:num>
  <w:num w:numId="7" w16cid:durableId="603851239">
    <w:abstractNumId w:val="0"/>
  </w:num>
  <w:num w:numId="8" w16cid:durableId="262807523">
    <w:abstractNumId w:val="7"/>
  </w:num>
  <w:num w:numId="9" w16cid:durableId="364445854">
    <w:abstractNumId w:val="13"/>
  </w:num>
  <w:num w:numId="10" w16cid:durableId="772700233">
    <w:abstractNumId w:val="12"/>
  </w:num>
  <w:num w:numId="11" w16cid:durableId="325935436">
    <w:abstractNumId w:val="11"/>
  </w:num>
  <w:num w:numId="12" w16cid:durableId="1507746385">
    <w:abstractNumId w:val="4"/>
  </w:num>
  <w:num w:numId="13" w16cid:durableId="378091971">
    <w:abstractNumId w:val="14"/>
  </w:num>
  <w:num w:numId="14" w16cid:durableId="162016692">
    <w:abstractNumId w:val="9"/>
  </w:num>
  <w:num w:numId="15" w16cid:durableId="1455323691">
    <w:abstractNumId w:val="3"/>
  </w:num>
  <w:num w:numId="16" w16cid:durableId="533546241">
    <w:abstractNumId w:val="19"/>
  </w:num>
  <w:num w:numId="17" w16cid:durableId="1435176297">
    <w:abstractNumId w:val="15"/>
  </w:num>
  <w:num w:numId="18" w16cid:durableId="960190669">
    <w:abstractNumId w:val="17"/>
  </w:num>
  <w:num w:numId="19" w16cid:durableId="702827621">
    <w:abstractNumId w:val="2"/>
  </w:num>
  <w:num w:numId="20" w16cid:durableId="1174955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C5"/>
    <w:rsid w:val="00000903"/>
    <w:rsid w:val="000019D0"/>
    <w:rsid w:val="0000261C"/>
    <w:rsid w:val="0000498A"/>
    <w:rsid w:val="00004A99"/>
    <w:rsid w:val="000057D0"/>
    <w:rsid w:val="00005BC2"/>
    <w:rsid w:val="000063D7"/>
    <w:rsid w:val="000065E2"/>
    <w:rsid w:val="00010455"/>
    <w:rsid w:val="000110DD"/>
    <w:rsid w:val="000111F0"/>
    <w:rsid w:val="000115B0"/>
    <w:rsid w:val="000125B7"/>
    <w:rsid w:val="00012F57"/>
    <w:rsid w:val="00013419"/>
    <w:rsid w:val="000148C8"/>
    <w:rsid w:val="00014DCA"/>
    <w:rsid w:val="000157C8"/>
    <w:rsid w:val="0001792B"/>
    <w:rsid w:val="000207D5"/>
    <w:rsid w:val="000236F3"/>
    <w:rsid w:val="000239A0"/>
    <w:rsid w:val="00023A06"/>
    <w:rsid w:val="0002497A"/>
    <w:rsid w:val="00024ACD"/>
    <w:rsid w:val="0002527A"/>
    <w:rsid w:val="00031F1E"/>
    <w:rsid w:val="00032863"/>
    <w:rsid w:val="00034699"/>
    <w:rsid w:val="00036C28"/>
    <w:rsid w:val="000427F0"/>
    <w:rsid w:val="000431BA"/>
    <w:rsid w:val="00044701"/>
    <w:rsid w:val="00045EF4"/>
    <w:rsid w:val="00047296"/>
    <w:rsid w:val="000501EF"/>
    <w:rsid w:val="0005118E"/>
    <w:rsid w:val="0005229E"/>
    <w:rsid w:val="00054F3D"/>
    <w:rsid w:val="000559F7"/>
    <w:rsid w:val="00057748"/>
    <w:rsid w:val="00057F3E"/>
    <w:rsid w:val="0006053A"/>
    <w:rsid w:val="00062819"/>
    <w:rsid w:val="00062F7C"/>
    <w:rsid w:val="000668A5"/>
    <w:rsid w:val="0007324E"/>
    <w:rsid w:val="000733CB"/>
    <w:rsid w:val="00073993"/>
    <w:rsid w:val="00075937"/>
    <w:rsid w:val="00077B2F"/>
    <w:rsid w:val="00081DFF"/>
    <w:rsid w:val="00081F3A"/>
    <w:rsid w:val="00082A78"/>
    <w:rsid w:val="0008302F"/>
    <w:rsid w:val="0008307C"/>
    <w:rsid w:val="000835FA"/>
    <w:rsid w:val="000839CC"/>
    <w:rsid w:val="00085A80"/>
    <w:rsid w:val="00091BB0"/>
    <w:rsid w:val="000931BA"/>
    <w:rsid w:val="0009410F"/>
    <w:rsid w:val="00095D03"/>
    <w:rsid w:val="000A0988"/>
    <w:rsid w:val="000A0CB9"/>
    <w:rsid w:val="000A1284"/>
    <w:rsid w:val="000A2C00"/>
    <w:rsid w:val="000A35F7"/>
    <w:rsid w:val="000A45C0"/>
    <w:rsid w:val="000A46CF"/>
    <w:rsid w:val="000A58B5"/>
    <w:rsid w:val="000A5AC5"/>
    <w:rsid w:val="000A64D6"/>
    <w:rsid w:val="000A7992"/>
    <w:rsid w:val="000B093E"/>
    <w:rsid w:val="000B0ECE"/>
    <w:rsid w:val="000B156A"/>
    <w:rsid w:val="000B1634"/>
    <w:rsid w:val="000B2BB3"/>
    <w:rsid w:val="000B752F"/>
    <w:rsid w:val="000B7F21"/>
    <w:rsid w:val="000C0F47"/>
    <w:rsid w:val="000C112B"/>
    <w:rsid w:val="000C16D3"/>
    <w:rsid w:val="000C188B"/>
    <w:rsid w:val="000C4424"/>
    <w:rsid w:val="000C4CBB"/>
    <w:rsid w:val="000C5214"/>
    <w:rsid w:val="000D091B"/>
    <w:rsid w:val="000D0CCA"/>
    <w:rsid w:val="000D1AD8"/>
    <w:rsid w:val="000D21E5"/>
    <w:rsid w:val="000D2679"/>
    <w:rsid w:val="000D2C78"/>
    <w:rsid w:val="000D4291"/>
    <w:rsid w:val="000D56CA"/>
    <w:rsid w:val="000D5EA6"/>
    <w:rsid w:val="000D69B9"/>
    <w:rsid w:val="000D7C3B"/>
    <w:rsid w:val="000D7CC8"/>
    <w:rsid w:val="000E1FAE"/>
    <w:rsid w:val="000E20BF"/>
    <w:rsid w:val="000E4642"/>
    <w:rsid w:val="000E4B7E"/>
    <w:rsid w:val="000E76A1"/>
    <w:rsid w:val="000F1956"/>
    <w:rsid w:val="000F2F24"/>
    <w:rsid w:val="000F3152"/>
    <w:rsid w:val="000F6475"/>
    <w:rsid w:val="0010060B"/>
    <w:rsid w:val="00104A22"/>
    <w:rsid w:val="001054E7"/>
    <w:rsid w:val="00106573"/>
    <w:rsid w:val="001067D0"/>
    <w:rsid w:val="0011201E"/>
    <w:rsid w:val="00112A82"/>
    <w:rsid w:val="00112EB5"/>
    <w:rsid w:val="00113934"/>
    <w:rsid w:val="001139AA"/>
    <w:rsid w:val="0011585A"/>
    <w:rsid w:val="00115F46"/>
    <w:rsid w:val="001162E5"/>
    <w:rsid w:val="00116D96"/>
    <w:rsid w:val="001174AF"/>
    <w:rsid w:val="00120E3B"/>
    <w:rsid w:val="0012116D"/>
    <w:rsid w:val="00121E2B"/>
    <w:rsid w:val="0012300B"/>
    <w:rsid w:val="00123CAF"/>
    <w:rsid w:val="00124950"/>
    <w:rsid w:val="001259D2"/>
    <w:rsid w:val="00127CD4"/>
    <w:rsid w:val="00130FA9"/>
    <w:rsid w:val="0013206F"/>
    <w:rsid w:val="0013344E"/>
    <w:rsid w:val="001350BC"/>
    <w:rsid w:val="001358D1"/>
    <w:rsid w:val="00136637"/>
    <w:rsid w:val="0013720E"/>
    <w:rsid w:val="0013762F"/>
    <w:rsid w:val="001379A7"/>
    <w:rsid w:val="001416C6"/>
    <w:rsid w:val="00141C9F"/>
    <w:rsid w:val="00143042"/>
    <w:rsid w:val="00144319"/>
    <w:rsid w:val="00145A45"/>
    <w:rsid w:val="00145DEC"/>
    <w:rsid w:val="001469A3"/>
    <w:rsid w:val="0015009D"/>
    <w:rsid w:val="00151017"/>
    <w:rsid w:val="00151CF6"/>
    <w:rsid w:val="0015239A"/>
    <w:rsid w:val="0015361E"/>
    <w:rsid w:val="001562F2"/>
    <w:rsid w:val="00156704"/>
    <w:rsid w:val="00156AB0"/>
    <w:rsid w:val="00157C4E"/>
    <w:rsid w:val="001608AF"/>
    <w:rsid w:val="001618B5"/>
    <w:rsid w:val="0016233B"/>
    <w:rsid w:val="00162649"/>
    <w:rsid w:val="00163B71"/>
    <w:rsid w:val="001651B6"/>
    <w:rsid w:val="001658AE"/>
    <w:rsid w:val="0016693A"/>
    <w:rsid w:val="0016785D"/>
    <w:rsid w:val="00170521"/>
    <w:rsid w:val="00170D63"/>
    <w:rsid w:val="00176297"/>
    <w:rsid w:val="00176C92"/>
    <w:rsid w:val="00177F6A"/>
    <w:rsid w:val="001801B3"/>
    <w:rsid w:val="00180BBD"/>
    <w:rsid w:val="0018173B"/>
    <w:rsid w:val="0018341B"/>
    <w:rsid w:val="0018386F"/>
    <w:rsid w:val="00183AB3"/>
    <w:rsid w:val="001851C3"/>
    <w:rsid w:val="00185AD4"/>
    <w:rsid w:val="00185F28"/>
    <w:rsid w:val="00186309"/>
    <w:rsid w:val="00186AFA"/>
    <w:rsid w:val="00186F64"/>
    <w:rsid w:val="00190AE2"/>
    <w:rsid w:val="00190FDF"/>
    <w:rsid w:val="001919C2"/>
    <w:rsid w:val="00192001"/>
    <w:rsid w:val="001922E6"/>
    <w:rsid w:val="00192951"/>
    <w:rsid w:val="00193FFD"/>
    <w:rsid w:val="00195EC3"/>
    <w:rsid w:val="0019624E"/>
    <w:rsid w:val="001A2502"/>
    <w:rsid w:val="001A2BEC"/>
    <w:rsid w:val="001A3415"/>
    <w:rsid w:val="001A5ACD"/>
    <w:rsid w:val="001A6AE2"/>
    <w:rsid w:val="001A74D2"/>
    <w:rsid w:val="001A7514"/>
    <w:rsid w:val="001B0715"/>
    <w:rsid w:val="001B0944"/>
    <w:rsid w:val="001B200A"/>
    <w:rsid w:val="001B2863"/>
    <w:rsid w:val="001B2D95"/>
    <w:rsid w:val="001B6A0C"/>
    <w:rsid w:val="001B7157"/>
    <w:rsid w:val="001B7524"/>
    <w:rsid w:val="001C1154"/>
    <w:rsid w:val="001C2BCA"/>
    <w:rsid w:val="001C2CCD"/>
    <w:rsid w:val="001C47B5"/>
    <w:rsid w:val="001C6E13"/>
    <w:rsid w:val="001D017A"/>
    <w:rsid w:val="001D0231"/>
    <w:rsid w:val="001D04F6"/>
    <w:rsid w:val="001D451C"/>
    <w:rsid w:val="001D4B39"/>
    <w:rsid w:val="001D55C5"/>
    <w:rsid w:val="001D5C7B"/>
    <w:rsid w:val="001D74C3"/>
    <w:rsid w:val="001E0031"/>
    <w:rsid w:val="001E0AAA"/>
    <w:rsid w:val="001E1777"/>
    <w:rsid w:val="001E3C55"/>
    <w:rsid w:val="001E4942"/>
    <w:rsid w:val="001E4969"/>
    <w:rsid w:val="001E61BC"/>
    <w:rsid w:val="001F0641"/>
    <w:rsid w:val="001F2B8B"/>
    <w:rsid w:val="001F2C85"/>
    <w:rsid w:val="001F5383"/>
    <w:rsid w:val="001F563C"/>
    <w:rsid w:val="001F5A18"/>
    <w:rsid w:val="001F70FF"/>
    <w:rsid w:val="001F7711"/>
    <w:rsid w:val="002052ED"/>
    <w:rsid w:val="002056D7"/>
    <w:rsid w:val="00207CF1"/>
    <w:rsid w:val="002100C9"/>
    <w:rsid w:val="00211969"/>
    <w:rsid w:val="00212EB1"/>
    <w:rsid w:val="00213916"/>
    <w:rsid w:val="00214F92"/>
    <w:rsid w:val="0021506F"/>
    <w:rsid w:val="00217033"/>
    <w:rsid w:val="00220748"/>
    <w:rsid w:val="00220A99"/>
    <w:rsid w:val="0022119D"/>
    <w:rsid w:val="0022132B"/>
    <w:rsid w:val="002222B3"/>
    <w:rsid w:val="002236BE"/>
    <w:rsid w:val="002251AA"/>
    <w:rsid w:val="002255FD"/>
    <w:rsid w:val="0022565E"/>
    <w:rsid w:val="0022587B"/>
    <w:rsid w:val="002264FF"/>
    <w:rsid w:val="00227FFD"/>
    <w:rsid w:val="002307D6"/>
    <w:rsid w:val="002311CA"/>
    <w:rsid w:val="002356AF"/>
    <w:rsid w:val="00235BE5"/>
    <w:rsid w:val="00237E2D"/>
    <w:rsid w:val="002405F2"/>
    <w:rsid w:val="00240FE6"/>
    <w:rsid w:val="00244402"/>
    <w:rsid w:val="00244C09"/>
    <w:rsid w:val="00245207"/>
    <w:rsid w:val="00245F55"/>
    <w:rsid w:val="0024624A"/>
    <w:rsid w:val="00246AF1"/>
    <w:rsid w:val="0024756B"/>
    <w:rsid w:val="00250A51"/>
    <w:rsid w:val="00251CEB"/>
    <w:rsid w:val="00252B22"/>
    <w:rsid w:val="00256185"/>
    <w:rsid w:val="00256991"/>
    <w:rsid w:val="0026012E"/>
    <w:rsid w:val="00260312"/>
    <w:rsid w:val="00261955"/>
    <w:rsid w:val="00262A44"/>
    <w:rsid w:val="00264F41"/>
    <w:rsid w:val="00265A4C"/>
    <w:rsid w:val="00267049"/>
    <w:rsid w:val="0026749B"/>
    <w:rsid w:val="002679B6"/>
    <w:rsid w:val="0027069C"/>
    <w:rsid w:val="00271C41"/>
    <w:rsid w:val="00272388"/>
    <w:rsid w:val="00272473"/>
    <w:rsid w:val="00273997"/>
    <w:rsid w:val="00273C41"/>
    <w:rsid w:val="002743E6"/>
    <w:rsid w:val="00274A21"/>
    <w:rsid w:val="002767A9"/>
    <w:rsid w:val="00277354"/>
    <w:rsid w:val="002801C8"/>
    <w:rsid w:val="00280344"/>
    <w:rsid w:val="00280E6F"/>
    <w:rsid w:val="0028106D"/>
    <w:rsid w:val="00281610"/>
    <w:rsid w:val="00284889"/>
    <w:rsid w:val="0028649B"/>
    <w:rsid w:val="00286DD0"/>
    <w:rsid w:val="002870F0"/>
    <w:rsid w:val="00287125"/>
    <w:rsid w:val="00291CF0"/>
    <w:rsid w:val="00292CAE"/>
    <w:rsid w:val="0029300B"/>
    <w:rsid w:val="002934BF"/>
    <w:rsid w:val="00294E11"/>
    <w:rsid w:val="002A05C7"/>
    <w:rsid w:val="002A159E"/>
    <w:rsid w:val="002A16C4"/>
    <w:rsid w:val="002A25F9"/>
    <w:rsid w:val="002A4C16"/>
    <w:rsid w:val="002A5BB2"/>
    <w:rsid w:val="002A5FC5"/>
    <w:rsid w:val="002A6599"/>
    <w:rsid w:val="002A7FD7"/>
    <w:rsid w:val="002B0257"/>
    <w:rsid w:val="002B0751"/>
    <w:rsid w:val="002B0EF0"/>
    <w:rsid w:val="002B1E92"/>
    <w:rsid w:val="002B3038"/>
    <w:rsid w:val="002B30DE"/>
    <w:rsid w:val="002B3286"/>
    <w:rsid w:val="002B375B"/>
    <w:rsid w:val="002B6B41"/>
    <w:rsid w:val="002B7C96"/>
    <w:rsid w:val="002C1203"/>
    <w:rsid w:val="002C3130"/>
    <w:rsid w:val="002C32AF"/>
    <w:rsid w:val="002C3E97"/>
    <w:rsid w:val="002C56C0"/>
    <w:rsid w:val="002C57F6"/>
    <w:rsid w:val="002D1DB4"/>
    <w:rsid w:val="002D23A3"/>
    <w:rsid w:val="002D37C4"/>
    <w:rsid w:val="002D4510"/>
    <w:rsid w:val="002D4ADD"/>
    <w:rsid w:val="002D5619"/>
    <w:rsid w:val="002D5735"/>
    <w:rsid w:val="002D6631"/>
    <w:rsid w:val="002D6CEE"/>
    <w:rsid w:val="002E0A42"/>
    <w:rsid w:val="002E21C9"/>
    <w:rsid w:val="002E21EF"/>
    <w:rsid w:val="002E25B0"/>
    <w:rsid w:val="002E3134"/>
    <w:rsid w:val="002E4436"/>
    <w:rsid w:val="002E4FA0"/>
    <w:rsid w:val="002E6027"/>
    <w:rsid w:val="002F28BD"/>
    <w:rsid w:val="002F2B69"/>
    <w:rsid w:val="002F4211"/>
    <w:rsid w:val="002F462C"/>
    <w:rsid w:val="002F5B00"/>
    <w:rsid w:val="002F6107"/>
    <w:rsid w:val="002F6294"/>
    <w:rsid w:val="002F74AE"/>
    <w:rsid w:val="002F7720"/>
    <w:rsid w:val="002F79DC"/>
    <w:rsid w:val="003001D9"/>
    <w:rsid w:val="00301E3D"/>
    <w:rsid w:val="0030292B"/>
    <w:rsid w:val="00303153"/>
    <w:rsid w:val="00304636"/>
    <w:rsid w:val="00304F47"/>
    <w:rsid w:val="0030571F"/>
    <w:rsid w:val="003057B1"/>
    <w:rsid w:val="00306BC7"/>
    <w:rsid w:val="0030703C"/>
    <w:rsid w:val="00307D0C"/>
    <w:rsid w:val="003105E5"/>
    <w:rsid w:val="003110EF"/>
    <w:rsid w:val="00312E54"/>
    <w:rsid w:val="00315CB1"/>
    <w:rsid w:val="0031613B"/>
    <w:rsid w:val="00316D67"/>
    <w:rsid w:val="00321616"/>
    <w:rsid w:val="003227E9"/>
    <w:rsid w:val="0032357D"/>
    <w:rsid w:val="003238A8"/>
    <w:rsid w:val="00326096"/>
    <w:rsid w:val="0032710A"/>
    <w:rsid w:val="003300AB"/>
    <w:rsid w:val="00330605"/>
    <w:rsid w:val="00331810"/>
    <w:rsid w:val="00331D19"/>
    <w:rsid w:val="00332BBC"/>
    <w:rsid w:val="00335D70"/>
    <w:rsid w:val="003361AE"/>
    <w:rsid w:val="003409D4"/>
    <w:rsid w:val="00341B49"/>
    <w:rsid w:val="003421A3"/>
    <w:rsid w:val="00343C7B"/>
    <w:rsid w:val="00344407"/>
    <w:rsid w:val="00346EF3"/>
    <w:rsid w:val="00346FF5"/>
    <w:rsid w:val="00347099"/>
    <w:rsid w:val="00347368"/>
    <w:rsid w:val="00347381"/>
    <w:rsid w:val="00347DA3"/>
    <w:rsid w:val="003507F2"/>
    <w:rsid w:val="00350989"/>
    <w:rsid w:val="00351E83"/>
    <w:rsid w:val="00352108"/>
    <w:rsid w:val="00352D97"/>
    <w:rsid w:val="00353928"/>
    <w:rsid w:val="0035455C"/>
    <w:rsid w:val="0035506F"/>
    <w:rsid w:val="0035720E"/>
    <w:rsid w:val="00361356"/>
    <w:rsid w:val="0036164D"/>
    <w:rsid w:val="0036181B"/>
    <w:rsid w:val="00363847"/>
    <w:rsid w:val="003655A3"/>
    <w:rsid w:val="003703EE"/>
    <w:rsid w:val="00372969"/>
    <w:rsid w:val="00373CBE"/>
    <w:rsid w:val="003751D0"/>
    <w:rsid w:val="00375CA4"/>
    <w:rsid w:val="0037744B"/>
    <w:rsid w:val="0037768B"/>
    <w:rsid w:val="003813EC"/>
    <w:rsid w:val="00382F1D"/>
    <w:rsid w:val="00383904"/>
    <w:rsid w:val="00383FDF"/>
    <w:rsid w:val="00387F25"/>
    <w:rsid w:val="00387F31"/>
    <w:rsid w:val="003924F6"/>
    <w:rsid w:val="003927E9"/>
    <w:rsid w:val="00393AA8"/>
    <w:rsid w:val="00394188"/>
    <w:rsid w:val="003960DE"/>
    <w:rsid w:val="00396B9C"/>
    <w:rsid w:val="0039706E"/>
    <w:rsid w:val="00397DC8"/>
    <w:rsid w:val="003A13AB"/>
    <w:rsid w:val="003A27A6"/>
    <w:rsid w:val="003A7772"/>
    <w:rsid w:val="003B037E"/>
    <w:rsid w:val="003B0D0C"/>
    <w:rsid w:val="003B344C"/>
    <w:rsid w:val="003B34D0"/>
    <w:rsid w:val="003B3B1A"/>
    <w:rsid w:val="003B4A38"/>
    <w:rsid w:val="003B65A2"/>
    <w:rsid w:val="003B6F49"/>
    <w:rsid w:val="003B796A"/>
    <w:rsid w:val="003C119E"/>
    <w:rsid w:val="003C26DF"/>
    <w:rsid w:val="003C430E"/>
    <w:rsid w:val="003C4376"/>
    <w:rsid w:val="003C5385"/>
    <w:rsid w:val="003C56B4"/>
    <w:rsid w:val="003C5B1E"/>
    <w:rsid w:val="003C6337"/>
    <w:rsid w:val="003D09F8"/>
    <w:rsid w:val="003D1FF3"/>
    <w:rsid w:val="003D4449"/>
    <w:rsid w:val="003D5122"/>
    <w:rsid w:val="003D6F49"/>
    <w:rsid w:val="003D7C98"/>
    <w:rsid w:val="003E06CB"/>
    <w:rsid w:val="003E107F"/>
    <w:rsid w:val="003E2689"/>
    <w:rsid w:val="003E2FEB"/>
    <w:rsid w:val="003E3F19"/>
    <w:rsid w:val="003E3FE6"/>
    <w:rsid w:val="003E4571"/>
    <w:rsid w:val="003E471D"/>
    <w:rsid w:val="003E4BA7"/>
    <w:rsid w:val="003E6D3E"/>
    <w:rsid w:val="003E7611"/>
    <w:rsid w:val="003E7C72"/>
    <w:rsid w:val="003F0364"/>
    <w:rsid w:val="003F2863"/>
    <w:rsid w:val="003F2F88"/>
    <w:rsid w:val="003F2FD2"/>
    <w:rsid w:val="003F3598"/>
    <w:rsid w:val="003F4194"/>
    <w:rsid w:val="003F5D29"/>
    <w:rsid w:val="003F6C2A"/>
    <w:rsid w:val="0040113C"/>
    <w:rsid w:val="00401269"/>
    <w:rsid w:val="00403167"/>
    <w:rsid w:val="00404EF1"/>
    <w:rsid w:val="004053A2"/>
    <w:rsid w:val="00410801"/>
    <w:rsid w:val="00410B4D"/>
    <w:rsid w:val="004137E6"/>
    <w:rsid w:val="00413FD9"/>
    <w:rsid w:val="004142D2"/>
    <w:rsid w:val="0041629A"/>
    <w:rsid w:val="004172E0"/>
    <w:rsid w:val="004218E5"/>
    <w:rsid w:val="00422227"/>
    <w:rsid w:val="004250F8"/>
    <w:rsid w:val="0042787F"/>
    <w:rsid w:val="004305EF"/>
    <w:rsid w:val="00431766"/>
    <w:rsid w:val="00432186"/>
    <w:rsid w:val="00434A1F"/>
    <w:rsid w:val="00436EBE"/>
    <w:rsid w:val="00436F80"/>
    <w:rsid w:val="004379C0"/>
    <w:rsid w:val="00446339"/>
    <w:rsid w:val="004503EE"/>
    <w:rsid w:val="00451BB0"/>
    <w:rsid w:val="0045364D"/>
    <w:rsid w:val="00453945"/>
    <w:rsid w:val="0045551F"/>
    <w:rsid w:val="00455C31"/>
    <w:rsid w:val="00455F83"/>
    <w:rsid w:val="004571DB"/>
    <w:rsid w:val="00457788"/>
    <w:rsid w:val="00460239"/>
    <w:rsid w:val="0046265C"/>
    <w:rsid w:val="00462F38"/>
    <w:rsid w:val="004633E0"/>
    <w:rsid w:val="004640BE"/>
    <w:rsid w:val="004658C8"/>
    <w:rsid w:val="004662BE"/>
    <w:rsid w:val="004667EA"/>
    <w:rsid w:val="00470631"/>
    <w:rsid w:val="0047075F"/>
    <w:rsid w:val="0047138C"/>
    <w:rsid w:val="00472124"/>
    <w:rsid w:val="00473BC2"/>
    <w:rsid w:val="00474D32"/>
    <w:rsid w:val="004767D0"/>
    <w:rsid w:val="0048287E"/>
    <w:rsid w:val="00482EB6"/>
    <w:rsid w:val="0048399D"/>
    <w:rsid w:val="004869BF"/>
    <w:rsid w:val="00491A76"/>
    <w:rsid w:val="00491D0A"/>
    <w:rsid w:val="00491F60"/>
    <w:rsid w:val="00494672"/>
    <w:rsid w:val="00494788"/>
    <w:rsid w:val="0049677B"/>
    <w:rsid w:val="004973D3"/>
    <w:rsid w:val="00497871"/>
    <w:rsid w:val="00497DD7"/>
    <w:rsid w:val="004A0640"/>
    <w:rsid w:val="004A1026"/>
    <w:rsid w:val="004A425A"/>
    <w:rsid w:val="004A4268"/>
    <w:rsid w:val="004A5479"/>
    <w:rsid w:val="004A6F8F"/>
    <w:rsid w:val="004A738C"/>
    <w:rsid w:val="004B2C06"/>
    <w:rsid w:val="004B3B8D"/>
    <w:rsid w:val="004B422B"/>
    <w:rsid w:val="004B4E4E"/>
    <w:rsid w:val="004B52F2"/>
    <w:rsid w:val="004B69D1"/>
    <w:rsid w:val="004B6ABF"/>
    <w:rsid w:val="004B7C4E"/>
    <w:rsid w:val="004C12B1"/>
    <w:rsid w:val="004C12FA"/>
    <w:rsid w:val="004C2488"/>
    <w:rsid w:val="004C38A8"/>
    <w:rsid w:val="004C40A2"/>
    <w:rsid w:val="004C7DF5"/>
    <w:rsid w:val="004D274A"/>
    <w:rsid w:val="004D3F97"/>
    <w:rsid w:val="004D4052"/>
    <w:rsid w:val="004D4A50"/>
    <w:rsid w:val="004D72CB"/>
    <w:rsid w:val="004D7C61"/>
    <w:rsid w:val="004D7CFE"/>
    <w:rsid w:val="004E016B"/>
    <w:rsid w:val="004E0E1D"/>
    <w:rsid w:val="004E155A"/>
    <w:rsid w:val="004E1EF5"/>
    <w:rsid w:val="004E259D"/>
    <w:rsid w:val="004E366E"/>
    <w:rsid w:val="004E4346"/>
    <w:rsid w:val="004E5C16"/>
    <w:rsid w:val="004E7636"/>
    <w:rsid w:val="004E7F65"/>
    <w:rsid w:val="004F04CD"/>
    <w:rsid w:val="004F1854"/>
    <w:rsid w:val="004F216C"/>
    <w:rsid w:val="004F2C1E"/>
    <w:rsid w:val="004F3894"/>
    <w:rsid w:val="004F45DD"/>
    <w:rsid w:val="004F5B5B"/>
    <w:rsid w:val="004F5DBB"/>
    <w:rsid w:val="00503092"/>
    <w:rsid w:val="0050446F"/>
    <w:rsid w:val="005048A2"/>
    <w:rsid w:val="005050AE"/>
    <w:rsid w:val="00505685"/>
    <w:rsid w:val="00505EE1"/>
    <w:rsid w:val="00506367"/>
    <w:rsid w:val="00506D6E"/>
    <w:rsid w:val="00511F4D"/>
    <w:rsid w:val="00514D6D"/>
    <w:rsid w:val="0051550D"/>
    <w:rsid w:val="00516ABA"/>
    <w:rsid w:val="00520A16"/>
    <w:rsid w:val="00520D34"/>
    <w:rsid w:val="00520F19"/>
    <w:rsid w:val="005219D9"/>
    <w:rsid w:val="005259F4"/>
    <w:rsid w:val="005270C8"/>
    <w:rsid w:val="005307AB"/>
    <w:rsid w:val="0053146F"/>
    <w:rsid w:val="00532CD1"/>
    <w:rsid w:val="00533E22"/>
    <w:rsid w:val="00533EB7"/>
    <w:rsid w:val="0053441D"/>
    <w:rsid w:val="005344D8"/>
    <w:rsid w:val="005364D6"/>
    <w:rsid w:val="00536A1C"/>
    <w:rsid w:val="00537617"/>
    <w:rsid w:val="005406E9"/>
    <w:rsid w:val="00540D04"/>
    <w:rsid w:val="00542B3E"/>
    <w:rsid w:val="0054434A"/>
    <w:rsid w:val="0054437B"/>
    <w:rsid w:val="005444CE"/>
    <w:rsid w:val="00544B89"/>
    <w:rsid w:val="00546ED7"/>
    <w:rsid w:val="0054727B"/>
    <w:rsid w:val="005506E0"/>
    <w:rsid w:val="00550FA2"/>
    <w:rsid w:val="005511B1"/>
    <w:rsid w:val="00553538"/>
    <w:rsid w:val="00553CC0"/>
    <w:rsid w:val="00555275"/>
    <w:rsid w:val="00555453"/>
    <w:rsid w:val="00557E2B"/>
    <w:rsid w:val="005617B5"/>
    <w:rsid w:val="005624C4"/>
    <w:rsid w:val="00563B7D"/>
    <w:rsid w:val="00563C54"/>
    <w:rsid w:val="005646D7"/>
    <w:rsid w:val="005650EA"/>
    <w:rsid w:val="0056692A"/>
    <w:rsid w:val="00566DB4"/>
    <w:rsid w:val="00567896"/>
    <w:rsid w:val="00567A26"/>
    <w:rsid w:val="00567EC6"/>
    <w:rsid w:val="005722AA"/>
    <w:rsid w:val="00575888"/>
    <w:rsid w:val="00575D65"/>
    <w:rsid w:val="005774AC"/>
    <w:rsid w:val="00577EDA"/>
    <w:rsid w:val="00580C76"/>
    <w:rsid w:val="0058140F"/>
    <w:rsid w:val="005817E5"/>
    <w:rsid w:val="00581D8D"/>
    <w:rsid w:val="00582826"/>
    <w:rsid w:val="0058328C"/>
    <w:rsid w:val="0058360E"/>
    <w:rsid w:val="0058362C"/>
    <w:rsid w:val="005836A8"/>
    <w:rsid w:val="00584D46"/>
    <w:rsid w:val="0058600A"/>
    <w:rsid w:val="00590F5D"/>
    <w:rsid w:val="00591636"/>
    <w:rsid w:val="00592D92"/>
    <w:rsid w:val="00593E75"/>
    <w:rsid w:val="00595530"/>
    <w:rsid w:val="005A113F"/>
    <w:rsid w:val="005A1E47"/>
    <w:rsid w:val="005A573C"/>
    <w:rsid w:val="005A59D6"/>
    <w:rsid w:val="005A5DA7"/>
    <w:rsid w:val="005A76E9"/>
    <w:rsid w:val="005A7BA0"/>
    <w:rsid w:val="005B0998"/>
    <w:rsid w:val="005B0B11"/>
    <w:rsid w:val="005B1174"/>
    <w:rsid w:val="005B124E"/>
    <w:rsid w:val="005B381F"/>
    <w:rsid w:val="005B3B7B"/>
    <w:rsid w:val="005B43BA"/>
    <w:rsid w:val="005B4933"/>
    <w:rsid w:val="005B6154"/>
    <w:rsid w:val="005B7A98"/>
    <w:rsid w:val="005C2062"/>
    <w:rsid w:val="005C2879"/>
    <w:rsid w:val="005C3866"/>
    <w:rsid w:val="005C6E1C"/>
    <w:rsid w:val="005C6FAA"/>
    <w:rsid w:val="005C7ADD"/>
    <w:rsid w:val="005D1B5A"/>
    <w:rsid w:val="005D23DF"/>
    <w:rsid w:val="005D26CD"/>
    <w:rsid w:val="005D3C40"/>
    <w:rsid w:val="005D480C"/>
    <w:rsid w:val="005D5AF6"/>
    <w:rsid w:val="005D7B5F"/>
    <w:rsid w:val="005D7DB7"/>
    <w:rsid w:val="005E0039"/>
    <w:rsid w:val="005E176A"/>
    <w:rsid w:val="005E21BD"/>
    <w:rsid w:val="005E248C"/>
    <w:rsid w:val="005E40B0"/>
    <w:rsid w:val="005E423F"/>
    <w:rsid w:val="005E49B6"/>
    <w:rsid w:val="005E4A4F"/>
    <w:rsid w:val="005E74D7"/>
    <w:rsid w:val="005E777D"/>
    <w:rsid w:val="005F0662"/>
    <w:rsid w:val="005F07C3"/>
    <w:rsid w:val="005F267F"/>
    <w:rsid w:val="005F3074"/>
    <w:rsid w:val="005F34AD"/>
    <w:rsid w:val="005F5308"/>
    <w:rsid w:val="005F600D"/>
    <w:rsid w:val="005F744A"/>
    <w:rsid w:val="005F797E"/>
    <w:rsid w:val="00601983"/>
    <w:rsid w:val="00601B5C"/>
    <w:rsid w:val="0060217E"/>
    <w:rsid w:val="00602801"/>
    <w:rsid w:val="00602BA6"/>
    <w:rsid w:val="0060471D"/>
    <w:rsid w:val="00604C0A"/>
    <w:rsid w:val="006056EB"/>
    <w:rsid w:val="00606051"/>
    <w:rsid w:val="00606A42"/>
    <w:rsid w:val="00606E3C"/>
    <w:rsid w:val="00610376"/>
    <w:rsid w:val="006137CC"/>
    <w:rsid w:val="0061428C"/>
    <w:rsid w:val="006157DC"/>
    <w:rsid w:val="006159EC"/>
    <w:rsid w:val="006170FC"/>
    <w:rsid w:val="00617C6F"/>
    <w:rsid w:val="00621399"/>
    <w:rsid w:val="00622921"/>
    <w:rsid w:val="00622FDF"/>
    <w:rsid w:val="00623303"/>
    <w:rsid w:val="00624456"/>
    <w:rsid w:val="0062449A"/>
    <w:rsid w:val="00626052"/>
    <w:rsid w:val="00627841"/>
    <w:rsid w:val="00627E67"/>
    <w:rsid w:val="006317EA"/>
    <w:rsid w:val="00631C16"/>
    <w:rsid w:val="006325D6"/>
    <w:rsid w:val="006327F4"/>
    <w:rsid w:val="006328CE"/>
    <w:rsid w:val="006347A8"/>
    <w:rsid w:val="00634B20"/>
    <w:rsid w:val="00636653"/>
    <w:rsid w:val="00637DA4"/>
    <w:rsid w:val="00642D45"/>
    <w:rsid w:val="0064344E"/>
    <w:rsid w:val="00644B47"/>
    <w:rsid w:val="00645182"/>
    <w:rsid w:val="00650E11"/>
    <w:rsid w:val="006526FF"/>
    <w:rsid w:val="00653AEF"/>
    <w:rsid w:val="00653D23"/>
    <w:rsid w:val="00654340"/>
    <w:rsid w:val="00654F1D"/>
    <w:rsid w:val="006559D0"/>
    <w:rsid w:val="00660AF4"/>
    <w:rsid w:val="00663105"/>
    <w:rsid w:val="00663408"/>
    <w:rsid w:val="00664A8C"/>
    <w:rsid w:val="00665142"/>
    <w:rsid w:val="00665550"/>
    <w:rsid w:val="00665CD8"/>
    <w:rsid w:val="00667221"/>
    <w:rsid w:val="0067017D"/>
    <w:rsid w:val="00670EDB"/>
    <w:rsid w:val="00671C05"/>
    <w:rsid w:val="006735CB"/>
    <w:rsid w:val="006757C0"/>
    <w:rsid w:val="00675E9B"/>
    <w:rsid w:val="00676C18"/>
    <w:rsid w:val="006833A1"/>
    <w:rsid w:val="006842A9"/>
    <w:rsid w:val="006853F1"/>
    <w:rsid w:val="006871CD"/>
    <w:rsid w:val="00687F11"/>
    <w:rsid w:val="0069174A"/>
    <w:rsid w:val="00691987"/>
    <w:rsid w:val="00691BF5"/>
    <w:rsid w:val="00691E9F"/>
    <w:rsid w:val="00692972"/>
    <w:rsid w:val="00693132"/>
    <w:rsid w:val="00693964"/>
    <w:rsid w:val="00694087"/>
    <w:rsid w:val="00694192"/>
    <w:rsid w:val="00694297"/>
    <w:rsid w:val="00695B34"/>
    <w:rsid w:val="00695C9B"/>
    <w:rsid w:val="00696DD9"/>
    <w:rsid w:val="0069720B"/>
    <w:rsid w:val="006A1243"/>
    <w:rsid w:val="006A2645"/>
    <w:rsid w:val="006A2838"/>
    <w:rsid w:val="006A2DB8"/>
    <w:rsid w:val="006A2E04"/>
    <w:rsid w:val="006A3CAF"/>
    <w:rsid w:val="006A436B"/>
    <w:rsid w:val="006A55A4"/>
    <w:rsid w:val="006A6391"/>
    <w:rsid w:val="006A674B"/>
    <w:rsid w:val="006A6987"/>
    <w:rsid w:val="006A6BD3"/>
    <w:rsid w:val="006B15FB"/>
    <w:rsid w:val="006B1871"/>
    <w:rsid w:val="006B2908"/>
    <w:rsid w:val="006B298B"/>
    <w:rsid w:val="006B3A45"/>
    <w:rsid w:val="006B4C1D"/>
    <w:rsid w:val="006B521A"/>
    <w:rsid w:val="006B60A4"/>
    <w:rsid w:val="006B66B4"/>
    <w:rsid w:val="006C01FC"/>
    <w:rsid w:val="006C35EC"/>
    <w:rsid w:val="006C5057"/>
    <w:rsid w:val="006C558C"/>
    <w:rsid w:val="006D1FA7"/>
    <w:rsid w:val="006D4A90"/>
    <w:rsid w:val="006D4FAB"/>
    <w:rsid w:val="006D59F1"/>
    <w:rsid w:val="006D648A"/>
    <w:rsid w:val="006D7986"/>
    <w:rsid w:val="006E059D"/>
    <w:rsid w:val="006E199D"/>
    <w:rsid w:val="006E19FB"/>
    <w:rsid w:val="006E2780"/>
    <w:rsid w:val="006E2B7E"/>
    <w:rsid w:val="006E2E08"/>
    <w:rsid w:val="006E5663"/>
    <w:rsid w:val="006E6795"/>
    <w:rsid w:val="006E70AD"/>
    <w:rsid w:val="006E7820"/>
    <w:rsid w:val="006E7E84"/>
    <w:rsid w:val="006F005A"/>
    <w:rsid w:val="006F3F2A"/>
    <w:rsid w:val="006F534A"/>
    <w:rsid w:val="006F55FD"/>
    <w:rsid w:val="006F6C0D"/>
    <w:rsid w:val="007002BF"/>
    <w:rsid w:val="007009E6"/>
    <w:rsid w:val="00701029"/>
    <w:rsid w:val="007036C2"/>
    <w:rsid w:val="0070408B"/>
    <w:rsid w:val="00706724"/>
    <w:rsid w:val="00707F2C"/>
    <w:rsid w:val="007103EC"/>
    <w:rsid w:val="00710401"/>
    <w:rsid w:val="00711B9F"/>
    <w:rsid w:val="007127A7"/>
    <w:rsid w:val="00712F86"/>
    <w:rsid w:val="007134A6"/>
    <w:rsid w:val="00714A57"/>
    <w:rsid w:val="00714FF7"/>
    <w:rsid w:val="00715C8E"/>
    <w:rsid w:val="00716AF2"/>
    <w:rsid w:val="00720AC9"/>
    <w:rsid w:val="00720CBC"/>
    <w:rsid w:val="00721651"/>
    <w:rsid w:val="007226E4"/>
    <w:rsid w:val="00722A1B"/>
    <w:rsid w:val="00722D93"/>
    <w:rsid w:val="0072350A"/>
    <w:rsid w:val="00723B38"/>
    <w:rsid w:val="0072448F"/>
    <w:rsid w:val="00724A26"/>
    <w:rsid w:val="00725110"/>
    <w:rsid w:val="00725407"/>
    <w:rsid w:val="00725A89"/>
    <w:rsid w:val="00725F2E"/>
    <w:rsid w:val="007272B2"/>
    <w:rsid w:val="00727643"/>
    <w:rsid w:val="00730A5E"/>
    <w:rsid w:val="00732BA2"/>
    <w:rsid w:val="007330E9"/>
    <w:rsid w:val="00734007"/>
    <w:rsid w:val="0073579F"/>
    <w:rsid w:val="007370F2"/>
    <w:rsid w:val="00737218"/>
    <w:rsid w:val="0073743E"/>
    <w:rsid w:val="00741E40"/>
    <w:rsid w:val="0074298B"/>
    <w:rsid w:val="00742C4C"/>
    <w:rsid w:val="00743F58"/>
    <w:rsid w:val="007446F1"/>
    <w:rsid w:val="00744BEB"/>
    <w:rsid w:val="00744CB8"/>
    <w:rsid w:val="0074626A"/>
    <w:rsid w:val="0074662E"/>
    <w:rsid w:val="007477A9"/>
    <w:rsid w:val="00751017"/>
    <w:rsid w:val="00751B9E"/>
    <w:rsid w:val="00752A95"/>
    <w:rsid w:val="00754EF9"/>
    <w:rsid w:val="007550B3"/>
    <w:rsid w:val="007553DB"/>
    <w:rsid w:val="0075546C"/>
    <w:rsid w:val="00755581"/>
    <w:rsid w:val="00755DDC"/>
    <w:rsid w:val="00755E30"/>
    <w:rsid w:val="0075694F"/>
    <w:rsid w:val="00756AF6"/>
    <w:rsid w:val="007603E5"/>
    <w:rsid w:val="0076231E"/>
    <w:rsid w:val="00762ED5"/>
    <w:rsid w:val="00762FAC"/>
    <w:rsid w:val="00763214"/>
    <w:rsid w:val="007634CD"/>
    <w:rsid w:val="00763C42"/>
    <w:rsid w:val="0076457F"/>
    <w:rsid w:val="0077115B"/>
    <w:rsid w:val="00772AE3"/>
    <w:rsid w:val="00773C20"/>
    <w:rsid w:val="00775490"/>
    <w:rsid w:val="00776C64"/>
    <w:rsid w:val="00777E6D"/>
    <w:rsid w:val="00777FC1"/>
    <w:rsid w:val="00780D20"/>
    <w:rsid w:val="00782276"/>
    <w:rsid w:val="0078227C"/>
    <w:rsid w:val="00784E4C"/>
    <w:rsid w:val="00785128"/>
    <w:rsid w:val="007858EE"/>
    <w:rsid w:val="00785D49"/>
    <w:rsid w:val="0078629C"/>
    <w:rsid w:val="007876E7"/>
    <w:rsid w:val="0079392E"/>
    <w:rsid w:val="00793ABE"/>
    <w:rsid w:val="00794CBD"/>
    <w:rsid w:val="00795ED7"/>
    <w:rsid w:val="007966B7"/>
    <w:rsid w:val="007967C0"/>
    <w:rsid w:val="00797A79"/>
    <w:rsid w:val="00797D0B"/>
    <w:rsid w:val="007A1D46"/>
    <w:rsid w:val="007A26D1"/>
    <w:rsid w:val="007A3D02"/>
    <w:rsid w:val="007A4695"/>
    <w:rsid w:val="007A59BF"/>
    <w:rsid w:val="007A5E55"/>
    <w:rsid w:val="007A74E7"/>
    <w:rsid w:val="007B067B"/>
    <w:rsid w:val="007B248A"/>
    <w:rsid w:val="007B5D01"/>
    <w:rsid w:val="007B60B7"/>
    <w:rsid w:val="007B7CD7"/>
    <w:rsid w:val="007B7F06"/>
    <w:rsid w:val="007C0812"/>
    <w:rsid w:val="007C0822"/>
    <w:rsid w:val="007C1461"/>
    <w:rsid w:val="007C1852"/>
    <w:rsid w:val="007C328F"/>
    <w:rsid w:val="007C55FE"/>
    <w:rsid w:val="007C56D0"/>
    <w:rsid w:val="007C6C72"/>
    <w:rsid w:val="007C7740"/>
    <w:rsid w:val="007D03F6"/>
    <w:rsid w:val="007D0965"/>
    <w:rsid w:val="007D096F"/>
    <w:rsid w:val="007D2AB2"/>
    <w:rsid w:val="007D33FA"/>
    <w:rsid w:val="007D46A6"/>
    <w:rsid w:val="007D605B"/>
    <w:rsid w:val="007E050A"/>
    <w:rsid w:val="007E16CA"/>
    <w:rsid w:val="007E1715"/>
    <w:rsid w:val="007E545E"/>
    <w:rsid w:val="007E58BF"/>
    <w:rsid w:val="007F0E43"/>
    <w:rsid w:val="007F360C"/>
    <w:rsid w:val="007F516B"/>
    <w:rsid w:val="007F69FD"/>
    <w:rsid w:val="00800D2A"/>
    <w:rsid w:val="00801E37"/>
    <w:rsid w:val="008054BB"/>
    <w:rsid w:val="0080596C"/>
    <w:rsid w:val="00805FAE"/>
    <w:rsid w:val="00806BE7"/>
    <w:rsid w:val="008073B5"/>
    <w:rsid w:val="0081207E"/>
    <w:rsid w:val="00812942"/>
    <w:rsid w:val="00813530"/>
    <w:rsid w:val="008156AF"/>
    <w:rsid w:val="00815D74"/>
    <w:rsid w:val="00816D13"/>
    <w:rsid w:val="00820FEB"/>
    <w:rsid w:val="008213EC"/>
    <w:rsid w:val="00821E88"/>
    <w:rsid w:val="008227DE"/>
    <w:rsid w:val="008227FA"/>
    <w:rsid w:val="00823A51"/>
    <w:rsid w:val="00823F0C"/>
    <w:rsid w:val="00824279"/>
    <w:rsid w:val="008248AE"/>
    <w:rsid w:val="00826326"/>
    <w:rsid w:val="00826D5A"/>
    <w:rsid w:val="00827C88"/>
    <w:rsid w:val="0083069A"/>
    <w:rsid w:val="0083112A"/>
    <w:rsid w:val="008320CE"/>
    <w:rsid w:val="00832395"/>
    <w:rsid w:val="00832423"/>
    <w:rsid w:val="00832725"/>
    <w:rsid w:val="00833CE0"/>
    <w:rsid w:val="008345E5"/>
    <w:rsid w:val="00834F60"/>
    <w:rsid w:val="0083547B"/>
    <w:rsid w:val="00835672"/>
    <w:rsid w:val="00837A93"/>
    <w:rsid w:val="00837CCE"/>
    <w:rsid w:val="008409D0"/>
    <w:rsid w:val="00841354"/>
    <w:rsid w:val="00841371"/>
    <w:rsid w:val="00842520"/>
    <w:rsid w:val="008426AB"/>
    <w:rsid w:val="00842F9A"/>
    <w:rsid w:val="008452EC"/>
    <w:rsid w:val="00845406"/>
    <w:rsid w:val="00847630"/>
    <w:rsid w:val="00847B78"/>
    <w:rsid w:val="00847DCA"/>
    <w:rsid w:val="008519AE"/>
    <w:rsid w:val="00852A1E"/>
    <w:rsid w:val="00853AE1"/>
    <w:rsid w:val="008546A6"/>
    <w:rsid w:val="00854DE0"/>
    <w:rsid w:val="008555CE"/>
    <w:rsid w:val="0085583F"/>
    <w:rsid w:val="00855F09"/>
    <w:rsid w:val="00856E11"/>
    <w:rsid w:val="008572DB"/>
    <w:rsid w:val="008577C7"/>
    <w:rsid w:val="0086042A"/>
    <w:rsid w:val="008607E3"/>
    <w:rsid w:val="00860D0E"/>
    <w:rsid w:val="00861D9F"/>
    <w:rsid w:val="00862A24"/>
    <w:rsid w:val="00862C51"/>
    <w:rsid w:val="00863943"/>
    <w:rsid w:val="00865369"/>
    <w:rsid w:val="0086663E"/>
    <w:rsid w:val="00870615"/>
    <w:rsid w:val="00870B5E"/>
    <w:rsid w:val="00872726"/>
    <w:rsid w:val="0087321F"/>
    <w:rsid w:val="00873733"/>
    <w:rsid w:val="00874096"/>
    <w:rsid w:val="008752A8"/>
    <w:rsid w:val="008755D4"/>
    <w:rsid w:val="00875EE1"/>
    <w:rsid w:val="008778BD"/>
    <w:rsid w:val="00877DFF"/>
    <w:rsid w:val="00880742"/>
    <w:rsid w:val="008821BB"/>
    <w:rsid w:val="00886B09"/>
    <w:rsid w:val="00886D48"/>
    <w:rsid w:val="00887154"/>
    <w:rsid w:val="00891AB0"/>
    <w:rsid w:val="00892C1D"/>
    <w:rsid w:val="0089355C"/>
    <w:rsid w:val="008945FA"/>
    <w:rsid w:val="00895629"/>
    <w:rsid w:val="008A072E"/>
    <w:rsid w:val="008A3408"/>
    <w:rsid w:val="008A3501"/>
    <w:rsid w:val="008A3D44"/>
    <w:rsid w:val="008A4419"/>
    <w:rsid w:val="008B24CB"/>
    <w:rsid w:val="008B2AD0"/>
    <w:rsid w:val="008B2BD8"/>
    <w:rsid w:val="008B4B7E"/>
    <w:rsid w:val="008B4FA3"/>
    <w:rsid w:val="008B5AFD"/>
    <w:rsid w:val="008B70E3"/>
    <w:rsid w:val="008B7C41"/>
    <w:rsid w:val="008C164D"/>
    <w:rsid w:val="008C1A94"/>
    <w:rsid w:val="008C3787"/>
    <w:rsid w:val="008C7318"/>
    <w:rsid w:val="008D13DB"/>
    <w:rsid w:val="008D14F5"/>
    <w:rsid w:val="008D42BB"/>
    <w:rsid w:val="008D487C"/>
    <w:rsid w:val="008D51AC"/>
    <w:rsid w:val="008D5E56"/>
    <w:rsid w:val="008D7BFA"/>
    <w:rsid w:val="008E04BD"/>
    <w:rsid w:val="008E3606"/>
    <w:rsid w:val="008E50C3"/>
    <w:rsid w:val="008E6B9D"/>
    <w:rsid w:val="008E6DA3"/>
    <w:rsid w:val="008E778B"/>
    <w:rsid w:val="008E784E"/>
    <w:rsid w:val="008E79A8"/>
    <w:rsid w:val="008F0716"/>
    <w:rsid w:val="008F090B"/>
    <w:rsid w:val="008F11C6"/>
    <w:rsid w:val="008F132E"/>
    <w:rsid w:val="008F307F"/>
    <w:rsid w:val="008F43AC"/>
    <w:rsid w:val="008F4AD6"/>
    <w:rsid w:val="008F65B8"/>
    <w:rsid w:val="008F7AA8"/>
    <w:rsid w:val="0090040C"/>
    <w:rsid w:val="00901538"/>
    <w:rsid w:val="00901701"/>
    <w:rsid w:val="00901DF0"/>
    <w:rsid w:val="009024F2"/>
    <w:rsid w:val="0090253B"/>
    <w:rsid w:val="0090378F"/>
    <w:rsid w:val="00907137"/>
    <w:rsid w:val="009109C2"/>
    <w:rsid w:val="009109DF"/>
    <w:rsid w:val="009142CA"/>
    <w:rsid w:val="009142F0"/>
    <w:rsid w:val="00916E90"/>
    <w:rsid w:val="00917B41"/>
    <w:rsid w:val="009226AC"/>
    <w:rsid w:val="00924B6B"/>
    <w:rsid w:val="0092534D"/>
    <w:rsid w:val="00927729"/>
    <w:rsid w:val="00927CA6"/>
    <w:rsid w:val="00930AE9"/>
    <w:rsid w:val="00931EB6"/>
    <w:rsid w:val="009325F0"/>
    <w:rsid w:val="00932F0D"/>
    <w:rsid w:val="00933304"/>
    <w:rsid w:val="00935669"/>
    <w:rsid w:val="00935B0D"/>
    <w:rsid w:val="00935E59"/>
    <w:rsid w:val="009362AA"/>
    <w:rsid w:val="00936AB7"/>
    <w:rsid w:val="00936DE8"/>
    <w:rsid w:val="009378AA"/>
    <w:rsid w:val="00937D7A"/>
    <w:rsid w:val="009402EA"/>
    <w:rsid w:val="00942301"/>
    <w:rsid w:val="00942373"/>
    <w:rsid w:val="0094298E"/>
    <w:rsid w:val="009438F4"/>
    <w:rsid w:val="00943B39"/>
    <w:rsid w:val="00945D94"/>
    <w:rsid w:val="00945E40"/>
    <w:rsid w:val="00946D08"/>
    <w:rsid w:val="00950578"/>
    <w:rsid w:val="00951FE4"/>
    <w:rsid w:val="00952252"/>
    <w:rsid w:val="009529CA"/>
    <w:rsid w:val="00953711"/>
    <w:rsid w:val="00953E62"/>
    <w:rsid w:val="0096026C"/>
    <w:rsid w:val="00961A2E"/>
    <w:rsid w:val="00963103"/>
    <w:rsid w:val="00963F35"/>
    <w:rsid w:val="0096585D"/>
    <w:rsid w:val="009658EF"/>
    <w:rsid w:val="00965D1A"/>
    <w:rsid w:val="00967499"/>
    <w:rsid w:val="00967C0E"/>
    <w:rsid w:val="00970C9E"/>
    <w:rsid w:val="00970EC1"/>
    <w:rsid w:val="009711AD"/>
    <w:rsid w:val="009711EF"/>
    <w:rsid w:val="00971FBB"/>
    <w:rsid w:val="009743D5"/>
    <w:rsid w:val="00974C5A"/>
    <w:rsid w:val="0097523B"/>
    <w:rsid w:val="00975619"/>
    <w:rsid w:val="00976E02"/>
    <w:rsid w:val="009820A8"/>
    <w:rsid w:val="009821E6"/>
    <w:rsid w:val="00982710"/>
    <w:rsid w:val="00982D74"/>
    <w:rsid w:val="00984C07"/>
    <w:rsid w:val="009853CD"/>
    <w:rsid w:val="009859EC"/>
    <w:rsid w:val="00987D68"/>
    <w:rsid w:val="00990162"/>
    <w:rsid w:val="00991E07"/>
    <w:rsid w:val="00992913"/>
    <w:rsid w:val="0099481B"/>
    <w:rsid w:val="00994AB3"/>
    <w:rsid w:val="0099552C"/>
    <w:rsid w:val="0099554E"/>
    <w:rsid w:val="00995C75"/>
    <w:rsid w:val="00996DA3"/>
    <w:rsid w:val="009A124C"/>
    <w:rsid w:val="009A20CF"/>
    <w:rsid w:val="009A2356"/>
    <w:rsid w:val="009A2911"/>
    <w:rsid w:val="009A4B22"/>
    <w:rsid w:val="009A5B86"/>
    <w:rsid w:val="009A5E50"/>
    <w:rsid w:val="009A6C2E"/>
    <w:rsid w:val="009A6FBF"/>
    <w:rsid w:val="009B3BEB"/>
    <w:rsid w:val="009B41AE"/>
    <w:rsid w:val="009B43D3"/>
    <w:rsid w:val="009B4727"/>
    <w:rsid w:val="009B7B6C"/>
    <w:rsid w:val="009C0ACC"/>
    <w:rsid w:val="009C16CD"/>
    <w:rsid w:val="009C1A8A"/>
    <w:rsid w:val="009C7289"/>
    <w:rsid w:val="009D225B"/>
    <w:rsid w:val="009D243A"/>
    <w:rsid w:val="009D3C8E"/>
    <w:rsid w:val="009D693C"/>
    <w:rsid w:val="009E27A3"/>
    <w:rsid w:val="009E2B22"/>
    <w:rsid w:val="009E3565"/>
    <w:rsid w:val="009E3EEA"/>
    <w:rsid w:val="009F023A"/>
    <w:rsid w:val="009F0C08"/>
    <w:rsid w:val="009F0F3C"/>
    <w:rsid w:val="009F3EA8"/>
    <w:rsid w:val="009F435E"/>
    <w:rsid w:val="009F4B21"/>
    <w:rsid w:val="009F5382"/>
    <w:rsid w:val="009F7B7A"/>
    <w:rsid w:val="00A00B07"/>
    <w:rsid w:val="00A00BEC"/>
    <w:rsid w:val="00A025D0"/>
    <w:rsid w:val="00A02AFD"/>
    <w:rsid w:val="00A02DEC"/>
    <w:rsid w:val="00A02F21"/>
    <w:rsid w:val="00A05A3B"/>
    <w:rsid w:val="00A05B21"/>
    <w:rsid w:val="00A073D8"/>
    <w:rsid w:val="00A100EF"/>
    <w:rsid w:val="00A105AC"/>
    <w:rsid w:val="00A13B24"/>
    <w:rsid w:val="00A13DF2"/>
    <w:rsid w:val="00A14155"/>
    <w:rsid w:val="00A14AEF"/>
    <w:rsid w:val="00A15BAF"/>
    <w:rsid w:val="00A15DEE"/>
    <w:rsid w:val="00A15F71"/>
    <w:rsid w:val="00A17E55"/>
    <w:rsid w:val="00A202A2"/>
    <w:rsid w:val="00A234E0"/>
    <w:rsid w:val="00A2510A"/>
    <w:rsid w:val="00A25787"/>
    <w:rsid w:val="00A257B6"/>
    <w:rsid w:val="00A25E55"/>
    <w:rsid w:val="00A30381"/>
    <w:rsid w:val="00A30A1D"/>
    <w:rsid w:val="00A30BBA"/>
    <w:rsid w:val="00A30C0F"/>
    <w:rsid w:val="00A3500C"/>
    <w:rsid w:val="00A3668C"/>
    <w:rsid w:val="00A3690A"/>
    <w:rsid w:val="00A37890"/>
    <w:rsid w:val="00A4005E"/>
    <w:rsid w:val="00A4142E"/>
    <w:rsid w:val="00A41FA4"/>
    <w:rsid w:val="00A4242F"/>
    <w:rsid w:val="00A429F3"/>
    <w:rsid w:val="00A433E0"/>
    <w:rsid w:val="00A46811"/>
    <w:rsid w:val="00A4757E"/>
    <w:rsid w:val="00A4779B"/>
    <w:rsid w:val="00A51370"/>
    <w:rsid w:val="00A51B2D"/>
    <w:rsid w:val="00A5289E"/>
    <w:rsid w:val="00A529D5"/>
    <w:rsid w:val="00A531F5"/>
    <w:rsid w:val="00A53812"/>
    <w:rsid w:val="00A53D65"/>
    <w:rsid w:val="00A541AD"/>
    <w:rsid w:val="00A54E68"/>
    <w:rsid w:val="00A556D8"/>
    <w:rsid w:val="00A56896"/>
    <w:rsid w:val="00A56DCB"/>
    <w:rsid w:val="00A57B89"/>
    <w:rsid w:val="00A605DC"/>
    <w:rsid w:val="00A61309"/>
    <w:rsid w:val="00A61EA6"/>
    <w:rsid w:val="00A63290"/>
    <w:rsid w:val="00A65DCA"/>
    <w:rsid w:val="00A66FBF"/>
    <w:rsid w:val="00A7016A"/>
    <w:rsid w:val="00A761B6"/>
    <w:rsid w:val="00A765B8"/>
    <w:rsid w:val="00A77344"/>
    <w:rsid w:val="00A775FB"/>
    <w:rsid w:val="00A778D1"/>
    <w:rsid w:val="00A77A48"/>
    <w:rsid w:val="00A8007F"/>
    <w:rsid w:val="00A805E8"/>
    <w:rsid w:val="00A80A1C"/>
    <w:rsid w:val="00A822EB"/>
    <w:rsid w:val="00A82E3F"/>
    <w:rsid w:val="00A831D9"/>
    <w:rsid w:val="00A833EF"/>
    <w:rsid w:val="00A849FA"/>
    <w:rsid w:val="00A85986"/>
    <w:rsid w:val="00A86B8D"/>
    <w:rsid w:val="00A86F5B"/>
    <w:rsid w:val="00A8740B"/>
    <w:rsid w:val="00A936AA"/>
    <w:rsid w:val="00A9495C"/>
    <w:rsid w:val="00A9546D"/>
    <w:rsid w:val="00A95C41"/>
    <w:rsid w:val="00A96251"/>
    <w:rsid w:val="00A964FB"/>
    <w:rsid w:val="00A97881"/>
    <w:rsid w:val="00AA13A2"/>
    <w:rsid w:val="00AA2D0D"/>
    <w:rsid w:val="00AA4924"/>
    <w:rsid w:val="00AA5D7E"/>
    <w:rsid w:val="00AA6C95"/>
    <w:rsid w:val="00AB17CD"/>
    <w:rsid w:val="00AB1BD8"/>
    <w:rsid w:val="00AB22D5"/>
    <w:rsid w:val="00AB2ED9"/>
    <w:rsid w:val="00AB4BFF"/>
    <w:rsid w:val="00AB51B3"/>
    <w:rsid w:val="00AB6108"/>
    <w:rsid w:val="00AB64AF"/>
    <w:rsid w:val="00AC0980"/>
    <w:rsid w:val="00AC098F"/>
    <w:rsid w:val="00AC0A0C"/>
    <w:rsid w:val="00AC0DC2"/>
    <w:rsid w:val="00AC27C1"/>
    <w:rsid w:val="00AC3D8D"/>
    <w:rsid w:val="00AC6533"/>
    <w:rsid w:val="00AC69FF"/>
    <w:rsid w:val="00AD076F"/>
    <w:rsid w:val="00AD0816"/>
    <w:rsid w:val="00AD0821"/>
    <w:rsid w:val="00AD0F34"/>
    <w:rsid w:val="00AD0FE4"/>
    <w:rsid w:val="00AD25DC"/>
    <w:rsid w:val="00AD4267"/>
    <w:rsid w:val="00AE114C"/>
    <w:rsid w:val="00AE17FA"/>
    <w:rsid w:val="00AE1C56"/>
    <w:rsid w:val="00AE1F4A"/>
    <w:rsid w:val="00AE23F1"/>
    <w:rsid w:val="00AE2A45"/>
    <w:rsid w:val="00AE3967"/>
    <w:rsid w:val="00AE3D62"/>
    <w:rsid w:val="00AE43C9"/>
    <w:rsid w:val="00AE60DA"/>
    <w:rsid w:val="00AE7FF2"/>
    <w:rsid w:val="00AF1891"/>
    <w:rsid w:val="00AF2583"/>
    <w:rsid w:val="00AF349D"/>
    <w:rsid w:val="00AF7388"/>
    <w:rsid w:val="00B01088"/>
    <w:rsid w:val="00B0209C"/>
    <w:rsid w:val="00B02349"/>
    <w:rsid w:val="00B028E8"/>
    <w:rsid w:val="00B043FE"/>
    <w:rsid w:val="00B04D7C"/>
    <w:rsid w:val="00B05234"/>
    <w:rsid w:val="00B0723A"/>
    <w:rsid w:val="00B113E6"/>
    <w:rsid w:val="00B126B1"/>
    <w:rsid w:val="00B12806"/>
    <w:rsid w:val="00B153B3"/>
    <w:rsid w:val="00B157EB"/>
    <w:rsid w:val="00B17290"/>
    <w:rsid w:val="00B178BF"/>
    <w:rsid w:val="00B17DC3"/>
    <w:rsid w:val="00B20675"/>
    <w:rsid w:val="00B20C6D"/>
    <w:rsid w:val="00B2196D"/>
    <w:rsid w:val="00B21C36"/>
    <w:rsid w:val="00B24831"/>
    <w:rsid w:val="00B25611"/>
    <w:rsid w:val="00B25FA1"/>
    <w:rsid w:val="00B26F3C"/>
    <w:rsid w:val="00B2748E"/>
    <w:rsid w:val="00B30EBE"/>
    <w:rsid w:val="00B31CCE"/>
    <w:rsid w:val="00B33E3A"/>
    <w:rsid w:val="00B33FF6"/>
    <w:rsid w:val="00B342E7"/>
    <w:rsid w:val="00B34912"/>
    <w:rsid w:val="00B36975"/>
    <w:rsid w:val="00B36AF3"/>
    <w:rsid w:val="00B374AE"/>
    <w:rsid w:val="00B37CCF"/>
    <w:rsid w:val="00B37CD7"/>
    <w:rsid w:val="00B4235C"/>
    <w:rsid w:val="00B425B9"/>
    <w:rsid w:val="00B4330B"/>
    <w:rsid w:val="00B44130"/>
    <w:rsid w:val="00B471A2"/>
    <w:rsid w:val="00B53BCB"/>
    <w:rsid w:val="00B542C0"/>
    <w:rsid w:val="00B54368"/>
    <w:rsid w:val="00B550CD"/>
    <w:rsid w:val="00B557E6"/>
    <w:rsid w:val="00B55C0C"/>
    <w:rsid w:val="00B57223"/>
    <w:rsid w:val="00B57FDB"/>
    <w:rsid w:val="00B608CD"/>
    <w:rsid w:val="00B61134"/>
    <w:rsid w:val="00B612A1"/>
    <w:rsid w:val="00B64514"/>
    <w:rsid w:val="00B645EC"/>
    <w:rsid w:val="00B64875"/>
    <w:rsid w:val="00B65572"/>
    <w:rsid w:val="00B655B1"/>
    <w:rsid w:val="00B65C79"/>
    <w:rsid w:val="00B66209"/>
    <w:rsid w:val="00B71417"/>
    <w:rsid w:val="00B72655"/>
    <w:rsid w:val="00B73163"/>
    <w:rsid w:val="00B73798"/>
    <w:rsid w:val="00B74430"/>
    <w:rsid w:val="00B75C7C"/>
    <w:rsid w:val="00B81BC1"/>
    <w:rsid w:val="00B829A0"/>
    <w:rsid w:val="00B844C6"/>
    <w:rsid w:val="00B85FE2"/>
    <w:rsid w:val="00B90DA6"/>
    <w:rsid w:val="00B90E4A"/>
    <w:rsid w:val="00B91221"/>
    <w:rsid w:val="00B935F1"/>
    <w:rsid w:val="00B93619"/>
    <w:rsid w:val="00B94219"/>
    <w:rsid w:val="00B94A20"/>
    <w:rsid w:val="00B94E80"/>
    <w:rsid w:val="00B96322"/>
    <w:rsid w:val="00B96D56"/>
    <w:rsid w:val="00BA06EB"/>
    <w:rsid w:val="00BA0970"/>
    <w:rsid w:val="00BA2B64"/>
    <w:rsid w:val="00BA35F4"/>
    <w:rsid w:val="00BA3645"/>
    <w:rsid w:val="00BB0636"/>
    <w:rsid w:val="00BB0BDA"/>
    <w:rsid w:val="00BB1922"/>
    <w:rsid w:val="00BB419D"/>
    <w:rsid w:val="00BB43EF"/>
    <w:rsid w:val="00BB4D45"/>
    <w:rsid w:val="00BB5F43"/>
    <w:rsid w:val="00BB6C81"/>
    <w:rsid w:val="00BB720D"/>
    <w:rsid w:val="00BC03C8"/>
    <w:rsid w:val="00BC0C04"/>
    <w:rsid w:val="00BC0E1C"/>
    <w:rsid w:val="00BC1644"/>
    <w:rsid w:val="00BC174E"/>
    <w:rsid w:val="00BC3017"/>
    <w:rsid w:val="00BC3D87"/>
    <w:rsid w:val="00BC54B2"/>
    <w:rsid w:val="00BC60FD"/>
    <w:rsid w:val="00BC6522"/>
    <w:rsid w:val="00BC767D"/>
    <w:rsid w:val="00BC7944"/>
    <w:rsid w:val="00BC7BA7"/>
    <w:rsid w:val="00BD01DE"/>
    <w:rsid w:val="00BD0207"/>
    <w:rsid w:val="00BD0508"/>
    <w:rsid w:val="00BD0582"/>
    <w:rsid w:val="00BD0CC8"/>
    <w:rsid w:val="00BD1EA7"/>
    <w:rsid w:val="00BD3D2E"/>
    <w:rsid w:val="00BD4280"/>
    <w:rsid w:val="00BD4BC0"/>
    <w:rsid w:val="00BD60E0"/>
    <w:rsid w:val="00BD682E"/>
    <w:rsid w:val="00BD774E"/>
    <w:rsid w:val="00BE1EC0"/>
    <w:rsid w:val="00BE24DD"/>
    <w:rsid w:val="00BE325A"/>
    <w:rsid w:val="00BE5013"/>
    <w:rsid w:val="00BE6328"/>
    <w:rsid w:val="00BE6617"/>
    <w:rsid w:val="00BE6A03"/>
    <w:rsid w:val="00BF2BD5"/>
    <w:rsid w:val="00BF2F34"/>
    <w:rsid w:val="00BF33BD"/>
    <w:rsid w:val="00BF439F"/>
    <w:rsid w:val="00BF4982"/>
    <w:rsid w:val="00BF54FF"/>
    <w:rsid w:val="00BF5660"/>
    <w:rsid w:val="00BF5861"/>
    <w:rsid w:val="00BF5A85"/>
    <w:rsid w:val="00BF6630"/>
    <w:rsid w:val="00BF66F3"/>
    <w:rsid w:val="00BF66FE"/>
    <w:rsid w:val="00BF6969"/>
    <w:rsid w:val="00BF7AFA"/>
    <w:rsid w:val="00C00019"/>
    <w:rsid w:val="00C03C60"/>
    <w:rsid w:val="00C04D00"/>
    <w:rsid w:val="00C054ED"/>
    <w:rsid w:val="00C07C77"/>
    <w:rsid w:val="00C10238"/>
    <w:rsid w:val="00C10BA5"/>
    <w:rsid w:val="00C11851"/>
    <w:rsid w:val="00C12DDB"/>
    <w:rsid w:val="00C15C7D"/>
    <w:rsid w:val="00C15F8B"/>
    <w:rsid w:val="00C166DA"/>
    <w:rsid w:val="00C178FE"/>
    <w:rsid w:val="00C17F13"/>
    <w:rsid w:val="00C21000"/>
    <w:rsid w:val="00C25A7A"/>
    <w:rsid w:val="00C27185"/>
    <w:rsid w:val="00C31148"/>
    <w:rsid w:val="00C3132F"/>
    <w:rsid w:val="00C32683"/>
    <w:rsid w:val="00C32BAD"/>
    <w:rsid w:val="00C33ED8"/>
    <w:rsid w:val="00C34C50"/>
    <w:rsid w:val="00C35081"/>
    <w:rsid w:val="00C35577"/>
    <w:rsid w:val="00C36C92"/>
    <w:rsid w:val="00C37CEA"/>
    <w:rsid w:val="00C37F98"/>
    <w:rsid w:val="00C419D9"/>
    <w:rsid w:val="00C41D91"/>
    <w:rsid w:val="00C41E81"/>
    <w:rsid w:val="00C42FD2"/>
    <w:rsid w:val="00C43C7E"/>
    <w:rsid w:val="00C4411F"/>
    <w:rsid w:val="00C44175"/>
    <w:rsid w:val="00C44972"/>
    <w:rsid w:val="00C47D83"/>
    <w:rsid w:val="00C47DB5"/>
    <w:rsid w:val="00C50F25"/>
    <w:rsid w:val="00C5185F"/>
    <w:rsid w:val="00C52BA9"/>
    <w:rsid w:val="00C53F4C"/>
    <w:rsid w:val="00C54A60"/>
    <w:rsid w:val="00C5656C"/>
    <w:rsid w:val="00C573F3"/>
    <w:rsid w:val="00C57635"/>
    <w:rsid w:val="00C57CB1"/>
    <w:rsid w:val="00C6064A"/>
    <w:rsid w:val="00C611D1"/>
    <w:rsid w:val="00C6136B"/>
    <w:rsid w:val="00C613B2"/>
    <w:rsid w:val="00C626FA"/>
    <w:rsid w:val="00C62C92"/>
    <w:rsid w:val="00C70625"/>
    <w:rsid w:val="00C72334"/>
    <w:rsid w:val="00C72943"/>
    <w:rsid w:val="00C7323E"/>
    <w:rsid w:val="00C73C5D"/>
    <w:rsid w:val="00C74233"/>
    <w:rsid w:val="00C74784"/>
    <w:rsid w:val="00C7552A"/>
    <w:rsid w:val="00C75E3D"/>
    <w:rsid w:val="00C75FB2"/>
    <w:rsid w:val="00C76C98"/>
    <w:rsid w:val="00C76D0D"/>
    <w:rsid w:val="00C77DFA"/>
    <w:rsid w:val="00C81450"/>
    <w:rsid w:val="00C8324E"/>
    <w:rsid w:val="00C85021"/>
    <w:rsid w:val="00C86500"/>
    <w:rsid w:val="00C87483"/>
    <w:rsid w:val="00C905A7"/>
    <w:rsid w:val="00C90A9C"/>
    <w:rsid w:val="00C929AD"/>
    <w:rsid w:val="00C9317E"/>
    <w:rsid w:val="00C93EC6"/>
    <w:rsid w:val="00C942F4"/>
    <w:rsid w:val="00C96086"/>
    <w:rsid w:val="00C96AD7"/>
    <w:rsid w:val="00C96C21"/>
    <w:rsid w:val="00C970B2"/>
    <w:rsid w:val="00C97956"/>
    <w:rsid w:val="00CA18D5"/>
    <w:rsid w:val="00CA2A14"/>
    <w:rsid w:val="00CA2CDF"/>
    <w:rsid w:val="00CA5B55"/>
    <w:rsid w:val="00CA62FF"/>
    <w:rsid w:val="00CA63BD"/>
    <w:rsid w:val="00CB2DF0"/>
    <w:rsid w:val="00CB3517"/>
    <w:rsid w:val="00CB49C6"/>
    <w:rsid w:val="00CB4E23"/>
    <w:rsid w:val="00CB66DC"/>
    <w:rsid w:val="00CB6922"/>
    <w:rsid w:val="00CB6B7E"/>
    <w:rsid w:val="00CB7314"/>
    <w:rsid w:val="00CC014F"/>
    <w:rsid w:val="00CC3E3A"/>
    <w:rsid w:val="00CC4942"/>
    <w:rsid w:val="00CC7653"/>
    <w:rsid w:val="00CC76C9"/>
    <w:rsid w:val="00CD00BF"/>
    <w:rsid w:val="00CD0189"/>
    <w:rsid w:val="00CD110B"/>
    <w:rsid w:val="00CD258D"/>
    <w:rsid w:val="00CD26A5"/>
    <w:rsid w:val="00CD542B"/>
    <w:rsid w:val="00CD66D5"/>
    <w:rsid w:val="00CD6AA3"/>
    <w:rsid w:val="00CD7640"/>
    <w:rsid w:val="00CE0168"/>
    <w:rsid w:val="00CE0826"/>
    <w:rsid w:val="00CE2953"/>
    <w:rsid w:val="00CE364F"/>
    <w:rsid w:val="00CE430D"/>
    <w:rsid w:val="00CE5B20"/>
    <w:rsid w:val="00CE6784"/>
    <w:rsid w:val="00CE7484"/>
    <w:rsid w:val="00CE7E09"/>
    <w:rsid w:val="00CF0CA5"/>
    <w:rsid w:val="00CF0EAE"/>
    <w:rsid w:val="00CF3949"/>
    <w:rsid w:val="00CF3CEB"/>
    <w:rsid w:val="00CF419C"/>
    <w:rsid w:val="00CF469D"/>
    <w:rsid w:val="00CF5144"/>
    <w:rsid w:val="00CF561C"/>
    <w:rsid w:val="00CF599A"/>
    <w:rsid w:val="00CF63B8"/>
    <w:rsid w:val="00D00A18"/>
    <w:rsid w:val="00D018C7"/>
    <w:rsid w:val="00D01962"/>
    <w:rsid w:val="00D02E7B"/>
    <w:rsid w:val="00D032ED"/>
    <w:rsid w:val="00D04AB0"/>
    <w:rsid w:val="00D04CC4"/>
    <w:rsid w:val="00D06DE2"/>
    <w:rsid w:val="00D107E7"/>
    <w:rsid w:val="00D12195"/>
    <w:rsid w:val="00D123CC"/>
    <w:rsid w:val="00D13922"/>
    <w:rsid w:val="00D13DB1"/>
    <w:rsid w:val="00D140F7"/>
    <w:rsid w:val="00D1546E"/>
    <w:rsid w:val="00D156FD"/>
    <w:rsid w:val="00D15C9D"/>
    <w:rsid w:val="00D15DFC"/>
    <w:rsid w:val="00D170ED"/>
    <w:rsid w:val="00D207C9"/>
    <w:rsid w:val="00D20AB0"/>
    <w:rsid w:val="00D21575"/>
    <w:rsid w:val="00D226DC"/>
    <w:rsid w:val="00D22DED"/>
    <w:rsid w:val="00D25384"/>
    <w:rsid w:val="00D26934"/>
    <w:rsid w:val="00D27D3F"/>
    <w:rsid w:val="00D3031C"/>
    <w:rsid w:val="00D3036D"/>
    <w:rsid w:val="00D32A0F"/>
    <w:rsid w:val="00D32AC2"/>
    <w:rsid w:val="00D41352"/>
    <w:rsid w:val="00D42D33"/>
    <w:rsid w:val="00D43B26"/>
    <w:rsid w:val="00D447D3"/>
    <w:rsid w:val="00D449D8"/>
    <w:rsid w:val="00D44C3C"/>
    <w:rsid w:val="00D469B5"/>
    <w:rsid w:val="00D47030"/>
    <w:rsid w:val="00D50021"/>
    <w:rsid w:val="00D50B60"/>
    <w:rsid w:val="00D5158B"/>
    <w:rsid w:val="00D5393D"/>
    <w:rsid w:val="00D539DB"/>
    <w:rsid w:val="00D53D17"/>
    <w:rsid w:val="00D53DB1"/>
    <w:rsid w:val="00D54781"/>
    <w:rsid w:val="00D54CA8"/>
    <w:rsid w:val="00D55E2A"/>
    <w:rsid w:val="00D56116"/>
    <w:rsid w:val="00D57CB8"/>
    <w:rsid w:val="00D60721"/>
    <w:rsid w:val="00D61333"/>
    <w:rsid w:val="00D620FF"/>
    <w:rsid w:val="00D62A66"/>
    <w:rsid w:val="00D64490"/>
    <w:rsid w:val="00D6711E"/>
    <w:rsid w:val="00D70348"/>
    <w:rsid w:val="00D71974"/>
    <w:rsid w:val="00D725FA"/>
    <w:rsid w:val="00D72FD1"/>
    <w:rsid w:val="00D74215"/>
    <w:rsid w:val="00D75353"/>
    <w:rsid w:val="00D7559F"/>
    <w:rsid w:val="00D77040"/>
    <w:rsid w:val="00D809A2"/>
    <w:rsid w:val="00D85EBD"/>
    <w:rsid w:val="00D8644E"/>
    <w:rsid w:val="00D87A83"/>
    <w:rsid w:val="00D9159F"/>
    <w:rsid w:val="00D923CF"/>
    <w:rsid w:val="00D93F4C"/>
    <w:rsid w:val="00D952A4"/>
    <w:rsid w:val="00D967F6"/>
    <w:rsid w:val="00D979BF"/>
    <w:rsid w:val="00DA0AB4"/>
    <w:rsid w:val="00DA0C06"/>
    <w:rsid w:val="00DA1532"/>
    <w:rsid w:val="00DA212E"/>
    <w:rsid w:val="00DA2FEA"/>
    <w:rsid w:val="00DA3416"/>
    <w:rsid w:val="00DA3EB3"/>
    <w:rsid w:val="00DA4C88"/>
    <w:rsid w:val="00DA4CBC"/>
    <w:rsid w:val="00DA546F"/>
    <w:rsid w:val="00DA58A6"/>
    <w:rsid w:val="00DA5AC8"/>
    <w:rsid w:val="00DA6313"/>
    <w:rsid w:val="00DA64A1"/>
    <w:rsid w:val="00DA7122"/>
    <w:rsid w:val="00DB0829"/>
    <w:rsid w:val="00DB1891"/>
    <w:rsid w:val="00DB33E7"/>
    <w:rsid w:val="00DB4657"/>
    <w:rsid w:val="00DB4A04"/>
    <w:rsid w:val="00DB4FA1"/>
    <w:rsid w:val="00DB6A11"/>
    <w:rsid w:val="00DB6AEC"/>
    <w:rsid w:val="00DC08F2"/>
    <w:rsid w:val="00DC2378"/>
    <w:rsid w:val="00DC459F"/>
    <w:rsid w:val="00DC5087"/>
    <w:rsid w:val="00DC5962"/>
    <w:rsid w:val="00DC5A3C"/>
    <w:rsid w:val="00DC5F92"/>
    <w:rsid w:val="00DC6581"/>
    <w:rsid w:val="00DD075E"/>
    <w:rsid w:val="00DD08A6"/>
    <w:rsid w:val="00DD1050"/>
    <w:rsid w:val="00DD136F"/>
    <w:rsid w:val="00DD2A34"/>
    <w:rsid w:val="00DD2CB2"/>
    <w:rsid w:val="00DD3081"/>
    <w:rsid w:val="00DD78F4"/>
    <w:rsid w:val="00DD7DB4"/>
    <w:rsid w:val="00DE11C8"/>
    <w:rsid w:val="00DE1E0A"/>
    <w:rsid w:val="00DE24A7"/>
    <w:rsid w:val="00DE2F10"/>
    <w:rsid w:val="00DE3F76"/>
    <w:rsid w:val="00DE49B3"/>
    <w:rsid w:val="00DE4FCD"/>
    <w:rsid w:val="00DE5339"/>
    <w:rsid w:val="00DE675F"/>
    <w:rsid w:val="00DE7E6B"/>
    <w:rsid w:val="00DF0672"/>
    <w:rsid w:val="00DF10B2"/>
    <w:rsid w:val="00DF1D7B"/>
    <w:rsid w:val="00DF26EB"/>
    <w:rsid w:val="00DF3E4C"/>
    <w:rsid w:val="00DF453A"/>
    <w:rsid w:val="00DF4A31"/>
    <w:rsid w:val="00DF4A79"/>
    <w:rsid w:val="00DF5E54"/>
    <w:rsid w:val="00DF5FDD"/>
    <w:rsid w:val="00DF6A5D"/>
    <w:rsid w:val="00DF7C3F"/>
    <w:rsid w:val="00E02310"/>
    <w:rsid w:val="00E03E52"/>
    <w:rsid w:val="00E049A7"/>
    <w:rsid w:val="00E0537C"/>
    <w:rsid w:val="00E05946"/>
    <w:rsid w:val="00E06C4B"/>
    <w:rsid w:val="00E06DBC"/>
    <w:rsid w:val="00E06F90"/>
    <w:rsid w:val="00E076DA"/>
    <w:rsid w:val="00E105C3"/>
    <w:rsid w:val="00E1207F"/>
    <w:rsid w:val="00E12A94"/>
    <w:rsid w:val="00E13022"/>
    <w:rsid w:val="00E132FF"/>
    <w:rsid w:val="00E151CF"/>
    <w:rsid w:val="00E175C5"/>
    <w:rsid w:val="00E209FF"/>
    <w:rsid w:val="00E20C7C"/>
    <w:rsid w:val="00E22AD2"/>
    <w:rsid w:val="00E2317B"/>
    <w:rsid w:val="00E23E83"/>
    <w:rsid w:val="00E2563D"/>
    <w:rsid w:val="00E271BF"/>
    <w:rsid w:val="00E274D2"/>
    <w:rsid w:val="00E27980"/>
    <w:rsid w:val="00E27F67"/>
    <w:rsid w:val="00E30A3C"/>
    <w:rsid w:val="00E31026"/>
    <w:rsid w:val="00E32016"/>
    <w:rsid w:val="00E34F05"/>
    <w:rsid w:val="00E35451"/>
    <w:rsid w:val="00E36173"/>
    <w:rsid w:val="00E410EF"/>
    <w:rsid w:val="00E4189A"/>
    <w:rsid w:val="00E42474"/>
    <w:rsid w:val="00E42591"/>
    <w:rsid w:val="00E429F4"/>
    <w:rsid w:val="00E43128"/>
    <w:rsid w:val="00E439B6"/>
    <w:rsid w:val="00E440F9"/>
    <w:rsid w:val="00E44764"/>
    <w:rsid w:val="00E44AEB"/>
    <w:rsid w:val="00E44C75"/>
    <w:rsid w:val="00E44F4D"/>
    <w:rsid w:val="00E477FA"/>
    <w:rsid w:val="00E50B38"/>
    <w:rsid w:val="00E52FDD"/>
    <w:rsid w:val="00E537F2"/>
    <w:rsid w:val="00E54D94"/>
    <w:rsid w:val="00E550A6"/>
    <w:rsid w:val="00E552E4"/>
    <w:rsid w:val="00E5658B"/>
    <w:rsid w:val="00E56B8D"/>
    <w:rsid w:val="00E6193E"/>
    <w:rsid w:val="00E61D9F"/>
    <w:rsid w:val="00E6467B"/>
    <w:rsid w:val="00E6499B"/>
    <w:rsid w:val="00E65424"/>
    <w:rsid w:val="00E65F5E"/>
    <w:rsid w:val="00E6601D"/>
    <w:rsid w:val="00E66288"/>
    <w:rsid w:val="00E6638D"/>
    <w:rsid w:val="00E67FAF"/>
    <w:rsid w:val="00E70567"/>
    <w:rsid w:val="00E706FE"/>
    <w:rsid w:val="00E71DCE"/>
    <w:rsid w:val="00E72276"/>
    <w:rsid w:val="00E732A9"/>
    <w:rsid w:val="00E73869"/>
    <w:rsid w:val="00E74727"/>
    <w:rsid w:val="00E757E7"/>
    <w:rsid w:val="00E773E6"/>
    <w:rsid w:val="00E77447"/>
    <w:rsid w:val="00E77793"/>
    <w:rsid w:val="00E77909"/>
    <w:rsid w:val="00E82C48"/>
    <w:rsid w:val="00E83D5F"/>
    <w:rsid w:val="00E83E0A"/>
    <w:rsid w:val="00E84087"/>
    <w:rsid w:val="00E841E3"/>
    <w:rsid w:val="00E85399"/>
    <w:rsid w:val="00E85E0C"/>
    <w:rsid w:val="00E87555"/>
    <w:rsid w:val="00E87A3E"/>
    <w:rsid w:val="00E91804"/>
    <w:rsid w:val="00E91E65"/>
    <w:rsid w:val="00E92E90"/>
    <w:rsid w:val="00E93F93"/>
    <w:rsid w:val="00E943AE"/>
    <w:rsid w:val="00E946E9"/>
    <w:rsid w:val="00E94CF3"/>
    <w:rsid w:val="00E9623C"/>
    <w:rsid w:val="00E96DD2"/>
    <w:rsid w:val="00EA0778"/>
    <w:rsid w:val="00EA24B6"/>
    <w:rsid w:val="00EA46E5"/>
    <w:rsid w:val="00EA49C5"/>
    <w:rsid w:val="00EA5DEB"/>
    <w:rsid w:val="00EA6CD5"/>
    <w:rsid w:val="00EB0C6F"/>
    <w:rsid w:val="00EB0E3B"/>
    <w:rsid w:val="00EB1AB6"/>
    <w:rsid w:val="00EB1F9B"/>
    <w:rsid w:val="00EB345D"/>
    <w:rsid w:val="00EB46AA"/>
    <w:rsid w:val="00EB7070"/>
    <w:rsid w:val="00EB789C"/>
    <w:rsid w:val="00EC06D5"/>
    <w:rsid w:val="00EC09DF"/>
    <w:rsid w:val="00EC0A44"/>
    <w:rsid w:val="00EC0D11"/>
    <w:rsid w:val="00EC261D"/>
    <w:rsid w:val="00EC3406"/>
    <w:rsid w:val="00EC3C2A"/>
    <w:rsid w:val="00EC6E4D"/>
    <w:rsid w:val="00EC7476"/>
    <w:rsid w:val="00ED0296"/>
    <w:rsid w:val="00ED06D8"/>
    <w:rsid w:val="00ED0855"/>
    <w:rsid w:val="00ED08B3"/>
    <w:rsid w:val="00ED08FD"/>
    <w:rsid w:val="00ED0FF7"/>
    <w:rsid w:val="00ED133C"/>
    <w:rsid w:val="00ED17C9"/>
    <w:rsid w:val="00ED26EC"/>
    <w:rsid w:val="00ED2846"/>
    <w:rsid w:val="00ED2BA1"/>
    <w:rsid w:val="00ED4274"/>
    <w:rsid w:val="00ED482D"/>
    <w:rsid w:val="00ED5E55"/>
    <w:rsid w:val="00ED5F5B"/>
    <w:rsid w:val="00ED66C0"/>
    <w:rsid w:val="00ED67DB"/>
    <w:rsid w:val="00ED7C4A"/>
    <w:rsid w:val="00EE0DF0"/>
    <w:rsid w:val="00EE1234"/>
    <w:rsid w:val="00EE34C6"/>
    <w:rsid w:val="00EE3E22"/>
    <w:rsid w:val="00EE412A"/>
    <w:rsid w:val="00EE6917"/>
    <w:rsid w:val="00EE7771"/>
    <w:rsid w:val="00EE7774"/>
    <w:rsid w:val="00EF1439"/>
    <w:rsid w:val="00EF1ED0"/>
    <w:rsid w:val="00EF45D1"/>
    <w:rsid w:val="00EF4783"/>
    <w:rsid w:val="00EF4D33"/>
    <w:rsid w:val="00EF5478"/>
    <w:rsid w:val="00EF6613"/>
    <w:rsid w:val="00EF6B93"/>
    <w:rsid w:val="00EF77C2"/>
    <w:rsid w:val="00F00134"/>
    <w:rsid w:val="00F00CA9"/>
    <w:rsid w:val="00F01D1D"/>
    <w:rsid w:val="00F01F96"/>
    <w:rsid w:val="00F020FA"/>
    <w:rsid w:val="00F02213"/>
    <w:rsid w:val="00F02DBC"/>
    <w:rsid w:val="00F04C83"/>
    <w:rsid w:val="00F05061"/>
    <w:rsid w:val="00F05614"/>
    <w:rsid w:val="00F05C38"/>
    <w:rsid w:val="00F068A5"/>
    <w:rsid w:val="00F0746E"/>
    <w:rsid w:val="00F07B00"/>
    <w:rsid w:val="00F10EE5"/>
    <w:rsid w:val="00F12033"/>
    <w:rsid w:val="00F135C6"/>
    <w:rsid w:val="00F141F4"/>
    <w:rsid w:val="00F165B0"/>
    <w:rsid w:val="00F1680F"/>
    <w:rsid w:val="00F16C33"/>
    <w:rsid w:val="00F16EC8"/>
    <w:rsid w:val="00F20560"/>
    <w:rsid w:val="00F20F60"/>
    <w:rsid w:val="00F223F4"/>
    <w:rsid w:val="00F22D75"/>
    <w:rsid w:val="00F2327B"/>
    <w:rsid w:val="00F250BE"/>
    <w:rsid w:val="00F251DA"/>
    <w:rsid w:val="00F25D48"/>
    <w:rsid w:val="00F315F1"/>
    <w:rsid w:val="00F31A43"/>
    <w:rsid w:val="00F32119"/>
    <w:rsid w:val="00F35023"/>
    <w:rsid w:val="00F35075"/>
    <w:rsid w:val="00F360FE"/>
    <w:rsid w:val="00F36AB7"/>
    <w:rsid w:val="00F4166F"/>
    <w:rsid w:val="00F418D7"/>
    <w:rsid w:val="00F41E2A"/>
    <w:rsid w:val="00F42B31"/>
    <w:rsid w:val="00F43140"/>
    <w:rsid w:val="00F431F7"/>
    <w:rsid w:val="00F43EDF"/>
    <w:rsid w:val="00F44DEF"/>
    <w:rsid w:val="00F46C33"/>
    <w:rsid w:val="00F47852"/>
    <w:rsid w:val="00F47891"/>
    <w:rsid w:val="00F5083B"/>
    <w:rsid w:val="00F51513"/>
    <w:rsid w:val="00F51530"/>
    <w:rsid w:val="00F51BCA"/>
    <w:rsid w:val="00F5300D"/>
    <w:rsid w:val="00F530A8"/>
    <w:rsid w:val="00F53500"/>
    <w:rsid w:val="00F53647"/>
    <w:rsid w:val="00F5384C"/>
    <w:rsid w:val="00F56578"/>
    <w:rsid w:val="00F569FF"/>
    <w:rsid w:val="00F61150"/>
    <w:rsid w:val="00F62D08"/>
    <w:rsid w:val="00F64504"/>
    <w:rsid w:val="00F648AC"/>
    <w:rsid w:val="00F64D3B"/>
    <w:rsid w:val="00F65AFE"/>
    <w:rsid w:val="00F709FE"/>
    <w:rsid w:val="00F716EC"/>
    <w:rsid w:val="00F71D7E"/>
    <w:rsid w:val="00F75F71"/>
    <w:rsid w:val="00F7652E"/>
    <w:rsid w:val="00F76723"/>
    <w:rsid w:val="00F76F93"/>
    <w:rsid w:val="00F77642"/>
    <w:rsid w:val="00F80B4D"/>
    <w:rsid w:val="00F82113"/>
    <w:rsid w:val="00F82816"/>
    <w:rsid w:val="00F82C7F"/>
    <w:rsid w:val="00F83BBC"/>
    <w:rsid w:val="00F86526"/>
    <w:rsid w:val="00F8663F"/>
    <w:rsid w:val="00F866A7"/>
    <w:rsid w:val="00F87473"/>
    <w:rsid w:val="00F93F8D"/>
    <w:rsid w:val="00F9465B"/>
    <w:rsid w:val="00F95183"/>
    <w:rsid w:val="00F959BC"/>
    <w:rsid w:val="00F96676"/>
    <w:rsid w:val="00FA0298"/>
    <w:rsid w:val="00FA0509"/>
    <w:rsid w:val="00FA1B1E"/>
    <w:rsid w:val="00FA1CBD"/>
    <w:rsid w:val="00FA3F11"/>
    <w:rsid w:val="00FA468E"/>
    <w:rsid w:val="00FA4CDE"/>
    <w:rsid w:val="00FA5252"/>
    <w:rsid w:val="00FA7C17"/>
    <w:rsid w:val="00FB1600"/>
    <w:rsid w:val="00FB1776"/>
    <w:rsid w:val="00FB181F"/>
    <w:rsid w:val="00FB1E51"/>
    <w:rsid w:val="00FB31A5"/>
    <w:rsid w:val="00FB4343"/>
    <w:rsid w:val="00FB5094"/>
    <w:rsid w:val="00FB545D"/>
    <w:rsid w:val="00FB54B0"/>
    <w:rsid w:val="00FB627E"/>
    <w:rsid w:val="00FB65A8"/>
    <w:rsid w:val="00FB6635"/>
    <w:rsid w:val="00FB67C4"/>
    <w:rsid w:val="00FB744E"/>
    <w:rsid w:val="00FB7FD1"/>
    <w:rsid w:val="00FC09AB"/>
    <w:rsid w:val="00FC1578"/>
    <w:rsid w:val="00FC1996"/>
    <w:rsid w:val="00FC20F6"/>
    <w:rsid w:val="00FC4DFB"/>
    <w:rsid w:val="00FC4E3F"/>
    <w:rsid w:val="00FC5895"/>
    <w:rsid w:val="00FC7F02"/>
    <w:rsid w:val="00FD0E27"/>
    <w:rsid w:val="00FD1F84"/>
    <w:rsid w:val="00FD3219"/>
    <w:rsid w:val="00FD42EB"/>
    <w:rsid w:val="00FD5420"/>
    <w:rsid w:val="00FE0BD1"/>
    <w:rsid w:val="00FE0E9A"/>
    <w:rsid w:val="00FE2AF4"/>
    <w:rsid w:val="00FE4B78"/>
    <w:rsid w:val="00FF1197"/>
    <w:rsid w:val="00FF21DD"/>
    <w:rsid w:val="00FF4CA5"/>
    <w:rsid w:val="00FF53A1"/>
    <w:rsid w:val="00FF573D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46D2"/>
  <w15:chartTrackingRefBased/>
  <w15:docId w15:val="{9918F695-B281-4A5B-84FE-45D925EC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11"/>
    <w:pPr>
      <w:spacing w:line="360" w:lineRule="auto"/>
      <w:ind w:firstLine="567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294E11"/>
    <w:pPr>
      <w:spacing w:before="100" w:beforeAutospacing="1" w:after="100" w:afterAutospacing="1" w:line="240" w:lineRule="auto"/>
      <w:ind w:firstLine="0"/>
      <w:outlineLvl w:val="0"/>
    </w:pPr>
    <w:rPr>
      <w:rFonts w:ascii="Aptos" w:eastAsia="Times New Roman" w:hAnsi="Aptos" w:cs="Times New Roman"/>
      <w:bCs/>
      <w:color w:val="1F3864" w:themeColor="accent1" w:themeShade="80"/>
      <w:kern w:val="36"/>
      <w:sz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75C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17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7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9478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24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D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74096"/>
    <w:rPr>
      <w:color w:val="954F72" w:themeColor="followedHyperlink"/>
      <w:u w:val="single"/>
    </w:rPr>
  </w:style>
  <w:style w:type="paragraph" w:customStyle="1" w:styleId="c01pointnumerotealtn">
    <w:name w:val="c01pointnumerotealtn"/>
    <w:basedOn w:val="Normalny"/>
    <w:rsid w:val="00D547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4E11"/>
    <w:rPr>
      <w:rFonts w:ascii="Aptos" w:eastAsia="Times New Roman" w:hAnsi="Aptos" w:cs="Times New Roman"/>
      <w:bCs/>
      <w:color w:val="1F3864" w:themeColor="accent1" w:themeShade="80"/>
      <w:kern w:val="36"/>
      <w:sz w:val="36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21E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sr-only">
    <w:name w:val="sr-only"/>
    <w:basedOn w:val="Domylnaczcionkaakapitu"/>
    <w:rsid w:val="00821E88"/>
  </w:style>
  <w:style w:type="character" w:styleId="Odwoaniedokomentarza">
    <w:name w:val="annotation reference"/>
    <w:basedOn w:val="Domylnaczcionkaakapitu"/>
    <w:uiPriority w:val="99"/>
    <w:semiHidden/>
    <w:unhideWhenUsed/>
    <w:rsid w:val="00453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9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9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94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7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5611"/>
    <w:pPr>
      <w:spacing w:after="0" w:line="240" w:lineRule="auto"/>
    </w:pPr>
  </w:style>
  <w:style w:type="paragraph" w:customStyle="1" w:styleId="c41dispositifintroduction">
    <w:name w:val="c41dispositifintroduction"/>
    <w:basedOn w:val="Normalny"/>
    <w:rsid w:val="004C12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c08dispositif">
    <w:name w:val="c08dispositif"/>
    <w:basedOn w:val="Normalny"/>
    <w:rsid w:val="004C12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c32dispositifmarge1">
    <w:name w:val="c32dispositifmarge1"/>
    <w:basedOn w:val="Normalny"/>
    <w:rsid w:val="004C12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3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5E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5E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5E55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CA18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8D5"/>
    <w:pPr>
      <w:numPr>
        <w:ilvl w:val="1"/>
      </w:numPr>
      <w:ind w:firstLine="567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18D5"/>
    <w:rPr>
      <w:rFonts w:eastAsiaTheme="minorEastAsia"/>
      <w:color w:val="5A5A5A" w:themeColor="text1" w:themeTint="A5"/>
      <w:spacing w:val="1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35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A35F7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26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12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6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1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7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6361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1781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4235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64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4158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52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274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79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95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55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7972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ia.europa.eu/juris/document/document.jsf;jsessionid=6F89626DA0CFAA9642A01FAEA51A4A4C?text=&amp;docid=287068&amp;pageIndex=0&amp;doclang=PL&amp;mode=req&amp;dir=&amp;occ=first&amp;part=1&amp;cid=28334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uria.europa.eu/juris/document/document.jsf;jsessionid=0AC54BD808A8A9D97B892ED1C65F85FA?text=&amp;docid=286844&amp;pageIndex=0&amp;doclang=PL&amp;mode=lst&amp;dir=&amp;occ=first&amp;part=1&amp;cid=14232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ia.europa.eu/juris/document/document.jsf?text=&amp;docid=281794&amp;pageIndex=0&amp;doclang=pl&amp;mode=lst&amp;dir=&amp;occ=first&amp;part=1&amp;cid=95138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AD9F-D8DA-44E1-A953-D13870AC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Orzecznictwo TSUE za I półrocze 2024 roku</dc:title>
  <dc:subject/>
  <dc:creator>Kinga Ostrowska</dc:creator>
  <cp:keywords/>
  <dc:description/>
  <cp:lastModifiedBy>Trybusz Michał</cp:lastModifiedBy>
  <cp:revision>5</cp:revision>
  <cp:lastPrinted>2024-07-29T11:44:00Z</cp:lastPrinted>
  <dcterms:created xsi:type="dcterms:W3CDTF">2024-07-29T11:42:00Z</dcterms:created>
  <dcterms:modified xsi:type="dcterms:W3CDTF">2024-07-29T11:44:00Z</dcterms:modified>
</cp:coreProperties>
</file>