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B07D" w14:textId="77777777" w:rsidR="002A4B3D" w:rsidRDefault="00F175B8" w:rsidP="002A4B3D">
      <w:pPr>
        <w:tabs>
          <w:tab w:val="left" w:pos="708"/>
          <w:tab w:val="left" w:pos="1416"/>
          <w:tab w:val="left" w:pos="2124"/>
          <w:tab w:val="left" w:pos="2832"/>
          <w:tab w:val="left" w:pos="3540"/>
          <w:tab w:val="left" w:pos="4248"/>
          <w:tab w:val="left" w:pos="7920"/>
        </w:tabs>
        <w:autoSpaceDE w:val="0"/>
        <w:autoSpaceDN w:val="0"/>
        <w:adjustRightInd w:val="0"/>
        <w:spacing w:after="0" w:line="240" w:lineRule="auto"/>
        <w:jc w:val="both"/>
      </w:pPr>
      <w:r>
        <w:tab/>
      </w:r>
      <w:r w:rsidR="00E86721">
        <w:tab/>
        <w:t xml:space="preserve">    </w:t>
      </w:r>
    </w:p>
    <w:p w14:paraId="754C59B7" w14:textId="77777777" w:rsidR="00F175B8" w:rsidRDefault="00F175B8" w:rsidP="00E86721">
      <w:pPr>
        <w:autoSpaceDE w:val="0"/>
        <w:autoSpaceDN w:val="0"/>
        <w:adjustRightInd w:val="0"/>
        <w:spacing w:after="0" w:line="240" w:lineRule="auto"/>
        <w:ind w:left="3540"/>
        <w:jc w:val="both"/>
      </w:pPr>
      <w:r w:rsidRPr="00E86721">
        <w:rPr>
          <w:sz w:val="20"/>
          <w:szCs w:val="20"/>
        </w:rPr>
        <w:t>Zestawienie tematyczne – Wydaleni</w:t>
      </w:r>
      <w:r w:rsidR="00991B69">
        <w:rPr>
          <w:sz w:val="20"/>
          <w:szCs w:val="20"/>
        </w:rPr>
        <w:t>a</w:t>
      </w:r>
      <w:r w:rsidRPr="00E86721">
        <w:rPr>
          <w:sz w:val="20"/>
          <w:szCs w:val="20"/>
        </w:rPr>
        <w:t xml:space="preserve"> zbiorowe cudzoziemców</w:t>
      </w:r>
    </w:p>
    <w:p w14:paraId="0D1AA510" w14:textId="77777777" w:rsidR="00F175B8" w:rsidRDefault="00F175B8" w:rsidP="0009369F">
      <w:pPr>
        <w:autoSpaceDE w:val="0"/>
        <w:autoSpaceDN w:val="0"/>
        <w:adjustRightInd w:val="0"/>
        <w:spacing w:after="0" w:line="240" w:lineRule="auto"/>
        <w:jc w:val="both"/>
        <w:rPr>
          <w:rFonts w:ascii="Verdana" w:eastAsia="Times New Roman" w:hAnsi="Verdana" w:cs="Verdana"/>
          <w:color w:val="FF9900"/>
          <w:sz w:val="20"/>
          <w:szCs w:val="20"/>
          <w:lang w:eastAsia="pl-PL"/>
        </w:rPr>
      </w:pPr>
      <w:r>
        <w:t>__________________________________________________________________________________</w:t>
      </w:r>
      <w:r>
        <w:br/>
      </w:r>
    </w:p>
    <w:p w14:paraId="523B19B9" w14:textId="72B10643" w:rsidR="008003FF" w:rsidRPr="008003FF" w:rsidRDefault="002A0C1C" w:rsidP="002A0C1C">
      <w:pPr>
        <w:autoSpaceDE w:val="0"/>
        <w:autoSpaceDN w:val="0"/>
        <w:adjustRightInd w:val="0"/>
        <w:spacing w:after="0" w:line="240" w:lineRule="auto"/>
        <w:jc w:val="right"/>
        <w:rPr>
          <w:rFonts w:ascii="Verdana" w:eastAsia="Times New Roman" w:hAnsi="Verdana" w:cs="Verdana"/>
          <w:color w:val="FF9900"/>
          <w:sz w:val="20"/>
          <w:szCs w:val="20"/>
          <w:lang w:eastAsia="pl-PL"/>
        </w:rPr>
      </w:pPr>
      <w:r>
        <w:rPr>
          <w:rFonts w:ascii="Verdana" w:eastAsia="Times New Roman" w:hAnsi="Verdana" w:cs="Verdana"/>
          <w:color w:val="FF9900"/>
          <w:sz w:val="20"/>
          <w:szCs w:val="20"/>
          <w:lang w:eastAsia="pl-PL"/>
        </w:rPr>
        <w:t xml:space="preserve">Październik </w:t>
      </w:r>
      <w:r w:rsidR="008003FF">
        <w:rPr>
          <w:rFonts w:ascii="Verdana" w:eastAsia="Times New Roman" w:hAnsi="Verdana" w:cs="Verdana"/>
          <w:color w:val="FF9900"/>
          <w:sz w:val="20"/>
          <w:szCs w:val="20"/>
          <w:lang w:eastAsia="pl-PL"/>
        </w:rPr>
        <w:t>20</w:t>
      </w:r>
      <w:r w:rsidR="00B35105">
        <w:rPr>
          <w:rFonts w:ascii="Verdana" w:eastAsia="Times New Roman" w:hAnsi="Verdana" w:cs="Verdana"/>
          <w:color w:val="FF9900"/>
          <w:sz w:val="20"/>
          <w:szCs w:val="20"/>
          <w:lang w:eastAsia="pl-PL"/>
        </w:rPr>
        <w:t>2</w:t>
      </w:r>
      <w:r w:rsidR="00775133">
        <w:rPr>
          <w:rFonts w:ascii="Verdana" w:eastAsia="Times New Roman" w:hAnsi="Verdana" w:cs="Verdana"/>
          <w:color w:val="FF9900"/>
          <w:sz w:val="20"/>
          <w:szCs w:val="20"/>
          <w:lang w:eastAsia="pl-PL"/>
        </w:rPr>
        <w:t>4</w:t>
      </w:r>
      <w:r w:rsidR="008003FF" w:rsidRPr="008003FF">
        <w:rPr>
          <w:rFonts w:ascii="Verdana" w:eastAsia="Times New Roman" w:hAnsi="Verdana" w:cs="Verdana"/>
          <w:color w:val="FF9900"/>
          <w:sz w:val="20"/>
          <w:szCs w:val="20"/>
          <w:lang w:eastAsia="pl-PL"/>
        </w:rPr>
        <w:t xml:space="preserve"> roku </w:t>
      </w:r>
    </w:p>
    <w:p w14:paraId="4056AFEA" w14:textId="77777777" w:rsidR="008003FF" w:rsidRDefault="008003FF" w:rsidP="002A4B3D">
      <w:pPr>
        <w:pStyle w:val="PCFCountrytitle"/>
        <w:spacing w:after="120"/>
        <w:jc w:val="right"/>
        <w:rPr>
          <w:rFonts w:eastAsia="Times New Roman" w:cs="Verdana"/>
          <w:color w:val="FF9900"/>
          <w:sz w:val="20"/>
          <w:szCs w:val="20"/>
          <w:lang w:eastAsia="pl-PL"/>
        </w:rPr>
      </w:pPr>
      <w:r w:rsidRPr="008003FF">
        <w:rPr>
          <w:rFonts w:eastAsia="Times New Roman" w:cs="Verdana"/>
          <w:color w:val="FF9900"/>
          <w:sz w:val="20"/>
          <w:szCs w:val="20"/>
          <w:lang w:eastAsia="pl-PL"/>
        </w:rPr>
        <w:t xml:space="preserve">Niniejsze zestawienie nie jest wiążące dla Trybunału </w:t>
      </w:r>
      <w:r w:rsidR="002A4B3D">
        <w:rPr>
          <w:rFonts w:eastAsia="Times New Roman" w:cs="Verdana"/>
          <w:color w:val="FF9900"/>
          <w:sz w:val="20"/>
          <w:szCs w:val="20"/>
          <w:lang w:eastAsia="pl-PL"/>
        </w:rPr>
        <w:br/>
      </w:r>
      <w:r w:rsidRPr="008003FF">
        <w:rPr>
          <w:rFonts w:eastAsia="Times New Roman" w:cs="Verdana"/>
          <w:color w:val="FF9900"/>
          <w:sz w:val="20"/>
          <w:szCs w:val="20"/>
          <w:lang w:eastAsia="pl-PL"/>
        </w:rPr>
        <w:t>i nie ma charakteru wyczerpującego</w:t>
      </w:r>
    </w:p>
    <w:p w14:paraId="58A77873" w14:textId="77777777" w:rsidR="002F0C7B" w:rsidRDefault="00D43092" w:rsidP="002A4B3D">
      <w:pPr>
        <w:pBdr>
          <w:bottom w:val="single" w:sz="12" w:space="1" w:color="auto"/>
        </w:pBdr>
        <w:autoSpaceDE w:val="0"/>
        <w:autoSpaceDN w:val="0"/>
        <w:adjustRightInd w:val="0"/>
        <w:spacing w:after="0" w:line="240" w:lineRule="auto"/>
        <w:jc w:val="both"/>
        <w:rPr>
          <w:rFonts w:ascii="Verdana" w:hAnsi="Verdana" w:cs="Verdana"/>
          <w:color w:val="0072BD"/>
          <w:sz w:val="48"/>
          <w:szCs w:val="48"/>
        </w:rPr>
      </w:pPr>
      <w:r>
        <w:rPr>
          <w:rFonts w:ascii="Verdana" w:hAnsi="Verdana" w:cs="Verdana"/>
          <w:color w:val="0072BD"/>
          <w:sz w:val="48"/>
          <w:szCs w:val="48"/>
        </w:rPr>
        <w:t>Wydaleni</w:t>
      </w:r>
      <w:r w:rsidR="00991B69">
        <w:rPr>
          <w:rFonts w:ascii="Verdana" w:hAnsi="Verdana" w:cs="Verdana"/>
          <w:color w:val="0072BD"/>
          <w:sz w:val="48"/>
          <w:szCs w:val="48"/>
        </w:rPr>
        <w:t>a</w:t>
      </w:r>
      <w:r>
        <w:rPr>
          <w:rFonts w:ascii="Verdana" w:hAnsi="Verdana" w:cs="Verdana"/>
          <w:color w:val="0072BD"/>
          <w:sz w:val="48"/>
          <w:szCs w:val="48"/>
        </w:rPr>
        <w:t xml:space="preserve"> zbiorowe</w:t>
      </w:r>
      <w:r w:rsidR="00F175B8">
        <w:rPr>
          <w:rFonts w:ascii="Verdana" w:hAnsi="Verdana" w:cs="Verdana"/>
          <w:color w:val="0072BD"/>
          <w:sz w:val="48"/>
          <w:szCs w:val="48"/>
        </w:rPr>
        <w:t xml:space="preserve"> cudzoziemców</w:t>
      </w:r>
    </w:p>
    <w:p w14:paraId="2BC4C8D1" w14:textId="77777777" w:rsidR="00160A3A" w:rsidRDefault="00160A3A" w:rsidP="002A4B3D">
      <w:pPr>
        <w:autoSpaceDE w:val="0"/>
        <w:autoSpaceDN w:val="0"/>
        <w:adjustRightInd w:val="0"/>
        <w:spacing w:after="0" w:line="240" w:lineRule="auto"/>
        <w:jc w:val="both"/>
        <w:rPr>
          <w:rFonts w:ascii="Verdana" w:hAnsi="Verdana" w:cs="Verdana"/>
          <w:color w:val="0072BD"/>
          <w:sz w:val="48"/>
          <w:szCs w:val="48"/>
        </w:rPr>
      </w:pPr>
    </w:p>
    <w:p w14:paraId="3758C920" w14:textId="77777777" w:rsidR="00160A3A" w:rsidRDefault="00160A3A" w:rsidP="002A4B3D">
      <w:pPr>
        <w:autoSpaceDE w:val="0"/>
        <w:autoSpaceDN w:val="0"/>
        <w:adjustRightInd w:val="0"/>
        <w:spacing w:after="0" w:line="240" w:lineRule="auto"/>
        <w:jc w:val="both"/>
        <w:rPr>
          <w:rFonts w:ascii="Verdana" w:hAnsi="Verdana" w:cs="Verdana"/>
          <w:color w:val="0072BD"/>
          <w:sz w:val="28"/>
          <w:szCs w:val="28"/>
        </w:rPr>
      </w:pPr>
      <w:r>
        <w:rPr>
          <w:rFonts w:ascii="Verdana" w:hAnsi="Verdana" w:cs="Verdana"/>
          <w:color w:val="0072BD"/>
          <w:sz w:val="28"/>
          <w:szCs w:val="28"/>
        </w:rPr>
        <w:t>Artykuł 4 Protokołu 4 do Konwencji: zakaz zbiorowego wydalania cudzoziemców</w:t>
      </w:r>
    </w:p>
    <w:p w14:paraId="6428AA3D" w14:textId="77777777" w:rsidR="00160A3A" w:rsidRDefault="00160A3A" w:rsidP="002A4B3D">
      <w:pPr>
        <w:pBdr>
          <w:bottom w:val="single" w:sz="12" w:space="1" w:color="auto"/>
        </w:pBdr>
        <w:autoSpaceDE w:val="0"/>
        <w:autoSpaceDN w:val="0"/>
        <w:adjustRightInd w:val="0"/>
        <w:spacing w:after="0" w:line="240" w:lineRule="auto"/>
        <w:jc w:val="both"/>
        <w:rPr>
          <w:rFonts w:ascii="Verdana" w:hAnsi="Verdana" w:cs="Verdana"/>
          <w:color w:val="0072BD"/>
          <w:sz w:val="28"/>
          <w:szCs w:val="28"/>
        </w:rPr>
      </w:pPr>
    </w:p>
    <w:p w14:paraId="0717C94B" w14:textId="77777777" w:rsidR="00160A3A" w:rsidRDefault="00160A3A" w:rsidP="002A4B3D">
      <w:pPr>
        <w:autoSpaceDE w:val="0"/>
        <w:autoSpaceDN w:val="0"/>
        <w:adjustRightInd w:val="0"/>
        <w:spacing w:after="0" w:line="240" w:lineRule="auto"/>
        <w:jc w:val="both"/>
        <w:rPr>
          <w:rFonts w:ascii="Verdana" w:hAnsi="Verdana" w:cs="Verdana"/>
          <w:color w:val="0072BD"/>
          <w:sz w:val="28"/>
          <w:szCs w:val="28"/>
        </w:rPr>
      </w:pPr>
    </w:p>
    <w:p w14:paraId="369201A3" w14:textId="77777777" w:rsidR="00551F94" w:rsidRPr="002A4B3D" w:rsidRDefault="00551F94" w:rsidP="002A4B3D">
      <w:pPr>
        <w:pBdr>
          <w:top w:val="single" w:sz="4" w:space="1" w:color="auto"/>
          <w:left w:val="single" w:sz="4" w:space="4" w:color="auto"/>
          <w:bottom w:val="single" w:sz="4" w:space="1" w:color="auto"/>
          <w:right w:val="single" w:sz="4" w:space="4" w:color="auto"/>
        </w:pBdr>
        <w:shd w:val="pct5" w:color="auto" w:fill="auto"/>
        <w:autoSpaceDE w:val="0"/>
        <w:autoSpaceDN w:val="0"/>
        <w:adjustRightInd w:val="0"/>
        <w:spacing w:after="0" w:line="240" w:lineRule="auto"/>
        <w:jc w:val="both"/>
        <w:rPr>
          <w:rFonts w:ascii="Verdana" w:hAnsi="Verdana" w:cs="Verdana"/>
          <w:color w:val="808080"/>
          <w:sz w:val="20"/>
          <w:szCs w:val="20"/>
        </w:rPr>
      </w:pPr>
      <w:r w:rsidRPr="002A4B3D">
        <w:rPr>
          <w:rFonts w:ascii="Verdana" w:hAnsi="Verdana" w:cs="Verdana"/>
          <w:color w:val="808080"/>
          <w:sz w:val="20"/>
          <w:szCs w:val="20"/>
        </w:rPr>
        <w:t>„</w:t>
      </w:r>
      <w:r w:rsidR="00D43092" w:rsidRPr="002A4B3D">
        <w:rPr>
          <w:rFonts w:ascii="Verdana" w:hAnsi="Verdana" w:cs="Verdana"/>
          <w:color w:val="808080"/>
          <w:sz w:val="20"/>
          <w:szCs w:val="20"/>
        </w:rPr>
        <w:t>Wydalenie zbiorowe</w:t>
      </w:r>
      <w:r w:rsidR="00981FF3" w:rsidRPr="002A4B3D">
        <w:rPr>
          <w:rFonts w:ascii="Verdana" w:hAnsi="Verdana" w:cs="Verdana"/>
          <w:color w:val="808080"/>
          <w:sz w:val="20"/>
          <w:szCs w:val="20"/>
        </w:rPr>
        <w:t>”</w:t>
      </w:r>
      <w:r w:rsidRPr="002A4B3D">
        <w:rPr>
          <w:rFonts w:ascii="Verdana" w:hAnsi="Verdana" w:cs="Verdana"/>
          <w:color w:val="808080"/>
          <w:sz w:val="20"/>
          <w:szCs w:val="20"/>
        </w:rPr>
        <w:t xml:space="preserve"> = jakikolwiek środek </w:t>
      </w:r>
      <w:r w:rsidR="00981FF3" w:rsidRPr="002A4B3D">
        <w:rPr>
          <w:rFonts w:ascii="Verdana" w:hAnsi="Verdana" w:cs="Verdana"/>
          <w:color w:val="808080"/>
          <w:sz w:val="20"/>
          <w:szCs w:val="20"/>
        </w:rPr>
        <w:t xml:space="preserve">zmuszający </w:t>
      </w:r>
      <w:r w:rsidR="00C90F98" w:rsidRPr="002A4B3D">
        <w:rPr>
          <w:rFonts w:ascii="Verdana" w:hAnsi="Verdana" w:cs="Verdana"/>
          <w:color w:val="808080"/>
          <w:sz w:val="20"/>
          <w:szCs w:val="20"/>
        </w:rPr>
        <w:t xml:space="preserve">cudzoziemców </w:t>
      </w:r>
      <w:r w:rsidR="00FD702C" w:rsidRPr="002A4B3D">
        <w:rPr>
          <w:rFonts w:ascii="Verdana" w:hAnsi="Verdana" w:cs="Verdana"/>
          <w:color w:val="808080"/>
          <w:sz w:val="20"/>
          <w:szCs w:val="20"/>
        </w:rPr>
        <w:t>traktowanych jako grupa</w:t>
      </w:r>
      <w:r w:rsidR="00981FF3" w:rsidRPr="002A4B3D">
        <w:rPr>
          <w:rFonts w:ascii="Verdana" w:hAnsi="Verdana" w:cs="Verdana"/>
          <w:color w:val="808080"/>
          <w:sz w:val="20"/>
          <w:szCs w:val="20"/>
        </w:rPr>
        <w:t xml:space="preserve"> do</w:t>
      </w:r>
      <w:r w:rsidR="00C90F98" w:rsidRPr="002A4B3D">
        <w:rPr>
          <w:rFonts w:ascii="Verdana" w:hAnsi="Verdana" w:cs="Verdana"/>
          <w:color w:val="808080"/>
          <w:sz w:val="20"/>
          <w:szCs w:val="20"/>
        </w:rPr>
        <w:t xml:space="preserve"> opu</w:t>
      </w:r>
      <w:r w:rsidR="00FD702C" w:rsidRPr="002A4B3D">
        <w:rPr>
          <w:rFonts w:ascii="Verdana" w:hAnsi="Verdana" w:cs="Verdana"/>
          <w:color w:val="808080"/>
          <w:sz w:val="20"/>
          <w:szCs w:val="20"/>
        </w:rPr>
        <w:t>szczenia kraju, z wyjątkiem środka podjętego</w:t>
      </w:r>
      <w:r w:rsidR="00C90F98" w:rsidRPr="002A4B3D">
        <w:rPr>
          <w:rFonts w:ascii="Verdana" w:hAnsi="Verdana" w:cs="Verdana"/>
          <w:color w:val="808080"/>
          <w:sz w:val="20"/>
          <w:szCs w:val="20"/>
        </w:rPr>
        <w:t xml:space="preserve"> na podstawie </w:t>
      </w:r>
      <w:r w:rsidR="0040095E" w:rsidRPr="002A4B3D">
        <w:rPr>
          <w:rFonts w:ascii="Verdana" w:hAnsi="Verdana" w:cs="Verdana"/>
          <w:color w:val="808080"/>
          <w:sz w:val="20"/>
          <w:szCs w:val="20"/>
        </w:rPr>
        <w:t>rozważnego i obiektywnego zbadania danej sprawy w aspekcie</w:t>
      </w:r>
      <w:r w:rsidR="00160A3A" w:rsidRPr="002A4B3D">
        <w:rPr>
          <w:rFonts w:ascii="Verdana" w:hAnsi="Verdana" w:cs="Verdana"/>
          <w:color w:val="808080"/>
          <w:sz w:val="20"/>
          <w:szCs w:val="20"/>
        </w:rPr>
        <w:t xml:space="preserve"> każdego</w:t>
      </w:r>
      <w:r w:rsidR="0040095E" w:rsidRPr="002A4B3D">
        <w:rPr>
          <w:rFonts w:ascii="Verdana" w:hAnsi="Verdana" w:cs="Verdana"/>
          <w:color w:val="808080"/>
          <w:sz w:val="20"/>
          <w:szCs w:val="20"/>
        </w:rPr>
        <w:t xml:space="preserve"> konkretnego cudzoziemca należącego do danej grupy.</w:t>
      </w:r>
    </w:p>
    <w:p w14:paraId="1A559752" w14:textId="77777777" w:rsidR="00551F94" w:rsidRDefault="00551F94" w:rsidP="002A4B3D">
      <w:pPr>
        <w:autoSpaceDE w:val="0"/>
        <w:autoSpaceDN w:val="0"/>
        <w:adjustRightInd w:val="0"/>
        <w:spacing w:after="0" w:line="240" w:lineRule="auto"/>
        <w:jc w:val="both"/>
        <w:rPr>
          <w:rFonts w:ascii="Verdana" w:hAnsi="Verdana" w:cs="Verdana"/>
          <w:color w:val="0072BD"/>
          <w:sz w:val="28"/>
          <w:szCs w:val="28"/>
        </w:rPr>
      </w:pPr>
    </w:p>
    <w:p w14:paraId="3BDA5363" w14:textId="3CC82DFB" w:rsidR="00090D16" w:rsidRPr="00AF6252" w:rsidRDefault="00090D16" w:rsidP="00AF6252">
      <w:pPr>
        <w:pBdr>
          <w:bottom w:val="single" w:sz="12" w:space="1" w:color="auto"/>
        </w:pBdr>
        <w:autoSpaceDE w:val="0"/>
        <w:autoSpaceDN w:val="0"/>
        <w:adjustRightInd w:val="0"/>
        <w:spacing w:after="0" w:line="240" w:lineRule="auto"/>
        <w:jc w:val="both"/>
        <w:rPr>
          <w:rFonts w:ascii="Verdana" w:hAnsi="Verdana" w:cs="Verdana"/>
          <w:color w:val="33CCCC"/>
          <w:sz w:val="28"/>
          <w:szCs w:val="28"/>
        </w:rPr>
      </w:pPr>
      <w:bookmarkStart w:id="0" w:name="_Hlk42602568"/>
      <w:r>
        <w:rPr>
          <w:rFonts w:ascii="Verdana" w:hAnsi="Verdana" w:cs="Verdana"/>
          <w:color w:val="0072BD"/>
          <w:sz w:val="28"/>
          <w:szCs w:val="28"/>
        </w:rPr>
        <w:t>Sprawy w toku</w:t>
      </w:r>
      <w:r>
        <w:rPr>
          <w:rStyle w:val="Odwoanieprzypisudolnego"/>
          <w:rFonts w:ascii="Verdana" w:hAnsi="Verdana" w:cs="Verdana"/>
          <w:color w:val="0072BD"/>
          <w:sz w:val="28"/>
          <w:szCs w:val="28"/>
        </w:rPr>
        <w:footnoteReference w:id="1"/>
      </w:r>
      <w:r>
        <w:rPr>
          <w:rFonts w:ascii="Verdana" w:hAnsi="Verdana" w:cs="Verdana"/>
          <w:color w:val="0072BD"/>
          <w:sz w:val="28"/>
          <w:szCs w:val="28"/>
        </w:rPr>
        <w:t xml:space="preserve"> przed Wielką Izbą Trybunału </w:t>
      </w:r>
    </w:p>
    <w:p w14:paraId="347C3EEF" w14:textId="77777777" w:rsidR="000D5569" w:rsidRDefault="000D5569" w:rsidP="000D5569">
      <w:pPr>
        <w:pStyle w:val="Default"/>
      </w:pPr>
    </w:p>
    <w:p w14:paraId="1D87250D" w14:textId="77BA86A2" w:rsidR="000D5569" w:rsidRDefault="000D5569" w:rsidP="000D5569">
      <w:pPr>
        <w:pStyle w:val="Default"/>
        <w:rPr>
          <w:color w:val="0071BB"/>
          <w:sz w:val="20"/>
          <w:szCs w:val="20"/>
        </w:rPr>
      </w:pPr>
      <w:hyperlink r:id="rId8" w:anchor="{%22itemid%22:[%22003-7928255-11041779%22]}" w:history="1">
        <w:r w:rsidRPr="00644801">
          <w:rPr>
            <w:rStyle w:val="Hipercze"/>
            <w:b/>
            <w:bCs/>
            <w:sz w:val="20"/>
            <w:szCs w:val="20"/>
          </w:rPr>
          <w:t xml:space="preserve">C.O.C.G. </w:t>
        </w:r>
        <w:r w:rsidR="00AF6252" w:rsidRPr="00644801">
          <w:rPr>
            <w:rStyle w:val="Hipercze"/>
            <w:b/>
            <w:bCs/>
            <w:sz w:val="20"/>
            <w:szCs w:val="20"/>
          </w:rPr>
          <w:t xml:space="preserve">i </w:t>
        </w:r>
        <w:r w:rsidR="003F2855" w:rsidRPr="00644801">
          <w:rPr>
            <w:rStyle w:val="Hipercze"/>
            <w:b/>
            <w:bCs/>
            <w:sz w:val="20"/>
            <w:szCs w:val="20"/>
          </w:rPr>
          <w:t>I</w:t>
        </w:r>
        <w:r w:rsidR="00AF6252" w:rsidRPr="00644801">
          <w:rPr>
            <w:rStyle w:val="Hipercze"/>
            <w:b/>
            <w:bCs/>
            <w:sz w:val="20"/>
            <w:szCs w:val="20"/>
          </w:rPr>
          <w:t>nni</w:t>
        </w:r>
        <w:r w:rsidRPr="00644801">
          <w:rPr>
            <w:rStyle w:val="Hipercze"/>
            <w:b/>
            <w:bCs/>
            <w:sz w:val="20"/>
            <w:szCs w:val="20"/>
          </w:rPr>
          <w:t xml:space="preserve"> </w:t>
        </w:r>
        <w:r w:rsidR="00AF6252" w:rsidRPr="00644801">
          <w:rPr>
            <w:rStyle w:val="Hipercze"/>
            <w:b/>
            <w:bCs/>
            <w:sz w:val="20"/>
            <w:szCs w:val="20"/>
          </w:rPr>
          <w:t>przeciwko</w:t>
        </w:r>
        <w:r w:rsidRPr="00644801">
          <w:rPr>
            <w:rStyle w:val="Hipercze"/>
            <w:b/>
            <w:bCs/>
            <w:sz w:val="20"/>
            <w:szCs w:val="20"/>
          </w:rPr>
          <w:t xml:space="preserve"> </w:t>
        </w:r>
        <w:r w:rsidR="00AF6252" w:rsidRPr="00644801">
          <w:rPr>
            <w:rStyle w:val="Hipercze"/>
            <w:b/>
            <w:bCs/>
            <w:sz w:val="20"/>
            <w:szCs w:val="20"/>
          </w:rPr>
          <w:t>Litwie</w:t>
        </w:r>
        <w:r w:rsidRPr="00644801">
          <w:rPr>
            <w:rStyle w:val="Hipercze"/>
            <w:b/>
            <w:bCs/>
            <w:sz w:val="20"/>
            <w:szCs w:val="20"/>
          </w:rPr>
          <w:t xml:space="preserve"> (</w:t>
        </w:r>
        <w:r w:rsidR="00474E51" w:rsidRPr="00644801">
          <w:rPr>
            <w:rStyle w:val="Hipercze"/>
            <w:b/>
            <w:bCs/>
            <w:sz w:val="20"/>
            <w:szCs w:val="20"/>
          </w:rPr>
          <w:t>skarga</w:t>
        </w:r>
        <w:r w:rsidR="00AF6252" w:rsidRPr="00644801">
          <w:rPr>
            <w:rStyle w:val="Hipercze"/>
            <w:b/>
            <w:bCs/>
            <w:sz w:val="20"/>
            <w:szCs w:val="20"/>
          </w:rPr>
          <w:t xml:space="preserve"> nr</w:t>
        </w:r>
        <w:r w:rsidRPr="00644801">
          <w:rPr>
            <w:rStyle w:val="Hipercze"/>
            <w:b/>
            <w:bCs/>
            <w:sz w:val="20"/>
            <w:szCs w:val="20"/>
          </w:rPr>
          <w:t xml:space="preserve"> 17764/22)</w:t>
        </w:r>
      </w:hyperlink>
      <w:r>
        <w:rPr>
          <w:b/>
          <w:bCs/>
          <w:color w:val="0071BB"/>
          <w:sz w:val="20"/>
          <w:szCs w:val="20"/>
        </w:rPr>
        <w:t xml:space="preserve"> </w:t>
      </w:r>
    </w:p>
    <w:p w14:paraId="64A52F79" w14:textId="4C93AE17" w:rsidR="000D5569" w:rsidRPr="00AA71E9" w:rsidRDefault="00221508" w:rsidP="004811FE">
      <w:pPr>
        <w:pStyle w:val="Default"/>
        <w:spacing w:after="40"/>
        <w:rPr>
          <w:color w:val="808080"/>
          <w:sz w:val="20"/>
          <w:szCs w:val="20"/>
        </w:rPr>
      </w:pPr>
      <w:bookmarkStart w:id="1" w:name="_Hlk191987147"/>
      <w:r w:rsidRPr="00AA71E9">
        <w:rPr>
          <w:color w:val="808080"/>
          <w:sz w:val="20"/>
          <w:szCs w:val="20"/>
        </w:rPr>
        <w:t>Zrzeczenie</w:t>
      </w:r>
      <w:r w:rsidR="00474E51" w:rsidRPr="00AA71E9">
        <w:rPr>
          <w:color w:val="808080"/>
          <w:sz w:val="20"/>
          <w:szCs w:val="20"/>
        </w:rPr>
        <w:t xml:space="preserve"> się właściwości na rzecz Wielkiej Izby</w:t>
      </w:r>
      <w:bookmarkEnd w:id="1"/>
      <w:r w:rsidR="00474E51" w:rsidRPr="00AA71E9">
        <w:rPr>
          <w:color w:val="808080"/>
          <w:sz w:val="20"/>
          <w:szCs w:val="20"/>
        </w:rPr>
        <w:t xml:space="preserve"> w</w:t>
      </w:r>
      <w:r w:rsidR="000D5569" w:rsidRPr="00AA71E9">
        <w:rPr>
          <w:color w:val="808080"/>
          <w:sz w:val="20"/>
          <w:szCs w:val="20"/>
        </w:rPr>
        <w:t xml:space="preserve"> </w:t>
      </w:r>
      <w:r w:rsidR="000D3DB5" w:rsidRPr="00AA71E9">
        <w:rPr>
          <w:color w:val="808080"/>
          <w:sz w:val="20"/>
          <w:szCs w:val="20"/>
        </w:rPr>
        <w:t>k</w:t>
      </w:r>
      <w:r w:rsidR="00474E51" w:rsidRPr="00AA71E9">
        <w:rPr>
          <w:color w:val="808080"/>
          <w:sz w:val="20"/>
          <w:szCs w:val="20"/>
        </w:rPr>
        <w:t>wietniu</w:t>
      </w:r>
      <w:r w:rsidR="000D5569" w:rsidRPr="00AA71E9">
        <w:rPr>
          <w:color w:val="808080"/>
          <w:sz w:val="20"/>
          <w:szCs w:val="20"/>
        </w:rPr>
        <w:t xml:space="preserve"> 2024</w:t>
      </w:r>
      <w:r w:rsidR="00E2019D">
        <w:rPr>
          <w:color w:val="808080"/>
          <w:sz w:val="20"/>
          <w:szCs w:val="20"/>
        </w:rPr>
        <w:t xml:space="preserve"> </w:t>
      </w:r>
      <w:r w:rsidR="00AA71E9" w:rsidRPr="00AA71E9">
        <w:rPr>
          <w:color w:val="808080"/>
          <w:sz w:val="20"/>
          <w:szCs w:val="20"/>
        </w:rPr>
        <w:t>r</w:t>
      </w:r>
      <w:r w:rsidR="00E131B4">
        <w:rPr>
          <w:color w:val="808080"/>
          <w:sz w:val="20"/>
          <w:szCs w:val="20"/>
        </w:rPr>
        <w:t>oku</w:t>
      </w:r>
    </w:p>
    <w:p w14:paraId="301B274D" w14:textId="6397D38A" w:rsidR="000D5569" w:rsidRDefault="00221508" w:rsidP="00AB25F4">
      <w:pPr>
        <w:pStyle w:val="Default"/>
        <w:spacing w:after="40"/>
        <w:jc w:val="both"/>
        <w:rPr>
          <w:sz w:val="20"/>
          <w:szCs w:val="20"/>
        </w:rPr>
      </w:pPr>
      <w:r>
        <w:rPr>
          <w:sz w:val="20"/>
          <w:szCs w:val="20"/>
        </w:rPr>
        <w:t xml:space="preserve">Sprawa dotyczy czterech obywateli Kuby oraz ich wielokrotnych prób przedostania się </w:t>
      </w:r>
      <w:r w:rsidR="001F3A8B">
        <w:rPr>
          <w:sz w:val="20"/>
          <w:szCs w:val="20"/>
        </w:rPr>
        <w:t>na</w:t>
      </w:r>
      <w:r>
        <w:rPr>
          <w:sz w:val="20"/>
          <w:szCs w:val="20"/>
        </w:rPr>
        <w:t xml:space="preserve"> Litw</w:t>
      </w:r>
      <w:r w:rsidR="001F3A8B">
        <w:rPr>
          <w:sz w:val="20"/>
          <w:szCs w:val="20"/>
        </w:rPr>
        <w:t>ę</w:t>
      </w:r>
      <w:r>
        <w:rPr>
          <w:sz w:val="20"/>
          <w:szCs w:val="20"/>
        </w:rPr>
        <w:t xml:space="preserve"> </w:t>
      </w:r>
      <w:r w:rsidR="00387B99">
        <w:rPr>
          <w:sz w:val="20"/>
          <w:szCs w:val="20"/>
        </w:rPr>
        <w:t>po</w:t>
      </w:r>
      <w:r>
        <w:rPr>
          <w:sz w:val="20"/>
          <w:szCs w:val="20"/>
        </w:rPr>
        <w:t>przez przekroc</w:t>
      </w:r>
      <w:r w:rsidR="001F3A8B">
        <w:rPr>
          <w:sz w:val="20"/>
          <w:szCs w:val="20"/>
        </w:rPr>
        <w:t>zenie jej granicy z Białorusią w marcu i kwietniu 2022 roku. Skarżący twierdzą, że przy każdej</w:t>
      </w:r>
      <w:r w:rsidR="00387B99">
        <w:rPr>
          <w:sz w:val="20"/>
          <w:szCs w:val="20"/>
        </w:rPr>
        <w:t xml:space="preserve"> z tych prób </w:t>
      </w:r>
      <w:r w:rsidR="00A54A55">
        <w:rPr>
          <w:sz w:val="20"/>
          <w:szCs w:val="20"/>
        </w:rPr>
        <w:t xml:space="preserve">uzbrojeni </w:t>
      </w:r>
      <w:r w:rsidR="00FD24AB">
        <w:rPr>
          <w:sz w:val="20"/>
          <w:szCs w:val="20"/>
        </w:rPr>
        <w:t>l</w:t>
      </w:r>
      <w:r w:rsidR="00B5299F">
        <w:rPr>
          <w:sz w:val="20"/>
          <w:szCs w:val="20"/>
        </w:rPr>
        <w:t>itewscy</w:t>
      </w:r>
      <w:r w:rsidR="002B5243">
        <w:rPr>
          <w:sz w:val="20"/>
          <w:szCs w:val="20"/>
        </w:rPr>
        <w:t xml:space="preserve"> funkcjonariusze straży granicznej </w:t>
      </w:r>
      <w:r w:rsidR="00387B99">
        <w:rPr>
          <w:sz w:val="20"/>
          <w:szCs w:val="20"/>
        </w:rPr>
        <w:t xml:space="preserve"> wypycha</w:t>
      </w:r>
      <w:r w:rsidR="002B5243">
        <w:rPr>
          <w:sz w:val="20"/>
          <w:szCs w:val="20"/>
        </w:rPr>
        <w:t>l</w:t>
      </w:r>
      <w:r w:rsidR="00387B99">
        <w:rPr>
          <w:sz w:val="20"/>
          <w:szCs w:val="20"/>
        </w:rPr>
        <w:t>i</w:t>
      </w:r>
      <w:r w:rsidR="002B5243">
        <w:rPr>
          <w:sz w:val="20"/>
          <w:szCs w:val="20"/>
        </w:rPr>
        <w:t xml:space="preserve"> ich</w:t>
      </w:r>
      <w:r w:rsidR="00387B99">
        <w:rPr>
          <w:sz w:val="20"/>
          <w:szCs w:val="20"/>
        </w:rPr>
        <w:t xml:space="preserve"> </w:t>
      </w:r>
      <w:r w:rsidR="002B5243">
        <w:rPr>
          <w:sz w:val="20"/>
          <w:szCs w:val="20"/>
        </w:rPr>
        <w:t>z powrotem na terytorium Białorusi</w:t>
      </w:r>
      <w:r w:rsidR="00B5299F">
        <w:rPr>
          <w:sz w:val="20"/>
          <w:szCs w:val="20"/>
        </w:rPr>
        <w:t>, nie dając im możliwości założenia wniosku o udzielenie azylu. Ostatecznie weszli oni na terytorium Litwy 13 kwietnia 2022 roku i zostali zatrzymani.</w:t>
      </w:r>
      <w:r w:rsidR="000D5569">
        <w:rPr>
          <w:sz w:val="20"/>
          <w:szCs w:val="20"/>
        </w:rPr>
        <w:t xml:space="preserve"> </w:t>
      </w:r>
      <w:r w:rsidR="005B0A9A">
        <w:rPr>
          <w:sz w:val="20"/>
          <w:szCs w:val="20"/>
        </w:rPr>
        <w:t>Skarżący składają szereg skarg dotyczących</w:t>
      </w:r>
      <w:r w:rsidR="00A54A55">
        <w:rPr>
          <w:sz w:val="20"/>
          <w:szCs w:val="20"/>
        </w:rPr>
        <w:t xml:space="preserve"> ich </w:t>
      </w:r>
      <w:r w:rsidR="00FD24AB">
        <w:rPr>
          <w:sz w:val="20"/>
          <w:szCs w:val="20"/>
        </w:rPr>
        <w:t xml:space="preserve">szybkich </w:t>
      </w:r>
      <w:r w:rsidR="00A54A55">
        <w:rPr>
          <w:sz w:val="20"/>
          <w:szCs w:val="20"/>
        </w:rPr>
        <w:t>wydaleń</w:t>
      </w:r>
      <w:r w:rsidR="00FD24AB">
        <w:rPr>
          <w:sz w:val="20"/>
          <w:szCs w:val="20"/>
        </w:rPr>
        <w:t xml:space="preserve"> (,,</w:t>
      </w:r>
      <w:proofErr w:type="spellStart"/>
      <w:r w:rsidR="00FD24AB">
        <w:rPr>
          <w:sz w:val="20"/>
          <w:szCs w:val="20"/>
        </w:rPr>
        <w:t>pushback</w:t>
      </w:r>
      <w:proofErr w:type="spellEnd"/>
      <w:r w:rsidR="00FD24AB">
        <w:rPr>
          <w:sz w:val="20"/>
          <w:szCs w:val="20"/>
        </w:rPr>
        <w:t>”)</w:t>
      </w:r>
      <w:r w:rsidR="005B0A9A">
        <w:rPr>
          <w:sz w:val="20"/>
          <w:szCs w:val="20"/>
        </w:rPr>
        <w:t>. W sz</w:t>
      </w:r>
      <w:r w:rsidR="00F66B22">
        <w:rPr>
          <w:sz w:val="20"/>
          <w:szCs w:val="20"/>
        </w:rPr>
        <w:t>cz</w:t>
      </w:r>
      <w:r w:rsidR="005B0A9A">
        <w:rPr>
          <w:sz w:val="20"/>
          <w:szCs w:val="20"/>
        </w:rPr>
        <w:t xml:space="preserve">ególności, twierdzą, że </w:t>
      </w:r>
      <w:r w:rsidR="00FD24AB">
        <w:rPr>
          <w:sz w:val="20"/>
          <w:szCs w:val="20"/>
        </w:rPr>
        <w:t>,,</w:t>
      </w:r>
      <w:proofErr w:type="spellStart"/>
      <w:r w:rsidR="00FD24AB">
        <w:rPr>
          <w:sz w:val="20"/>
          <w:szCs w:val="20"/>
        </w:rPr>
        <w:t>pushbacki</w:t>
      </w:r>
      <w:proofErr w:type="spellEnd"/>
      <w:r w:rsidR="00FD24AB">
        <w:rPr>
          <w:sz w:val="20"/>
          <w:szCs w:val="20"/>
        </w:rPr>
        <w:t>”</w:t>
      </w:r>
      <w:r w:rsidR="005B0A9A">
        <w:rPr>
          <w:sz w:val="20"/>
          <w:szCs w:val="20"/>
        </w:rPr>
        <w:t xml:space="preserve">, przeprowadzone bez oceny indywidualnej sytuacji każdego </w:t>
      </w:r>
      <w:r w:rsidR="00FD24AB">
        <w:rPr>
          <w:sz w:val="20"/>
          <w:szCs w:val="20"/>
        </w:rPr>
        <w:t>ze skarżących</w:t>
      </w:r>
      <w:r w:rsidR="005B0A9A">
        <w:rPr>
          <w:sz w:val="20"/>
          <w:szCs w:val="20"/>
        </w:rPr>
        <w:t xml:space="preserve"> </w:t>
      </w:r>
      <w:r w:rsidR="00071EB9">
        <w:rPr>
          <w:sz w:val="20"/>
          <w:szCs w:val="20"/>
        </w:rPr>
        <w:t xml:space="preserve">oraz bez zapewnienia im </w:t>
      </w:r>
      <w:bookmarkStart w:id="2" w:name="_Hlk192156521"/>
      <w:r w:rsidR="00071EB9">
        <w:rPr>
          <w:sz w:val="20"/>
          <w:szCs w:val="20"/>
        </w:rPr>
        <w:t xml:space="preserve">rzeczywistego i skutecznego </w:t>
      </w:r>
      <w:bookmarkEnd w:id="2"/>
      <w:r w:rsidR="00071EB9">
        <w:rPr>
          <w:sz w:val="20"/>
          <w:szCs w:val="20"/>
        </w:rPr>
        <w:t xml:space="preserve">dostępu do </w:t>
      </w:r>
      <w:r w:rsidR="006A6947">
        <w:rPr>
          <w:sz w:val="20"/>
          <w:szCs w:val="20"/>
        </w:rPr>
        <w:t>możliwości</w:t>
      </w:r>
      <w:r w:rsidR="00071EB9">
        <w:rPr>
          <w:sz w:val="20"/>
          <w:szCs w:val="20"/>
        </w:rPr>
        <w:t xml:space="preserve"> </w:t>
      </w:r>
      <w:r w:rsidR="006A6947">
        <w:rPr>
          <w:sz w:val="20"/>
          <w:szCs w:val="20"/>
        </w:rPr>
        <w:t xml:space="preserve">wjazdu zgodnego z prawem, stanowiły zbiorowe wydalenie. </w:t>
      </w:r>
      <w:r w:rsidR="00071EB9">
        <w:rPr>
          <w:sz w:val="20"/>
          <w:szCs w:val="20"/>
        </w:rPr>
        <w:t xml:space="preserve"> </w:t>
      </w:r>
    </w:p>
    <w:p w14:paraId="662A2502" w14:textId="4A01A6AB" w:rsidR="000D6D1E" w:rsidRPr="000D6D1E" w:rsidRDefault="000D6D1E" w:rsidP="00AB25F4">
      <w:pPr>
        <w:pStyle w:val="Default"/>
        <w:jc w:val="both"/>
        <w:rPr>
          <w:color w:val="0071BB"/>
          <w:sz w:val="20"/>
          <w:szCs w:val="20"/>
        </w:rPr>
      </w:pPr>
      <w:bookmarkStart w:id="3" w:name="_Hlk191990666"/>
      <w:r w:rsidRPr="000D6D1E">
        <w:rPr>
          <w:color w:val="0071BB"/>
          <w:sz w:val="20"/>
          <w:szCs w:val="20"/>
        </w:rPr>
        <w:t>W dniu 8 kwietnia 2022 roku</w:t>
      </w:r>
      <w:bookmarkEnd w:id="3"/>
      <w:r w:rsidRPr="000D6D1E">
        <w:rPr>
          <w:color w:val="0071BB"/>
          <w:sz w:val="20"/>
          <w:szCs w:val="20"/>
        </w:rPr>
        <w:t xml:space="preserve">, równocześnie z udzieleniem środka tymczasowego na podstawie </w:t>
      </w:r>
      <w:r w:rsidR="00FA6F5D">
        <w:rPr>
          <w:color w:val="0071BB"/>
          <w:sz w:val="20"/>
          <w:szCs w:val="20"/>
        </w:rPr>
        <w:t>Reguły</w:t>
      </w:r>
      <w:r w:rsidRPr="000D6D1E">
        <w:rPr>
          <w:color w:val="0071BB"/>
          <w:sz w:val="20"/>
          <w:szCs w:val="20"/>
        </w:rPr>
        <w:t xml:space="preserve"> 39 Regulaminu </w:t>
      </w:r>
      <w:r>
        <w:rPr>
          <w:color w:val="0071BB"/>
          <w:sz w:val="20"/>
          <w:szCs w:val="20"/>
        </w:rPr>
        <w:t>Trybunału</w:t>
      </w:r>
      <w:r w:rsidRPr="000D6D1E">
        <w:rPr>
          <w:color w:val="0071BB"/>
          <w:sz w:val="20"/>
          <w:szCs w:val="20"/>
        </w:rPr>
        <w:t xml:space="preserve">, Izba, do której sprawa została przydzielona, postanowiła nadać sprawie </w:t>
      </w:r>
      <w:r w:rsidR="004D619C">
        <w:rPr>
          <w:color w:val="0071BB"/>
          <w:sz w:val="20"/>
          <w:szCs w:val="20"/>
        </w:rPr>
        <w:t>pierwszeństwo</w:t>
      </w:r>
      <w:r w:rsidRPr="000D6D1E">
        <w:rPr>
          <w:color w:val="0071BB"/>
          <w:sz w:val="20"/>
          <w:szCs w:val="20"/>
        </w:rPr>
        <w:t xml:space="preserve"> na mocy </w:t>
      </w:r>
      <w:r w:rsidR="00FA6F5D">
        <w:rPr>
          <w:color w:val="0071BB"/>
          <w:sz w:val="20"/>
          <w:szCs w:val="20"/>
        </w:rPr>
        <w:t>Reguły</w:t>
      </w:r>
      <w:r w:rsidRPr="000D6D1E">
        <w:rPr>
          <w:color w:val="0071BB"/>
          <w:sz w:val="20"/>
          <w:szCs w:val="20"/>
        </w:rPr>
        <w:t xml:space="preserve"> 41 Regulaminu </w:t>
      </w:r>
      <w:r w:rsidR="00FA6F5D">
        <w:rPr>
          <w:color w:val="0071BB"/>
          <w:sz w:val="20"/>
          <w:szCs w:val="20"/>
        </w:rPr>
        <w:t>Trybunału</w:t>
      </w:r>
      <w:r w:rsidRPr="000D6D1E">
        <w:rPr>
          <w:color w:val="0071BB"/>
          <w:sz w:val="20"/>
          <w:szCs w:val="20"/>
        </w:rPr>
        <w:t>.</w:t>
      </w:r>
    </w:p>
    <w:p w14:paraId="79DABB9A" w14:textId="6B13A034" w:rsidR="000D6D1E" w:rsidRPr="000D6D1E" w:rsidRDefault="000D6D1E" w:rsidP="00AB25F4">
      <w:pPr>
        <w:pStyle w:val="Default"/>
        <w:jc w:val="both"/>
        <w:rPr>
          <w:color w:val="0071BB"/>
          <w:sz w:val="20"/>
          <w:szCs w:val="20"/>
        </w:rPr>
      </w:pPr>
      <w:r w:rsidRPr="000D6D1E">
        <w:rPr>
          <w:color w:val="0071BB"/>
          <w:sz w:val="20"/>
          <w:szCs w:val="20"/>
        </w:rPr>
        <w:t xml:space="preserve">W dniu 4 maja 2022 roku </w:t>
      </w:r>
      <w:r w:rsidR="00FA6F5D">
        <w:rPr>
          <w:color w:val="0071BB"/>
          <w:sz w:val="20"/>
          <w:szCs w:val="20"/>
        </w:rPr>
        <w:t>Trybunał</w:t>
      </w:r>
      <w:r w:rsidRPr="000D6D1E">
        <w:rPr>
          <w:color w:val="0071BB"/>
          <w:sz w:val="20"/>
          <w:szCs w:val="20"/>
        </w:rPr>
        <w:t xml:space="preserve"> uchylił środek tymczasowy udzielony w dniu 8 kwietnia 2022 roku.</w:t>
      </w:r>
    </w:p>
    <w:p w14:paraId="575C0924" w14:textId="20D00AD3" w:rsidR="000D6D1E" w:rsidRPr="000D6D1E" w:rsidRDefault="000D6D1E" w:rsidP="00AB25F4">
      <w:pPr>
        <w:pStyle w:val="Default"/>
        <w:jc w:val="both"/>
        <w:rPr>
          <w:color w:val="0071BB"/>
          <w:sz w:val="20"/>
          <w:szCs w:val="20"/>
        </w:rPr>
      </w:pPr>
      <w:r w:rsidRPr="000D6D1E">
        <w:rPr>
          <w:color w:val="0071BB"/>
          <w:sz w:val="20"/>
          <w:szCs w:val="20"/>
        </w:rPr>
        <w:t xml:space="preserve">W dniu 2 grudnia 2022 roku </w:t>
      </w:r>
      <w:r w:rsidR="00FD24AB">
        <w:rPr>
          <w:color w:val="0071BB"/>
          <w:sz w:val="20"/>
          <w:szCs w:val="20"/>
        </w:rPr>
        <w:t>skarga została zakomunikowana Rządowi Litwy</w:t>
      </w:r>
      <w:r w:rsidRPr="000D6D1E">
        <w:rPr>
          <w:color w:val="0071BB"/>
          <w:sz w:val="20"/>
          <w:szCs w:val="20"/>
        </w:rPr>
        <w:t>, wraz z pytaniami</w:t>
      </w:r>
      <w:r w:rsidR="008F3E75">
        <w:rPr>
          <w:color w:val="0071BB"/>
          <w:sz w:val="20"/>
          <w:szCs w:val="20"/>
        </w:rPr>
        <w:t xml:space="preserve"> Trybunału</w:t>
      </w:r>
      <w:r w:rsidRPr="000D6D1E">
        <w:rPr>
          <w:color w:val="0071BB"/>
          <w:sz w:val="20"/>
          <w:szCs w:val="20"/>
        </w:rPr>
        <w:t>, w tym m.in. na podstawie Artykułu 4 Protokołu nr 4 do Konwencji.</w:t>
      </w:r>
    </w:p>
    <w:p w14:paraId="00D79036" w14:textId="6DAB5B96" w:rsidR="000D6D1E" w:rsidRPr="000D6D1E" w:rsidRDefault="000D6D1E" w:rsidP="00AB25F4">
      <w:pPr>
        <w:pStyle w:val="Default"/>
        <w:jc w:val="both"/>
        <w:rPr>
          <w:color w:val="0071BB"/>
          <w:sz w:val="20"/>
          <w:szCs w:val="20"/>
        </w:rPr>
      </w:pPr>
      <w:r w:rsidRPr="000D6D1E">
        <w:rPr>
          <w:color w:val="0071BB"/>
          <w:sz w:val="20"/>
          <w:szCs w:val="20"/>
        </w:rPr>
        <w:t xml:space="preserve">Izba, do której sprawa została przydzielona, </w:t>
      </w:r>
      <w:r w:rsidR="0013699C">
        <w:rPr>
          <w:color w:val="0071BB"/>
          <w:sz w:val="20"/>
          <w:szCs w:val="20"/>
        </w:rPr>
        <w:t>z</w:t>
      </w:r>
      <w:r w:rsidR="0013699C" w:rsidRPr="0013699C">
        <w:rPr>
          <w:color w:val="0071BB"/>
          <w:sz w:val="20"/>
          <w:szCs w:val="20"/>
        </w:rPr>
        <w:t>rze</w:t>
      </w:r>
      <w:r w:rsidR="0013699C">
        <w:rPr>
          <w:color w:val="0071BB"/>
          <w:sz w:val="20"/>
          <w:szCs w:val="20"/>
        </w:rPr>
        <w:t>kła</w:t>
      </w:r>
      <w:r w:rsidR="0013699C" w:rsidRPr="0013699C">
        <w:rPr>
          <w:color w:val="0071BB"/>
          <w:sz w:val="20"/>
          <w:szCs w:val="20"/>
        </w:rPr>
        <w:t xml:space="preserve"> się właściwości na rzecz Wielkiej Izby </w:t>
      </w:r>
      <w:r w:rsidRPr="000D6D1E">
        <w:rPr>
          <w:color w:val="0071BB"/>
          <w:sz w:val="20"/>
          <w:szCs w:val="20"/>
        </w:rPr>
        <w:t>w dniu 16 kwietnia 2024 roku.</w:t>
      </w:r>
    </w:p>
    <w:p w14:paraId="41FC5348" w14:textId="015F141C" w:rsidR="000D6D1E" w:rsidRDefault="000D6D1E" w:rsidP="00AB25F4">
      <w:pPr>
        <w:pStyle w:val="Default"/>
        <w:jc w:val="both"/>
        <w:rPr>
          <w:color w:val="0071BB"/>
          <w:sz w:val="20"/>
          <w:szCs w:val="20"/>
        </w:rPr>
      </w:pPr>
      <w:r w:rsidRPr="000D6D1E">
        <w:rPr>
          <w:color w:val="0071BB"/>
          <w:sz w:val="20"/>
          <w:szCs w:val="20"/>
        </w:rPr>
        <w:t>Wielka Izba wyznaczyła rozprawę w tej sprawie na dzień 12 lutego 2025 roku</w:t>
      </w:r>
      <w:r w:rsidR="00AA71E9">
        <w:rPr>
          <w:color w:val="0071BB"/>
          <w:sz w:val="20"/>
          <w:szCs w:val="20"/>
        </w:rPr>
        <w:t>.</w:t>
      </w:r>
    </w:p>
    <w:p w14:paraId="52ECA2B8" w14:textId="77777777" w:rsidR="00633C1F" w:rsidRDefault="00633C1F" w:rsidP="00AB25F4">
      <w:pPr>
        <w:pStyle w:val="Default"/>
        <w:jc w:val="both"/>
      </w:pPr>
    </w:p>
    <w:p w14:paraId="5B2B4003" w14:textId="420F34CF" w:rsidR="00633C1F" w:rsidRDefault="00633C1F" w:rsidP="00633C1F">
      <w:pPr>
        <w:pStyle w:val="Default"/>
        <w:rPr>
          <w:color w:val="0071BB"/>
          <w:sz w:val="20"/>
          <w:szCs w:val="20"/>
        </w:rPr>
      </w:pPr>
      <w:hyperlink r:id="rId9" w:anchor="{%22itemid%22:[%22003-7983149-11136336%22]}" w:history="1">
        <w:r w:rsidRPr="004811FE">
          <w:rPr>
            <w:rStyle w:val="Hipercze"/>
            <w:b/>
            <w:bCs/>
            <w:sz w:val="20"/>
            <w:szCs w:val="20"/>
          </w:rPr>
          <w:t xml:space="preserve">R.A. i </w:t>
        </w:r>
        <w:r w:rsidR="003F2855" w:rsidRPr="004811FE">
          <w:rPr>
            <w:rStyle w:val="Hipercze"/>
            <w:b/>
            <w:bCs/>
            <w:sz w:val="20"/>
            <w:szCs w:val="20"/>
          </w:rPr>
          <w:t>I</w:t>
        </w:r>
        <w:r w:rsidRPr="004811FE">
          <w:rPr>
            <w:rStyle w:val="Hipercze"/>
            <w:b/>
            <w:bCs/>
            <w:sz w:val="20"/>
            <w:szCs w:val="20"/>
          </w:rPr>
          <w:t>nni przeciwko Polsce (nr 42120/21)</w:t>
        </w:r>
      </w:hyperlink>
      <w:r>
        <w:rPr>
          <w:b/>
          <w:bCs/>
          <w:color w:val="0071BB"/>
          <w:sz w:val="20"/>
          <w:szCs w:val="20"/>
        </w:rPr>
        <w:t xml:space="preserve"> </w:t>
      </w:r>
    </w:p>
    <w:p w14:paraId="2543A4C2" w14:textId="5A2CAC40" w:rsidR="00633C1F" w:rsidRPr="00AA71E9" w:rsidRDefault="00633C1F" w:rsidP="00633C1F">
      <w:pPr>
        <w:pStyle w:val="Default"/>
        <w:rPr>
          <w:color w:val="808080"/>
          <w:sz w:val="20"/>
          <w:szCs w:val="20"/>
        </w:rPr>
      </w:pPr>
      <w:bookmarkStart w:id="4" w:name="_Hlk191992234"/>
      <w:r w:rsidRPr="00AA71E9">
        <w:rPr>
          <w:color w:val="808080"/>
          <w:sz w:val="20"/>
          <w:szCs w:val="20"/>
        </w:rPr>
        <w:t xml:space="preserve">Zrzeczenie się właściwości na rzecz </w:t>
      </w:r>
      <w:bookmarkEnd w:id="4"/>
      <w:r w:rsidRPr="00AA71E9">
        <w:rPr>
          <w:color w:val="808080"/>
          <w:sz w:val="20"/>
          <w:szCs w:val="20"/>
        </w:rPr>
        <w:t xml:space="preserve">Wielkiej Izby w </w:t>
      </w:r>
      <w:r w:rsidR="000D3DB5" w:rsidRPr="00AA71E9">
        <w:rPr>
          <w:color w:val="808080"/>
          <w:sz w:val="20"/>
          <w:szCs w:val="20"/>
        </w:rPr>
        <w:t>czerwcu</w:t>
      </w:r>
      <w:r w:rsidRPr="00AA71E9">
        <w:rPr>
          <w:color w:val="808080"/>
          <w:sz w:val="20"/>
          <w:szCs w:val="20"/>
        </w:rPr>
        <w:t xml:space="preserve"> 2024 </w:t>
      </w:r>
      <w:r w:rsidR="00E2019D">
        <w:rPr>
          <w:color w:val="808080"/>
          <w:sz w:val="20"/>
          <w:szCs w:val="20"/>
        </w:rPr>
        <w:t>r</w:t>
      </w:r>
      <w:r w:rsidR="00147321">
        <w:rPr>
          <w:color w:val="808080"/>
          <w:sz w:val="20"/>
          <w:szCs w:val="20"/>
        </w:rPr>
        <w:t>oku</w:t>
      </w:r>
    </w:p>
    <w:p w14:paraId="166A8FE0" w14:textId="536CFC9C" w:rsidR="00731FC4" w:rsidRPr="000D3DB5" w:rsidRDefault="000D3DB5" w:rsidP="00AB25F4">
      <w:pPr>
        <w:pStyle w:val="Default"/>
        <w:jc w:val="both"/>
        <w:rPr>
          <w:sz w:val="20"/>
          <w:szCs w:val="20"/>
        </w:rPr>
      </w:pPr>
      <w:r w:rsidRPr="000D3DB5">
        <w:rPr>
          <w:sz w:val="20"/>
          <w:szCs w:val="20"/>
        </w:rPr>
        <w:t>Sprawa dotyczy grupy 32 obywateli Afganistanu, którzy twierdzą, że uciekli z Afganistanu po przejęciu władzy przez Talibów. Zostali</w:t>
      </w:r>
      <w:r w:rsidR="000F3036">
        <w:rPr>
          <w:sz w:val="20"/>
          <w:szCs w:val="20"/>
        </w:rPr>
        <w:t xml:space="preserve"> oni</w:t>
      </w:r>
      <w:r w:rsidRPr="000D3DB5">
        <w:rPr>
          <w:sz w:val="20"/>
          <w:szCs w:val="20"/>
        </w:rPr>
        <w:t xml:space="preserve"> pozostawieni w prowizorycznym obozie na granicy Białorusi i Polski od 8 sierpnia do 23 października 2021 roku. Skarżący </w:t>
      </w:r>
      <w:r w:rsidR="007B7AAC">
        <w:rPr>
          <w:sz w:val="20"/>
          <w:szCs w:val="20"/>
        </w:rPr>
        <w:t xml:space="preserve">zarzucają, że zostali poddani zbiorowemu wydaleniu oraz że nie udostępniono im żadnego skutecznego środka odwoławczego. </w:t>
      </w:r>
      <w:r w:rsidRPr="000D3DB5">
        <w:rPr>
          <w:sz w:val="20"/>
          <w:szCs w:val="20"/>
        </w:rPr>
        <w:t xml:space="preserve">Twierdzą również, że </w:t>
      </w:r>
      <w:r w:rsidR="00477554" w:rsidRPr="000D3DB5">
        <w:rPr>
          <w:sz w:val="20"/>
          <w:szCs w:val="20"/>
        </w:rPr>
        <w:t xml:space="preserve">polskie </w:t>
      </w:r>
      <w:r w:rsidRPr="000D3DB5">
        <w:rPr>
          <w:sz w:val="20"/>
          <w:szCs w:val="20"/>
        </w:rPr>
        <w:t xml:space="preserve">władze </w:t>
      </w:r>
      <w:r w:rsidR="00A429D5">
        <w:rPr>
          <w:sz w:val="20"/>
          <w:szCs w:val="20"/>
        </w:rPr>
        <w:t xml:space="preserve">pozbawiły ich </w:t>
      </w:r>
      <w:r w:rsidRPr="000D3DB5">
        <w:rPr>
          <w:sz w:val="20"/>
          <w:szCs w:val="20"/>
        </w:rPr>
        <w:t xml:space="preserve">dostępu do procedur </w:t>
      </w:r>
      <w:r w:rsidR="007B7AAC">
        <w:rPr>
          <w:sz w:val="20"/>
          <w:szCs w:val="20"/>
        </w:rPr>
        <w:t xml:space="preserve">udzielenia </w:t>
      </w:r>
      <w:r w:rsidRPr="000D3DB5">
        <w:rPr>
          <w:sz w:val="20"/>
          <w:szCs w:val="20"/>
        </w:rPr>
        <w:t>azyl</w:t>
      </w:r>
      <w:r w:rsidR="007B7AAC">
        <w:rPr>
          <w:sz w:val="20"/>
          <w:szCs w:val="20"/>
        </w:rPr>
        <w:t>u</w:t>
      </w:r>
      <w:r w:rsidR="00477554">
        <w:rPr>
          <w:sz w:val="20"/>
          <w:szCs w:val="20"/>
        </w:rPr>
        <w:t>, a także że zostali</w:t>
      </w:r>
      <w:r w:rsidRPr="000D3DB5">
        <w:rPr>
          <w:sz w:val="20"/>
          <w:szCs w:val="20"/>
        </w:rPr>
        <w:t xml:space="preserve"> narażeni na ryzyko, w przypadku deportacji do Afganistanu, traktowania w sposób </w:t>
      </w:r>
      <w:r w:rsidR="00477554" w:rsidRPr="000D3DB5">
        <w:rPr>
          <w:sz w:val="20"/>
          <w:szCs w:val="20"/>
        </w:rPr>
        <w:t>naruszający</w:t>
      </w:r>
      <w:r w:rsidRPr="000D3DB5">
        <w:rPr>
          <w:sz w:val="20"/>
          <w:szCs w:val="20"/>
        </w:rPr>
        <w:t xml:space="preserve"> postanowienia Konwencji, a w przypadku odesłania </w:t>
      </w:r>
      <w:r w:rsidR="00477554">
        <w:rPr>
          <w:sz w:val="20"/>
          <w:szCs w:val="20"/>
        </w:rPr>
        <w:t>na</w:t>
      </w:r>
      <w:r w:rsidRPr="000D3DB5">
        <w:rPr>
          <w:sz w:val="20"/>
          <w:szCs w:val="20"/>
        </w:rPr>
        <w:t xml:space="preserve"> Białorusi – na ryzyko </w:t>
      </w:r>
      <w:r w:rsidR="00A429D5" w:rsidRPr="00A429D5">
        <w:rPr>
          <w:sz w:val="20"/>
          <w:szCs w:val="20"/>
        </w:rPr>
        <w:t>„odesłania łańcuchowego” (</w:t>
      </w:r>
      <w:r w:rsidR="005D0D1E">
        <w:rPr>
          <w:sz w:val="20"/>
          <w:szCs w:val="20"/>
        </w:rPr>
        <w:t xml:space="preserve">ang. </w:t>
      </w:r>
      <w:proofErr w:type="spellStart"/>
      <w:r w:rsidR="00A429D5" w:rsidRPr="005D0D1E">
        <w:rPr>
          <w:i/>
          <w:iCs/>
          <w:sz w:val="20"/>
          <w:szCs w:val="20"/>
        </w:rPr>
        <w:t>chain</w:t>
      </w:r>
      <w:proofErr w:type="spellEnd"/>
      <w:r w:rsidR="00A429D5" w:rsidRPr="005D0D1E">
        <w:rPr>
          <w:i/>
          <w:iCs/>
          <w:sz w:val="20"/>
          <w:szCs w:val="20"/>
        </w:rPr>
        <w:t>–</w:t>
      </w:r>
      <w:proofErr w:type="spellStart"/>
      <w:r w:rsidR="00A429D5" w:rsidRPr="005D0D1E">
        <w:rPr>
          <w:i/>
          <w:iCs/>
          <w:sz w:val="20"/>
          <w:szCs w:val="20"/>
        </w:rPr>
        <w:t>refoulement</w:t>
      </w:r>
      <w:proofErr w:type="spellEnd"/>
      <w:r w:rsidR="00A429D5" w:rsidRPr="00A429D5">
        <w:rPr>
          <w:sz w:val="20"/>
          <w:szCs w:val="20"/>
        </w:rPr>
        <w:t>)</w:t>
      </w:r>
      <w:r w:rsidRPr="000D3DB5">
        <w:rPr>
          <w:sz w:val="20"/>
          <w:szCs w:val="20"/>
        </w:rPr>
        <w:t>.</w:t>
      </w:r>
      <w:r w:rsidR="00731FC4">
        <w:rPr>
          <w:sz w:val="20"/>
          <w:szCs w:val="20"/>
        </w:rPr>
        <w:t xml:space="preserve"> </w:t>
      </w:r>
      <w:r w:rsidRPr="000D3DB5">
        <w:rPr>
          <w:sz w:val="20"/>
          <w:szCs w:val="20"/>
        </w:rPr>
        <w:t xml:space="preserve">Skarżą również materialne i sanitarne warunki </w:t>
      </w:r>
      <w:r w:rsidR="00731FC4">
        <w:rPr>
          <w:sz w:val="20"/>
          <w:szCs w:val="20"/>
        </w:rPr>
        <w:t>w jakich przebywali</w:t>
      </w:r>
      <w:r w:rsidRPr="000D3DB5">
        <w:rPr>
          <w:sz w:val="20"/>
          <w:szCs w:val="20"/>
        </w:rPr>
        <w:t xml:space="preserve">, a także fakt, że Polska nie zastosowała </w:t>
      </w:r>
      <w:hyperlink r:id="rId10" w:anchor="interimMeasures" w:history="1">
        <w:r w:rsidRPr="00DE18EE">
          <w:rPr>
            <w:rStyle w:val="Hipercze"/>
            <w:color w:val="171717" w:themeColor="background2" w:themeShade="1A"/>
            <w:sz w:val="20"/>
            <w:szCs w:val="20"/>
          </w:rPr>
          <w:t>środków tymczasowych</w:t>
        </w:r>
      </w:hyperlink>
      <w:r w:rsidRPr="000D3DB5">
        <w:rPr>
          <w:sz w:val="20"/>
          <w:szCs w:val="20"/>
        </w:rPr>
        <w:t xml:space="preserve"> </w:t>
      </w:r>
      <w:r w:rsidR="00414547">
        <w:rPr>
          <w:sz w:val="20"/>
          <w:szCs w:val="20"/>
        </w:rPr>
        <w:t>wydanych</w:t>
      </w:r>
      <w:r w:rsidRPr="000D3DB5">
        <w:rPr>
          <w:sz w:val="20"/>
          <w:szCs w:val="20"/>
        </w:rPr>
        <w:t xml:space="preserve"> przez</w:t>
      </w:r>
      <w:r w:rsidR="00731FC4">
        <w:rPr>
          <w:sz w:val="20"/>
          <w:szCs w:val="20"/>
        </w:rPr>
        <w:t xml:space="preserve"> Trybunał</w:t>
      </w:r>
      <w:r w:rsidRPr="000D3DB5">
        <w:rPr>
          <w:sz w:val="20"/>
          <w:szCs w:val="20"/>
        </w:rPr>
        <w:t>.</w:t>
      </w:r>
    </w:p>
    <w:p w14:paraId="421DE46C" w14:textId="024074D0" w:rsidR="007F6903" w:rsidRPr="007F6903" w:rsidRDefault="007F6903" w:rsidP="00AB25F4">
      <w:pPr>
        <w:pStyle w:val="Default"/>
        <w:jc w:val="both"/>
        <w:rPr>
          <w:color w:val="0071BB"/>
          <w:sz w:val="20"/>
          <w:szCs w:val="20"/>
        </w:rPr>
      </w:pPr>
      <w:r>
        <w:rPr>
          <w:color w:val="0071BB"/>
          <w:sz w:val="20"/>
          <w:szCs w:val="20"/>
        </w:rPr>
        <w:t xml:space="preserve">W </w:t>
      </w:r>
      <w:r w:rsidRPr="007F6903">
        <w:rPr>
          <w:color w:val="0071BB"/>
          <w:sz w:val="20"/>
          <w:szCs w:val="20"/>
        </w:rPr>
        <w:t xml:space="preserve">dniu 25 sierpnia 2021 roku </w:t>
      </w:r>
      <w:r w:rsidR="000E6059">
        <w:rPr>
          <w:color w:val="0071BB"/>
          <w:sz w:val="20"/>
          <w:szCs w:val="20"/>
        </w:rPr>
        <w:t>Trybunał</w:t>
      </w:r>
      <w:r w:rsidRPr="007F6903">
        <w:rPr>
          <w:color w:val="0071BB"/>
          <w:sz w:val="20"/>
          <w:szCs w:val="20"/>
        </w:rPr>
        <w:t xml:space="preserve">, uwzględniając wniosek o </w:t>
      </w:r>
      <w:hyperlink r:id="rId11" w:anchor="interimMeasures" w:history="1">
        <w:r w:rsidRPr="00DE18EE">
          <w:rPr>
            <w:rStyle w:val="Hipercze"/>
            <w:sz w:val="20"/>
            <w:szCs w:val="20"/>
          </w:rPr>
          <w:t>środek tymczasowy</w:t>
        </w:r>
      </w:hyperlink>
      <w:r w:rsidRPr="007F6903">
        <w:rPr>
          <w:color w:val="0071BB"/>
          <w:sz w:val="20"/>
          <w:szCs w:val="20"/>
        </w:rPr>
        <w:t xml:space="preserve">, zobowiązał </w:t>
      </w:r>
      <w:r w:rsidR="00B65E4F">
        <w:rPr>
          <w:color w:val="0071BB"/>
          <w:sz w:val="20"/>
          <w:szCs w:val="20"/>
        </w:rPr>
        <w:t>R</w:t>
      </w:r>
      <w:r w:rsidRPr="007F6903">
        <w:rPr>
          <w:color w:val="0071BB"/>
          <w:sz w:val="20"/>
          <w:szCs w:val="20"/>
        </w:rPr>
        <w:t>ząd Polski do zapewnienia skarżącym jedzenia, wody, odzieży, odpowiedniej opieki medycznej i, jeśli to możliwe, tymczasowego schronienia. Wyjaśniono również, że środek tymczasowy nie powinien być rozumiany jako nakaz umożliwienia skarżącym wjazdu na terytorium Polski.</w:t>
      </w:r>
    </w:p>
    <w:p w14:paraId="0FD0DC7A" w14:textId="3CC78DAC" w:rsidR="007F6903" w:rsidRPr="007F6903" w:rsidRDefault="007F6903" w:rsidP="00AB25F4">
      <w:pPr>
        <w:pStyle w:val="Default"/>
        <w:jc w:val="both"/>
        <w:rPr>
          <w:color w:val="0071BB"/>
          <w:sz w:val="20"/>
          <w:szCs w:val="20"/>
        </w:rPr>
      </w:pPr>
      <w:r w:rsidRPr="007F6903">
        <w:rPr>
          <w:color w:val="0071BB"/>
          <w:sz w:val="20"/>
          <w:szCs w:val="20"/>
        </w:rPr>
        <w:t xml:space="preserve">W dniu 27 września 2021 roku </w:t>
      </w:r>
      <w:r w:rsidR="000E6059">
        <w:rPr>
          <w:color w:val="0071BB"/>
          <w:sz w:val="20"/>
          <w:szCs w:val="20"/>
        </w:rPr>
        <w:t>Trybunał</w:t>
      </w:r>
      <w:r w:rsidRPr="007F6903">
        <w:rPr>
          <w:color w:val="0071BB"/>
          <w:sz w:val="20"/>
          <w:szCs w:val="20"/>
        </w:rPr>
        <w:t xml:space="preserve"> przedłużył środek tymczasowy i poinformował </w:t>
      </w:r>
      <w:r w:rsidR="0041424E">
        <w:rPr>
          <w:color w:val="0071BB"/>
          <w:sz w:val="20"/>
          <w:szCs w:val="20"/>
        </w:rPr>
        <w:t>R</w:t>
      </w:r>
      <w:r w:rsidRPr="007F6903">
        <w:rPr>
          <w:color w:val="0071BB"/>
          <w:sz w:val="20"/>
          <w:szCs w:val="20"/>
        </w:rPr>
        <w:t xml:space="preserve">ząd Polski o skardze, przedstawiając pytania od </w:t>
      </w:r>
      <w:r w:rsidR="000E6059">
        <w:rPr>
          <w:color w:val="0071BB"/>
          <w:sz w:val="20"/>
          <w:szCs w:val="20"/>
        </w:rPr>
        <w:t>Trybunału</w:t>
      </w:r>
      <w:r w:rsidRPr="007F6903">
        <w:rPr>
          <w:color w:val="0071BB"/>
          <w:sz w:val="20"/>
          <w:szCs w:val="20"/>
        </w:rPr>
        <w:t xml:space="preserve">. </w:t>
      </w:r>
      <w:r w:rsidR="000E6059">
        <w:rPr>
          <w:color w:val="0071BB"/>
          <w:sz w:val="20"/>
          <w:szCs w:val="20"/>
        </w:rPr>
        <w:t>Trybunał</w:t>
      </w:r>
      <w:r w:rsidRPr="007F6903">
        <w:rPr>
          <w:color w:val="0071BB"/>
          <w:sz w:val="20"/>
          <w:szCs w:val="20"/>
        </w:rPr>
        <w:t xml:space="preserve"> zdecydował również o nadaniu sprawie </w:t>
      </w:r>
      <w:r w:rsidR="0041424E">
        <w:rPr>
          <w:color w:val="0071BB"/>
          <w:sz w:val="20"/>
          <w:szCs w:val="20"/>
        </w:rPr>
        <w:t>pierwszeństwa</w:t>
      </w:r>
      <w:r w:rsidRPr="007F6903">
        <w:rPr>
          <w:color w:val="0071BB"/>
          <w:sz w:val="20"/>
          <w:szCs w:val="20"/>
        </w:rPr>
        <w:t xml:space="preserve"> na mocy </w:t>
      </w:r>
      <w:r w:rsidR="000E6059">
        <w:rPr>
          <w:color w:val="0071BB"/>
          <w:sz w:val="20"/>
          <w:szCs w:val="20"/>
        </w:rPr>
        <w:t>Reguły</w:t>
      </w:r>
      <w:r w:rsidRPr="007F6903">
        <w:rPr>
          <w:color w:val="0071BB"/>
          <w:sz w:val="20"/>
          <w:szCs w:val="20"/>
        </w:rPr>
        <w:t xml:space="preserve"> 41 </w:t>
      </w:r>
      <w:hyperlink r:id="rId12" w:history="1">
        <w:r w:rsidRPr="005C24C3">
          <w:rPr>
            <w:rStyle w:val="Hipercze"/>
            <w:sz w:val="20"/>
            <w:szCs w:val="20"/>
          </w:rPr>
          <w:t xml:space="preserve">Regulaminu </w:t>
        </w:r>
        <w:r w:rsidR="000E6059" w:rsidRPr="005C24C3">
          <w:rPr>
            <w:rStyle w:val="Hipercze"/>
            <w:sz w:val="20"/>
            <w:szCs w:val="20"/>
          </w:rPr>
          <w:t>Trybunału</w:t>
        </w:r>
        <w:r w:rsidRPr="005C24C3">
          <w:rPr>
            <w:rStyle w:val="Hipercze"/>
            <w:sz w:val="20"/>
            <w:szCs w:val="20"/>
            <w:u w:val="none"/>
          </w:rPr>
          <w:t>.</w:t>
        </w:r>
      </w:hyperlink>
      <w:r w:rsidRPr="007F6903">
        <w:rPr>
          <w:color w:val="0071BB"/>
          <w:sz w:val="20"/>
          <w:szCs w:val="20"/>
        </w:rPr>
        <w:t xml:space="preserve"> Dodatkowo, </w:t>
      </w:r>
      <w:r w:rsidR="000E6059">
        <w:rPr>
          <w:color w:val="0071BB"/>
          <w:sz w:val="20"/>
          <w:szCs w:val="20"/>
        </w:rPr>
        <w:t>Trybunały</w:t>
      </w:r>
      <w:r w:rsidRPr="007F6903">
        <w:rPr>
          <w:color w:val="0071BB"/>
          <w:sz w:val="20"/>
          <w:szCs w:val="20"/>
        </w:rPr>
        <w:t xml:space="preserve"> wskazał dwa nowe środki na podstawie </w:t>
      </w:r>
      <w:r w:rsidR="000E6059">
        <w:rPr>
          <w:color w:val="0071BB"/>
          <w:sz w:val="20"/>
          <w:szCs w:val="20"/>
        </w:rPr>
        <w:t>Reguły</w:t>
      </w:r>
      <w:r w:rsidRPr="007F6903">
        <w:rPr>
          <w:color w:val="0071BB"/>
          <w:sz w:val="20"/>
          <w:szCs w:val="20"/>
        </w:rPr>
        <w:t xml:space="preserve"> 39 Regulaminu, wzywając rząd Polski (i) do umożliwienia </w:t>
      </w:r>
      <w:r w:rsidR="0041424E">
        <w:rPr>
          <w:color w:val="0071BB"/>
          <w:sz w:val="20"/>
          <w:szCs w:val="20"/>
        </w:rPr>
        <w:t xml:space="preserve">niezbędnego </w:t>
      </w:r>
      <w:r w:rsidRPr="007F6903">
        <w:rPr>
          <w:color w:val="0071BB"/>
          <w:sz w:val="20"/>
          <w:szCs w:val="20"/>
        </w:rPr>
        <w:t xml:space="preserve">kontaktu prawników skarżących z nimi w celu przeprowadzenia postępowania przed </w:t>
      </w:r>
      <w:r w:rsidR="000E6059">
        <w:rPr>
          <w:color w:val="0071BB"/>
          <w:sz w:val="20"/>
          <w:szCs w:val="20"/>
        </w:rPr>
        <w:t>Trybunałem</w:t>
      </w:r>
      <w:r w:rsidRPr="007F6903">
        <w:rPr>
          <w:color w:val="0071BB"/>
          <w:sz w:val="20"/>
          <w:szCs w:val="20"/>
        </w:rPr>
        <w:t xml:space="preserve"> oraz (ii) do niewysyłania skarżących na Białoruś, o ile faktycznie przebywają na terytorium Polski.</w:t>
      </w:r>
    </w:p>
    <w:p w14:paraId="5AA6F49C" w14:textId="407B6626" w:rsidR="007F6903" w:rsidRPr="007F6903" w:rsidRDefault="007F6903" w:rsidP="00AB25F4">
      <w:pPr>
        <w:pStyle w:val="Default"/>
        <w:jc w:val="both"/>
        <w:rPr>
          <w:color w:val="0071BB"/>
          <w:sz w:val="20"/>
          <w:szCs w:val="20"/>
        </w:rPr>
      </w:pPr>
      <w:r w:rsidRPr="007F6903">
        <w:rPr>
          <w:color w:val="0071BB"/>
          <w:sz w:val="20"/>
          <w:szCs w:val="20"/>
        </w:rPr>
        <w:t xml:space="preserve">Izba </w:t>
      </w:r>
      <w:r w:rsidR="000E6059">
        <w:rPr>
          <w:color w:val="0071BB"/>
          <w:sz w:val="20"/>
          <w:szCs w:val="20"/>
        </w:rPr>
        <w:t>Trybunału</w:t>
      </w:r>
      <w:r w:rsidRPr="007F6903">
        <w:rPr>
          <w:color w:val="0071BB"/>
          <w:sz w:val="20"/>
          <w:szCs w:val="20"/>
        </w:rPr>
        <w:t xml:space="preserve">, do której sprawa została przydzielona, </w:t>
      </w:r>
      <w:r w:rsidR="0041424E">
        <w:rPr>
          <w:color w:val="0071BB"/>
          <w:sz w:val="20"/>
          <w:szCs w:val="20"/>
        </w:rPr>
        <w:t>z</w:t>
      </w:r>
      <w:r w:rsidR="0041424E" w:rsidRPr="0041424E">
        <w:rPr>
          <w:color w:val="0071BB"/>
          <w:sz w:val="20"/>
          <w:szCs w:val="20"/>
        </w:rPr>
        <w:t>rze</w:t>
      </w:r>
      <w:r w:rsidR="0041424E">
        <w:rPr>
          <w:color w:val="0071BB"/>
          <w:sz w:val="20"/>
          <w:szCs w:val="20"/>
        </w:rPr>
        <w:t>kła</w:t>
      </w:r>
      <w:r w:rsidR="0041424E" w:rsidRPr="0041424E">
        <w:rPr>
          <w:color w:val="0071BB"/>
          <w:sz w:val="20"/>
          <w:szCs w:val="20"/>
        </w:rPr>
        <w:t xml:space="preserve"> się właściwości na rzecz </w:t>
      </w:r>
      <w:r w:rsidRPr="007F6903">
        <w:rPr>
          <w:color w:val="0071BB"/>
          <w:sz w:val="20"/>
          <w:szCs w:val="20"/>
        </w:rPr>
        <w:t xml:space="preserve">Wielkiej </w:t>
      </w:r>
      <w:r w:rsidR="0041424E" w:rsidRPr="007F6903">
        <w:rPr>
          <w:color w:val="0071BB"/>
          <w:sz w:val="20"/>
          <w:szCs w:val="20"/>
        </w:rPr>
        <w:t>Izby</w:t>
      </w:r>
      <w:r w:rsidRPr="007F6903">
        <w:rPr>
          <w:color w:val="0071BB"/>
          <w:sz w:val="20"/>
          <w:szCs w:val="20"/>
        </w:rPr>
        <w:t xml:space="preserve"> w dniu 25 czerwca 2024 roku.</w:t>
      </w:r>
    </w:p>
    <w:p w14:paraId="34AEB6DB" w14:textId="5202D8AA" w:rsidR="000D3DB5" w:rsidRPr="000D3DB5" w:rsidRDefault="007F6903" w:rsidP="00AB25F4">
      <w:pPr>
        <w:pStyle w:val="Default"/>
        <w:jc w:val="both"/>
        <w:rPr>
          <w:sz w:val="20"/>
          <w:szCs w:val="20"/>
        </w:rPr>
      </w:pPr>
      <w:r w:rsidRPr="007F6903">
        <w:rPr>
          <w:color w:val="0071BB"/>
          <w:sz w:val="20"/>
          <w:szCs w:val="20"/>
        </w:rPr>
        <w:t>Wielka Izba wyznaczyła rozprawę w tej sprawie na dzień 12 lutego 2025 roku.</w:t>
      </w:r>
    </w:p>
    <w:p w14:paraId="573330F6" w14:textId="6EBE96EF" w:rsidR="000D3DB5" w:rsidRDefault="000D3DB5" w:rsidP="00067198">
      <w:pPr>
        <w:pStyle w:val="Default"/>
        <w:rPr>
          <w:sz w:val="20"/>
          <w:szCs w:val="20"/>
        </w:rPr>
      </w:pPr>
    </w:p>
    <w:p w14:paraId="61B56E2C" w14:textId="7B7CF7A2" w:rsidR="00A620EF" w:rsidRPr="003F2855" w:rsidRDefault="009F5318" w:rsidP="00A620EF">
      <w:pPr>
        <w:pStyle w:val="Default"/>
        <w:rPr>
          <w:b/>
          <w:bCs/>
          <w:color w:val="0071BB"/>
          <w:sz w:val="20"/>
          <w:szCs w:val="20"/>
        </w:rPr>
      </w:pPr>
      <w:hyperlink r:id="rId13" w:history="1">
        <w:r w:rsidRPr="004811FE">
          <w:rPr>
            <w:rStyle w:val="Hipercze"/>
            <w:b/>
            <w:bCs/>
            <w:sz w:val="20"/>
            <w:szCs w:val="20"/>
          </w:rPr>
          <w:t>H</w:t>
        </w:r>
        <w:r w:rsidR="00A620EF" w:rsidRPr="004811FE">
          <w:rPr>
            <w:rStyle w:val="Hipercze"/>
            <w:b/>
            <w:bCs/>
            <w:sz w:val="20"/>
            <w:szCs w:val="20"/>
          </w:rPr>
          <w:t>.</w:t>
        </w:r>
        <w:r w:rsidRPr="004811FE">
          <w:rPr>
            <w:rStyle w:val="Hipercze"/>
            <w:b/>
            <w:bCs/>
            <w:sz w:val="20"/>
            <w:szCs w:val="20"/>
          </w:rPr>
          <w:t>M</w:t>
        </w:r>
        <w:r w:rsidR="00A620EF" w:rsidRPr="004811FE">
          <w:rPr>
            <w:rStyle w:val="Hipercze"/>
            <w:b/>
            <w:bCs/>
            <w:sz w:val="20"/>
            <w:szCs w:val="20"/>
          </w:rPr>
          <w:t>.</w:t>
        </w:r>
        <w:r w:rsidRPr="004811FE">
          <w:rPr>
            <w:rStyle w:val="Hipercze"/>
            <w:b/>
            <w:bCs/>
            <w:sz w:val="20"/>
            <w:szCs w:val="20"/>
          </w:rPr>
          <w:t>M.</w:t>
        </w:r>
        <w:r w:rsidR="00A620EF" w:rsidRPr="004811FE">
          <w:rPr>
            <w:rStyle w:val="Hipercze"/>
            <w:b/>
            <w:bCs/>
            <w:sz w:val="20"/>
            <w:szCs w:val="20"/>
          </w:rPr>
          <w:t xml:space="preserve"> i </w:t>
        </w:r>
        <w:r w:rsidR="003F2855" w:rsidRPr="004811FE">
          <w:rPr>
            <w:rStyle w:val="Hipercze"/>
            <w:b/>
            <w:bCs/>
            <w:sz w:val="20"/>
            <w:szCs w:val="20"/>
          </w:rPr>
          <w:t>I</w:t>
        </w:r>
        <w:r w:rsidR="00A620EF" w:rsidRPr="004811FE">
          <w:rPr>
            <w:rStyle w:val="Hipercze"/>
            <w:b/>
            <w:bCs/>
            <w:sz w:val="20"/>
            <w:szCs w:val="20"/>
          </w:rPr>
          <w:t xml:space="preserve">nni przeciwko </w:t>
        </w:r>
        <w:r w:rsidR="004811FE" w:rsidRPr="004811FE">
          <w:rPr>
            <w:rStyle w:val="Hipercze"/>
            <w:b/>
            <w:bCs/>
            <w:sz w:val="20"/>
            <w:szCs w:val="20"/>
          </w:rPr>
          <w:t>Łotwie</w:t>
        </w:r>
        <w:r w:rsidR="00A620EF" w:rsidRPr="004811FE">
          <w:rPr>
            <w:rStyle w:val="Hipercze"/>
            <w:b/>
            <w:bCs/>
            <w:sz w:val="20"/>
            <w:szCs w:val="20"/>
          </w:rPr>
          <w:t xml:space="preserve"> (nr 42120/21)</w:t>
        </w:r>
      </w:hyperlink>
      <w:r w:rsidR="00A620EF">
        <w:rPr>
          <w:b/>
          <w:bCs/>
          <w:color w:val="0071BB"/>
          <w:sz w:val="20"/>
          <w:szCs w:val="20"/>
        </w:rPr>
        <w:t xml:space="preserve"> </w:t>
      </w:r>
    </w:p>
    <w:p w14:paraId="0850808E" w14:textId="1DB4ED67" w:rsidR="00A620EF" w:rsidRPr="009C75D5" w:rsidRDefault="00A620EF" w:rsidP="00A620EF">
      <w:pPr>
        <w:pStyle w:val="Default"/>
        <w:rPr>
          <w:color w:val="808080"/>
          <w:sz w:val="20"/>
          <w:szCs w:val="20"/>
        </w:rPr>
      </w:pPr>
      <w:r w:rsidRPr="009C75D5">
        <w:rPr>
          <w:color w:val="808080"/>
          <w:sz w:val="20"/>
          <w:szCs w:val="20"/>
        </w:rPr>
        <w:t xml:space="preserve">Zrzeczenie się właściwości na rzecz Wielkiej Izby w </w:t>
      </w:r>
      <w:r w:rsidR="009F5318" w:rsidRPr="009C75D5">
        <w:rPr>
          <w:color w:val="808080"/>
          <w:sz w:val="20"/>
          <w:szCs w:val="20"/>
        </w:rPr>
        <w:t>lipcu</w:t>
      </w:r>
      <w:r w:rsidRPr="009C75D5">
        <w:rPr>
          <w:color w:val="808080"/>
          <w:sz w:val="20"/>
          <w:szCs w:val="20"/>
        </w:rPr>
        <w:t xml:space="preserve"> 2024</w:t>
      </w:r>
      <w:r w:rsidR="00E2019D" w:rsidRPr="009C75D5">
        <w:rPr>
          <w:color w:val="808080"/>
          <w:sz w:val="20"/>
          <w:szCs w:val="20"/>
        </w:rPr>
        <w:t xml:space="preserve"> r</w:t>
      </w:r>
      <w:r w:rsidR="00147321">
        <w:rPr>
          <w:color w:val="808080"/>
          <w:sz w:val="20"/>
          <w:szCs w:val="20"/>
        </w:rPr>
        <w:t>oku</w:t>
      </w:r>
    </w:p>
    <w:p w14:paraId="0D011E3E" w14:textId="3D560573" w:rsidR="00B64F21" w:rsidRDefault="009F5318" w:rsidP="00AB25F4">
      <w:pPr>
        <w:pStyle w:val="Default"/>
        <w:jc w:val="both"/>
        <w:rPr>
          <w:sz w:val="20"/>
          <w:szCs w:val="20"/>
        </w:rPr>
      </w:pPr>
      <w:r w:rsidRPr="009F5318">
        <w:rPr>
          <w:sz w:val="20"/>
          <w:szCs w:val="20"/>
        </w:rPr>
        <w:t xml:space="preserve">Sprawa dotyczy domniemanych </w:t>
      </w:r>
      <w:proofErr w:type="spellStart"/>
      <w:r w:rsidR="00A54A55">
        <w:rPr>
          <w:sz w:val="20"/>
          <w:szCs w:val="20"/>
        </w:rPr>
        <w:t>pushba</w:t>
      </w:r>
      <w:r w:rsidR="00F26F51">
        <w:rPr>
          <w:sz w:val="20"/>
          <w:szCs w:val="20"/>
        </w:rPr>
        <w:t>cków</w:t>
      </w:r>
      <w:proofErr w:type="spellEnd"/>
      <w:r w:rsidR="00A54A55">
        <w:rPr>
          <w:sz w:val="20"/>
          <w:szCs w:val="20"/>
        </w:rPr>
        <w:t xml:space="preserve"> </w:t>
      </w:r>
      <w:r w:rsidRPr="009F5318">
        <w:rPr>
          <w:sz w:val="20"/>
          <w:szCs w:val="20"/>
        </w:rPr>
        <w:t xml:space="preserve">w rejonie granicy łotewsko-białoruskiej, począwszy od 10 sierpnia 2021 r. Skarżący, 26 obywateli Iraku pochodzenia kurdyjskiego, zarzucają w szczególności, że zostali zawróceni do strefy przygranicznej między Łotwą a Białorusią bez rejestracji i rozpatrzenia ich wniosków o azyl przez władze łotewskie oraz że wielokrotnie </w:t>
      </w:r>
      <w:r w:rsidR="003D7025">
        <w:rPr>
          <w:sz w:val="20"/>
          <w:szCs w:val="20"/>
        </w:rPr>
        <w:t>byli zawracani</w:t>
      </w:r>
      <w:r w:rsidRPr="009F5318">
        <w:rPr>
          <w:sz w:val="20"/>
          <w:szCs w:val="20"/>
        </w:rPr>
        <w:t xml:space="preserve"> z Łotwy do Białorusi, która nie stanowi bezpiecznego </w:t>
      </w:r>
      <w:r w:rsidR="006209EA">
        <w:rPr>
          <w:sz w:val="20"/>
          <w:szCs w:val="20"/>
        </w:rPr>
        <w:t>kraju</w:t>
      </w:r>
      <w:r w:rsidRPr="009F5318">
        <w:rPr>
          <w:sz w:val="20"/>
          <w:szCs w:val="20"/>
        </w:rPr>
        <w:t xml:space="preserve"> trzeciego. Twierdzą również, że nie mieli dostępu do podstawowych środków </w:t>
      </w:r>
      <w:r w:rsidR="006209EA">
        <w:rPr>
          <w:sz w:val="20"/>
          <w:szCs w:val="20"/>
        </w:rPr>
        <w:t>bytowych</w:t>
      </w:r>
      <w:r w:rsidRPr="009F5318">
        <w:rPr>
          <w:sz w:val="20"/>
          <w:szCs w:val="20"/>
        </w:rPr>
        <w:t xml:space="preserve">, takich jak żywność, woda, schronienie czy pomoc medyczna, gdy utknęli w lesie w pobliżu granicy łotewsko-białoruskiej, a osoby, które zostały umieszczone w namiocie, </w:t>
      </w:r>
      <w:r w:rsidR="00B64F21">
        <w:rPr>
          <w:sz w:val="20"/>
          <w:szCs w:val="20"/>
        </w:rPr>
        <w:t>przebywały</w:t>
      </w:r>
      <w:r w:rsidRPr="009F5318">
        <w:rPr>
          <w:sz w:val="20"/>
          <w:szCs w:val="20"/>
        </w:rPr>
        <w:t xml:space="preserve"> w nieodpowiednich warunkach.</w:t>
      </w:r>
    </w:p>
    <w:p w14:paraId="789E373E" w14:textId="169861E9" w:rsidR="009F5318" w:rsidRPr="009F5318" w:rsidRDefault="00A620EF" w:rsidP="00AB25F4">
      <w:pPr>
        <w:pStyle w:val="Default"/>
        <w:jc w:val="both"/>
        <w:rPr>
          <w:color w:val="0071BB"/>
          <w:sz w:val="20"/>
          <w:szCs w:val="20"/>
        </w:rPr>
      </w:pPr>
      <w:r>
        <w:rPr>
          <w:color w:val="0071BB"/>
          <w:sz w:val="20"/>
          <w:szCs w:val="20"/>
        </w:rPr>
        <w:t xml:space="preserve">W </w:t>
      </w:r>
      <w:r w:rsidRPr="007F6903">
        <w:rPr>
          <w:color w:val="0071BB"/>
          <w:sz w:val="20"/>
          <w:szCs w:val="20"/>
        </w:rPr>
        <w:t xml:space="preserve">dniu </w:t>
      </w:r>
      <w:r w:rsidR="009F5318" w:rsidRPr="009F5318">
        <w:rPr>
          <w:color w:val="0071BB"/>
          <w:sz w:val="20"/>
          <w:szCs w:val="20"/>
        </w:rPr>
        <w:t xml:space="preserve">3 maja 2022 r. </w:t>
      </w:r>
      <w:r w:rsidR="003D7025">
        <w:rPr>
          <w:color w:val="0071BB"/>
          <w:sz w:val="20"/>
          <w:szCs w:val="20"/>
        </w:rPr>
        <w:t>skarga została zakomunikowana Rządowi Łotwy, który</w:t>
      </w:r>
      <w:r w:rsidR="009F5318" w:rsidRPr="009F5318">
        <w:rPr>
          <w:color w:val="0071BB"/>
          <w:sz w:val="20"/>
          <w:szCs w:val="20"/>
        </w:rPr>
        <w:t xml:space="preserve"> otrzymał pytania od Trybunału.</w:t>
      </w:r>
    </w:p>
    <w:p w14:paraId="68BA3C6F" w14:textId="62D5A059" w:rsidR="009F5318" w:rsidRPr="009F5318" w:rsidRDefault="009F5318" w:rsidP="00AB25F4">
      <w:pPr>
        <w:pStyle w:val="Default"/>
        <w:jc w:val="both"/>
        <w:rPr>
          <w:color w:val="0071BB"/>
          <w:sz w:val="20"/>
          <w:szCs w:val="20"/>
        </w:rPr>
      </w:pPr>
      <w:r w:rsidRPr="009F5318">
        <w:rPr>
          <w:color w:val="0071BB"/>
          <w:sz w:val="20"/>
          <w:szCs w:val="20"/>
        </w:rPr>
        <w:t>Izba, której sprawa została przydzielona</w:t>
      </w:r>
      <w:r w:rsidR="00B64F21" w:rsidRPr="007F6903">
        <w:rPr>
          <w:color w:val="0071BB"/>
          <w:sz w:val="20"/>
          <w:szCs w:val="20"/>
        </w:rPr>
        <w:t xml:space="preserve">, </w:t>
      </w:r>
      <w:r w:rsidR="00B64F21">
        <w:rPr>
          <w:color w:val="0071BB"/>
          <w:sz w:val="20"/>
          <w:szCs w:val="20"/>
        </w:rPr>
        <w:t>z</w:t>
      </w:r>
      <w:r w:rsidR="00B64F21" w:rsidRPr="0041424E">
        <w:rPr>
          <w:color w:val="0071BB"/>
          <w:sz w:val="20"/>
          <w:szCs w:val="20"/>
        </w:rPr>
        <w:t>rze</w:t>
      </w:r>
      <w:r w:rsidR="00B64F21">
        <w:rPr>
          <w:color w:val="0071BB"/>
          <w:sz w:val="20"/>
          <w:szCs w:val="20"/>
        </w:rPr>
        <w:t>kła</w:t>
      </w:r>
      <w:r w:rsidR="00B64F21" w:rsidRPr="0041424E">
        <w:rPr>
          <w:color w:val="0071BB"/>
          <w:sz w:val="20"/>
          <w:szCs w:val="20"/>
        </w:rPr>
        <w:t xml:space="preserve"> się właściwości na rzecz </w:t>
      </w:r>
      <w:r w:rsidR="00B64F21" w:rsidRPr="007F6903">
        <w:rPr>
          <w:color w:val="0071BB"/>
          <w:sz w:val="20"/>
          <w:szCs w:val="20"/>
        </w:rPr>
        <w:t>Wielkiej Izby</w:t>
      </w:r>
      <w:r w:rsidR="00B64F21" w:rsidRPr="009F5318">
        <w:rPr>
          <w:color w:val="0071BB"/>
          <w:sz w:val="20"/>
          <w:szCs w:val="20"/>
        </w:rPr>
        <w:t xml:space="preserve"> </w:t>
      </w:r>
      <w:r w:rsidRPr="009F5318">
        <w:rPr>
          <w:color w:val="0071BB"/>
          <w:sz w:val="20"/>
          <w:szCs w:val="20"/>
        </w:rPr>
        <w:t>w dniu 2 lipca 2024 r.</w:t>
      </w:r>
    </w:p>
    <w:p w14:paraId="771FD3EC" w14:textId="300D9360" w:rsidR="00A620EF" w:rsidRDefault="00B64F21" w:rsidP="00AB25F4">
      <w:pPr>
        <w:pStyle w:val="Default"/>
        <w:jc w:val="both"/>
        <w:rPr>
          <w:color w:val="0071BB"/>
          <w:sz w:val="20"/>
          <w:szCs w:val="20"/>
        </w:rPr>
      </w:pPr>
      <w:r w:rsidRPr="007F6903">
        <w:rPr>
          <w:color w:val="0071BB"/>
          <w:sz w:val="20"/>
          <w:szCs w:val="20"/>
        </w:rPr>
        <w:t xml:space="preserve">Wielka Izba wyznaczyła rozprawę w tej sprawie na dzień </w:t>
      </w:r>
      <w:r w:rsidR="009F5318" w:rsidRPr="009F5318">
        <w:rPr>
          <w:color w:val="0071BB"/>
          <w:sz w:val="20"/>
          <w:szCs w:val="20"/>
        </w:rPr>
        <w:t>dniu 12 lutego 2025 r.</w:t>
      </w:r>
    </w:p>
    <w:p w14:paraId="067A6BB7" w14:textId="77777777" w:rsidR="00090D16" w:rsidRDefault="00090D16" w:rsidP="002A4B3D">
      <w:pPr>
        <w:pBdr>
          <w:bottom w:val="single" w:sz="12" w:space="1" w:color="auto"/>
        </w:pBdr>
        <w:autoSpaceDE w:val="0"/>
        <w:autoSpaceDN w:val="0"/>
        <w:adjustRightInd w:val="0"/>
        <w:spacing w:after="0" w:line="240" w:lineRule="auto"/>
        <w:jc w:val="both"/>
        <w:rPr>
          <w:rFonts w:ascii="Verdana" w:hAnsi="Verdana" w:cs="Verdana"/>
          <w:color w:val="0072BD"/>
          <w:sz w:val="28"/>
          <w:szCs w:val="28"/>
        </w:rPr>
      </w:pPr>
    </w:p>
    <w:p w14:paraId="2EE06074" w14:textId="2521FA78" w:rsidR="00160A3A" w:rsidRPr="002A1556" w:rsidRDefault="00B35105" w:rsidP="002A1556">
      <w:pPr>
        <w:pBdr>
          <w:bottom w:val="single" w:sz="12" w:space="1" w:color="auto"/>
        </w:pBdr>
        <w:autoSpaceDE w:val="0"/>
        <w:autoSpaceDN w:val="0"/>
        <w:adjustRightInd w:val="0"/>
        <w:spacing w:after="120" w:line="240" w:lineRule="auto"/>
        <w:jc w:val="both"/>
        <w:rPr>
          <w:rFonts w:ascii="Verdana" w:hAnsi="Verdana" w:cs="Verdana"/>
          <w:color w:val="33CCCC"/>
          <w:sz w:val="28"/>
          <w:szCs w:val="28"/>
        </w:rPr>
      </w:pPr>
      <w:r>
        <w:rPr>
          <w:rFonts w:ascii="Verdana" w:hAnsi="Verdana" w:cs="Verdana"/>
          <w:color w:val="0072BD"/>
          <w:sz w:val="28"/>
          <w:szCs w:val="28"/>
        </w:rPr>
        <w:t>Sprawy</w:t>
      </w:r>
      <w:r w:rsidR="005C6EDE">
        <w:rPr>
          <w:rFonts w:ascii="Verdana" w:hAnsi="Verdana" w:cs="Verdana"/>
          <w:color w:val="0072BD"/>
          <w:sz w:val="28"/>
          <w:szCs w:val="28"/>
        </w:rPr>
        <w:t>, w których Trybunał stwierdził naruszenie</w:t>
      </w:r>
      <w:r w:rsidR="00160A3A">
        <w:rPr>
          <w:rFonts w:ascii="Verdana" w:hAnsi="Verdana" w:cs="Verdana"/>
          <w:color w:val="0072BD"/>
          <w:sz w:val="28"/>
          <w:szCs w:val="28"/>
        </w:rPr>
        <w:t xml:space="preserve"> art. 4 Protokołu nr 4 do Konwencji</w:t>
      </w:r>
      <w:bookmarkEnd w:id="0"/>
    </w:p>
    <w:p w14:paraId="70E11D67" w14:textId="7A505BDF" w:rsidR="00575520" w:rsidRPr="00B21606" w:rsidRDefault="00E9135F" w:rsidP="002A4B3D">
      <w:pPr>
        <w:autoSpaceDE w:val="0"/>
        <w:autoSpaceDN w:val="0"/>
        <w:adjustRightInd w:val="0"/>
        <w:spacing w:after="0" w:line="240" w:lineRule="auto"/>
        <w:jc w:val="both"/>
        <w:rPr>
          <w:rFonts w:ascii="Verdana" w:hAnsi="Verdana" w:cs="Verdana"/>
          <w:b/>
          <w:bCs/>
          <w:color w:val="0070C0"/>
          <w:sz w:val="20"/>
          <w:szCs w:val="20"/>
        </w:rPr>
      </w:pPr>
      <w:hyperlink r:id="rId14" w:history="1">
        <w:proofErr w:type="spellStart"/>
        <w:r w:rsidRPr="00930896">
          <w:rPr>
            <w:rStyle w:val="Hipercze"/>
            <w:rFonts w:ascii="Garamond" w:hAnsi="Garamond" w:cs="Verdana"/>
            <w:b/>
            <w:bCs/>
            <w:sz w:val="20"/>
            <w:szCs w:val="20"/>
          </w:rPr>
          <w:t>Č</w:t>
        </w:r>
        <w:r w:rsidR="00720F41" w:rsidRPr="00930896">
          <w:rPr>
            <w:rStyle w:val="Hipercze"/>
            <w:rFonts w:ascii="Verdana" w:hAnsi="Verdana" w:cs="Verdana"/>
            <w:b/>
            <w:bCs/>
            <w:sz w:val="20"/>
            <w:szCs w:val="20"/>
          </w:rPr>
          <w:t>onka</w:t>
        </w:r>
        <w:proofErr w:type="spellEnd"/>
        <w:r w:rsidR="00720F41" w:rsidRPr="00930896">
          <w:rPr>
            <w:rStyle w:val="Hipercze"/>
            <w:rFonts w:ascii="Verdana" w:hAnsi="Verdana" w:cs="Verdana"/>
            <w:b/>
            <w:bCs/>
            <w:sz w:val="20"/>
            <w:szCs w:val="20"/>
          </w:rPr>
          <w:t xml:space="preserve"> przeciwko</w:t>
        </w:r>
        <w:r w:rsidRPr="00930896">
          <w:rPr>
            <w:rStyle w:val="Hipercze"/>
            <w:rFonts w:ascii="Verdana" w:hAnsi="Verdana" w:cs="Verdana"/>
            <w:b/>
            <w:bCs/>
            <w:sz w:val="20"/>
            <w:szCs w:val="20"/>
          </w:rPr>
          <w:t xml:space="preserve"> Belgii</w:t>
        </w:r>
      </w:hyperlink>
    </w:p>
    <w:p w14:paraId="0731DB67" w14:textId="0B0B05DC" w:rsidR="00E9135F" w:rsidRPr="000D1C49" w:rsidRDefault="00575520" w:rsidP="002A4B3D">
      <w:pPr>
        <w:autoSpaceDE w:val="0"/>
        <w:autoSpaceDN w:val="0"/>
        <w:adjustRightInd w:val="0"/>
        <w:spacing w:after="0" w:line="240" w:lineRule="auto"/>
        <w:jc w:val="both"/>
        <w:rPr>
          <w:rFonts w:ascii="Verdana" w:hAnsi="Verdana" w:cs="Verdana"/>
          <w:color w:val="808080"/>
          <w:sz w:val="20"/>
          <w:szCs w:val="20"/>
        </w:rPr>
      </w:pPr>
      <w:r w:rsidRPr="000D1C49">
        <w:rPr>
          <w:rFonts w:ascii="Verdana" w:hAnsi="Verdana" w:cs="Verdana"/>
          <w:color w:val="808080"/>
          <w:sz w:val="20"/>
          <w:szCs w:val="20"/>
        </w:rPr>
        <w:t xml:space="preserve">Wyrok Izby z dnia </w:t>
      </w:r>
      <w:r w:rsidR="00E9135F" w:rsidRPr="000D1C49">
        <w:rPr>
          <w:rFonts w:ascii="Verdana" w:hAnsi="Verdana" w:cs="Verdana"/>
          <w:color w:val="808080"/>
          <w:sz w:val="20"/>
          <w:szCs w:val="20"/>
        </w:rPr>
        <w:t>5</w:t>
      </w:r>
      <w:r w:rsidRPr="000D1C49">
        <w:rPr>
          <w:rFonts w:ascii="Verdana" w:hAnsi="Verdana" w:cs="Verdana"/>
          <w:color w:val="808080"/>
          <w:sz w:val="20"/>
          <w:szCs w:val="20"/>
        </w:rPr>
        <w:t xml:space="preserve"> lutego</w:t>
      </w:r>
      <w:r w:rsidR="00E9135F" w:rsidRPr="000D1C49">
        <w:rPr>
          <w:rFonts w:ascii="Verdana" w:hAnsi="Verdana" w:cs="Verdana"/>
          <w:color w:val="808080"/>
          <w:sz w:val="20"/>
          <w:szCs w:val="20"/>
        </w:rPr>
        <w:t xml:space="preserve"> 2002</w:t>
      </w:r>
      <w:r w:rsidR="009C75D5">
        <w:rPr>
          <w:color w:val="808080"/>
          <w:sz w:val="20"/>
          <w:szCs w:val="20"/>
        </w:rPr>
        <w:t xml:space="preserve"> </w:t>
      </w:r>
      <w:r w:rsidR="009C75D5">
        <w:rPr>
          <w:rFonts w:ascii="Verdana" w:hAnsi="Verdana"/>
          <w:color w:val="808080"/>
          <w:sz w:val="20"/>
          <w:szCs w:val="20"/>
        </w:rPr>
        <w:t>roku</w:t>
      </w:r>
    </w:p>
    <w:p w14:paraId="1EBAAFF3" w14:textId="71DC4806" w:rsidR="00575520" w:rsidRPr="000D1C49" w:rsidRDefault="00575520" w:rsidP="002A4B3D">
      <w:pPr>
        <w:autoSpaceDE w:val="0"/>
        <w:autoSpaceDN w:val="0"/>
        <w:adjustRightInd w:val="0"/>
        <w:spacing w:after="0" w:line="240" w:lineRule="auto"/>
        <w:jc w:val="both"/>
        <w:rPr>
          <w:rFonts w:ascii="Verdana" w:hAnsi="Verdana" w:cs="Verdana"/>
          <w:color w:val="000000"/>
          <w:sz w:val="20"/>
          <w:szCs w:val="20"/>
        </w:rPr>
      </w:pPr>
      <w:r w:rsidRPr="000D1C49">
        <w:rPr>
          <w:rFonts w:ascii="Verdana" w:hAnsi="Verdana" w:cs="Verdana"/>
          <w:color w:val="000000"/>
          <w:sz w:val="20"/>
          <w:szCs w:val="20"/>
        </w:rPr>
        <w:t xml:space="preserve">Skarżący, obywatele Słowacji pochodzenia romskiego, podnieśli, iż uciekli ze Słowacji, gdzie byli podmiotem ataków </w:t>
      </w:r>
      <w:r w:rsidR="00EB6E14">
        <w:rPr>
          <w:rFonts w:ascii="Verdana" w:hAnsi="Verdana" w:cs="Verdana"/>
          <w:color w:val="000000"/>
          <w:sz w:val="20"/>
          <w:szCs w:val="20"/>
        </w:rPr>
        <w:t>na tle rasowym</w:t>
      </w:r>
      <w:r w:rsidRPr="000D1C49">
        <w:rPr>
          <w:rFonts w:ascii="Verdana" w:hAnsi="Verdana" w:cs="Verdana"/>
          <w:color w:val="000000"/>
          <w:sz w:val="20"/>
          <w:szCs w:val="20"/>
        </w:rPr>
        <w:t xml:space="preserve">, w których Policja odmawiała interwencji. Zostali oni aresztowani w związku z możliwością wydalenia po wypełnieniu ich wniosków o </w:t>
      </w:r>
      <w:r w:rsidRPr="000D1C49">
        <w:rPr>
          <w:rFonts w:ascii="Verdana" w:hAnsi="Verdana" w:cs="Verdana"/>
          <w:color w:val="000000"/>
          <w:sz w:val="20"/>
          <w:szCs w:val="20"/>
        </w:rPr>
        <w:lastRenderedPageBreak/>
        <w:t xml:space="preserve">azyl. Skarżący </w:t>
      </w:r>
      <w:r w:rsidR="005C6EDE" w:rsidRPr="000D1C49">
        <w:rPr>
          <w:rFonts w:ascii="Verdana" w:hAnsi="Verdana" w:cs="Verdana"/>
          <w:color w:val="000000"/>
          <w:sz w:val="20"/>
          <w:szCs w:val="20"/>
        </w:rPr>
        <w:t xml:space="preserve">podnosili zarzuty w szczególności w aspekcie okoliczności ich aresztowania i wydalenia ze Słowacji. </w:t>
      </w:r>
    </w:p>
    <w:p w14:paraId="7AFCB339" w14:textId="2804D218" w:rsidR="00720F41" w:rsidRDefault="005C6EDE" w:rsidP="002A4B3D">
      <w:pPr>
        <w:autoSpaceDE w:val="0"/>
        <w:autoSpaceDN w:val="0"/>
        <w:adjustRightInd w:val="0"/>
        <w:spacing w:after="0" w:line="240" w:lineRule="auto"/>
        <w:jc w:val="both"/>
        <w:rPr>
          <w:rFonts w:ascii="Verdana" w:hAnsi="Verdana" w:cs="Verdana"/>
          <w:color w:val="0070C0"/>
          <w:sz w:val="20"/>
          <w:szCs w:val="20"/>
        </w:rPr>
      </w:pPr>
      <w:r w:rsidRPr="005C6EDE">
        <w:rPr>
          <w:rFonts w:ascii="Verdana" w:hAnsi="Verdana" w:cs="Verdana"/>
          <w:color w:val="0070C0"/>
          <w:sz w:val="20"/>
          <w:szCs w:val="20"/>
        </w:rPr>
        <w:t xml:space="preserve">Trybunał stwierdził </w:t>
      </w:r>
      <w:r w:rsidRPr="00295694">
        <w:rPr>
          <w:rFonts w:ascii="Verdana" w:hAnsi="Verdana" w:cs="Verdana"/>
          <w:b/>
          <w:bCs/>
          <w:color w:val="0070C0"/>
          <w:sz w:val="20"/>
          <w:szCs w:val="20"/>
        </w:rPr>
        <w:t>n</w:t>
      </w:r>
      <w:r w:rsidR="00E9135F" w:rsidRPr="00295694">
        <w:rPr>
          <w:rFonts w:ascii="Verdana" w:hAnsi="Verdana" w:cs="Verdana"/>
          <w:b/>
          <w:bCs/>
          <w:color w:val="0070C0"/>
          <w:sz w:val="20"/>
          <w:szCs w:val="20"/>
        </w:rPr>
        <w:t>aruszenie art. 4 Protokołu nr 4 do Konwencji</w:t>
      </w:r>
      <w:r>
        <w:rPr>
          <w:rFonts w:ascii="Verdana" w:hAnsi="Verdana" w:cs="Verdana"/>
          <w:color w:val="0070C0"/>
          <w:sz w:val="20"/>
          <w:szCs w:val="20"/>
        </w:rPr>
        <w:t xml:space="preserve"> wskazując w szczególności, że</w:t>
      </w:r>
      <w:r w:rsidR="00FD702C" w:rsidRPr="005C6EDE">
        <w:rPr>
          <w:rFonts w:ascii="Verdana" w:hAnsi="Verdana" w:cs="Verdana"/>
          <w:color w:val="0070C0"/>
          <w:sz w:val="20"/>
          <w:szCs w:val="20"/>
        </w:rPr>
        <w:t xml:space="preserve"> </w:t>
      </w:r>
      <w:r>
        <w:rPr>
          <w:rFonts w:ascii="Verdana" w:hAnsi="Verdana" w:cs="Verdana"/>
          <w:color w:val="0070C0"/>
          <w:sz w:val="20"/>
          <w:szCs w:val="20"/>
        </w:rPr>
        <w:t>p</w:t>
      </w:r>
      <w:r w:rsidR="00FD702C" w:rsidRPr="005C6EDE">
        <w:rPr>
          <w:rFonts w:ascii="Verdana" w:hAnsi="Verdana" w:cs="Verdana"/>
          <w:color w:val="0070C0"/>
          <w:sz w:val="20"/>
          <w:szCs w:val="20"/>
        </w:rPr>
        <w:t>ostępowanie dotyczące</w:t>
      </w:r>
      <w:r w:rsidR="00E9135F" w:rsidRPr="005C6EDE">
        <w:rPr>
          <w:rFonts w:ascii="Verdana" w:hAnsi="Verdana" w:cs="Verdana"/>
          <w:color w:val="0070C0"/>
          <w:sz w:val="20"/>
          <w:szCs w:val="20"/>
        </w:rPr>
        <w:t xml:space="preserve"> wydalenia (</w:t>
      </w:r>
      <w:r w:rsidR="00FD702C" w:rsidRPr="005C6EDE">
        <w:rPr>
          <w:rFonts w:ascii="Verdana" w:hAnsi="Verdana" w:cs="Verdana"/>
          <w:color w:val="0070C0"/>
          <w:sz w:val="20"/>
          <w:szCs w:val="20"/>
        </w:rPr>
        <w:t>prowadzone wobec obywateli</w:t>
      </w:r>
      <w:r w:rsidR="00E9135F" w:rsidRPr="005C6EDE">
        <w:rPr>
          <w:rFonts w:ascii="Verdana" w:hAnsi="Verdana" w:cs="Verdana"/>
          <w:color w:val="0070C0"/>
          <w:sz w:val="20"/>
          <w:szCs w:val="20"/>
        </w:rPr>
        <w:t xml:space="preserve"> Słowacji pochodzenia romskiego)</w:t>
      </w:r>
      <w:r w:rsidR="00BF36FC" w:rsidRPr="005C6EDE">
        <w:rPr>
          <w:rFonts w:ascii="Verdana" w:hAnsi="Verdana" w:cs="Verdana"/>
          <w:color w:val="0070C0"/>
          <w:sz w:val="20"/>
          <w:szCs w:val="20"/>
        </w:rPr>
        <w:t xml:space="preserve"> nie zapewniał</w:t>
      </w:r>
      <w:r w:rsidR="003D7025">
        <w:rPr>
          <w:rFonts w:ascii="Verdana" w:hAnsi="Verdana" w:cs="Verdana"/>
          <w:color w:val="0070C0"/>
          <w:sz w:val="20"/>
          <w:szCs w:val="20"/>
        </w:rPr>
        <w:t>o</w:t>
      </w:r>
      <w:r w:rsidR="00BF36FC" w:rsidRPr="005C6EDE">
        <w:rPr>
          <w:rFonts w:ascii="Verdana" w:hAnsi="Verdana" w:cs="Verdana"/>
          <w:color w:val="0070C0"/>
          <w:sz w:val="20"/>
          <w:szCs w:val="20"/>
        </w:rPr>
        <w:t>, aby</w:t>
      </w:r>
      <w:r w:rsidR="00DE2EE1" w:rsidRPr="005C6EDE">
        <w:rPr>
          <w:rFonts w:ascii="Verdana" w:hAnsi="Verdana" w:cs="Verdana"/>
          <w:color w:val="0070C0"/>
          <w:sz w:val="20"/>
          <w:szCs w:val="20"/>
        </w:rPr>
        <w:t xml:space="preserve"> </w:t>
      </w:r>
      <w:r w:rsidR="00375509" w:rsidRPr="005C6EDE">
        <w:rPr>
          <w:rFonts w:ascii="Verdana" w:hAnsi="Verdana" w:cs="Verdana"/>
          <w:color w:val="0070C0"/>
          <w:sz w:val="20"/>
          <w:szCs w:val="20"/>
        </w:rPr>
        <w:t>okoliczności o charakterze indywidualnym</w:t>
      </w:r>
      <w:r w:rsidR="00BF36FC" w:rsidRPr="005C6EDE">
        <w:rPr>
          <w:rFonts w:ascii="Verdana" w:hAnsi="Verdana" w:cs="Verdana"/>
          <w:color w:val="0070C0"/>
          <w:sz w:val="20"/>
          <w:szCs w:val="20"/>
        </w:rPr>
        <w:t>,</w:t>
      </w:r>
      <w:r w:rsidR="00375509" w:rsidRPr="005C6EDE">
        <w:rPr>
          <w:rFonts w:ascii="Verdana" w:hAnsi="Verdana" w:cs="Verdana"/>
          <w:color w:val="0070C0"/>
          <w:sz w:val="20"/>
          <w:szCs w:val="20"/>
        </w:rPr>
        <w:t xml:space="preserve"> dotyczące każdego z zainteresowanych</w:t>
      </w:r>
      <w:r w:rsidR="00BF36FC" w:rsidRPr="005C6EDE">
        <w:rPr>
          <w:rFonts w:ascii="Verdana" w:hAnsi="Verdana" w:cs="Verdana"/>
          <w:color w:val="0070C0"/>
          <w:sz w:val="20"/>
          <w:szCs w:val="20"/>
        </w:rPr>
        <w:t>, brane były</w:t>
      </w:r>
      <w:r w:rsidR="00FD4621" w:rsidRPr="005C6EDE">
        <w:rPr>
          <w:rFonts w:ascii="Verdana" w:hAnsi="Verdana" w:cs="Verdana"/>
          <w:color w:val="0070C0"/>
          <w:sz w:val="20"/>
          <w:szCs w:val="20"/>
        </w:rPr>
        <w:t xml:space="preserve"> autentycznie i jednostkowo</w:t>
      </w:r>
      <w:r w:rsidR="002C795D" w:rsidRPr="005C6EDE">
        <w:rPr>
          <w:rFonts w:ascii="Verdana" w:hAnsi="Verdana" w:cs="Verdana"/>
          <w:color w:val="0070C0"/>
          <w:sz w:val="20"/>
          <w:szCs w:val="20"/>
        </w:rPr>
        <w:t xml:space="preserve"> pod uwagę</w:t>
      </w:r>
      <w:r w:rsidR="00375509" w:rsidRPr="005C6EDE">
        <w:rPr>
          <w:rFonts w:ascii="Verdana" w:hAnsi="Verdana" w:cs="Verdana"/>
          <w:color w:val="0070C0"/>
          <w:sz w:val="20"/>
          <w:szCs w:val="20"/>
        </w:rPr>
        <w:t>.</w:t>
      </w:r>
      <w:r w:rsidR="002C795D" w:rsidRPr="005C6EDE">
        <w:rPr>
          <w:rFonts w:ascii="Verdana" w:hAnsi="Verdana" w:cs="Verdana"/>
          <w:color w:val="0070C0"/>
          <w:sz w:val="20"/>
          <w:szCs w:val="20"/>
        </w:rPr>
        <w:t xml:space="preserve"> Zdaniem Trybunału przeprowadzone postępowanie </w:t>
      </w:r>
      <w:r w:rsidR="004D3BFD" w:rsidRPr="005C6EDE">
        <w:rPr>
          <w:rFonts w:ascii="Verdana" w:hAnsi="Verdana" w:cs="Verdana"/>
          <w:color w:val="0070C0"/>
          <w:sz w:val="20"/>
          <w:szCs w:val="20"/>
        </w:rPr>
        <w:t xml:space="preserve">nie było w stanie </w:t>
      </w:r>
      <w:r w:rsidR="00996F9D" w:rsidRPr="005C6EDE">
        <w:rPr>
          <w:rFonts w:ascii="Verdana" w:hAnsi="Verdana" w:cs="Verdana"/>
          <w:color w:val="0070C0"/>
          <w:sz w:val="20"/>
          <w:szCs w:val="20"/>
        </w:rPr>
        <w:t>wyelim</w:t>
      </w:r>
      <w:r w:rsidR="00FD4621" w:rsidRPr="005C6EDE">
        <w:rPr>
          <w:rFonts w:ascii="Verdana" w:hAnsi="Verdana" w:cs="Verdana"/>
          <w:color w:val="0070C0"/>
          <w:sz w:val="20"/>
          <w:szCs w:val="20"/>
        </w:rPr>
        <w:t>inować wszystkich wątpliwości co do tego, czy</w:t>
      </w:r>
      <w:r w:rsidR="00996F9D" w:rsidRPr="005C6EDE">
        <w:rPr>
          <w:rFonts w:ascii="Verdana" w:hAnsi="Verdana" w:cs="Verdana"/>
          <w:color w:val="0070C0"/>
          <w:sz w:val="20"/>
          <w:szCs w:val="20"/>
        </w:rPr>
        <w:t xml:space="preserve"> wydalenie było zbiorowe, a wątpliwości te </w:t>
      </w:r>
      <w:r w:rsidR="002444C1" w:rsidRPr="005C6EDE">
        <w:rPr>
          <w:rFonts w:ascii="Verdana" w:hAnsi="Verdana" w:cs="Verdana"/>
          <w:color w:val="0070C0"/>
          <w:sz w:val="20"/>
          <w:szCs w:val="20"/>
        </w:rPr>
        <w:t>wynikały z</w:t>
      </w:r>
      <w:r w:rsidR="00996F9D" w:rsidRPr="005C6EDE">
        <w:rPr>
          <w:rFonts w:ascii="Verdana" w:hAnsi="Verdana" w:cs="Verdana"/>
          <w:color w:val="0070C0"/>
          <w:sz w:val="20"/>
          <w:szCs w:val="20"/>
        </w:rPr>
        <w:t xml:space="preserve"> następujących</w:t>
      </w:r>
      <w:r w:rsidR="002444C1" w:rsidRPr="005C6EDE">
        <w:rPr>
          <w:rFonts w:ascii="Verdana" w:hAnsi="Verdana" w:cs="Verdana"/>
          <w:color w:val="0070C0"/>
          <w:sz w:val="20"/>
          <w:szCs w:val="20"/>
        </w:rPr>
        <w:t xml:space="preserve"> czynników: władze państwowe uprzednio wydały </w:t>
      </w:r>
      <w:r w:rsidR="006B2740" w:rsidRPr="005C6EDE">
        <w:rPr>
          <w:rFonts w:ascii="Verdana" w:hAnsi="Verdana" w:cs="Verdana"/>
          <w:color w:val="0070C0"/>
          <w:sz w:val="20"/>
          <w:szCs w:val="20"/>
        </w:rPr>
        <w:t xml:space="preserve">właściwym organom </w:t>
      </w:r>
      <w:r w:rsidR="002444C1" w:rsidRPr="005C6EDE">
        <w:rPr>
          <w:rFonts w:ascii="Verdana" w:hAnsi="Verdana" w:cs="Verdana"/>
          <w:color w:val="0070C0"/>
          <w:sz w:val="20"/>
          <w:szCs w:val="20"/>
        </w:rPr>
        <w:t>zalecenia</w:t>
      </w:r>
      <w:r w:rsidR="006B2740" w:rsidRPr="005C6EDE">
        <w:rPr>
          <w:rFonts w:ascii="Verdana" w:hAnsi="Verdana" w:cs="Verdana"/>
          <w:color w:val="0070C0"/>
          <w:sz w:val="20"/>
          <w:szCs w:val="20"/>
        </w:rPr>
        <w:t xml:space="preserve"> dotyczące</w:t>
      </w:r>
      <w:r w:rsidR="00FD4621" w:rsidRPr="005C6EDE">
        <w:rPr>
          <w:rFonts w:ascii="Verdana" w:hAnsi="Verdana" w:cs="Verdana"/>
          <w:color w:val="0070C0"/>
          <w:sz w:val="20"/>
          <w:szCs w:val="20"/>
        </w:rPr>
        <w:t xml:space="preserve"> wdrożenia podobnych działań</w:t>
      </w:r>
      <w:r w:rsidR="004C081C" w:rsidRPr="005C6EDE">
        <w:rPr>
          <w:rFonts w:ascii="Verdana" w:hAnsi="Verdana" w:cs="Verdana"/>
          <w:color w:val="0070C0"/>
          <w:sz w:val="20"/>
          <w:szCs w:val="20"/>
        </w:rPr>
        <w:t xml:space="preserve">; wszyscy obcokrajowcy zostali wezwani na policję w tym samym czasie; nakazy nakładające na nich obowiązek opuszczenia terytorium i aresztowania </w:t>
      </w:r>
      <w:r w:rsidR="00720F41" w:rsidRPr="005C6EDE">
        <w:rPr>
          <w:rFonts w:ascii="Verdana" w:hAnsi="Verdana" w:cs="Verdana"/>
          <w:color w:val="0070C0"/>
          <w:sz w:val="20"/>
          <w:szCs w:val="20"/>
        </w:rPr>
        <w:t xml:space="preserve">zostały sformułowane w identyczny sposób; obcokrajowcy mieli duże trudności aby skontaktować się z </w:t>
      </w:r>
      <w:r w:rsidR="006B2740" w:rsidRPr="005C6EDE">
        <w:rPr>
          <w:rFonts w:ascii="Verdana" w:hAnsi="Verdana" w:cs="Verdana"/>
          <w:color w:val="0070C0"/>
          <w:sz w:val="20"/>
          <w:szCs w:val="20"/>
        </w:rPr>
        <w:t>prawnikiem;</w:t>
      </w:r>
      <w:r w:rsidR="00720F41" w:rsidRPr="005C6EDE">
        <w:rPr>
          <w:rFonts w:ascii="Verdana" w:hAnsi="Verdana" w:cs="Verdana"/>
          <w:color w:val="0070C0"/>
          <w:sz w:val="20"/>
          <w:szCs w:val="20"/>
        </w:rPr>
        <w:t xml:space="preserve"> nie został</w:t>
      </w:r>
      <w:r w:rsidR="006B2740" w:rsidRPr="005C6EDE">
        <w:rPr>
          <w:rFonts w:ascii="Verdana" w:hAnsi="Verdana" w:cs="Verdana"/>
          <w:color w:val="0070C0"/>
          <w:sz w:val="20"/>
          <w:szCs w:val="20"/>
        </w:rPr>
        <w:t>o zakończone postępowanie dotyczące udzielenia azylu.</w:t>
      </w:r>
    </w:p>
    <w:p w14:paraId="1DBB5D76" w14:textId="77777777" w:rsidR="0023062A" w:rsidRDefault="005C6EDE" w:rsidP="002A4B3D">
      <w:pPr>
        <w:autoSpaceDE w:val="0"/>
        <w:autoSpaceDN w:val="0"/>
        <w:adjustRightInd w:val="0"/>
        <w:spacing w:after="0" w:line="240" w:lineRule="auto"/>
        <w:jc w:val="both"/>
        <w:rPr>
          <w:rFonts w:ascii="Verdana" w:hAnsi="Verdana" w:cs="Verdana"/>
          <w:color w:val="0070C0"/>
          <w:sz w:val="20"/>
          <w:szCs w:val="20"/>
        </w:rPr>
      </w:pPr>
      <w:r>
        <w:rPr>
          <w:rFonts w:ascii="Verdana" w:hAnsi="Verdana" w:cs="Verdana"/>
          <w:color w:val="0070C0"/>
          <w:sz w:val="20"/>
          <w:szCs w:val="20"/>
        </w:rPr>
        <w:t xml:space="preserve">W tym postępowaniu Trybunał stwierdził również naruszenie </w:t>
      </w:r>
      <w:r w:rsidRPr="00295694">
        <w:rPr>
          <w:rFonts w:ascii="Verdana" w:hAnsi="Verdana" w:cs="Verdana"/>
          <w:b/>
          <w:bCs/>
          <w:color w:val="0070C0"/>
          <w:sz w:val="20"/>
          <w:szCs w:val="20"/>
        </w:rPr>
        <w:t>art. 5 ust. 1</w:t>
      </w:r>
      <w:r>
        <w:rPr>
          <w:rFonts w:ascii="Verdana" w:hAnsi="Verdana" w:cs="Verdana"/>
          <w:color w:val="0070C0"/>
          <w:sz w:val="20"/>
          <w:szCs w:val="20"/>
        </w:rPr>
        <w:t xml:space="preserve"> (prawo do wolności i bezpieczeństwa) i </w:t>
      </w:r>
      <w:r w:rsidRPr="00295694">
        <w:rPr>
          <w:rFonts w:ascii="Verdana" w:hAnsi="Verdana" w:cs="Verdana"/>
          <w:b/>
          <w:bCs/>
          <w:color w:val="0070C0"/>
          <w:sz w:val="20"/>
          <w:szCs w:val="20"/>
        </w:rPr>
        <w:t>ust. 4 Konwencji</w:t>
      </w:r>
      <w:r>
        <w:rPr>
          <w:rFonts w:ascii="Verdana" w:hAnsi="Verdana" w:cs="Verdana"/>
          <w:color w:val="0070C0"/>
          <w:sz w:val="20"/>
          <w:szCs w:val="20"/>
        </w:rPr>
        <w:t xml:space="preserve"> (prawo do wszczęcia postępowania kontrolnego w zakresie legalności zatrzymania)</w:t>
      </w:r>
      <w:r w:rsidR="00295694">
        <w:rPr>
          <w:rFonts w:ascii="Verdana" w:hAnsi="Verdana" w:cs="Verdana"/>
          <w:color w:val="0070C0"/>
          <w:sz w:val="20"/>
          <w:szCs w:val="20"/>
        </w:rPr>
        <w:t xml:space="preserve"> oraz </w:t>
      </w:r>
      <w:r w:rsidR="00295694" w:rsidRPr="00295694">
        <w:rPr>
          <w:rFonts w:ascii="Verdana" w:hAnsi="Verdana" w:cs="Verdana"/>
          <w:b/>
          <w:bCs/>
          <w:color w:val="0070C0"/>
          <w:sz w:val="20"/>
          <w:szCs w:val="20"/>
        </w:rPr>
        <w:t>art. 13</w:t>
      </w:r>
      <w:r w:rsidR="00295694">
        <w:rPr>
          <w:rFonts w:ascii="Verdana" w:hAnsi="Verdana" w:cs="Verdana"/>
          <w:color w:val="0070C0"/>
          <w:sz w:val="20"/>
          <w:szCs w:val="20"/>
        </w:rPr>
        <w:t xml:space="preserve"> (prawo do środka odwoławczego) </w:t>
      </w:r>
      <w:r w:rsidR="00295694" w:rsidRPr="00295694">
        <w:rPr>
          <w:rFonts w:ascii="Verdana" w:hAnsi="Verdana" w:cs="Verdana"/>
          <w:b/>
          <w:bCs/>
          <w:color w:val="0070C0"/>
          <w:sz w:val="20"/>
          <w:szCs w:val="20"/>
        </w:rPr>
        <w:t>w zw. z art. 4 Protokołu nr</w:t>
      </w:r>
      <w:r w:rsidR="00295694">
        <w:rPr>
          <w:rFonts w:ascii="Verdana" w:hAnsi="Verdana" w:cs="Verdana"/>
          <w:color w:val="0070C0"/>
          <w:sz w:val="20"/>
          <w:szCs w:val="20"/>
        </w:rPr>
        <w:t xml:space="preserve"> </w:t>
      </w:r>
      <w:r w:rsidR="00295694" w:rsidRPr="00295694">
        <w:rPr>
          <w:rFonts w:ascii="Verdana" w:hAnsi="Verdana" w:cs="Verdana"/>
          <w:b/>
          <w:bCs/>
          <w:color w:val="0070C0"/>
          <w:sz w:val="20"/>
          <w:szCs w:val="20"/>
        </w:rPr>
        <w:t>4</w:t>
      </w:r>
      <w:r w:rsidR="00295694">
        <w:rPr>
          <w:rFonts w:ascii="Verdana" w:hAnsi="Verdana" w:cs="Verdana"/>
          <w:color w:val="0070C0"/>
          <w:sz w:val="20"/>
          <w:szCs w:val="20"/>
        </w:rPr>
        <w:t xml:space="preserve">. Trybunał stwierdził brak naruszenia art. </w:t>
      </w:r>
      <w:r w:rsidR="00295694" w:rsidRPr="00295694">
        <w:rPr>
          <w:rFonts w:ascii="Verdana" w:hAnsi="Verdana" w:cs="Verdana"/>
          <w:b/>
          <w:bCs/>
          <w:color w:val="0070C0"/>
          <w:sz w:val="20"/>
          <w:szCs w:val="20"/>
        </w:rPr>
        <w:t>5 ust. 2 Konwencji</w:t>
      </w:r>
      <w:r w:rsidR="00295694">
        <w:rPr>
          <w:rFonts w:ascii="Verdana" w:hAnsi="Verdana" w:cs="Verdana"/>
          <w:color w:val="0070C0"/>
          <w:sz w:val="20"/>
          <w:szCs w:val="20"/>
        </w:rPr>
        <w:t xml:space="preserve"> (prawo do informacji o przyczynach zatrzymania) i </w:t>
      </w:r>
      <w:r w:rsidR="00295694" w:rsidRPr="00295694">
        <w:rPr>
          <w:rFonts w:ascii="Verdana" w:hAnsi="Verdana" w:cs="Verdana"/>
          <w:b/>
          <w:bCs/>
          <w:color w:val="0070C0"/>
          <w:sz w:val="20"/>
          <w:szCs w:val="20"/>
        </w:rPr>
        <w:t>art. 13</w:t>
      </w:r>
      <w:r w:rsidR="00295694">
        <w:rPr>
          <w:rFonts w:ascii="Verdana" w:hAnsi="Verdana" w:cs="Verdana"/>
          <w:color w:val="0070C0"/>
          <w:sz w:val="20"/>
          <w:szCs w:val="20"/>
        </w:rPr>
        <w:t xml:space="preserve"> (prawo do środka odwoławczego) w zw. z </w:t>
      </w:r>
      <w:r w:rsidR="00295694" w:rsidRPr="00295694">
        <w:rPr>
          <w:rFonts w:ascii="Verdana" w:hAnsi="Verdana" w:cs="Verdana"/>
          <w:b/>
          <w:bCs/>
          <w:color w:val="0070C0"/>
          <w:sz w:val="20"/>
          <w:szCs w:val="20"/>
        </w:rPr>
        <w:t>art. 3</w:t>
      </w:r>
      <w:r w:rsidR="00295694">
        <w:rPr>
          <w:rFonts w:ascii="Verdana" w:hAnsi="Verdana" w:cs="Verdana"/>
          <w:color w:val="0070C0"/>
          <w:sz w:val="20"/>
          <w:szCs w:val="20"/>
        </w:rPr>
        <w:t xml:space="preserve"> Konwencji (zakaz tortur). </w:t>
      </w:r>
    </w:p>
    <w:p w14:paraId="4B748984" w14:textId="1BCCE008" w:rsidR="005C6EDE" w:rsidRPr="005C6EDE" w:rsidRDefault="005C6EDE" w:rsidP="002A4B3D">
      <w:pPr>
        <w:autoSpaceDE w:val="0"/>
        <w:autoSpaceDN w:val="0"/>
        <w:adjustRightInd w:val="0"/>
        <w:spacing w:after="0" w:line="240" w:lineRule="auto"/>
        <w:jc w:val="both"/>
        <w:rPr>
          <w:rFonts w:ascii="Verdana" w:hAnsi="Verdana" w:cs="Verdana"/>
          <w:color w:val="0070C0"/>
          <w:sz w:val="20"/>
          <w:szCs w:val="20"/>
        </w:rPr>
      </w:pPr>
      <w:r>
        <w:rPr>
          <w:rFonts w:ascii="Verdana" w:hAnsi="Verdana" w:cs="Verdana"/>
          <w:color w:val="0070C0"/>
          <w:sz w:val="20"/>
          <w:szCs w:val="20"/>
        </w:rPr>
        <w:t xml:space="preserve">  </w:t>
      </w:r>
    </w:p>
    <w:p w14:paraId="50CC77E0" w14:textId="4205BDD6" w:rsidR="00720F41" w:rsidRPr="00B21606" w:rsidRDefault="00720F41" w:rsidP="002A4B3D">
      <w:pPr>
        <w:autoSpaceDE w:val="0"/>
        <w:autoSpaceDN w:val="0"/>
        <w:adjustRightInd w:val="0"/>
        <w:spacing w:after="0" w:line="240" w:lineRule="auto"/>
        <w:jc w:val="both"/>
        <w:rPr>
          <w:rFonts w:ascii="Verdana" w:hAnsi="Verdana" w:cs="Verdana"/>
          <w:b/>
          <w:bCs/>
          <w:color w:val="0070C0"/>
          <w:sz w:val="20"/>
          <w:szCs w:val="20"/>
          <w:u w:val="single"/>
        </w:rPr>
      </w:pPr>
      <w:hyperlink r:id="rId15" w:history="1">
        <w:proofErr w:type="spellStart"/>
        <w:r w:rsidRPr="004811FE">
          <w:rPr>
            <w:rStyle w:val="Hipercze"/>
            <w:rFonts w:ascii="Verdana" w:hAnsi="Verdana" w:cs="Verdana"/>
            <w:b/>
            <w:bCs/>
            <w:sz w:val="20"/>
            <w:szCs w:val="20"/>
          </w:rPr>
          <w:t>Hirsi</w:t>
        </w:r>
        <w:proofErr w:type="spellEnd"/>
        <w:r w:rsidRPr="004811FE">
          <w:rPr>
            <w:rStyle w:val="Hipercze"/>
            <w:rFonts w:ascii="Verdana" w:hAnsi="Verdana" w:cs="Verdana"/>
            <w:b/>
            <w:bCs/>
            <w:sz w:val="20"/>
            <w:szCs w:val="20"/>
          </w:rPr>
          <w:t xml:space="preserve"> </w:t>
        </w:r>
        <w:proofErr w:type="spellStart"/>
        <w:r w:rsidRPr="004811FE">
          <w:rPr>
            <w:rStyle w:val="Hipercze"/>
            <w:rFonts w:ascii="Verdana" w:hAnsi="Verdana" w:cs="Verdana"/>
            <w:b/>
            <w:bCs/>
            <w:sz w:val="20"/>
            <w:szCs w:val="20"/>
          </w:rPr>
          <w:t>Jamaa</w:t>
        </w:r>
        <w:proofErr w:type="spellEnd"/>
        <w:r w:rsidRPr="004811FE">
          <w:rPr>
            <w:rStyle w:val="Hipercze"/>
            <w:rFonts w:ascii="Verdana" w:hAnsi="Verdana" w:cs="Verdana"/>
            <w:b/>
            <w:bCs/>
            <w:sz w:val="20"/>
            <w:szCs w:val="20"/>
          </w:rPr>
          <w:t xml:space="preserve"> i in. przeciwko Włochom</w:t>
        </w:r>
      </w:hyperlink>
    </w:p>
    <w:p w14:paraId="4F1FADEE" w14:textId="11C34878" w:rsidR="00720F41" w:rsidRPr="000D1C49" w:rsidRDefault="00720F41" w:rsidP="002A4B3D">
      <w:pPr>
        <w:autoSpaceDE w:val="0"/>
        <w:autoSpaceDN w:val="0"/>
        <w:adjustRightInd w:val="0"/>
        <w:spacing w:after="0" w:line="240" w:lineRule="auto"/>
        <w:jc w:val="both"/>
        <w:rPr>
          <w:rFonts w:ascii="Verdana" w:hAnsi="Verdana" w:cs="Verdana"/>
          <w:color w:val="808080"/>
          <w:sz w:val="20"/>
          <w:szCs w:val="20"/>
        </w:rPr>
      </w:pPr>
      <w:r w:rsidRPr="000D1C49">
        <w:rPr>
          <w:rFonts w:ascii="Verdana" w:hAnsi="Verdana" w:cs="Verdana"/>
          <w:color w:val="808080"/>
          <w:sz w:val="20"/>
          <w:szCs w:val="20"/>
        </w:rPr>
        <w:t xml:space="preserve">Wyrok Wielkiej Izby </w:t>
      </w:r>
      <w:r w:rsidR="00FB016B" w:rsidRPr="000D1C49">
        <w:rPr>
          <w:rFonts w:ascii="Verdana" w:hAnsi="Verdana" w:cs="Verdana"/>
          <w:color w:val="808080"/>
          <w:sz w:val="20"/>
          <w:szCs w:val="20"/>
        </w:rPr>
        <w:t xml:space="preserve">z dnia </w:t>
      </w:r>
      <w:r w:rsidRPr="000D1C49">
        <w:rPr>
          <w:rFonts w:ascii="Verdana" w:hAnsi="Verdana" w:cs="Verdana"/>
          <w:color w:val="808080"/>
          <w:sz w:val="20"/>
          <w:szCs w:val="20"/>
        </w:rPr>
        <w:t>23</w:t>
      </w:r>
      <w:r w:rsidR="00295694" w:rsidRPr="000D1C49">
        <w:rPr>
          <w:rFonts w:ascii="Verdana" w:hAnsi="Verdana" w:cs="Verdana"/>
          <w:color w:val="808080"/>
          <w:sz w:val="20"/>
          <w:szCs w:val="20"/>
        </w:rPr>
        <w:t xml:space="preserve"> lutego</w:t>
      </w:r>
      <w:r w:rsidRPr="000D1C49">
        <w:rPr>
          <w:rFonts w:ascii="Verdana" w:hAnsi="Verdana" w:cs="Verdana"/>
          <w:color w:val="808080"/>
          <w:sz w:val="20"/>
          <w:szCs w:val="20"/>
        </w:rPr>
        <w:t xml:space="preserve"> 2012</w:t>
      </w:r>
      <w:r w:rsidR="00E2019D">
        <w:rPr>
          <w:rFonts w:ascii="Verdana" w:hAnsi="Verdana" w:cs="Verdana"/>
          <w:color w:val="808080"/>
          <w:sz w:val="20"/>
          <w:szCs w:val="20"/>
        </w:rPr>
        <w:t xml:space="preserve"> </w:t>
      </w:r>
      <w:r w:rsidR="009C75D5">
        <w:rPr>
          <w:rFonts w:ascii="Verdana" w:hAnsi="Verdana" w:cs="Verdana"/>
          <w:color w:val="808080"/>
          <w:sz w:val="20"/>
          <w:szCs w:val="20"/>
        </w:rPr>
        <w:t>r</w:t>
      </w:r>
      <w:r w:rsidR="009C75D5">
        <w:rPr>
          <w:rFonts w:ascii="Verdana" w:hAnsi="Verdana"/>
          <w:color w:val="808080"/>
          <w:sz w:val="20"/>
          <w:szCs w:val="20"/>
        </w:rPr>
        <w:t>oku</w:t>
      </w:r>
    </w:p>
    <w:p w14:paraId="0D607056" w14:textId="77777777" w:rsidR="00A07308" w:rsidRDefault="00720F41" w:rsidP="002A4B3D">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xml:space="preserve">Sprawa dotyczyła imigrantów somalijskich i </w:t>
      </w:r>
      <w:r w:rsidR="006B2740">
        <w:rPr>
          <w:rFonts w:ascii="Verdana" w:hAnsi="Verdana" w:cs="Verdana"/>
          <w:sz w:val="20"/>
          <w:szCs w:val="20"/>
        </w:rPr>
        <w:t>erytrejskich, podróżujących</w:t>
      </w:r>
      <w:r>
        <w:rPr>
          <w:rFonts w:ascii="Verdana" w:hAnsi="Verdana" w:cs="Verdana"/>
          <w:sz w:val="20"/>
          <w:szCs w:val="20"/>
        </w:rPr>
        <w:t xml:space="preserve"> z</w:t>
      </w:r>
      <w:r w:rsidR="006B2740">
        <w:rPr>
          <w:rFonts w:ascii="Verdana" w:hAnsi="Verdana" w:cs="Verdana"/>
          <w:sz w:val="20"/>
          <w:szCs w:val="20"/>
        </w:rPr>
        <w:t xml:space="preserve"> terytorium</w:t>
      </w:r>
      <w:r>
        <w:rPr>
          <w:rFonts w:ascii="Verdana" w:hAnsi="Verdana" w:cs="Verdana"/>
          <w:sz w:val="20"/>
          <w:szCs w:val="20"/>
        </w:rPr>
        <w:t xml:space="preserve"> Libii, którzy zostali </w:t>
      </w:r>
      <w:r w:rsidR="00A07308">
        <w:rPr>
          <w:rFonts w:ascii="Verdana" w:hAnsi="Verdana" w:cs="Verdana"/>
          <w:sz w:val="20"/>
          <w:szCs w:val="20"/>
        </w:rPr>
        <w:t>przechwyceni</w:t>
      </w:r>
      <w:r>
        <w:rPr>
          <w:rFonts w:ascii="Verdana" w:hAnsi="Verdana" w:cs="Verdana"/>
          <w:sz w:val="20"/>
          <w:szCs w:val="20"/>
        </w:rPr>
        <w:t xml:space="preserve"> </w:t>
      </w:r>
      <w:r w:rsidR="00A07308">
        <w:rPr>
          <w:rFonts w:ascii="Verdana" w:hAnsi="Verdana" w:cs="Verdana"/>
          <w:sz w:val="20"/>
          <w:szCs w:val="20"/>
        </w:rPr>
        <w:t xml:space="preserve">na morzu </w:t>
      </w:r>
      <w:r>
        <w:rPr>
          <w:rFonts w:ascii="Verdana" w:hAnsi="Verdana" w:cs="Verdana"/>
          <w:sz w:val="20"/>
          <w:szCs w:val="20"/>
        </w:rPr>
        <w:t>przez władze włoskie i odesłani z powrotem do Libii.</w:t>
      </w:r>
      <w:r w:rsidR="00996F9D">
        <w:rPr>
          <w:rFonts w:ascii="Verdana" w:hAnsi="Verdana" w:cs="Verdana"/>
          <w:sz w:val="20"/>
          <w:szCs w:val="20"/>
        </w:rPr>
        <w:t xml:space="preserve"> </w:t>
      </w:r>
      <w:r w:rsidR="00DA55B6">
        <w:rPr>
          <w:rFonts w:ascii="Verdana" w:hAnsi="Verdana" w:cs="Verdana"/>
          <w:sz w:val="20"/>
          <w:szCs w:val="20"/>
        </w:rPr>
        <w:t>Skarżący podnieśli m. in., że byli podmiotami wydalenia zbiorowego zakazanego przez art. 4 Protokołu nr 4 do Konwencji. Podnieśli ponadto, iż nie mieli dostępu do skutecznego środka odwoławczego w tym zakresie na terenie Włoch.</w:t>
      </w:r>
    </w:p>
    <w:p w14:paraId="47C243CC" w14:textId="77777777" w:rsidR="00A07308" w:rsidRPr="00DA55B6" w:rsidRDefault="00A07308" w:rsidP="002A4B3D">
      <w:pPr>
        <w:autoSpaceDE w:val="0"/>
        <w:autoSpaceDN w:val="0"/>
        <w:adjustRightInd w:val="0"/>
        <w:spacing w:after="0" w:line="240" w:lineRule="auto"/>
        <w:jc w:val="both"/>
        <w:rPr>
          <w:rFonts w:ascii="Verdana" w:hAnsi="Verdana" w:cs="Verdana"/>
          <w:color w:val="0070C0"/>
          <w:sz w:val="20"/>
          <w:szCs w:val="20"/>
        </w:rPr>
      </w:pPr>
      <w:r w:rsidRPr="00DA55B6">
        <w:rPr>
          <w:rFonts w:ascii="Verdana" w:hAnsi="Verdana" w:cs="Verdana"/>
          <w:color w:val="0070C0"/>
          <w:sz w:val="20"/>
          <w:szCs w:val="20"/>
        </w:rPr>
        <w:t>Trybunał stwierdził, ż</w:t>
      </w:r>
      <w:r w:rsidR="006B2740" w:rsidRPr="00DA55B6">
        <w:rPr>
          <w:rFonts w:ascii="Verdana" w:hAnsi="Verdana" w:cs="Verdana"/>
          <w:color w:val="0070C0"/>
          <w:sz w:val="20"/>
          <w:szCs w:val="20"/>
        </w:rPr>
        <w:t xml:space="preserve">e skarżący </w:t>
      </w:r>
      <w:r w:rsidR="006B2740" w:rsidRPr="00DA55B6">
        <w:rPr>
          <w:rFonts w:ascii="Verdana" w:hAnsi="Verdana" w:cs="Verdana"/>
          <w:b/>
          <w:bCs/>
          <w:color w:val="0070C0"/>
          <w:sz w:val="20"/>
          <w:szCs w:val="20"/>
        </w:rPr>
        <w:t xml:space="preserve">podlegali jurysdykcji </w:t>
      </w:r>
      <w:r w:rsidR="006B2740" w:rsidRPr="00DA55B6">
        <w:rPr>
          <w:rFonts w:ascii="Verdana" w:hAnsi="Verdana" w:cs="Verdana"/>
          <w:color w:val="0070C0"/>
          <w:sz w:val="20"/>
          <w:szCs w:val="20"/>
        </w:rPr>
        <w:t xml:space="preserve">włoskiej </w:t>
      </w:r>
      <w:r w:rsidR="006B2740" w:rsidRPr="00DA55B6">
        <w:rPr>
          <w:rFonts w:ascii="Verdana" w:hAnsi="Verdana" w:cs="Verdana"/>
          <w:b/>
          <w:bCs/>
          <w:color w:val="0070C0"/>
          <w:sz w:val="20"/>
          <w:szCs w:val="20"/>
        </w:rPr>
        <w:t>w rozumieniu</w:t>
      </w:r>
      <w:r w:rsidRPr="00DA55B6">
        <w:rPr>
          <w:rFonts w:ascii="Verdana" w:hAnsi="Verdana" w:cs="Verdana"/>
          <w:b/>
          <w:bCs/>
          <w:color w:val="0070C0"/>
          <w:sz w:val="20"/>
          <w:szCs w:val="20"/>
        </w:rPr>
        <w:t xml:space="preserve"> art. 1 Konwencji</w:t>
      </w:r>
      <w:r w:rsidR="00DA55B6">
        <w:rPr>
          <w:rFonts w:ascii="Verdana" w:hAnsi="Verdana" w:cs="Verdana"/>
          <w:color w:val="0070C0"/>
          <w:sz w:val="20"/>
          <w:szCs w:val="20"/>
        </w:rPr>
        <w:t xml:space="preserve"> (prawo do poszanowania praw człowieka)</w:t>
      </w:r>
      <w:r w:rsidRPr="00DA55B6">
        <w:rPr>
          <w:rFonts w:ascii="Verdana" w:hAnsi="Verdana" w:cs="Verdana"/>
          <w:color w:val="0070C0"/>
          <w:sz w:val="20"/>
          <w:szCs w:val="20"/>
        </w:rPr>
        <w:t xml:space="preserve">: w czasie pomiędzy </w:t>
      </w:r>
      <w:r w:rsidR="00EC567A" w:rsidRPr="00DA55B6">
        <w:rPr>
          <w:rFonts w:ascii="Verdana" w:hAnsi="Verdana" w:cs="Verdana"/>
          <w:color w:val="0070C0"/>
          <w:sz w:val="20"/>
          <w:szCs w:val="20"/>
        </w:rPr>
        <w:t>załadowaniem na statek, a przekazaniem władzom libijskim i</w:t>
      </w:r>
      <w:r w:rsidR="00051FCE" w:rsidRPr="00DA55B6">
        <w:rPr>
          <w:rFonts w:ascii="Verdana" w:hAnsi="Verdana" w:cs="Verdana"/>
          <w:color w:val="0070C0"/>
          <w:sz w:val="20"/>
          <w:szCs w:val="20"/>
        </w:rPr>
        <w:t xml:space="preserve"> faktycznie oraz z mocy prawa pozostawali pod kontrolą władz włoskich.</w:t>
      </w:r>
    </w:p>
    <w:p w14:paraId="02AFB790" w14:textId="77777777" w:rsidR="00F7131D" w:rsidRPr="00DA55B6" w:rsidRDefault="00DA55B6" w:rsidP="002A4B3D">
      <w:pPr>
        <w:autoSpaceDE w:val="0"/>
        <w:autoSpaceDN w:val="0"/>
        <w:adjustRightInd w:val="0"/>
        <w:spacing w:after="0" w:line="240" w:lineRule="auto"/>
        <w:jc w:val="both"/>
        <w:rPr>
          <w:rFonts w:ascii="Verdana" w:hAnsi="Verdana" w:cs="Verdana"/>
          <w:color w:val="0070C0"/>
          <w:sz w:val="20"/>
          <w:szCs w:val="20"/>
        </w:rPr>
      </w:pPr>
      <w:r>
        <w:rPr>
          <w:rFonts w:ascii="Verdana" w:hAnsi="Verdana" w:cs="Verdana"/>
          <w:color w:val="0070C0"/>
          <w:sz w:val="20"/>
          <w:szCs w:val="20"/>
        </w:rPr>
        <w:t xml:space="preserve">W tej sprawie </w:t>
      </w:r>
      <w:r w:rsidR="00051FCE" w:rsidRPr="00DA55B6">
        <w:rPr>
          <w:rFonts w:ascii="Verdana" w:hAnsi="Verdana" w:cs="Verdana"/>
          <w:color w:val="0070C0"/>
          <w:sz w:val="20"/>
          <w:szCs w:val="20"/>
        </w:rPr>
        <w:t xml:space="preserve">Trybunał </w:t>
      </w:r>
      <w:r w:rsidR="008864D5" w:rsidRPr="00DA55B6">
        <w:rPr>
          <w:rFonts w:ascii="Verdana" w:hAnsi="Verdana" w:cs="Verdana"/>
          <w:b/>
          <w:bCs/>
          <w:color w:val="0070C0"/>
          <w:sz w:val="20"/>
          <w:szCs w:val="20"/>
        </w:rPr>
        <w:t xml:space="preserve">został </w:t>
      </w:r>
      <w:r w:rsidR="002B44A5" w:rsidRPr="00DA55B6">
        <w:rPr>
          <w:rFonts w:ascii="Verdana" w:hAnsi="Verdana" w:cs="Verdana"/>
          <w:b/>
          <w:bCs/>
          <w:color w:val="0070C0"/>
          <w:sz w:val="20"/>
          <w:szCs w:val="20"/>
        </w:rPr>
        <w:t xml:space="preserve">po raz pierwszy </w:t>
      </w:r>
      <w:r w:rsidR="008864D5" w:rsidRPr="00DA55B6">
        <w:rPr>
          <w:rFonts w:ascii="Verdana" w:hAnsi="Verdana" w:cs="Verdana"/>
          <w:b/>
          <w:bCs/>
          <w:color w:val="0070C0"/>
          <w:sz w:val="20"/>
          <w:szCs w:val="20"/>
        </w:rPr>
        <w:t>zmuszony do zbadania, czy art. 4 Protokołu</w:t>
      </w:r>
      <w:r>
        <w:rPr>
          <w:rFonts w:ascii="Verdana" w:hAnsi="Verdana" w:cs="Verdana"/>
          <w:b/>
          <w:bCs/>
          <w:color w:val="0070C0"/>
          <w:sz w:val="20"/>
          <w:szCs w:val="20"/>
        </w:rPr>
        <w:t xml:space="preserve"> nr</w:t>
      </w:r>
      <w:r w:rsidR="008864D5" w:rsidRPr="00DA55B6">
        <w:rPr>
          <w:rFonts w:ascii="Verdana" w:hAnsi="Verdana" w:cs="Verdana"/>
          <w:b/>
          <w:bCs/>
          <w:color w:val="0070C0"/>
          <w:sz w:val="20"/>
          <w:szCs w:val="20"/>
        </w:rPr>
        <w:t xml:space="preserve"> 4</w:t>
      </w:r>
      <w:r w:rsidR="008864D5" w:rsidRPr="00DA55B6">
        <w:rPr>
          <w:rFonts w:ascii="Verdana" w:hAnsi="Verdana" w:cs="Verdana"/>
          <w:color w:val="0070C0"/>
          <w:sz w:val="20"/>
          <w:szCs w:val="20"/>
        </w:rPr>
        <w:t xml:space="preserve"> </w:t>
      </w:r>
      <w:r>
        <w:rPr>
          <w:rFonts w:ascii="Verdana" w:hAnsi="Verdana" w:cs="Verdana"/>
          <w:color w:val="0070C0"/>
          <w:sz w:val="20"/>
          <w:szCs w:val="20"/>
        </w:rPr>
        <w:t xml:space="preserve">do Konwencji </w:t>
      </w:r>
      <w:r w:rsidR="001F3F56" w:rsidRPr="00DA55B6">
        <w:rPr>
          <w:rFonts w:ascii="Verdana" w:hAnsi="Verdana" w:cs="Verdana"/>
          <w:b/>
          <w:bCs/>
          <w:color w:val="0070C0"/>
          <w:sz w:val="20"/>
          <w:szCs w:val="20"/>
        </w:rPr>
        <w:t>miał</w:t>
      </w:r>
      <w:r w:rsidR="008864D5" w:rsidRPr="00DA55B6">
        <w:rPr>
          <w:rFonts w:ascii="Verdana" w:hAnsi="Verdana" w:cs="Verdana"/>
          <w:b/>
          <w:bCs/>
          <w:color w:val="0070C0"/>
          <w:sz w:val="20"/>
          <w:szCs w:val="20"/>
        </w:rPr>
        <w:t xml:space="preserve"> z</w:t>
      </w:r>
      <w:r w:rsidR="00E93DF1" w:rsidRPr="00DA55B6">
        <w:rPr>
          <w:rFonts w:ascii="Verdana" w:hAnsi="Verdana" w:cs="Verdana"/>
          <w:b/>
          <w:bCs/>
          <w:color w:val="0070C0"/>
          <w:sz w:val="20"/>
          <w:szCs w:val="20"/>
        </w:rPr>
        <w:t>astosowanie do sytuacji, w której obcokrajowcy są przekazywani z danego państwa do państwa trzeciego</w:t>
      </w:r>
      <w:r w:rsidR="00E93DF1" w:rsidRPr="00DA55B6">
        <w:rPr>
          <w:rFonts w:ascii="Verdana" w:hAnsi="Verdana" w:cs="Verdana"/>
          <w:color w:val="0070C0"/>
          <w:sz w:val="20"/>
          <w:szCs w:val="20"/>
        </w:rPr>
        <w:t>.</w:t>
      </w:r>
      <w:r w:rsidR="00964FEC" w:rsidRPr="00DA55B6">
        <w:rPr>
          <w:rFonts w:ascii="Verdana" w:hAnsi="Verdana" w:cs="Verdana"/>
          <w:color w:val="0070C0"/>
          <w:sz w:val="20"/>
          <w:szCs w:val="20"/>
        </w:rPr>
        <w:t xml:space="preserve"> Trybunał zauważył</w:t>
      </w:r>
      <w:r w:rsidR="00E93DF1" w:rsidRPr="00DA55B6">
        <w:rPr>
          <w:rFonts w:ascii="Verdana" w:hAnsi="Verdana" w:cs="Verdana"/>
          <w:color w:val="0070C0"/>
          <w:sz w:val="20"/>
          <w:szCs w:val="20"/>
        </w:rPr>
        <w:t xml:space="preserve">, że </w:t>
      </w:r>
      <w:r w:rsidR="009009B6" w:rsidRPr="00DA55B6">
        <w:rPr>
          <w:rFonts w:ascii="Verdana" w:hAnsi="Verdana" w:cs="Verdana"/>
          <w:color w:val="0070C0"/>
          <w:sz w:val="20"/>
          <w:szCs w:val="20"/>
        </w:rPr>
        <w:t>pojęcie wydalenia</w:t>
      </w:r>
      <w:r w:rsidR="00E93DF1" w:rsidRPr="00DA55B6">
        <w:rPr>
          <w:rFonts w:ascii="Verdana" w:hAnsi="Verdana" w:cs="Verdana"/>
          <w:color w:val="0070C0"/>
          <w:sz w:val="20"/>
          <w:szCs w:val="20"/>
        </w:rPr>
        <w:t xml:space="preserve">, podobnie jak koncepcja </w:t>
      </w:r>
      <w:r w:rsidR="009009B6" w:rsidRPr="00DA55B6">
        <w:rPr>
          <w:rFonts w:ascii="Verdana" w:hAnsi="Verdana" w:cs="Verdana"/>
          <w:color w:val="0070C0"/>
          <w:sz w:val="20"/>
          <w:szCs w:val="20"/>
        </w:rPr>
        <w:t>„jurysdykcji”, miało zasadniczo charakter terytorialny</w:t>
      </w:r>
      <w:r w:rsidR="00964FEC" w:rsidRPr="00DA55B6">
        <w:rPr>
          <w:rFonts w:ascii="Verdana" w:hAnsi="Verdana" w:cs="Verdana"/>
          <w:color w:val="0070C0"/>
          <w:sz w:val="20"/>
          <w:szCs w:val="20"/>
        </w:rPr>
        <w:t>, ale stwierdził, że tam gdzie państwo, na zasadzie wyjątku, wykonywało swoją jurysdykcję poza granicami swojego teryto</w:t>
      </w:r>
      <w:r w:rsidR="00461843" w:rsidRPr="00DA55B6">
        <w:rPr>
          <w:rFonts w:ascii="Verdana" w:hAnsi="Verdana" w:cs="Verdana"/>
          <w:color w:val="0070C0"/>
          <w:sz w:val="20"/>
          <w:szCs w:val="20"/>
        </w:rPr>
        <w:t xml:space="preserve">rium – Trybunał stwierdził, że skarżący w niniejszej sprawie podlegali jurysdykcji włoskiej – należy </w:t>
      </w:r>
      <w:r w:rsidR="00D43092" w:rsidRPr="00DA55B6">
        <w:rPr>
          <w:rFonts w:ascii="Verdana" w:hAnsi="Verdana" w:cs="Verdana"/>
          <w:color w:val="0070C0"/>
          <w:sz w:val="20"/>
          <w:szCs w:val="20"/>
        </w:rPr>
        <w:t>przyjąć</w:t>
      </w:r>
      <w:r w:rsidR="00461843" w:rsidRPr="00DA55B6">
        <w:rPr>
          <w:rFonts w:ascii="Verdana" w:hAnsi="Verdana" w:cs="Verdana"/>
          <w:color w:val="0070C0"/>
          <w:sz w:val="20"/>
          <w:szCs w:val="20"/>
        </w:rPr>
        <w:t xml:space="preserve">, że wykonywanie jurysdykcji </w:t>
      </w:r>
      <w:r w:rsidR="00B82B8B" w:rsidRPr="00DA55B6">
        <w:rPr>
          <w:rFonts w:ascii="Verdana" w:hAnsi="Verdana" w:cs="Verdana"/>
          <w:color w:val="0070C0"/>
          <w:sz w:val="20"/>
          <w:szCs w:val="20"/>
        </w:rPr>
        <w:t>eks</w:t>
      </w:r>
      <w:r w:rsidR="00461843" w:rsidRPr="00DA55B6">
        <w:rPr>
          <w:rFonts w:ascii="Verdana" w:hAnsi="Verdana" w:cs="Verdana"/>
          <w:color w:val="0070C0"/>
          <w:sz w:val="20"/>
          <w:szCs w:val="20"/>
        </w:rPr>
        <w:t>terytorialnej przez dane państwo</w:t>
      </w:r>
      <w:r w:rsidR="00FA4F3D" w:rsidRPr="00DA55B6">
        <w:rPr>
          <w:rFonts w:ascii="Verdana" w:hAnsi="Verdana" w:cs="Verdana"/>
          <w:color w:val="0070C0"/>
          <w:sz w:val="20"/>
          <w:szCs w:val="20"/>
        </w:rPr>
        <w:t xml:space="preserve"> przyjęło</w:t>
      </w:r>
      <w:r w:rsidR="00D43092" w:rsidRPr="00DA55B6">
        <w:rPr>
          <w:rFonts w:ascii="Verdana" w:hAnsi="Verdana" w:cs="Verdana"/>
          <w:color w:val="0070C0"/>
          <w:sz w:val="20"/>
          <w:szCs w:val="20"/>
        </w:rPr>
        <w:t xml:space="preserve"> postać wydalenia zbiorowego. Przekazanie skarżących do Libii </w:t>
      </w:r>
      <w:r w:rsidR="00605EB0" w:rsidRPr="00DA55B6">
        <w:rPr>
          <w:rFonts w:ascii="Verdana" w:hAnsi="Verdana" w:cs="Verdana"/>
          <w:color w:val="0070C0"/>
          <w:sz w:val="20"/>
          <w:szCs w:val="20"/>
        </w:rPr>
        <w:t>odbyło się bez zbadania jednostkowych przypadków każdego  z nic</w:t>
      </w:r>
      <w:r w:rsidR="00FA4F3D" w:rsidRPr="00DA55B6">
        <w:rPr>
          <w:rFonts w:ascii="Verdana" w:hAnsi="Verdana" w:cs="Verdana"/>
          <w:color w:val="0070C0"/>
          <w:sz w:val="20"/>
          <w:szCs w:val="20"/>
        </w:rPr>
        <w:t>h. Władze włoskie dokonały jedynie</w:t>
      </w:r>
      <w:r w:rsidR="00605EB0" w:rsidRPr="00DA55B6">
        <w:rPr>
          <w:rFonts w:ascii="Verdana" w:hAnsi="Verdana" w:cs="Verdana"/>
          <w:color w:val="0070C0"/>
          <w:sz w:val="20"/>
          <w:szCs w:val="20"/>
        </w:rPr>
        <w:t xml:space="preserve"> ich</w:t>
      </w:r>
      <w:r w:rsidR="00FA4F3D" w:rsidRPr="00DA55B6">
        <w:rPr>
          <w:rFonts w:ascii="Verdana" w:hAnsi="Verdana" w:cs="Verdana"/>
          <w:color w:val="0070C0"/>
          <w:sz w:val="20"/>
          <w:szCs w:val="20"/>
        </w:rPr>
        <w:t xml:space="preserve"> załadunku</w:t>
      </w:r>
      <w:r w:rsidR="00605EB0" w:rsidRPr="00DA55B6">
        <w:rPr>
          <w:rFonts w:ascii="Verdana" w:hAnsi="Verdana" w:cs="Verdana"/>
          <w:color w:val="0070C0"/>
          <w:sz w:val="20"/>
          <w:szCs w:val="20"/>
        </w:rPr>
        <w:t xml:space="preserve"> </w:t>
      </w:r>
      <w:r w:rsidR="00B82B8B" w:rsidRPr="00DA55B6">
        <w:rPr>
          <w:rFonts w:ascii="Verdana" w:hAnsi="Verdana" w:cs="Verdana"/>
          <w:color w:val="0070C0"/>
          <w:sz w:val="20"/>
          <w:szCs w:val="20"/>
        </w:rPr>
        <w:t>na statki, a następnie wysadzenia</w:t>
      </w:r>
      <w:r w:rsidR="00605EB0" w:rsidRPr="00DA55B6">
        <w:rPr>
          <w:rFonts w:ascii="Verdana" w:hAnsi="Verdana" w:cs="Verdana"/>
          <w:color w:val="0070C0"/>
          <w:sz w:val="20"/>
          <w:szCs w:val="20"/>
        </w:rPr>
        <w:t xml:space="preserve"> na terytorium Libii. Trybunał stwierdził, że </w:t>
      </w:r>
      <w:r w:rsidR="007C1408" w:rsidRPr="00DA55B6">
        <w:rPr>
          <w:rFonts w:ascii="Verdana" w:hAnsi="Verdana" w:cs="Verdana"/>
          <w:color w:val="0070C0"/>
          <w:sz w:val="20"/>
          <w:szCs w:val="20"/>
        </w:rPr>
        <w:t xml:space="preserve">usunięcie skarżących miało charakter zbiorowy, </w:t>
      </w:r>
      <w:r w:rsidR="00FA4F3D" w:rsidRPr="00DA55B6">
        <w:rPr>
          <w:rFonts w:ascii="Verdana" w:hAnsi="Verdana" w:cs="Verdana"/>
          <w:color w:val="0070C0"/>
          <w:sz w:val="20"/>
          <w:szCs w:val="20"/>
        </w:rPr>
        <w:t xml:space="preserve">z </w:t>
      </w:r>
      <w:r w:rsidR="00FA4F3D" w:rsidRPr="00DA55B6">
        <w:rPr>
          <w:rFonts w:ascii="Verdana" w:hAnsi="Verdana" w:cs="Verdana"/>
          <w:b/>
          <w:bCs/>
          <w:color w:val="0070C0"/>
          <w:sz w:val="20"/>
          <w:szCs w:val="20"/>
        </w:rPr>
        <w:t>naruszeniem art. 4 Pro</w:t>
      </w:r>
      <w:r w:rsidR="00F7131D" w:rsidRPr="00DA55B6">
        <w:rPr>
          <w:rFonts w:ascii="Verdana" w:hAnsi="Verdana" w:cs="Verdana"/>
          <w:b/>
          <w:bCs/>
          <w:color w:val="0070C0"/>
          <w:sz w:val="20"/>
          <w:szCs w:val="20"/>
        </w:rPr>
        <w:t>tokołu nr 4 do Konwencji</w:t>
      </w:r>
      <w:r w:rsidR="00F7131D" w:rsidRPr="00DA55B6">
        <w:rPr>
          <w:rFonts w:ascii="Verdana" w:hAnsi="Verdana" w:cs="Verdana"/>
          <w:color w:val="0070C0"/>
          <w:sz w:val="20"/>
          <w:szCs w:val="20"/>
        </w:rPr>
        <w:t>.</w:t>
      </w:r>
    </w:p>
    <w:p w14:paraId="2A21C99C" w14:textId="77777777" w:rsidR="00010703" w:rsidRPr="00DA55B6" w:rsidRDefault="00F7131D" w:rsidP="002A4B3D">
      <w:pPr>
        <w:autoSpaceDE w:val="0"/>
        <w:autoSpaceDN w:val="0"/>
        <w:adjustRightInd w:val="0"/>
        <w:spacing w:after="0" w:line="240" w:lineRule="auto"/>
        <w:jc w:val="both"/>
        <w:rPr>
          <w:rFonts w:ascii="Verdana" w:hAnsi="Verdana" w:cs="Verdana"/>
          <w:color w:val="0070C0"/>
          <w:sz w:val="20"/>
          <w:szCs w:val="20"/>
        </w:rPr>
      </w:pPr>
      <w:r w:rsidRPr="00DA55B6">
        <w:rPr>
          <w:rFonts w:ascii="Verdana" w:hAnsi="Verdana" w:cs="Verdana"/>
          <w:color w:val="0070C0"/>
          <w:sz w:val="20"/>
          <w:szCs w:val="20"/>
        </w:rPr>
        <w:t xml:space="preserve">Trybunał stwierdził ponadto, że doszło do naruszeń art. 3 Konwencji (zakaz nieludzkiego lub poniżającego traktowania), ponieważ skarżący zostali narażeni </w:t>
      </w:r>
      <w:r w:rsidR="008855E3" w:rsidRPr="00DA55B6">
        <w:rPr>
          <w:rFonts w:ascii="Verdana" w:hAnsi="Verdana" w:cs="Verdana"/>
          <w:color w:val="0070C0"/>
          <w:sz w:val="20"/>
          <w:szCs w:val="20"/>
        </w:rPr>
        <w:t>na znęcanie w Libii i wydalenie</w:t>
      </w:r>
      <w:r w:rsidR="00C960B6" w:rsidRPr="00DA55B6">
        <w:rPr>
          <w:rFonts w:ascii="Verdana" w:hAnsi="Verdana" w:cs="Verdana"/>
          <w:color w:val="0070C0"/>
          <w:sz w:val="20"/>
          <w:szCs w:val="20"/>
        </w:rPr>
        <w:t xml:space="preserve"> do Somalii i Erytrei. </w:t>
      </w:r>
      <w:r w:rsidR="00AA1F39">
        <w:rPr>
          <w:rFonts w:ascii="Verdana" w:hAnsi="Verdana" w:cs="Verdana"/>
          <w:color w:val="0070C0"/>
          <w:sz w:val="20"/>
          <w:szCs w:val="20"/>
        </w:rPr>
        <w:t xml:space="preserve">Wreszcie Trybunał stwierdził </w:t>
      </w:r>
      <w:r w:rsidR="000604B1" w:rsidRPr="00DA55B6">
        <w:rPr>
          <w:rFonts w:ascii="Verdana" w:hAnsi="Verdana" w:cs="Verdana"/>
          <w:color w:val="0070C0"/>
          <w:sz w:val="20"/>
          <w:szCs w:val="20"/>
        </w:rPr>
        <w:t>naruszenia art. 13 (prawo do skutecznego środka odwoławczego) w związku z art. 3 Konwencji</w:t>
      </w:r>
      <w:r w:rsidR="00AA1F39">
        <w:rPr>
          <w:rFonts w:ascii="Verdana" w:hAnsi="Verdana" w:cs="Verdana"/>
          <w:color w:val="0070C0"/>
          <w:sz w:val="20"/>
          <w:szCs w:val="20"/>
        </w:rPr>
        <w:t xml:space="preserve"> i z art. 4 Protokołu nr 4 do Konwencji</w:t>
      </w:r>
      <w:r w:rsidR="000604B1" w:rsidRPr="00DA55B6">
        <w:rPr>
          <w:rFonts w:ascii="Verdana" w:hAnsi="Verdana" w:cs="Verdana"/>
          <w:color w:val="0070C0"/>
          <w:sz w:val="20"/>
          <w:szCs w:val="20"/>
        </w:rPr>
        <w:t xml:space="preserve">, ponieważ skarżący nie mieli możliwości wniesienia zażalenia do właściwego organu i otrzymania </w:t>
      </w:r>
      <w:r w:rsidR="00806995" w:rsidRPr="00DA55B6">
        <w:rPr>
          <w:rFonts w:ascii="Verdana" w:hAnsi="Verdana" w:cs="Verdana"/>
          <w:color w:val="0070C0"/>
          <w:sz w:val="20"/>
          <w:szCs w:val="20"/>
        </w:rPr>
        <w:t>całościowej oraz wnikliwej oceny ich wniosków</w:t>
      </w:r>
      <w:r w:rsidR="007C058A" w:rsidRPr="00DA55B6">
        <w:rPr>
          <w:rFonts w:ascii="Verdana" w:hAnsi="Verdana" w:cs="Verdana"/>
          <w:color w:val="0070C0"/>
          <w:sz w:val="20"/>
          <w:szCs w:val="20"/>
        </w:rPr>
        <w:t xml:space="preserve"> przed zastosowaniem środka w postaci wydalenia</w:t>
      </w:r>
      <w:r w:rsidR="00AA1F39">
        <w:rPr>
          <w:rFonts w:ascii="Verdana" w:hAnsi="Verdana" w:cs="Verdana"/>
          <w:color w:val="0070C0"/>
          <w:sz w:val="20"/>
          <w:szCs w:val="20"/>
        </w:rPr>
        <w:t xml:space="preserve"> oraz dlatego, że</w:t>
      </w:r>
      <w:r w:rsidR="00010703" w:rsidRPr="00DA55B6">
        <w:rPr>
          <w:rFonts w:ascii="Verdana" w:hAnsi="Verdana" w:cs="Verdana"/>
          <w:color w:val="0070C0"/>
          <w:sz w:val="20"/>
          <w:szCs w:val="20"/>
        </w:rPr>
        <w:t xml:space="preserve"> środek </w:t>
      </w:r>
      <w:r w:rsidR="001B3D5E" w:rsidRPr="00DA55B6">
        <w:rPr>
          <w:rFonts w:ascii="Verdana" w:hAnsi="Verdana" w:cs="Verdana"/>
          <w:color w:val="0070C0"/>
          <w:sz w:val="20"/>
          <w:szCs w:val="20"/>
        </w:rPr>
        <w:t>o charakterze karny</w:t>
      </w:r>
      <w:r w:rsidR="00806995" w:rsidRPr="00DA55B6">
        <w:rPr>
          <w:rFonts w:ascii="Verdana" w:hAnsi="Verdana" w:cs="Verdana"/>
          <w:color w:val="0070C0"/>
          <w:sz w:val="20"/>
          <w:szCs w:val="20"/>
        </w:rPr>
        <w:t>m</w:t>
      </w:r>
      <w:r w:rsidR="00AA1F39">
        <w:rPr>
          <w:rFonts w:ascii="Verdana" w:hAnsi="Verdana" w:cs="Verdana"/>
          <w:color w:val="0070C0"/>
          <w:sz w:val="20"/>
          <w:szCs w:val="20"/>
        </w:rPr>
        <w:t>,</w:t>
      </w:r>
      <w:r w:rsidR="001B3D5E" w:rsidRPr="00DA55B6">
        <w:rPr>
          <w:rFonts w:ascii="Verdana" w:hAnsi="Verdana" w:cs="Verdana"/>
          <w:color w:val="0070C0"/>
          <w:sz w:val="20"/>
          <w:szCs w:val="20"/>
        </w:rPr>
        <w:t xml:space="preserve"> zastosowan</w:t>
      </w:r>
      <w:r w:rsidR="00806995" w:rsidRPr="00DA55B6">
        <w:rPr>
          <w:rFonts w:ascii="Verdana" w:hAnsi="Verdana" w:cs="Verdana"/>
          <w:color w:val="0070C0"/>
          <w:sz w:val="20"/>
          <w:szCs w:val="20"/>
        </w:rPr>
        <w:t>y przeciwko wojskowej załodze</w:t>
      </w:r>
      <w:r w:rsidR="00C170D4" w:rsidRPr="00DA55B6">
        <w:rPr>
          <w:rFonts w:ascii="Verdana" w:hAnsi="Verdana" w:cs="Verdana"/>
          <w:color w:val="0070C0"/>
          <w:sz w:val="20"/>
          <w:szCs w:val="20"/>
        </w:rPr>
        <w:t xml:space="preserve"> statku</w:t>
      </w:r>
      <w:r w:rsidR="00AA1F39">
        <w:rPr>
          <w:rFonts w:ascii="Verdana" w:hAnsi="Verdana" w:cs="Verdana"/>
          <w:color w:val="0070C0"/>
          <w:sz w:val="20"/>
          <w:szCs w:val="20"/>
        </w:rPr>
        <w:t>,</w:t>
      </w:r>
      <w:r w:rsidR="00C170D4" w:rsidRPr="00DA55B6">
        <w:rPr>
          <w:rFonts w:ascii="Verdana" w:hAnsi="Verdana" w:cs="Verdana"/>
          <w:color w:val="0070C0"/>
          <w:sz w:val="20"/>
          <w:szCs w:val="20"/>
        </w:rPr>
        <w:t xml:space="preserve"> nie</w:t>
      </w:r>
      <w:r w:rsidR="00F954B7" w:rsidRPr="00DA55B6">
        <w:rPr>
          <w:rFonts w:ascii="Verdana" w:hAnsi="Verdana" w:cs="Verdana"/>
          <w:color w:val="0070C0"/>
          <w:sz w:val="20"/>
          <w:szCs w:val="20"/>
        </w:rPr>
        <w:t xml:space="preserve"> spełniał wymogów środka o skutku zawieszającym.</w:t>
      </w:r>
    </w:p>
    <w:p w14:paraId="6D402549" w14:textId="77777777" w:rsidR="00AA1F39" w:rsidRDefault="00AA1F39" w:rsidP="002A4B3D">
      <w:pPr>
        <w:autoSpaceDE w:val="0"/>
        <w:autoSpaceDN w:val="0"/>
        <w:adjustRightInd w:val="0"/>
        <w:spacing w:after="0" w:line="240" w:lineRule="auto"/>
        <w:jc w:val="both"/>
        <w:rPr>
          <w:rFonts w:ascii="Verdana" w:hAnsi="Verdana" w:cs="Verdana"/>
          <w:sz w:val="20"/>
          <w:szCs w:val="20"/>
        </w:rPr>
      </w:pPr>
    </w:p>
    <w:p w14:paraId="50E35A87" w14:textId="7E7E3BA1" w:rsidR="00AA1F39" w:rsidRPr="009363F1" w:rsidRDefault="00AA1F39" w:rsidP="002A4B3D">
      <w:pPr>
        <w:autoSpaceDE w:val="0"/>
        <w:autoSpaceDN w:val="0"/>
        <w:adjustRightInd w:val="0"/>
        <w:spacing w:after="0" w:line="240" w:lineRule="auto"/>
        <w:jc w:val="both"/>
        <w:rPr>
          <w:rFonts w:ascii="Verdana" w:hAnsi="Verdana" w:cs="Verdana"/>
          <w:b/>
          <w:bCs/>
          <w:color w:val="0070C0"/>
          <w:sz w:val="20"/>
          <w:szCs w:val="20"/>
          <w:u w:val="single"/>
        </w:rPr>
      </w:pPr>
      <w:hyperlink r:id="rId16" w:history="1">
        <w:r w:rsidRPr="00393ED0">
          <w:rPr>
            <w:rStyle w:val="Hipercze"/>
            <w:rFonts w:ascii="Verdana" w:hAnsi="Verdana" w:cs="Verdana"/>
            <w:b/>
            <w:bCs/>
            <w:sz w:val="20"/>
            <w:szCs w:val="20"/>
          </w:rPr>
          <w:t>Gruzja przeciwko Rosji (I)</w:t>
        </w:r>
        <w:r w:rsidR="00BC0A19" w:rsidRPr="00393ED0">
          <w:rPr>
            <w:rStyle w:val="Hipercze"/>
            <w:rFonts w:ascii="Verdana" w:hAnsi="Verdana" w:cs="Verdana"/>
            <w:b/>
            <w:bCs/>
            <w:sz w:val="20"/>
            <w:szCs w:val="20"/>
            <w:vertAlign w:val="superscript"/>
          </w:rPr>
          <w:footnoteReference w:id="2"/>
        </w:r>
      </w:hyperlink>
    </w:p>
    <w:p w14:paraId="3D14D45F" w14:textId="2997D462" w:rsidR="00AA1F39" w:rsidRPr="000D1C49" w:rsidRDefault="00AA1F39" w:rsidP="002A4B3D">
      <w:pPr>
        <w:autoSpaceDE w:val="0"/>
        <w:autoSpaceDN w:val="0"/>
        <w:adjustRightInd w:val="0"/>
        <w:spacing w:after="0" w:line="240" w:lineRule="auto"/>
        <w:jc w:val="both"/>
        <w:rPr>
          <w:rFonts w:ascii="Verdana" w:hAnsi="Verdana" w:cs="Verdana"/>
          <w:color w:val="808080"/>
          <w:sz w:val="20"/>
          <w:szCs w:val="20"/>
        </w:rPr>
      </w:pPr>
      <w:r w:rsidRPr="000D1C49">
        <w:rPr>
          <w:rFonts w:ascii="Verdana" w:hAnsi="Verdana" w:cs="Verdana"/>
          <w:color w:val="808080"/>
          <w:sz w:val="20"/>
          <w:szCs w:val="20"/>
        </w:rPr>
        <w:t>Wyrok Wielkiej Izby z dnia 3 lipca 2014 r</w:t>
      </w:r>
      <w:r w:rsidR="009C75D5">
        <w:rPr>
          <w:rFonts w:ascii="Verdana" w:hAnsi="Verdana"/>
          <w:color w:val="808080"/>
          <w:sz w:val="20"/>
          <w:szCs w:val="20"/>
        </w:rPr>
        <w:t>oku</w:t>
      </w:r>
    </w:p>
    <w:p w14:paraId="6324067E" w14:textId="77777777" w:rsidR="00AA1F39" w:rsidRPr="009363F1" w:rsidRDefault="00AA1F39" w:rsidP="002A4B3D">
      <w:pPr>
        <w:autoSpaceDE w:val="0"/>
        <w:autoSpaceDN w:val="0"/>
        <w:adjustRightInd w:val="0"/>
        <w:spacing w:after="0" w:line="240" w:lineRule="auto"/>
        <w:jc w:val="both"/>
        <w:rPr>
          <w:rFonts w:ascii="Verdana" w:hAnsi="Verdana" w:cs="Verdana"/>
          <w:sz w:val="20"/>
          <w:szCs w:val="20"/>
        </w:rPr>
      </w:pPr>
      <w:r w:rsidRPr="009363F1">
        <w:rPr>
          <w:rFonts w:ascii="Verdana" w:hAnsi="Verdana" w:cs="Verdana"/>
          <w:sz w:val="20"/>
          <w:szCs w:val="20"/>
        </w:rPr>
        <w:t>Ta sprawa pierwotnie dotyczyła domniemanego istnienia administracyjnej praktyki dotyczącej zatrzymania, aresztowania i zbiorowego wydalenia obywateli Gruzji z Federacji Rosyjskiej jesienią 2006 roku.</w:t>
      </w:r>
    </w:p>
    <w:p w14:paraId="781A02A3" w14:textId="77777777" w:rsidR="00F40D40" w:rsidRPr="009363F1" w:rsidRDefault="00F40D40" w:rsidP="002A4B3D">
      <w:pPr>
        <w:autoSpaceDE w:val="0"/>
        <w:autoSpaceDN w:val="0"/>
        <w:adjustRightInd w:val="0"/>
        <w:spacing w:after="0" w:line="240" w:lineRule="auto"/>
        <w:jc w:val="both"/>
        <w:rPr>
          <w:rFonts w:ascii="Verdana" w:hAnsi="Verdana" w:cs="Verdana"/>
          <w:color w:val="0070C0"/>
          <w:sz w:val="20"/>
          <w:szCs w:val="20"/>
        </w:rPr>
      </w:pPr>
      <w:r w:rsidRPr="009363F1">
        <w:rPr>
          <w:rFonts w:ascii="Verdana" w:hAnsi="Verdana" w:cs="Verdana"/>
          <w:color w:val="0070C0"/>
          <w:sz w:val="20"/>
          <w:szCs w:val="20"/>
        </w:rPr>
        <w:t xml:space="preserve">Trybunał stwierdził w szczególności, że doszło do </w:t>
      </w:r>
      <w:r w:rsidRPr="009363F1">
        <w:rPr>
          <w:rFonts w:ascii="Verdana" w:hAnsi="Verdana" w:cs="Verdana"/>
          <w:b/>
          <w:bCs/>
          <w:color w:val="0070C0"/>
          <w:sz w:val="20"/>
          <w:szCs w:val="20"/>
        </w:rPr>
        <w:t>naruszenia art. 4 Protokołu nr 4 do Konwencji</w:t>
      </w:r>
      <w:r w:rsidRPr="009363F1">
        <w:rPr>
          <w:rFonts w:ascii="Verdana" w:hAnsi="Verdana" w:cs="Verdana"/>
          <w:color w:val="0070C0"/>
          <w:sz w:val="20"/>
          <w:szCs w:val="20"/>
        </w:rPr>
        <w:t xml:space="preserve">, w związku z tym, że wydalenia obywateli Gruzji w omawianym czasie sprowadzały się do praktyki administracyjnej niezgodnej z tym artykułem Konwencji. Trybunał wskazał, że art. 4 Protokołu nr 4 miał zastosowanie bez względu na to, czy wydaleni obywatele Gruzji mieli prawo pobytu czy też nie, </w:t>
      </w:r>
      <w:r w:rsidR="00C73B22" w:rsidRPr="009363F1">
        <w:rPr>
          <w:rFonts w:ascii="Verdana" w:hAnsi="Verdana" w:cs="Verdana"/>
          <w:color w:val="0070C0"/>
          <w:sz w:val="20"/>
          <w:szCs w:val="20"/>
        </w:rPr>
        <w:t>z tego powodu, że wskazany artykuł odnosi się nie tylko do osób, które mają prawo stałego pobytu w danym państwie.</w:t>
      </w:r>
    </w:p>
    <w:p w14:paraId="18E41284" w14:textId="0601811B" w:rsidR="008A1398" w:rsidRPr="009363F1" w:rsidRDefault="00C73B22" w:rsidP="002A4B3D">
      <w:pPr>
        <w:autoSpaceDE w:val="0"/>
        <w:autoSpaceDN w:val="0"/>
        <w:adjustRightInd w:val="0"/>
        <w:spacing w:after="0" w:line="240" w:lineRule="auto"/>
        <w:jc w:val="both"/>
        <w:rPr>
          <w:rFonts w:ascii="Verdana" w:hAnsi="Verdana" w:cs="Verdana"/>
          <w:color w:val="0070C0"/>
          <w:sz w:val="20"/>
          <w:szCs w:val="20"/>
        </w:rPr>
      </w:pPr>
      <w:r w:rsidRPr="009363F1">
        <w:rPr>
          <w:rFonts w:ascii="Verdana" w:hAnsi="Verdana" w:cs="Verdana"/>
          <w:color w:val="0070C0"/>
          <w:sz w:val="20"/>
          <w:szCs w:val="20"/>
        </w:rPr>
        <w:t xml:space="preserve">W zakresie pytania, czy środki służące do wydalenia zostały przedsięwzięte na podstawie i po </w:t>
      </w:r>
      <w:r w:rsidR="00D2583E">
        <w:rPr>
          <w:rFonts w:ascii="Verdana" w:hAnsi="Verdana" w:cs="Verdana"/>
          <w:color w:val="0070C0"/>
          <w:sz w:val="20"/>
          <w:szCs w:val="20"/>
        </w:rPr>
        <w:t>rozważnym i obiektywnym</w:t>
      </w:r>
      <w:r w:rsidRPr="009363F1">
        <w:rPr>
          <w:rFonts w:ascii="Verdana" w:hAnsi="Verdana" w:cs="Verdana"/>
          <w:color w:val="0070C0"/>
          <w:sz w:val="20"/>
          <w:szCs w:val="20"/>
        </w:rPr>
        <w:t xml:space="preserve"> zbadaniu szczególnej sytuacji każdego z obywateli Gruzji, Trybunał zwrócił uwagę na zgodne opisy procedur prowadzonych przed rosyjskimi sądami, dokonane przez gruzińskich świadków oraz międzynarodowe organizacje rządowe i pozarządowe</w:t>
      </w:r>
      <w:r w:rsidR="008A1398" w:rsidRPr="009363F1">
        <w:rPr>
          <w:rFonts w:ascii="Verdana" w:hAnsi="Verdana" w:cs="Verdana"/>
          <w:color w:val="0070C0"/>
          <w:sz w:val="20"/>
          <w:szCs w:val="20"/>
        </w:rPr>
        <w:t xml:space="preserve">. Trybunał zwrócił uwagę w szczególności, że zgodnie z Komitetem Monitorującym Zgromadzenia Parlamentarnego Rady Europy, wydalenia miały podobny schemat w całym kraju, zaś organizacje międzynarodowe odnosiły się do współpracy władz administracyjnych i sądowych. </w:t>
      </w:r>
    </w:p>
    <w:p w14:paraId="00A709A1" w14:textId="21F9E5B6" w:rsidR="00C73B22" w:rsidRPr="009363F1" w:rsidRDefault="008A1398" w:rsidP="002A4B3D">
      <w:pPr>
        <w:autoSpaceDE w:val="0"/>
        <w:autoSpaceDN w:val="0"/>
        <w:adjustRightInd w:val="0"/>
        <w:spacing w:after="0" w:line="240" w:lineRule="auto"/>
        <w:jc w:val="both"/>
        <w:rPr>
          <w:rFonts w:ascii="Verdana" w:hAnsi="Verdana" w:cs="Verdana"/>
          <w:color w:val="0070C0"/>
          <w:sz w:val="20"/>
          <w:szCs w:val="20"/>
        </w:rPr>
      </w:pPr>
      <w:r w:rsidRPr="009363F1">
        <w:rPr>
          <w:rFonts w:ascii="Verdana" w:hAnsi="Verdana" w:cs="Verdana"/>
          <w:color w:val="0070C0"/>
          <w:sz w:val="20"/>
          <w:szCs w:val="20"/>
        </w:rPr>
        <w:t xml:space="preserve">W rzeczonym okresie rosyjskie sądy wydały tysiące nakazów wydaleń obywateli gruzińskich. Nawet jeśli, z formalnego punktu widzenia, decyzje sądowe dotyczyły poszczególnych obywateli gruzińskich, Trybunał stwierdził, że sposób prowadzenia postępowań </w:t>
      </w:r>
      <w:r w:rsidR="006F7721" w:rsidRPr="009363F1">
        <w:rPr>
          <w:rFonts w:ascii="Verdana" w:hAnsi="Verdana" w:cs="Verdana"/>
          <w:color w:val="0070C0"/>
          <w:sz w:val="20"/>
          <w:szCs w:val="20"/>
        </w:rPr>
        <w:t>w sprawie wydaleń</w:t>
      </w:r>
      <w:r w:rsidRPr="009363F1">
        <w:rPr>
          <w:rFonts w:ascii="Verdana" w:hAnsi="Verdana" w:cs="Verdana"/>
          <w:color w:val="0070C0"/>
          <w:sz w:val="20"/>
          <w:szCs w:val="20"/>
        </w:rPr>
        <w:t xml:space="preserve"> w tamtych czasie</w:t>
      </w:r>
      <w:r w:rsidR="006F7721" w:rsidRPr="009363F1">
        <w:rPr>
          <w:rFonts w:ascii="Verdana" w:hAnsi="Verdana" w:cs="Verdana"/>
          <w:color w:val="0070C0"/>
          <w:sz w:val="20"/>
          <w:szCs w:val="20"/>
        </w:rPr>
        <w:t xml:space="preserve">, po wydaniu okólników i instrukcji, mając na uwadze liczbę wydalonych obywateli gruzińskich w okresie do października 2006 roku, uniemożliwiał </w:t>
      </w:r>
      <w:r w:rsidR="00D2583E">
        <w:rPr>
          <w:rFonts w:ascii="Verdana" w:hAnsi="Verdana" w:cs="Verdana"/>
          <w:color w:val="0070C0"/>
          <w:sz w:val="20"/>
          <w:szCs w:val="20"/>
        </w:rPr>
        <w:t>rozważne</w:t>
      </w:r>
      <w:r w:rsidR="006F7721" w:rsidRPr="009363F1">
        <w:rPr>
          <w:rFonts w:ascii="Verdana" w:hAnsi="Verdana" w:cs="Verdana"/>
          <w:color w:val="0070C0"/>
          <w:sz w:val="20"/>
          <w:szCs w:val="20"/>
        </w:rPr>
        <w:t xml:space="preserve"> i obiektywne zbadanie każdej z indywidualnych spraw.</w:t>
      </w:r>
    </w:p>
    <w:p w14:paraId="17751972" w14:textId="025DE04B" w:rsidR="00B6373D" w:rsidRDefault="00B6373D" w:rsidP="002A1556">
      <w:pPr>
        <w:autoSpaceDE w:val="0"/>
        <w:autoSpaceDN w:val="0"/>
        <w:adjustRightInd w:val="0"/>
        <w:spacing w:after="120" w:line="240" w:lineRule="auto"/>
        <w:jc w:val="both"/>
        <w:rPr>
          <w:rFonts w:ascii="Verdana" w:hAnsi="Verdana" w:cs="Verdana"/>
          <w:i/>
          <w:iCs/>
          <w:color w:val="0070C0"/>
          <w:sz w:val="20"/>
          <w:szCs w:val="20"/>
        </w:rPr>
      </w:pPr>
      <w:r w:rsidRPr="00B6373D">
        <w:rPr>
          <w:rFonts w:ascii="Verdana" w:hAnsi="Verdana" w:cs="Verdana"/>
          <w:color w:val="0070C0"/>
          <w:sz w:val="20"/>
          <w:szCs w:val="20"/>
        </w:rPr>
        <w:t>Trybunał stwierdził, że mimo tego, iż każde Państwo ma prawo do ustanowienia własnej polityki imigracyjnej, należy podkreślić, że trudności w zarządzaniu przepływami migracyjnymi nie mogą usprawiedliwiać praktyk niezgodnych z</w:t>
      </w:r>
      <w:r>
        <w:rPr>
          <w:rFonts w:ascii="Verdana" w:hAnsi="Verdana" w:cs="Verdana"/>
          <w:color w:val="0070C0"/>
          <w:sz w:val="20"/>
          <w:szCs w:val="20"/>
        </w:rPr>
        <w:t>e</w:t>
      </w:r>
      <w:r w:rsidRPr="00B6373D">
        <w:rPr>
          <w:rFonts w:ascii="Verdana" w:hAnsi="Verdana" w:cs="Verdana"/>
          <w:color w:val="0070C0"/>
          <w:sz w:val="20"/>
          <w:szCs w:val="20"/>
        </w:rPr>
        <w:t xml:space="preserve"> zobowiązaniami Państwa wynikającymi z Konwencji.</w:t>
      </w:r>
      <w:r w:rsidRPr="00B6373D">
        <w:rPr>
          <w:rFonts w:ascii="Verdana" w:hAnsi="Verdana" w:cs="Verdana"/>
          <w:i/>
          <w:iCs/>
          <w:color w:val="0070C0"/>
          <w:sz w:val="20"/>
          <w:szCs w:val="20"/>
        </w:rPr>
        <w:t xml:space="preserve"> </w:t>
      </w:r>
    </w:p>
    <w:p w14:paraId="7A73301E" w14:textId="7CC04777" w:rsidR="009363F1" w:rsidRPr="000D1C49" w:rsidRDefault="009363F1" w:rsidP="002A4B3D">
      <w:pPr>
        <w:autoSpaceDE w:val="0"/>
        <w:autoSpaceDN w:val="0"/>
        <w:adjustRightInd w:val="0"/>
        <w:spacing w:after="0" w:line="240" w:lineRule="auto"/>
        <w:jc w:val="both"/>
        <w:rPr>
          <w:rFonts w:ascii="Verdana" w:hAnsi="Verdana" w:cs="Verdana"/>
          <w:color w:val="808080"/>
          <w:sz w:val="20"/>
          <w:szCs w:val="20"/>
        </w:rPr>
      </w:pPr>
      <w:r w:rsidRPr="002A1556">
        <w:rPr>
          <w:rFonts w:ascii="Verdana" w:hAnsi="Verdana" w:cs="Verdana"/>
          <w:i/>
          <w:iCs/>
          <w:color w:val="171717" w:themeColor="background2" w:themeShade="1A"/>
          <w:sz w:val="20"/>
          <w:szCs w:val="20"/>
        </w:rPr>
        <w:t>Zob</w:t>
      </w:r>
      <w:r w:rsidR="005C24C3">
        <w:rPr>
          <w:rFonts w:ascii="Verdana" w:hAnsi="Verdana" w:cs="Verdana"/>
          <w:i/>
          <w:iCs/>
          <w:color w:val="171717" w:themeColor="background2" w:themeShade="1A"/>
          <w:sz w:val="20"/>
          <w:szCs w:val="20"/>
        </w:rPr>
        <w:t>acz</w:t>
      </w:r>
      <w:r w:rsidRPr="002A1556">
        <w:rPr>
          <w:rFonts w:ascii="Verdana" w:hAnsi="Verdana" w:cs="Verdana"/>
          <w:color w:val="171717" w:themeColor="background2" w:themeShade="1A"/>
          <w:sz w:val="20"/>
          <w:szCs w:val="20"/>
        </w:rPr>
        <w:t xml:space="preserve"> </w:t>
      </w:r>
      <w:r w:rsidRPr="002A1556">
        <w:rPr>
          <w:rFonts w:ascii="Verdana" w:hAnsi="Verdana" w:cs="Verdana"/>
          <w:i/>
          <w:iCs/>
          <w:color w:val="171717" w:themeColor="background2" w:themeShade="1A"/>
          <w:sz w:val="20"/>
          <w:szCs w:val="20"/>
        </w:rPr>
        <w:t>także</w:t>
      </w:r>
      <w:r w:rsidR="005C24C3">
        <w:rPr>
          <w:rFonts w:ascii="Verdana" w:hAnsi="Verdana" w:cs="Verdana"/>
          <w:i/>
          <w:iCs/>
          <w:color w:val="171717" w:themeColor="background2" w:themeShade="1A"/>
          <w:sz w:val="20"/>
          <w:szCs w:val="20"/>
        </w:rPr>
        <w:t>:</w:t>
      </w:r>
      <w:r w:rsidRPr="002A1556">
        <w:rPr>
          <w:rFonts w:ascii="Verdana" w:hAnsi="Verdana" w:cs="Verdana"/>
          <w:color w:val="171717" w:themeColor="background2" w:themeShade="1A"/>
          <w:sz w:val="20"/>
          <w:szCs w:val="20"/>
        </w:rPr>
        <w:t xml:space="preserve"> </w:t>
      </w:r>
      <w:hyperlink r:id="rId17" w:history="1">
        <w:proofErr w:type="spellStart"/>
        <w:r w:rsidRPr="00393ED0">
          <w:rPr>
            <w:rStyle w:val="Hipercze"/>
            <w:rFonts w:ascii="Verdana" w:hAnsi="Verdana" w:cs="Verdana"/>
            <w:b/>
            <w:bCs/>
            <w:sz w:val="20"/>
            <w:szCs w:val="20"/>
          </w:rPr>
          <w:t>Berdzeishvili</w:t>
        </w:r>
        <w:proofErr w:type="spellEnd"/>
        <w:r w:rsidRPr="00393ED0">
          <w:rPr>
            <w:rStyle w:val="Hipercze"/>
            <w:rFonts w:ascii="Verdana" w:hAnsi="Verdana" w:cs="Verdana"/>
            <w:b/>
            <w:bCs/>
            <w:sz w:val="20"/>
            <w:szCs w:val="20"/>
          </w:rPr>
          <w:t xml:space="preserve"> i Inni p</w:t>
        </w:r>
        <w:r w:rsidR="003F2855" w:rsidRPr="00393ED0">
          <w:rPr>
            <w:rStyle w:val="Hipercze"/>
            <w:rFonts w:ascii="Verdana" w:hAnsi="Verdana" w:cs="Verdana"/>
            <w:b/>
            <w:bCs/>
            <w:sz w:val="20"/>
            <w:szCs w:val="20"/>
          </w:rPr>
          <w:t>rzeciwko</w:t>
        </w:r>
        <w:r w:rsidRPr="00393ED0">
          <w:rPr>
            <w:rStyle w:val="Hipercze"/>
            <w:rFonts w:ascii="Verdana" w:hAnsi="Verdana" w:cs="Verdana"/>
            <w:b/>
            <w:bCs/>
            <w:sz w:val="20"/>
            <w:szCs w:val="20"/>
          </w:rPr>
          <w:t xml:space="preserve"> Rosji</w:t>
        </w:r>
      </w:hyperlink>
      <w:r>
        <w:rPr>
          <w:rFonts w:ascii="Verdana" w:hAnsi="Verdana" w:cs="Verdana"/>
          <w:color w:val="0070C0"/>
          <w:sz w:val="20"/>
          <w:szCs w:val="20"/>
        </w:rPr>
        <w:t xml:space="preserve"> </w:t>
      </w:r>
      <w:r w:rsidRPr="005C24C3">
        <w:rPr>
          <w:rFonts w:ascii="Verdana" w:hAnsi="Verdana" w:cs="Verdana"/>
          <w:color w:val="3B3838" w:themeColor="background2" w:themeShade="40"/>
          <w:sz w:val="20"/>
          <w:szCs w:val="20"/>
        </w:rPr>
        <w:t>oraz</w:t>
      </w:r>
      <w:r>
        <w:rPr>
          <w:rFonts w:ascii="Verdana" w:hAnsi="Verdana" w:cs="Verdana"/>
          <w:color w:val="0070C0"/>
          <w:sz w:val="20"/>
          <w:szCs w:val="20"/>
        </w:rPr>
        <w:t xml:space="preserve"> </w:t>
      </w:r>
      <w:hyperlink r:id="rId18" w:history="1">
        <w:proofErr w:type="spellStart"/>
        <w:r w:rsidRPr="002A1556">
          <w:rPr>
            <w:rStyle w:val="Hipercze"/>
            <w:rFonts w:ascii="Verdana" w:hAnsi="Verdana" w:cs="Verdana"/>
            <w:b/>
            <w:bCs/>
            <w:sz w:val="20"/>
            <w:szCs w:val="20"/>
          </w:rPr>
          <w:t>Shioshvili</w:t>
        </w:r>
        <w:proofErr w:type="spellEnd"/>
        <w:r w:rsidRPr="002A1556">
          <w:rPr>
            <w:rStyle w:val="Hipercze"/>
            <w:rFonts w:ascii="Verdana" w:hAnsi="Verdana" w:cs="Verdana"/>
            <w:b/>
            <w:bCs/>
            <w:sz w:val="20"/>
            <w:szCs w:val="20"/>
          </w:rPr>
          <w:t xml:space="preserve"> i Inni p</w:t>
        </w:r>
        <w:r w:rsidR="003F2855" w:rsidRPr="002A1556">
          <w:rPr>
            <w:rStyle w:val="Hipercze"/>
            <w:rFonts w:ascii="Verdana" w:hAnsi="Verdana" w:cs="Verdana"/>
            <w:b/>
            <w:bCs/>
            <w:sz w:val="20"/>
            <w:szCs w:val="20"/>
          </w:rPr>
          <w:t>rzeciwko</w:t>
        </w:r>
        <w:r w:rsidRPr="002A1556">
          <w:rPr>
            <w:rStyle w:val="Hipercze"/>
            <w:rFonts w:ascii="Verdana" w:hAnsi="Verdana" w:cs="Verdana"/>
            <w:b/>
            <w:bCs/>
            <w:sz w:val="20"/>
            <w:szCs w:val="20"/>
          </w:rPr>
          <w:t xml:space="preserve"> Rosji</w:t>
        </w:r>
      </w:hyperlink>
      <w:r w:rsidR="002A1556" w:rsidRPr="002A1556">
        <w:rPr>
          <w:rFonts w:ascii="Verdana" w:hAnsi="Verdana" w:cs="Verdana"/>
          <w:color w:val="3B3838" w:themeColor="background2" w:themeShade="40"/>
          <w:sz w:val="20"/>
          <w:szCs w:val="20"/>
        </w:rPr>
        <w:t>, w</w:t>
      </w:r>
      <w:r w:rsidRPr="002A1556">
        <w:rPr>
          <w:rFonts w:ascii="Verdana" w:hAnsi="Verdana" w:cs="Verdana"/>
          <w:color w:val="3B3838" w:themeColor="background2" w:themeShade="40"/>
          <w:sz w:val="20"/>
          <w:szCs w:val="20"/>
        </w:rPr>
        <w:t>yroki Izby z dnia 20 grudnia 2016 r</w:t>
      </w:r>
      <w:r w:rsidR="00E2019D">
        <w:rPr>
          <w:rFonts w:ascii="Verdana" w:hAnsi="Verdana" w:cs="Verdana"/>
          <w:color w:val="3B3838" w:themeColor="background2" w:themeShade="40"/>
          <w:sz w:val="20"/>
          <w:szCs w:val="20"/>
        </w:rPr>
        <w:t>oku</w:t>
      </w:r>
      <w:r w:rsidR="001D0852" w:rsidRPr="002A1556">
        <w:rPr>
          <w:rStyle w:val="Odwoanieprzypisudolnego"/>
          <w:rFonts w:ascii="Verdana" w:hAnsi="Verdana" w:cs="Verdana"/>
          <w:color w:val="3B3838" w:themeColor="background2" w:themeShade="40"/>
          <w:sz w:val="20"/>
          <w:szCs w:val="20"/>
        </w:rPr>
        <w:footnoteReference w:id="3"/>
      </w:r>
      <w:r w:rsidRPr="002A1556">
        <w:rPr>
          <w:rFonts w:ascii="Verdana" w:hAnsi="Verdana" w:cs="Verdana"/>
          <w:color w:val="3B3838" w:themeColor="background2" w:themeShade="40"/>
          <w:sz w:val="20"/>
          <w:szCs w:val="20"/>
        </w:rPr>
        <w:t>.</w:t>
      </w:r>
    </w:p>
    <w:p w14:paraId="3009DD9B" w14:textId="77777777" w:rsidR="009363F1" w:rsidRPr="000D1C49" w:rsidRDefault="009363F1" w:rsidP="002A4B3D">
      <w:pPr>
        <w:autoSpaceDE w:val="0"/>
        <w:autoSpaceDN w:val="0"/>
        <w:adjustRightInd w:val="0"/>
        <w:spacing w:after="0" w:line="240" w:lineRule="auto"/>
        <w:jc w:val="both"/>
        <w:rPr>
          <w:rFonts w:ascii="Verdana" w:hAnsi="Verdana" w:cs="Verdana"/>
          <w:color w:val="808080"/>
          <w:sz w:val="20"/>
          <w:szCs w:val="20"/>
        </w:rPr>
      </w:pPr>
    </w:p>
    <w:p w14:paraId="0587585B" w14:textId="74E67F67" w:rsidR="00244552" w:rsidRPr="00B21606" w:rsidRDefault="00244552" w:rsidP="002A4B3D">
      <w:pPr>
        <w:autoSpaceDE w:val="0"/>
        <w:autoSpaceDN w:val="0"/>
        <w:adjustRightInd w:val="0"/>
        <w:spacing w:after="0" w:line="240" w:lineRule="auto"/>
        <w:jc w:val="both"/>
        <w:rPr>
          <w:rFonts w:ascii="Verdana" w:hAnsi="Verdana" w:cs="Verdana"/>
          <w:b/>
          <w:bCs/>
          <w:color w:val="0070C0"/>
          <w:sz w:val="20"/>
          <w:szCs w:val="20"/>
          <w:u w:val="single"/>
        </w:rPr>
      </w:pPr>
      <w:hyperlink r:id="rId19" w:history="1">
        <w:proofErr w:type="spellStart"/>
        <w:r w:rsidRPr="00393ED0">
          <w:rPr>
            <w:rStyle w:val="Hipercze"/>
            <w:rFonts w:ascii="Verdana" w:hAnsi="Verdana" w:cs="Verdana"/>
            <w:b/>
            <w:bCs/>
            <w:sz w:val="20"/>
            <w:szCs w:val="20"/>
          </w:rPr>
          <w:t>Sharifi</w:t>
        </w:r>
        <w:proofErr w:type="spellEnd"/>
        <w:r w:rsidRPr="00393ED0">
          <w:rPr>
            <w:rStyle w:val="Hipercze"/>
            <w:rFonts w:ascii="Verdana" w:hAnsi="Verdana" w:cs="Verdana"/>
            <w:b/>
            <w:bCs/>
            <w:sz w:val="20"/>
            <w:szCs w:val="20"/>
          </w:rPr>
          <w:t xml:space="preserve"> i Inni p</w:t>
        </w:r>
        <w:r w:rsidR="003F2855" w:rsidRPr="00393ED0">
          <w:rPr>
            <w:rStyle w:val="Hipercze"/>
            <w:rFonts w:ascii="Verdana" w:hAnsi="Verdana" w:cs="Verdana"/>
            <w:b/>
            <w:bCs/>
            <w:sz w:val="20"/>
            <w:szCs w:val="20"/>
          </w:rPr>
          <w:t>rzeciwko</w:t>
        </w:r>
        <w:r w:rsidRPr="00393ED0">
          <w:rPr>
            <w:rStyle w:val="Hipercze"/>
            <w:rFonts w:ascii="Verdana" w:hAnsi="Verdana" w:cs="Verdana"/>
            <w:b/>
            <w:bCs/>
            <w:sz w:val="20"/>
            <w:szCs w:val="20"/>
          </w:rPr>
          <w:t xml:space="preserve"> Włochom i Grecji</w:t>
        </w:r>
      </w:hyperlink>
    </w:p>
    <w:p w14:paraId="345554C1" w14:textId="685E67C0" w:rsidR="00244552" w:rsidRPr="000D1C49" w:rsidRDefault="00244552" w:rsidP="002A4B3D">
      <w:pPr>
        <w:autoSpaceDE w:val="0"/>
        <w:autoSpaceDN w:val="0"/>
        <w:adjustRightInd w:val="0"/>
        <w:spacing w:after="0" w:line="240" w:lineRule="auto"/>
        <w:jc w:val="both"/>
        <w:rPr>
          <w:rFonts w:ascii="Verdana" w:hAnsi="Verdana" w:cs="Verdana"/>
          <w:color w:val="808080"/>
          <w:sz w:val="20"/>
          <w:szCs w:val="20"/>
        </w:rPr>
      </w:pPr>
      <w:r w:rsidRPr="000D1C49">
        <w:rPr>
          <w:rFonts w:ascii="Verdana" w:hAnsi="Verdana" w:cs="Verdana"/>
          <w:color w:val="808080"/>
          <w:sz w:val="20"/>
          <w:szCs w:val="20"/>
        </w:rPr>
        <w:t>Wyrok Izby z dnia 21 października 2014 r</w:t>
      </w:r>
      <w:r w:rsidR="009C75D5">
        <w:rPr>
          <w:rFonts w:ascii="Verdana" w:hAnsi="Verdana"/>
          <w:color w:val="808080"/>
          <w:sz w:val="20"/>
          <w:szCs w:val="20"/>
        </w:rPr>
        <w:t>oku</w:t>
      </w:r>
    </w:p>
    <w:p w14:paraId="48A144B5" w14:textId="4145C4D0" w:rsidR="00244552" w:rsidRPr="00B6373D" w:rsidRDefault="00244552" w:rsidP="002A4B3D">
      <w:pPr>
        <w:autoSpaceDE w:val="0"/>
        <w:autoSpaceDN w:val="0"/>
        <w:adjustRightInd w:val="0"/>
        <w:spacing w:after="0" w:line="240" w:lineRule="auto"/>
        <w:jc w:val="both"/>
        <w:rPr>
          <w:rFonts w:ascii="Verdana" w:hAnsi="Verdana" w:cs="Verdana"/>
          <w:color w:val="000000" w:themeColor="text1"/>
          <w:sz w:val="20"/>
          <w:szCs w:val="20"/>
        </w:rPr>
      </w:pPr>
      <w:r w:rsidRPr="00B6373D">
        <w:rPr>
          <w:rFonts w:ascii="Verdana" w:hAnsi="Verdana" w:cs="Verdana"/>
          <w:color w:val="000000" w:themeColor="text1"/>
          <w:sz w:val="20"/>
          <w:szCs w:val="20"/>
        </w:rPr>
        <w:t xml:space="preserve">Sprawa dotyczyła 32 obywateli Afganistanu, 2 </w:t>
      </w:r>
      <w:r w:rsidR="00B6373D">
        <w:rPr>
          <w:rFonts w:ascii="Verdana" w:hAnsi="Verdana" w:cs="Verdana"/>
          <w:color w:val="000000" w:themeColor="text1"/>
          <w:sz w:val="20"/>
          <w:szCs w:val="20"/>
        </w:rPr>
        <w:t>obywateli Sudanu</w:t>
      </w:r>
      <w:r w:rsidRPr="00B6373D">
        <w:rPr>
          <w:rFonts w:ascii="Verdana" w:hAnsi="Verdana" w:cs="Verdana"/>
          <w:color w:val="000000" w:themeColor="text1"/>
          <w:sz w:val="20"/>
          <w:szCs w:val="20"/>
        </w:rPr>
        <w:t xml:space="preserve"> i 1 </w:t>
      </w:r>
      <w:r w:rsidR="00B6373D">
        <w:rPr>
          <w:rFonts w:ascii="Verdana" w:hAnsi="Verdana" w:cs="Verdana"/>
          <w:color w:val="000000" w:themeColor="text1"/>
          <w:sz w:val="20"/>
          <w:szCs w:val="20"/>
        </w:rPr>
        <w:t>obywatela Erytrei</w:t>
      </w:r>
      <w:r w:rsidRPr="00B6373D">
        <w:rPr>
          <w:rFonts w:ascii="Verdana" w:hAnsi="Verdana" w:cs="Verdana"/>
          <w:color w:val="000000" w:themeColor="text1"/>
          <w:sz w:val="20"/>
          <w:szCs w:val="20"/>
        </w:rPr>
        <w:t>, którzy twierdzili w szczególności, że przedostali się nielegalnie do Włoch z Grecji i zostali zawróceni do tego kraju z groźbą deportacji do krajów pochodzenia, gdzie narażeni byli na utratę życia, tortury i nieludzkie oraz poniżające traktowanie. Podnieśli ponadto, że byli podmiotem masowych wydaleń zbiorowych.</w:t>
      </w:r>
    </w:p>
    <w:p w14:paraId="050C3115" w14:textId="156C2C67" w:rsidR="002111F4" w:rsidRDefault="00244552" w:rsidP="002A4B3D">
      <w:pPr>
        <w:autoSpaceDE w:val="0"/>
        <w:autoSpaceDN w:val="0"/>
        <w:adjustRightInd w:val="0"/>
        <w:spacing w:after="0" w:line="240" w:lineRule="auto"/>
        <w:jc w:val="both"/>
        <w:rPr>
          <w:rFonts w:ascii="Verdana" w:hAnsi="Verdana" w:cs="Verdana"/>
          <w:color w:val="0070C0"/>
          <w:sz w:val="20"/>
          <w:szCs w:val="20"/>
        </w:rPr>
      </w:pPr>
      <w:r w:rsidRPr="00C378A2">
        <w:rPr>
          <w:rFonts w:ascii="Verdana" w:hAnsi="Verdana" w:cs="Verdana"/>
          <w:color w:val="0070C0"/>
          <w:sz w:val="20"/>
          <w:szCs w:val="20"/>
        </w:rPr>
        <w:t xml:space="preserve">Trybunał stwierdził </w:t>
      </w:r>
      <w:r w:rsidRPr="00C378A2">
        <w:rPr>
          <w:rFonts w:ascii="Verdana" w:hAnsi="Verdana" w:cs="Verdana"/>
          <w:b/>
          <w:bCs/>
          <w:color w:val="0070C0"/>
          <w:sz w:val="20"/>
          <w:szCs w:val="20"/>
        </w:rPr>
        <w:t>naruszenie</w:t>
      </w:r>
      <w:r w:rsidRPr="00C378A2">
        <w:rPr>
          <w:rFonts w:ascii="Verdana" w:hAnsi="Verdana" w:cs="Verdana"/>
          <w:color w:val="0070C0"/>
          <w:sz w:val="20"/>
          <w:szCs w:val="20"/>
        </w:rPr>
        <w:t xml:space="preserve"> przez Włochy </w:t>
      </w:r>
      <w:r w:rsidRPr="00C378A2">
        <w:rPr>
          <w:rFonts w:ascii="Verdana" w:hAnsi="Verdana" w:cs="Verdana"/>
          <w:b/>
          <w:bCs/>
          <w:color w:val="0070C0"/>
          <w:sz w:val="20"/>
          <w:szCs w:val="20"/>
        </w:rPr>
        <w:t>art. 4 Protokołu nr 4 do Konwencji</w:t>
      </w:r>
      <w:r w:rsidRPr="00C378A2">
        <w:rPr>
          <w:rFonts w:ascii="Verdana" w:hAnsi="Verdana" w:cs="Verdana"/>
          <w:color w:val="0070C0"/>
          <w:sz w:val="20"/>
          <w:szCs w:val="20"/>
        </w:rPr>
        <w:t xml:space="preserve"> w zakresie czterech skarżących, którzy </w:t>
      </w:r>
      <w:r w:rsidR="00EF4E62" w:rsidRPr="00C378A2">
        <w:rPr>
          <w:rFonts w:ascii="Verdana" w:hAnsi="Verdana" w:cs="Verdana"/>
          <w:color w:val="0070C0"/>
          <w:sz w:val="20"/>
          <w:szCs w:val="20"/>
        </w:rPr>
        <w:t>utrzymali regularny kontakt z prawnikiem reprezentującym ich w postępowaniu przed Trybunałem</w:t>
      </w:r>
      <w:r w:rsidR="00EF4E62" w:rsidRPr="00C378A2">
        <w:rPr>
          <w:rStyle w:val="Odwoanieprzypisudolnego"/>
          <w:rFonts w:ascii="Verdana" w:hAnsi="Verdana" w:cs="Verdana"/>
          <w:color w:val="0070C0"/>
          <w:sz w:val="20"/>
          <w:szCs w:val="20"/>
        </w:rPr>
        <w:footnoteReference w:id="4"/>
      </w:r>
      <w:r w:rsidR="007E566D" w:rsidRPr="00C378A2">
        <w:rPr>
          <w:rFonts w:ascii="Verdana" w:hAnsi="Verdana" w:cs="Verdana"/>
          <w:color w:val="0070C0"/>
          <w:sz w:val="20"/>
          <w:szCs w:val="20"/>
        </w:rPr>
        <w:t xml:space="preserve">, w związku z tym, że środki zastosowane wobec nich w porcie Ankona skutkowały zbiorowymi i masowymi wydaleniami. Trybunał stwierdził także odnośnie do tych czterech skarżących, że doszło do </w:t>
      </w:r>
      <w:r w:rsidR="007E566D" w:rsidRPr="00C378A2">
        <w:rPr>
          <w:rFonts w:ascii="Verdana" w:hAnsi="Verdana" w:cs="Verdana"/>
          <w:b/>
          <w:bCs/>
          <w:color w:val="0070C0"/>
          <w:sz w:val="20"/>
          <w:szCs w:val="20"/>
        </w:rPr>
        <w:t>naruszenia art. 13 Konwencji</w:t>
      </w:r>
      <w:r w:rsidR="007E566D" w:rsidRPr="00C378A2">
        <w:rPr>
          <w:rFonts w:ascii="Verdana" w:hAnsi="Verdana" w:cs="Verdana"/>
          <w:color w:val="0070C0"/>
          <w:sz w:val="20"/>
          <w:szCs w:val="20"/>
        </w:rPr>
        <w:t xml:space="preserve"> (prawo do efektywnego środka odwoławczego) w zw. z </w:t>
      </w:r>
      <w:r w:rsidR="007E566D" w:rsidRPr="00C378A2">
        <w:rPr>
          <w:rFonts w:ascii="Verdana" w:hAnsi="Verdana" w:cs="Verdana"/>
          <w:b/>
          <w:bCs/>
          <w:color w:val="0070C0"/>
          <w:sz w:val="20"/>
          <w:szCs w:val="20"/>
        </w:rPr>
        <w:t>art. 3 Konwencji</w:t>
      </w:r>
      <w:r w:rsidR="007E566D" w:rsidRPr="00C378A2">
        <w:rPr>
          <w:rFonts w:ascii="Verdana" w:hAnsi="Verdana" w:cs="Verdana"/>
          <w:color w:val="0070C0"/>
          <w:sz w:val="20"/>
          <w:szCs w:val="20"/>
        </w:rPr>
        <w:t xml:space="preserve"> (zakaz nieludzkiego i poniżającego traktowania) i </w:t>
      </w:r>
      <w:r w:rsidR="007E566D" w:rsidRPr="00C378A2">
        <w:rPr>
          <w:rFonts w:ascii="Verdana" w:hAnsi="Verdana" w:cs="Verdana"/>
          <w:b/>
          <w:bCs/>
          <w:color w:val="0070C0"/>
          <w:sz w:val="20"/>
          <w:szCs w:val="20"/>
        </w:rPr>
        <w:t>art. 4 Protokołu nr 4 do Konwencji</w:t>
      </w:r>
      <w:r w:rsidR="007E566D" w:rsidRPr="00C378A2">
        <w:rPr>
          <w:rFonts w:ascii="Verdana" w:hAnsi="Verdana" w:cs="Verdana"/>
          <w:color w:val="0070C0"/>
          <w:sz w:val="20"/>
          <w:szCs w:val="20"/>
        </w:rPr>
        <w:t xml:space="preserve"> z tego powodu, że nie mieli dostępu do procedury azylowej </w:t>
      </w:r>
      <w:r w:rsidR="003F2855">
        <w:rPr>
          <w:rFonts w:ascii="Verdana" w:hAnsi="Verdana" w:cs="Verdana"/>
          <w:color w:val="0070C0"/>
          <w:sz w:val="20"/>
          <w:szCs w:val="20"/>
        </w:rPr>
        <w:t>ani</w:t>
      </w:r>
      <w:r w:rsidR="007E566D" w:rsidRPr="00C378A2">
        <w:rPr>
          <w:rFonts w:ascii="Verdana" w:hAnsi="Verdana" w:cs="Verdana"/>
          <w:color w:val="0070C0"/>
          <w:sz w:val="20"/>
          <w:szCs w:val="20"/>
        </w:rPr>
        <w:t xml:space="preserve"> </w:t>
      </w:r>
      <w:r w:rsidR="006429C5">
        <w:rPr>
          <w:rFonts w:ascii="Verdana" w:hAnsi="Verdana" w:cs="Verdana"/>
          <w:color w:val="0070C0"/>
          <w:sz w:val="20"/>
          <w:szCs w:val="20"/>
        </w:rPr>
        <w:t>jakichkolwiek</w:t>
      </w:r>
      <w:r w:rsidR="007E566D" w:rsidRPr="00C378A2">
        <w:rPr>
          <w:rFonts w:ascii="Verdana" w:hAnsi="Verdana" w:cs="Verdana"/>
          <w:color w:val="0070C0"/>
          <w:sz w:val="20"/>
          <w:szCs w:val="20"/>
        </w:rPr>
        <w:t xml:space="preserve"> </w:t>
      </w:r>
      <w:r w:rsidR="003F2855">
        <w:rPr>
          <w:rFonts w:ascii="Verdana" w:hAnsi="Verdana" w:cs="Verdana"/>
          <w:color w:val="0070C0"/>
          <w:sz w:val="20"/>
          <w:szCs w:val="20"/>
        </w:rPr>
        <w:t>inn</w:t>
      </w:r>
      <w:r w:rsidR="006429C5">
        <w:rPr>
          <w:rFonts w:ascii="Verdana" w:hAnsi="Verdana" w:cs="Verdana"/>
          <w:color w:val="0070C0"/>
          <w:sz w:val="20"/>
          <w:szCs w:val="20"/>
        </w:rPr>
        <w:t>ych</w:t>
      </w:r>
      <w:r w:rsidR="003F2855">
        <w:rPr>
          <w:rFonts w:ascii="Verdana" w:hAnsi="Verdana" w:cs="Verdana"/>
          <w:color w:val="0070C0"/>
          <w:sz w:val="20"/>
          <w:szCs w:val="20"/>
        </w:rPr>
        <w:t xml:space="preserve"> </w:t>
      </w:r>
      <w:r w:rsidR="007E566D" w:rsidRPr="00C378A2">
        <w:rPr>
          <w:rFonts w:ascii="Verdana" w:hAnsi="Verdana" w:cs="Verdana"/>
          <w:color w:val="0070C0"/>
          <w:sz w:val="20"/>
          <w:szCs w:val="20"/>
        </w:rPr>
        <w:t>środk</w:t>
      </w:r>
      <w:r w:rsidR="006429C5">
        <w:rPr>
          <w:rFonts w:ascii="Verdana" w:hAnsi="Verdana" w:cs="Verdana"/>
          <w:color w:val="0070C0"/>
          <w:sz w:val="20"/>
          <w:szCs w:val="20"/>
        </w:rPr>
        <w:t>ów prawnych</w:t>
      </w:r>
      <w:r w:rsidR="007E566D" w:rsidRPr="00C378A2">
        <w:rPr>
          <w:rFonts w:ascii="Verdana" w:hAnsi="Verdana" w:cs="Verdana"/>
          <w:color w:val="0070C0"/>
          <w:sz w:val="20"/>
          <w:szCs w:val="20"/>
        </w:rPr>
        <w:t xml:space="preserve">. </w:t>
      </w:r>
      <w:r w:rsidR="00644F3E" w:rsidRPr="00644F3E">
        <w:rPr>
          <w:rFonts w:ascii="Verdana" w:hAnsi="Verdana" w:cs="Verdana"/>
          <w:color w:val="0070C0"/>
          <w:sz w:val="20"/>
          <w:szCs w:val="20"/>
        </w:rPr>
        <w:t xml:space="preserve">Trybunał ponadto stwierdził, że doszło do </w:t>
      </w:r>
      <w:r w:rsidR="00644F3E" w:rsidRPr="00644F3E">
        <w:rPr>
          <w:rFonts w:ascii="Verdana" w:hAnsi="Verdana" w:cs="Verdana"/>
          <w:b/>
          <w:bCs/>
          <w:color w:val="0070C0"/>
          <w:sz w:val="20"/>
          <w:szCs w:val="20"/>
        </w:rPr>
        <w:t xml:space="preserve">naruszenia </w:t>
      </w:r>
      <w:r w:rsidR="00644F3E" w:rsidRPr="00644F3E">
        <w:rPr>
          <w:rFonts w:ascii="Verdana" w:hAnsi="Verdana" w:cs="Verdana"/>
          <w:color w:val="0070C0"/>
          <w:sz w:val="20"/>
          <w:szCs w:val="20"/>
        </w:rPr>
        <w:t xml:space="preserve">przez Grecję </w:t>
      </w:r>
      <w:r w:rsidR="00644F3E" w:rsidRPr="00644F3E">
        <w:rPr>
          <w:rFonts w:ascii="Verdana" w:hAnsi="Verdana" w:cs="Verdana"/>
          <w:b/>
          <w:bCs/>
          <w:color w:val="0070C0"/>
          <w:sz w:val="20"/>
          <w:szCs w:val="20"/>
        </w:rPr>
        <w:t>Artykułu 13 w związku z Artykułem 3</w:t>
      </w:r>
      <w:r w:rsidR="00644F3E" w:rsidRPr="00644F3E">
        <w:rPr>
          <w:rFonts w:ascii="Verdana" w:hAnsi="Verdana" w:cs="Verdana"/>
          <w:color w:val="0070C0"/>
          <w:sz w:val="20"/>
          <w:szCs w:val="20"/>
        </w:rPr>
        <w:t xml:space="preserve"> z uwagi na brak </w:t>
      </w:r>
      <w:r w:rsidR="00644F3E" w:rsidRPr="00644F3E">
        <w:rPr>
          <w:rFonts w:ascii="Verdana" w:hAnsi="Verdana" w:cs="Verdana"/>
          <w:color w:val="0070C0"/>
          <w:sz w:val="20"/>
          <w:szCs w:val="20"/>
        </w:rPr>
        <w:lastRenderedPageBreak/>
        <w:t>dostępu skarżących do procedury azylowej oraz ryzyko deportacji do Afganistanu</w:t>
      </w:r>
      <w:r w:rsidR="002111F4">
        <w:rPr>
          <w:rFonts w:ascii="Verdana" w:hAnsi="Verdana" w:cs="Verdana"/>
          <w:color w:val="0070C0"/>
          <w:sz w:val="20"/>
          <w:szCs w:val="20"/>
        </w:rPr>
        <w:t xml:space="preserve">, </w:t>
      </w:r>
      <w:r w:rsidR="002111F4" w:rsidRPr="00C378A2">
        <w:rPr>
          <w:rFonts w:ascii="Verdana" w:hAnsi="Verdana" w:cs="Verdana"/>
          <w:color w:val="0070C0"/>
          <w:sz w:val="20"/>
          <w:szCs w:val="20"/>
        </w:rPr>
        <w:t xml:space="preserve">gdzie prawdopodobnie byliby podmiotem złego traktowania, oraz naruszenie przez Włochy </w:t>
      </w:r>
      <w:r w:rsidR="002111F4" w:rsidRPr="00C378A2">
        <w:rPr>
          <w:rFonts w:ascii="Verdana" w:hAnsi="Verdana" w:cs="Verdana"/>
          <w:b/>
          <w:bCs/>
          <w:color w:val="0070C0"/>
          <w:sz w:val="20"/>
          <w:szCs w:val="20"/>
        </w:rPr>
        <w:t>art. 3 Konwencji</w:t>
      </w:r>
      <w:r w:rsidR="002111F4" w:rsidRPr="00C378A2">
        <w:rPr>
          <w:rFonts w:ascii="Verdana" w:hAnsi="Verdana" w:cs="Verdana"/>
          <w:color w:val="0070C0"/>
          <w:sz w:val="20"/>
          <w:szCs w:val="20"/>
        </w:rPr>
        <w:t>, jako że wydalając skarżących do Grecji władze włoskie narażały ich na ryzyka wynikające z niedoskonałości w krajowej procedurze azylowej.</w:t>
      </w:r>
    </w:p>
    <w:p w14:paraId="6DD5B05D" w14:textId="199DF41E" w:rsidR="00244552" w:rsidRDefault="007E566D" w:rsidP="002A4B3D">
      <w:pPr>
        <w:autoSpaceDE w:val="0"/>
        <w:autoSpaceDN w:val="0"/>
        <w:adjustRightInd w:val="0"/>
        <w:spacing w:after="0" w:line="240" w:lineRule="auto"/>
        <w:jc w:val="both"/>
        <w:rPr>
          <w:rFonts w:ascii="Verdana" w:hAnsi="Verdana" w:cs="Verdana"/>
          <w:color w:val="0070C0"/>
          <w:sz w:val="20"/>
          <w:szCs w:val="20"/>
        </w:rPr>
      </w:pPr>
      <w:r w:rsidRPr="00C378A2">
        <w:rPr>
          <w:rFonts w:ascii="Verdana" w:hAnsi="Verdana" w:cs="Verdana"/>
          <w:color w:val="0070C0"/>
          <w:sz w:val="20"/>
          <w:szCs w:val="20"/>
        </w:rPr>
        <w:t xml:space="preserve">Trybunał stwierdził </w:t>
      </w:r>
      <w:r w:rsidRPr="00C378A2">
        <w:rPr>
          <w:rFonts w:ascii="Verdana" w:hAnsi="Verdana" w:cs="Verdana"/>
          <w:b/>
          <w:bCs/>
          <w:color w:val="0070C0"/>
          <w:sz w:val="20"/>
          <w:szCs w:val="20"/>
        </w:rPr>
        <w:t>naruszenie art. 13</w:t>
      </w:r>
      <w:r w:rsidR="00C378A2">
        <w:rPr>
          <w:rFonts w:ascii="Verdana" w:hAnsi="Verdana" w:cs="Verdana"/>
          <w:b/>
          <w:bCs/>
          <w:color w:val="0070C0"/>
          <w:sz w:val="20"/>
          <w:szCs w:val="20"/>
        </w:rPr>
        <w:t xml:space="preserve"> Konwencji</w:t>
      </w:r>
      <w:r w:rsidRPr="00C378A2">
        <w:rPr>
          <w:rFonts w:ascii="Verdana" w:hAnsi="Verdana" w:cs="Verdana"/>
          <w:color w:val="0070C0"/>
          <w:sz w:val="20"/>
          <w:szCs w:val="20"/>
        </w:rPr>
        <w:t xml:space="preserve"> w zw</w:t>
      </w:r>
      <w:r w:rsidR="00644F3E">
        <w:rPr>
          <w:rFonts w:ascii="Verdana" w:hAnsi="Verdana" w:cs="Verdana"/>
          <w:color w:val="0070C0"/>
          <w:sz w:val="20"/>
          <w:szCs w:val="20"/>
        </w:rPr>
        <w:t>iązku</w:t>
      </w:r>
      <w:r w:rsidRPr="00C378A2">
        <w:rPr>
          <w:rFonts w:ascii="Verdana" w:hAnsi="Verdana" w:cs="Verdana"/>
          <w:color w:val="0070C0"/>
          <w:sz w:val="20"/>
          <w:szCs w:val="20"/>
        </w:rPr>
        <w:t xml:space="preserve"> z </w:t>
      </w:r>
      <w:r w:rsidRPr="00C378A2">
        <w:rPr>
          <w:rFonts w:ascii="Verdana" w:hAnsi="Verdana" w:cs="Verdana"/>
          <w:b/>
          <w:bCs/>
          <w:color w:val="0070C0"/>
          <w:sz w:val="20"/>
          <w:szCs w:val="20"/>
        </w:rPr>
        <w:t>art. 3 Konwencji</w:t>
      </w:r>
      <w:r w:rsidRPr="00C378A2">
        <w:rPr>
          <w:rFonts w:ascii="Verdana" w:hAnsi="Verdana" w:cs="Verdana"/>
          <w:color w:val="0070C0"/>
          <w:sz w:val="20"/>
          <w:szCs w:val="20"/>
        </w:rPr>
        <w:t xml:space="preserve"> w stosunku do Grecji w związku z brakiem procedury azylowej  i ryzykiem wydalenia do Afganistanu, </w:t>
      </w:r>
    </w:p>
    <w:p w14:paraId="6B50781B" w14:textId="372FC383" w:rsidR="00A2589A" w:rsidRPr="00C378A2" w:rsidRDefault="00A2589A" w:rsidP="002A4B3D">
      <w:pPr>
        <w:autoSpaceDE w:val="0"/>
        <w:autoSpaceDN w:val="0"/>
        <w:adjustRightInd w:val="0"/>
        <w:spacing w:after="0" w:line="240" w:lineRule="auto"/>
        <w:jc w:val="both"/>
        <w:rPr>
          <w:rFonts w:ascii="Verdana" w:hAnsi="Verdana" w:cs="Verdana"/>
          <w:color w:val="0070C0"/>
          <w:sz w:val="20"/>
          <w:szCs w:val="20"/>
        </w:rPr>
      </w:pPr>
      <w:r w:rsidRPr="00A2589A">
        <w:rPr>
          <w:rFonts w:ascii="Verdana" w:hAnsi="Verdana" w:cs="Verdana"/>
          <w:color w:val="0070C0"/>
          <w:sz w:val="20"/>
          <w:szCs w:val="20"/>
        </w:rPr>
        <w:t xml:space="preserve">W </w:t>
      </w:r>
      <w:r>
        <w:rPr>
          <w:rFonts w:ascii="Verdana" w:hAnsi="Verdana" w:cs="Verdana"/>
          <w:color w:val="0070C0"/>
          <w:sz w:val="20"/>
          <w:szCs w:val="20"/>
        </w:rPr>
        <w:t>tej</w:t>
      </w:r>
      <w:r w:rsidRPr="00A2589A">
        <w:rPr>
          <w:rFonts w:ascii="Verdana" w:hAnsi="Verdana" w:cs="Verdana"/>
          <w:color w:val="0070C0"/>
          <w:sz w:val="20"/>
          <w:szCs w:val="20"/>
        </w:rPr>
        <w:t xml:space="preserve"> sprawie Trybunał stwierdził w szczególności, że podziela obawy wyrażone przez licznych obserwatorów w odniesieniu do automatycznego zawracania osób przez włoskie organy graniczne w portach nad Morzem Adriatyckim. W większości przypadków osoby te były przekazywane kapitanom promów w celu ich odesłania do Grecji, co pozbawiało ich jakichkolwiek praw </w:t>
      </w:r>
      <w:r>
        <w:rPr>
          <w:rFonts w:ascii="Verdana" w:hAnsi="Verdana" w:cs="Verdana"/>
          <w:color w:val="0070C0"/>
          <w:sz w:val="20"/>
          <w:szCs w:val="20"/>
        </w:rPr>
        <w:t>procesowych</w:t>
      </w:r>
      <w:r w:rsidRPr="00A2589A">
        <w:rPr>
          <w:rFonts w:ascii="Verdana" w:hAnsi="Verdana" w:cs="Verdana"/>
          <w:color w:val="0070C0"/>
          <w:sz w:val="20"/>
          <w:szCs w:val="20"/>
        </w:rPr>
        <w:t xml:space="preserve"> i materialnych.</w:t>
      </w:r>
    </w:p>
    <w:p w14:paraId="40585F3F" w14:textId="68376F7D" w:rsidR="00D90603" w:rsidRPr="00A2589A" w:rsidRDefault="00D90603" w:rsidP="00A2589A">
      <w:pPr>
        <w:autoSpaceDE w:val="0"/>
        <w:autoSpaceDN w:val="0"/>
        <w:adjustRightInd w:val="0"/>
        <w:spacing w:line="240" w:lineRule="auto"/>
        <w:jc w:val="both"/>
        <w:rPr>
          <w:rFonts w:ascii="Verdana" w:hAnsi="Verdana" w:cs="Verdana"/>
          <w:b/>
          <w:bCs/>
          <w:color w:val="0070C0"/>
          <w:sz w:val="20"/>
          <w:szCs w:val="20"/>
        </w:rPr>
      </w:pPr>
      <w:r w:rsidRPr="00C378A2">
        <w:rPr>
          <w:rFonts w:ascii="Verdana" w:hAnsi="Verdana" w:cs="Verdana"/>
          <w:color w:val="0070C0"/>
          <w:sz w:val="20"/>
          <w:szCs w:val="20"/>
        </w:rPr>
        <w:t>Dodatkowo, Trybunał przypomniał system spraw Dublińskich</w:t>
      </w:r>
      <w:r w:rsidRPr="00C378A2">
        <w:rPr>
          <w:rStyle w:val="Odwoanieprzypisudolnego"/>
          <w:rFonts w:ascii="Verdana" w:hAnsi="Verdana" w:cs="Verdana"/>
          <w:color w:val="0070C0"/>
          <w:sz w:val="20"/>
          <w:szCs w:val="20"/>
        </w:rPr>
        <w:footnoteReference w:id="5"/>
      </w:r>
      <w:r w:rsidRPr="00C378A2">
        <w:rPr>
          <w:rFonts w:ascii="Verdana" w:hAnsi="Verdana" w:cs="Verdana"/>
          <w:color w:val="0070C0"/>
          <w:sz w:val="20"/>
          <w:szCs w:val="20"/>
        </w:rPr>
        <w:t xml:space="preserve"> </w:t>
      </w:r>
      <w:r w:rsidR="00A2589A" w:rsidRPr="00A2589A">
        <w:rPr>
          <w:rFonts w:ascii="Verdana" w:hAnsi="Verdana" w:cs="Verdana"/>
          <w:b/>
          <w:bCs/>
          <w:color w:val="0070C0"/>
          <w:sz w:val="20"/>
          <w:szCs w:val="20"/>
        </w:rPr>
        <w:t>–</w:t>
      </w:r>
      <w:r w:rsidRPr="00C378A2">
        <w:rPr>
          <w:rFonts w:ascii="Verdana" w:hAnsi="Verdana" w:cs="Verdana"/>
          <w:color w:val="0070C0"/>
          <w:sz w:val="20"/>
          <w:szCs w:val="20"/>
        </w:rPr>
        <w:t xml:space="preserve"> które rozstrzygnęły kwestię tego, które Państwo Członkowskie UE jest odpowiedzialne za rozpoznanie wniosku o udzielenie azylu, złożonego w jednym z Państw Członkowskich przez obywatela państwa trzeciego – musi zostać zastosowany w sposób zgodny z Konwencją: </w:t>
      </w:r>
      <w:r w:rsidR="007D7A57" w:rsidRPr="00C378A2">
        <w:rPr>
          <w:rFonts w:ascii="Verdana" w:hAnsi="Verdana" w:cs="Verdana"/>
          <w:color w:val="0070C0"/>
          <w:sz w:val="20"/>
          <w:szCs w:val="20"/>
        </w:rPr>
        <w:t xml:space="preserve">żadna forma wydalenia zbiorowego lub masowych zawróceni nie może znaleźć usprawiedliwienia z odwołaniem do tego systemu i to Państwo przeprowadzające wydalenie musi się upewnić, że kraj docelowy zapewnia wystarczające gwarancje przy stosowaniu prawa azylowego aby uchronić osoby wydalane do krajów pochodzenia przed brakiem rozważenia ewentualnych </w:t>
      </w:r>
      <w:r w:rsidR="007D7A57" w:rsidRPr="00A2589A">
        <w:rPr>
          <w:rFonts w:ascii="Verdana" w:hAnsi="Verdana" w:cs="Verdana"/>
          <w:color w:val="0070C0"/>
          <w:sz w:val="20"/>
          <w:szCs w:val="20"/>
        </w:rPr>
        <w:t>ryzyk</w:t>
      </w:r>
      <w:r w:rsidR="00C378A2" w:rsidRPr="00A2589A">
        <w:rPr>
          <w:rFonts w:ascii="Verdana" w:hAnsi="Verdana" w:cs="Verdana"/>
          <w:color w:val="0070C0"/>
          <w:sz w:val="20"/>
          <w:szCs w:val="20"/>
        </w:rPr>
        <w:t xml:space="preserve"> z tym związanych</w:t>
      </w:r>
      <w:r w:rsidR="007D7A57" w:rsidRPr="00A2589A">
        <w:rPr>
          <w:rFonts w:ascii="Verdana" w:hAnsi="Verdana" w:cs="Verdana"/>
          <w:color w:val="0070C0"/>
          <w:sz w:val="20"/>
          <w:szCs w:val="20"/>
        </w:rPr>
        <w:t>.</w:t>
      </w:r>
      <w:r w:rsidR="007D7A57" w:rsidRPr="00A2589A">
        <w:rPr>
          <w:rFonts w:ascii="Verdana" w:hAnsi="Verdana" w:cs="Verdana"/>
          <w:color w:val="808080"/>
          <w:sz w:val="20"/>
          <w:szCs w:val="20"/>
        </w:rPr>
        <w:t xml:space="preserve"> </w:t>
      </w:r>
    </w:p>
    <w:p w14:paraId="5C6D4B29" w14:textId="34A35429" w:rsidR="00A2589A" w:rsidRPr="00DC6833" w:rsidRDefault="00A2589A" w:rsidP="00A2589A">
      <w:pPr>
        <w:pStyle w:val="Default"/>
        <w:rPr>
          <w:color w:val="0071BB"/>
          <w:sz w:val="20"/>
          <w:szCs w:val="20"/>
          <w:u w:val="single"/>
        </w:rPr>
      </w:pPr>
      <w:hyperlink r:id="rId20" w:history="1">
        <w:proofErr w:type="spellStart"/>
        <w:r w:rsidRPr="00393ED0">
          <w:rPr>
            <w:rStyle w:val="Hipercze"/>
            <w:b/>
            <w:bCs/>
            <w:sz w:val="20"/>
            <w:szCs w:val="20"/>
          </w:rPr>
          <w:t>Moustahi</w:t>
        </w:r>
        <w:proofErr w:type="spellEnd"/>
        <w:r w:rsidRPr="00393ED0">
          <w:rPr>
            <w:rStyle w:val="Hipercze"/>
            <w:b/>
            <w:bCs/>
            <w:sz w:val="20"/>
            <w:szCs w:val="20"/>
          </w:rPr>
          <w:t xml:space="preserve"> </w:t>
        </w:r>
        <w:r w:rsidR="00DC6833" w:rsidRPr="00393ED0">
          <w:rPr>
            <w:rStyle w:val="Hipercze"/>
            <w:b/>
            <w:bCs/>
            <w:sz w:val="20"/>
            <w:szCs w:val="20"/>
          </w:rPr>
          <w:t>przeciwko</w:t>
        </w:r>
        <w:r w:rsidRPr="00393ED0">
          <w:rPr>
            <w:rStyle w:val="Hipercze"/>
            <w:b/>
            <w:bCs/>
            <w:sz w:val="20"/>
            <w:szCs w:val="20"/>
          </w:rPr>
          <w:t xml:space="preserve"> </w:t>
        </w:r>
        <w:r w:rsidR="00DC6833" w:rsidRPr="00393ED0">
          <w:rPr>
            <w:rStyle w:val="Hipercze"/>
            <w:b/>
            <w:bCs/>
            <w:sz w:val="20"/>
            <w:szCs w:val="20"/>
          </w:rPr>
          <w:t>Francji</w:t>
        </w:r>
      </w:hyperlink>
      <w:r w:rsidRPr="00DC6833">
        <w:rPr>
          <w:b/>
          <w:bCs/>
          <w:color w:val="0071BB"/>
          <w:sz w:val="20"/>
          <w:szCs w:val="20"/>
          <w:u w:val="single"/>
        </w:rPr>
        <w:t xml:space="preserve"> </w:t>
      </w:r>
    </w:p>
    <w:p w14:paraId="67E9430D" w14:textId="081094A0" w:rsidR="00A2589A" w:rsidRPr="00A2589A" w:rsidRDefault="00DC6833" w:rsidP="00A2589A">
      <w:pPr>
        <w:pStyle w:val="Default"/>
        <w:rPr>
          <w:color w:val="808080"/>
          <w:sz w:val="20"/>
          <w:szCs w:val="20"/>
        </w:rPr>
      </w:pPr>
      <w:r>
        <w:rPr>
          <w:color w:val="808080"/>
          <w:sz w:val="20"/>
          <w:szCs w:val="20"/>
        </w:rPr>
        <w:t xml:space="preserve">Wyrok Izby z dnia </w:t>
      </w:r>
      <w:r w:rsidR="00A2589A" w:rsidRPr="00A2589A">
        <w:rPr>
          <w:color w:val="808080"/>
          <w:sz w:val="20"/>
          <w:szCs w:val="20"/>
        </w:rPr>
        <w:t xml:space="preserve">25 </w:t>
      </w:r>
      <w:r>
        <w:rPr>
          <w:color w:val="808080"/>
          <w:sz w:val="20"/>
          <w:szCs w:val="20"/>
        </w:rPr>
        <w:t>czerwca</w:t>
      </w:r>
      <w:r w:rsidR="00A2589A" w:rsidRPr="00A2589A">
        <w:rPr>
          <w:color w:val="808080"/>
          <w:sz w:val="20"/>
          <w:szCs w:val="20"/>
        </w:rPr>
        <w:t xml:space="preserve"> 2020</w:t>
      </w:r>
      <w:r>
        <w:rPr>
          <w:color w:val="808080"/>
          <w:sz w:val="20"/>
          <w:szCs w:val="20"/>
        </w:rPr>
        <w:t xml:space="preserve"> </w:t>
      </w:r>
      <w:r w:rsidR="009C75D5">
        <w:rPr>
          <w:color w:val="808080"/>
          <w:sz w:val="20"/>
          <w:szCs w:val="20"/>
        </w:rPr>
        <w:t>roku</w:t>
      </w:r>
    </w:p>
    <w:p w14:paraId="45360490" w14:textId="6A0CEDA3" w:rsidR="00823680" w:rsidRPr="00A2589A" w:rsidRDefault="00DC6833" w:rsidP="00AB25F4">
      <w:pPr>
        <w:pStyle w:val="Default"/>
        <w:jc w:val="both"/>
        <w:rPr>
          <w:sz w:val="20"/>
          <w:szCs w:val="20"/>
        </w:rPr>
      </w:pPr>
      <w:r w:rsidRPr="00DC6833">
        <w:rPr>
          <w:sz w:val="20"/>
          <w:szCs w:val="20"/>
        </w:rPr>
        <w:t xml:space="preserve">Sprawa dotyczyła warunków, w jakich dwoje dzieci, zatrzymanych po nielegalnym wjeździe na terytorium Francji w </w:t>
      </w:r>
      <w:proofErr w:type="spellStart"/>
      <w:r w:rsidRPr="00DC6833">
        <w:rPr>
          <w:sz w:val="20"/>
          <w:szCs w:val="20"/>
        </w:rPr>
        <w:t>Mayotte</w:t>
      </w:r>
      <w:proofErr w:type="spellEnd"/>
      <w:r w:rsidRPr="00DC6833">
        <w:rPr>
          <w:sz w:val="20"/>
          <w:szCs w:val="20"/>
        </w:rPr>
        <w:t xml:space="preserve">, zostało </w:t>
      </w:r>
      <w:r w:rsidR="00726128">
        <w:rPr>
          <w:sz w:val="20"/>
          <w:szCs w:val="20"/>
        </w:rPr>
        <w:t xml:space="preserve">umieszczonych w areszcie deportacyjnym </w:t>
      </w:r>
      <w:r w:rsidRPr="00DC6833">
        <w:rPr>
          <w:sz w:val="20"/>
          <w:szCs w:val="20"/>
        </w:rPr>
        <w:t>wraz z dorosłymi</w:t>
      </w:r>
      <w:r w:rsidR="00726128">
        <w:rPr>
          <w:sz w:val="20"/>
          <w:szCs w:val="20"/>
        </w:rPr>
        <w:t>.</w:t>
      </w:r>
      <w:r w:rsidR="00CE72AC">
        <w:rPr>
          <w:sz w:val="20"/>
          <w:szCs w:val="20"/>
        </w:rPr>
        <w:t xml:space="preserve"> </w:t>
      </w:r>
      <w:r w:rsidR="00726128">
        <w:rPr>
          <w:sz w:val="20"/>
          <w:szCs w:val="20"/>
        </w:rPr>
        <w:t>A</w:t>
      </w:r>
      <w:r w:rsidRPr="00DC6833">
        <w:rPr>
          <w:sz w:val="20"/>
          <w:szCs w:val="20"/>
        </w:rPr>
        <w:t>rbitralnie powiązan</w:t>
      </w:r>
      <w:r w:rsidR="00726128">
        <w:rPr>
          <w:sz w:val="20"/>
          <w:szCs w:val="20"/>
        </w:rPr>
        <w:t>o je</w:t>
      </w:r>
      <w:r w:rsidRPr="00DC6833">
        <w:rPr>
          <w:sz w:val="20"/>
          <w:szCs w:val="20"/>
        </w:rPr>
        <w:t xml:space="preserve"> z jednym z </w:t>
      </w:r>
      <w:r w:rsidR="00823680">
        <w:rPr>
          <w:sz w:val="20"/>
          <w:szCs w:val="20"/>
        </w:rPr>
        <w:t>dorosłych</w:t>
      </w:r>
      <w:r w:rsidR="00CE72AC">
        <w:rPr>
          <w:sz w:val="20"/>
          <w:szCs w:val="20"/>
        </w:rPr>
        <w:t xml:space="preserve"> </w:t>
      </w:r>
      <w:r w:rsidR="00726128">
        <w:rPr>
          <w:sz w:val="20"/>
          <w:szCs w:val="20"/>
        </w:rPr>
        <w:t>dla</w:t>
      </w:r>
      <w:r w:rsidR="00CE72AC">
        <w:rPr>
          <w:sz w:val="20"/>
          <w:szCs w:val="20"/>
        </w:rPr>
        <w:t xml:space="preserve"> </w:t>
      </w:r>
      <w:r w:rsidR="00726128">
        <w:rPr>
          <w:sz w:val="20"/>
          <w:szCs w:val="20"/>
        </w:rPr>
        <w:t>celów</w:t>
      </w:r>
      <w:r w:rsidR="00CE72AC">
        <w:rPr>
          <w:sz w:val="20"/>
          <w:szCs w:val="20"/>
        </w:rPr>
        <w:t xml:space="preserve"> administracyjnych</w:t>
      </w:r>
      <w:r w:rsidRPr="00DC6833">
        <w:rPr>
          <w:sz w:val="20"/>
          <w:szCs w:val="20"/>
        </w:rPr>
        <w:t>, a następnie w trybie przyspieszonym odesłan</w:t>
      </w:r>
      <w:r w:rsidR="00823680">
        <w:rPr>
          <w:sz w:val="20"/>
          <w:szCs w:val="20"/>
        </w:rPr>
        <w:t>o</w:t>
      </w:r>
      <w:r w:rsidRPr="00DC6833">
        <w:rPr>
          <w:sz w:val="20"/>
          <w:szCs w:val="20"/>
        </w:rPr>
        <w:t xml:space="preserve"> </w:t>
      </w:r>
      <w:r w:rsidR="00C82BEE">
        <w:rPr>
          <w:sz w:val="20"/>
          <w:szCs w:val="20"/>
        </w:rPr>
        <w:t>do państwa</w:t>
      </w:r>
      <w:r w:rsidRPr="00DC6833">
        <w:rPr>
          <w:sz w:val="20"/>
          <w:szCs w:val="20"/>
        </w:rPr>
        <w:t xml:space="preserve"> Komory bez przeprowadzenia starannej i indywidualnej </w:t>
      </w:r>
      <w:r w:rsidR="00CE72AC">
        <w:rPr>
          <w:sz w:val="20"/>
          <w:szCs w:val="20"/>
        </w:rPr>
        <w:t>oceny</w:t>
      </w:r>
      <w:r w:rsidRPr="00DC6833">
        <w:rPr>
          <w:sz w:val="20"/>
          <w:szCs w:val="20"/>
        </w:rPr>
        <w:t xml:space="preserve"> ich sytuacji. Skarżący twierdzili w szczególności, że zostali poddani zbiorowemu wydaleniu bez indywidualnego rozpatrzenia ich sprawy. Ponadto podnosili, że nie mieli dostępu do skutecznego środka odwoławczego, który umożliwiłby im zakwestionowanie decyzji o wydaleniu.</w:t>
      </w:r>
    </w:p>
    <w:p w14:paraId="1F7B4859" w14:textId="5071D754" w:rsidR="00640C36" w:rsidRDefault="00823680" w:rsidP="00823680">
      <w:pPr>
        <w:autoSpaceDE w:val="0"/>
        <w:autoSpaceDN w:val="0"/>
        <w:adjustRightInd w:val="0"/>
        <w:spacing w:after="0" w:line="240" w:lineRule="auto"/>
        <w:jc w:val="both"/>
        <w:rPr>
          <w:rFonts w:ascii="Verdana" w:hAnsi="Verdana"/>
          <w:color w:val="0071BB"/>
          <w:sz w:val="20"/>
          <w:szCs w:val="20"/>
        </w:rPr>
      </w:pPr>
      <w:r w:rsidRPr="00823680">
        <w:rPr>
          <w:rFonts w:ascii="Verdana" w:hAnsi="Verdana"/>
          <w:color w:val="0071BB"/>
          <w:sz w:val="20"/>
          <w:szCs w:val="20"/>
        </w:rPr>
        <w:t xml:space="preserve">Trybunał uznał, że wydalenie dzieci naruszyło </w:t>
      </w:r>
      <w:r w:rsidRPr="00823680">
        <w:rPr>
          <w:rFonts w:ascii="Verdana" w:hAnsi="Verdana"/>
          <w:b/>
          <w:bCs/>
          <w:color w:val="0071BB"/>
          <w:sz w:val="20"/>
          <w:szCs w:val="20"/>
        </w:rPr>
        <w:t>art. 4 Protokołu</w:t>
      </w:r>
      <w:r w:rsidRPr="00823680">
        <w:rPr>
          <w:rFonts w:ascii="Verdana" w:hAnsi="Verdana"/>
          <w:color w:val="0071BB"/>
          <w:sz w:val="20"/>
          <w:szCs w:val="20"/>
        </w:rPr>
        <w:t xml:space="preserve"> </w:t>
      </w:r>
      <w:r w:rsidRPr="00823680">
        <w:rPr>
          <w:rFonts w:ascii="Verdana" w:hAnsi="Verdana"/>
          <w:b/>
          <w:bCs/>
          <w:color w:val="0071BB"/>
          <w:sz w:val="20"/>
          <w:szCs w:val="20"/>
        </w:rPr>
        <w:t>nr 4 do Konwencji</w:t>
      </w:r>
      <w:r w:rsidRPr="00823680">
        <w:rPr>
          <w:rFonts w:ascii="Verdana" w:hAnsi="Verdana"/>
          <w:color w:val="0071BB"/>
          <w:sz w:val="20"/>
          <w:szCs w:val="20"/>
        </w:rPr>
        <w:t xml:space="preserve">. W szczególności wskazał, że w sytuacji, gdy dziecko podróżuje w towarzystwie krewnego lub osoby pełniącej podobną rolę, wymogi Artykułu 4 Protokołu nr 4 mogą zostać spełnione, jeśli dorosły ten ma możliwość </w:t>
      </w:r>
      <w:r w:rsidRPr="00D97588">
        <w:rPr>
          <w:rFonts w:ascii="Verdana" w:hAnsi="Verdana"/>
          <w:color w:val="0071BB"/>
          <w:sz w:val="20"/>
          <w:szCs w:val="20"/>
        </w:rPr>
        <w:t xml:space="preserve">skutecznego i </w:t>
      </w:r>
      <w:r w:rsidR="00FB6413">
        <w:rPr>
          <w:rFonts w:ascii="Verdana" w:hAnsi="Verdana"/>
          <w:color w:val="0071BB"/>
          <w:sz w:val="20"/>
          <w:szCs w:val="20"/>
        </w:rPr>
        <w:t>rzeczywistego</w:t>
      </w:r>
      <w:r w:rsidRPr="00823680">
        <w:rPr>
          <w:rFonts w:ascii="Verdana" w:hAnsi="Verdana"/>
          <w:color w:val="0071BB"/>
          <w:sz w:val="20"/>
          <w:szCs w:val="20"/>
        </w:rPr>
        <w:t xml:space="preserve"> przedstawienia argumentów przeciwko wydaleniu w imieniu dziecka. Jednakże szczególne okoliczności sprawy, rozpatrywane całościowo, doprowadziły Trybunał do wniosku</w:t>
      </w:r>
      <w:r w:rsidR="004E4CEC" w:rsidRPr="004E4CEC">
        <w:rPr>
          <w:rFonts w:ascii="Verdana" w:hAnsi="Verdana"/>
          <w:color w:val="0071BB"/>
          <w:sz w:val="20"/>
          <w:szCs w:val="20"/>
        </w:rPr>
        <w:t>, że wydalenie dzieci, które były bardzo małe (miały odpowiednio pięć i trzy lata) i które nie były znane</w:t>
      </w:r>
      <w:r w:rsidR="004E4CEC">
        <w:rPr>
          <w:rFonts w:ascii="Verdana" w:hAnsi="Verdana"/>
          <w:color w:val="0071BB"/>
          <w:sz w:val="20"/>
          <w:szCs w:val="20"/>
        </w:rPr>
        <w:t xml:space="preserve"> </w:t>
      </w:r>
      <w:r w:rsidR="004E4CEC" w:rsidRPr="004E4CEC">
        <w:rPr>
          <w:rFonts w:ascii="Verdana" w:hAnsi="Verdana"/>
          <w:color w:val="0071BB"/>
          <w:sz w:val="20"/>
          <w:szCs w:val="20"/>
        </w:rPr>
        <w:t xml:space="preserve">ani </w:t>
      </w:r>
      <w:r w:rsidR="00640C36">
        <w:rPr>
          <w:rFonts w:ascii="Verdana" w:hAnsi="Verdana"/>
          <w:color w:val="0071BB"/>
          <w:sz w:val="20"/>
          <w:szCs w:val="20"/>
        </w:rPr>
        <w:t xml:space="preserve">objęte </w:t>
      </w:r>
      <w:r w:rsidR="004E4CEC">
        <w:rPr>
          <w:rFonts w:ascii="Verdana" w:hAnsi="Verdana"/>
          <w:color w:val="0071BB"/>
          <w:sz w:val="20"/>
          <w:szCs w:val="20"/>
        </w:rPr>
        <w:t>opieką</w:t>
      </w:r>
      <w:r w:rsidR="00640C36">
        <w:rPr>
          <w:rFonts w:ascii="Verdana" w:hAnsi="Verdana"/>
          <w:color w:val="0071BB"/>
          <w:sz w:val="20"/>
          <w:szCs w:val="20"/>
        </w:rPr>
        <w:t xml:space="preserve"> przez</w:t>
      </w:r>
      <w:r w:rsidR="004E4CEC" w:rsidRPr="004E4CEC">
        <w:rPr>
          <w:rFonts w:ascii="Verdana" w:hAnsi="Verdana"/>
          <w:color w:val="0071BB"/>
          <w:sz w:val="20"/>
          <w:szCs w:val="20"/>
        </w:rPr>
        <w:t xml:space="preserve"> żadn</w:t>
      </w:r>
      <w:r w:rsidR="00640C36">
        <w:rPr>
          <w:rFonts w:ascii="Verdana" w:hAnsi="Verdana"/>
          <w:color w:val="0071BB"/>
          <w:sz w:val="20"/>
          <w:szCs w:val="20"/>
        </w:rPr>
        <w:t>ą</w:t>
      </w:r>
      <w:r w:rsidR="004E4CEC" w:rsidRPr="004E4CEC">
        <w:rPr>
          <w:rFonts w:ascii="Verdana" w:hAnsi="Verdana"/>
          <w:color w:val="0071BB"/>
          <w:sz w:val="20"/>
          <w:szCs w:val="20"/>
        </w:rPr>
        <w:t xml:space="preserve"> </w:t>
      </w:r>
      <w:r w:rsidR="00640C36">
        <w:rPr>
          <w:rFonts w:ascii="Verdana" w:hAnsi="Verdana"/>
          <w:color w:val="0071BB"/>
          <w:sz w:val="20"/>
          <w:szCs w:val="20"/>
        </w:rPr>
        <w:t xml:space="preserve">towarzyszącą im </w:t>
      </w:r>
      <w:r w:rsidR="004E4CEC" w:rsidRPr="004E4CEC">
        <w:rPr>
          <w:rFonts w:ascii="Verdana" w:hAnsi="Verdana"/>
          <w:color w:val="0071BB"/>
          <w:sz w:val="20"/>
          <w:szCs w:val="20"/>
        </w:rPr>
        <w:t>osob</w:t>
      </w:r>
      <w:r w:rsidR="00640C36">
        <w:rPr>
          <w:rFonts w:ascii="Verdana" w:hAnsi="Verdana"/>
          <w:color w:val="0071BB"/>
          <w:sz w:val="20"/>
          <w:szCs w:val="20"/>
        </w:rPr>
        <w:t>ę</w:t>
      </w:r>
      <w:r w:rsidR="004E4CEC" w:rsidRPr="004E4CEC">
        <w:rPr>
          <w:rFonts w:ascii="Verdana" w:hAnsi="Verdana"/>
          <w:color w:val="0071BB"/>
          <w:sz w:val="20"/>
          <w:szCs w:val="20"/>
        </w:rPr>
        <w:t xml:space="preserve"> dorosł</w:t>
      </w:r>
      <w:r w:rsidR="00640C36">
        <w:rPr>
          <w:rFonts w:ascii="Verdana" w:hAnsi="Verdana"/>
          <w:color w:val="0071BB"/>
          <w:sz w:val="20"/>
          <w:szCs w:val="20"/>
        </w:rPr>
        <w:t>ą</w:t>
      </w:r>
      <w:r w:rsidR="004E4CEC" w:rsidRPr="004E4CEC">
        <w:rPr>
          <w:rFonts w:ascii="Verdana" w:hAnsi="Verdana"/>
          <w:color w:val="0071BB"/>
          <w:sz w:val="20"/>
          <w:szCs w:val="20"/>
        </w:rPr>
        <w:t xml:space="preserve">, zostało przeprowadzone bez zapewnienia im </w:t>
      </w:r>
      <w:r w:rsidR="00640C36">
        <w:rPr>
          <w:rFonts w:ascii="Verdana" w:hAnsi="Verdana"/>
          <w:color w:val="0071BB"/>
          <w:sz w:val="20"/>
          <w:szCs w:val="20"/>
        </w:rPr>
        <w:t>ochrony</w:t>
      </w:r>
      <w:r w:rsidR="004E4CEC" w:rsidRPr="004E4CEC">
        <w:rPr>
          <w:rFonts w:ascii="Verdana" w:hAnsi="Verdana"/>
          <w:color w:val="0071BB"/>
          <w:sz w:val="20"/>
          <w:szCs w:val="20"/>
        </w:rPr>
        <w:t xml:space="preserve"> w postaci </w:t>
      </w:r>
      <w:r w:rsidR="00640C36" w:rsidRPr="00640C36">
        <w:rPr>
          <w:rFonts w:ascii="Verdana" w:hAnsi="Verdana"/>
          <w:color w:val="0071BB"/>
          <w:sz w:val="20"/>
          <w:szCs w:val="20"/>
        </w:rPr>
        <w:t xml:space="preserve">rozważnego i obiektywnego zbadania </w:t>
      </w:r>
      <w:r w:rsidR="00640C36">
        <w:rPr>
          <w:rFonts w:ascii="Verdana" w:hAnsi="Verdana"/>
          <w:color w:val="0071BB"/>
          <w:sz w:val="20"/>
          <w:szCs w:val="20"/>
        </w:rPr>
        <w:t>ich sprawy.</w:t>
      </w:r>
    </w:p>
    <w:p w14:paraId="2DCA228C" w14:textId="74B6ABD8" w:rsidR="00823680" w:rsidRPr="00823680" w:rsidRDefault="00823680" w:rsidP="00823680">
      <w:pPr>
        <w:autoSpaceDE w:val="0"/>
        <w:autoSpaceDN w:val="0"/>
        <w:adjustRightInd w:val="0"/>
        <w:spacing w:after="0" w:line="240" w:lineRule="auto"/>
        <w:jc w:val="both"/>
        <w:rPr>
          <w:rFonts w:ascii="Verdana" w:hAnsi="Verdana"/>
          <w:color w:val="0071BB"/>
          <w:sz w:val="20"/>
          <w:szCs w:val="20"/>
        </w:rPr>
      </w:pPr>
      <w:r w:rsidRPr="00823680">
        <w:rPr>
          <w:rFonts w:ascii="Verdana" w:hAnsi="Verdana"/>
          <w:color w:val="0071BB"/>
          <w:sz w:val="20"/>
          <w:szCs w:val="20"/>
        </w:rPr>
        <w:t xml:space="preserve">Trybunał stwierdził również </w:t>
      </w:r>
      <w:r w:rsidRPr="00823680">
        <w:rPr>
          <w:rFonts w:ascii="Verdana" w:hAnsi="Verdana"/>
          <w:b/>
          <w:bCs/>
          <w:color w:val="0071BB"/>
          <w:sz w:val="20"/>
          <w:szCs w:val="20"/>
        </w:rPr>
        <w:t xml:space="preserve">naruszenie </w:t>
      </w:r>
      <w:r w:rsidR="00640C36" w:rsidRPr="007423C2">
        <w:rPr>
          <w:rFonts w:ascii="Verdana" w:hAnsi="Verdana"/>
          <w:b/>
          <w:bCs/>
          <w:color w:val="0071BB"/>
          <w:sz w:val="20"/>
          <w:szCs w:val="20"/>
        </w:rPr>
        <w:t xml:space="preserve">art. </w:t>
      </w:r>
      <w:r w:rsidRPr="00823680">
        <w:rPr>
          <w:rFonts w:ascii="Verdana" w:hAnsi="Verdana"/>
          <w:b/>
          <w:bCs/>
          <w:color w:val="0071BB"/>
          <w:sz w:val="20"/>
          <w:szCs w:val="20"/>
        </w:rPr>
        <w:t xml:space="preserve">13 </w:t>
      </w:r>
      <w:r w:rsidRPr="00823680">
        <w:rPr>
          <w:rFonts w:ascii="Verdana" w:hAnsi="Verdana"/>
          <w:color w:val="0071BB"/>
          <w:sz w:val="20"/>
          <w:szCs w:val="20"/>
        </w:rPr>
        <w:t xml:space="preserve">(prawo do skutecznego środka odwoławczego) Konwencji </w:t>
      </w:r>
      <w:r w:rsidRPr="00823680">
        <w:rPr>
          <w:rFonts w:ascii="Verdana" w:hAnsi="Verdana"/>
          <w:b/>
          <w:bCs/>
          <w:color w:val="0071BB"/>
          <w:sz w:val="20"/>
          <w:szCs w:val="20"/>
        </w:rPr>
        <w:t xml:space="preserve">w związku z </w:t>
      </w:r>
      <w:r w:rsidR="007423C2">
        <w:rPr>
          <w:rFonts w:ascii="Verdana" w:hAnsi="Verdana"/>
          <w:b/>
          <w:bCs/>
          <w:color w:val="0071BB"/>
          <w:sz w:val="20"/>
          <w:szCs w:val="20"/>
        </w:rPr>
        <w:t xml:space="preserve">art. </w:t>
      </w:r>
      <w:r w:rsidRPr="00823680">
        <w:rPr>
          <w:rFonts w:ascii="Verdana" w:hAnsi="Verdana"/>
          <w:b/>
          <w:bCs/>
          <w:color w:val="0071BB"/>
          <w:sz w:val="20"/>
          <w:szCs w:val="20"/>
        </w:rPr>
        <w:t>4 Protokołu nr 4</w:t>
      </w:r>
      <w:r w:rsidRPr="00823680">
        <w:rPr>
          <w:rFonts w:ascii="Verdana" w:hAnsi="Verdana"/>
          <w:color w:val="0071BB"/>
          <w:sz w:val="20"/>
          <w:szCs w:val="20"/>
        </w:rPr>
        <w:t>, uznając w szczególności, że skarżący nie mieli dostępu do żadnych skutecznych środków odwoławczych, które mogłyby zostać wykorzystane w odniesieniu do ich skarg w momencie wdrażania decyzji o wydaleniu. Późniejsze wydanie im pozwoleń na pobyt nie mogło naprawić tego uchybienia.</w:t>
      </w:r>
    </w:p>
    <w:p w14:paraId="3E9C234F" w14:textId="60E4825A" w:rsidR="00823680" w:rsidRPr="00823680" w:rsidRDefault="00823680" w:rsidP="00823680">
      <w:pPr>
        <w:autoSpaceDE w:val="0"/>
        <w:autoSpaceDN w:val="0"/>
        <w:adjustRightInd w:val="0"/>
        <w:spacing w:after="0" w:line="240" w:lineRule="auto"/>
        <w:jc w:val="both"/>
        <w:rPr>
          <w:rFonts w:ascii="Verdana" w:hAnsi="Verdana"/>
          <w:color w:val="0071BB"/>
          <w:sz w:val="20"/>
          <w:szCs w:val="20"/>
        </w:rPr>
      </w:pPr>
      <w:r w:rsidRPr="00823680">
        <w:rPr>
          <w:rFonts w:ascii="Verdana" w:hAnsi="Verdana"/>
          <w:color w:val="0071BB"/>
          <w:sz w:val="20"/>
          <w:szCs w:val="20"/>
        </w:rPr>
        <w:t xml:space="preserve">W niniejszej sprawie Trybunał ponadto stwierdził </w:t>
      </w:r>
      <w:r w:rsidRPr="00823680">
        <w:rPr>
          <w:rFonts w:ascii="Verdana" w:hAnsi="Verdana"/>
          <w:b/>
          <w:bCs/>
          <w:color w:val="0071BB"/>
          <w:sz w:val="20"/>
          <w:szCs w:val="20"/>
        </w:rPr>
        <w:t>naruszenie</w:t>
      </w:r>
      <w:r w:rsidRPr="00823680">
        <w:rPr>
          <w:rFonts w:ascii="Verdana" w:hAnsi="Verdana"/>
          <w:color w:val="0071BB"/>
          <w:sz w:val="20"/>
          <w:szCs w:val="20"/>
        </w:rPr>
        <w:t xml:space="preserve"> </w:t>
      </w:r>
      <w:r w:rsidR="007423C2">
        <w:rPr>
          <w:rFonts w:ascii="Verdana" w:hAnsi="Verdana"/>
          <w:b/>
          <w:bCs/>
          <w:color w:val="0071BB"/>
          <w:sz w:val="20"/>
          <w:szCs w:val="20"/>
        </w:rPr>
        <w:t>art.</w:t>
      </w:r>
      <w:r w:rsidRPr="00823680">
        <w:rPr>
          <w:rFonts w:ascii="Verdana" w:hAnsi="Verdana"/>
          <w:b/>
          <w:bCs/>
          <w:color w:val="0071BB"/>
          <w:sz w:val="20"/>
          <w:szCs w:val="20"/>
        </w:rPr>
        <w:t xml:space="preserve"> 3</w:t>
      </w:r>
      <w:r w:rsidR="00A5259F">
        <w:rPr>
          <w:rFonts w:ascii="Verdana" w:hAnsi="Verdana"/>
          <w:b/>
          <w:bCs/>
          <w:color w:val="0071BB"/>
          <w:sz w:val="20"/>
          <w:szCs w:val="20"/>
        </w:rPr>
        <w:t xml:space="preserve"> </w:t>
      </w:r>
      <w:r w:rsidR="00A5259F" w:rsidRPr="00823680">
        <w:rPr>
          <w:rFonts w:ascii="Verdana" w:hAnsi="Verdana"/>
          <w:b/>
          <w:bCs/>
          <w:color w:val="0071BB"/>
          <w:sz w:val="20"/>
          <w:szCs w:val="20"/>
        </w:rPr>
        <w:t>Konwencji</w:t>
      </w:r>
      <w:r w:rsidR="00A5259F">
        <w:rPr>
          <w:rFonts w:ascii="Verdana" w:hAnsi="Verdana"/>
          <w:color w:val="0071BB"/>
          <w:sz w:val="20"/>
          <w:szCs w:val="20"/>
        </w:rPr>
        <w:t xml:space="preserve"> </w:t>
      </w:r>
      <w:r w:rsidRPr="00823680">
        <w:rPr>
          <w:rFonts w:ascii="Verdana" w:hAnsi="Verdana"/>
          <w:color w:val="0071BB"/>
          <w:sz w:val="20"/>
          <w:szCs w:val="20"/>
        </w:rPr>
        <w:t>(zakaz nieludzkiego lub poniżającego traktowania)</w:t>
      </w:r>
      <w:r w:rsidR="00A5259F">
        <w:rPr>
          <w:rFonts w:ascii="Verdana" w:hAnsi="Verdana"/>
          <w:color w:val="0071BB"/>
          <w:sz w:val="20"/>
          <w:szCs w:val="20"/>
        </w:rPr>
        <w:t>,</w:t>
      </w:r>
      <w:r w:rsidRPr="00823680">
        <w:rPr>
          <w:rFonts w:ascii="Verdana" w:hAnsi="Verdana"/>
          <w:color w:val="0071BB"/>
          <w:sz w:val="20"/>
          <w:szCs w:val="20"/>
        </w:rPr>
        <w:t xml:space="preserve"> w odniesieniu do skarżących</w:t>
      </w:r>
      <w:r w:rsidR="00A5259F">
        <w:rPr>
          <w:rFonts w:ascii="Verdana" w:hAnsi="Verdana"/>
          <w:color w:val="0071BB"/>
          <w:sz w:val="20"/>
          <w:szCs w:val="20"/>
        </w:rPr>
        <w:t xml:space="preserve"> dzieci</w:t>
      </w:r>
      <w:r w:rsidRPr="00823680">
        <w:rPr>
          <w:rFonts w:ascii="Verdana" w:hAnsi="Verdana"/>
          <w:color w:val="0071BB"/>
          <w:sz w:val="20"/>
          <w:szCs w:val="20"/>
        </w:rPr>
        <w:t xml:space="preserve"> z uwagi na warunki ich </w:t>
      </w:r>
      <w:r w:rsidR="00D2583E">
        <w:rPr>
          <w:rFonts w:ascii="Verdana" w:hAnsi="Verdana"/>
          <w:color w:val="0071BB"/>
          <w:sz w:val="20"/>
          <w:szCs w:val="20"/>
        </w:rPr>
        <w:t>przetrzymywania</w:t>
      </w:r>
      <w:r w:rsidRPr="00823680">
        <w:rPr>
          <w:rFonts w:ascii="Verdana" w:hAnsi="Verdana"/>
          <w:color w:val="0071BB"/>
          <w:sz w:val="20"/>
          <w:szCs w:val="20"/>
        </w:rPr>
        <w:t xml:space="preserve"> </w:t>
      </w:r>
      <w:r w:rsidR="00D2583E">
        <w:rPr>
          <w:rFonts w:ascii="Verdana" w:hAnsi="Verdana"/>
          <w:color w:val="0071BB"/>
          <w:sz w:val="20"/>
          <w:szCs w:val="20"/>
        </w:rPr>
        <w:t>i</w:t>
      </w:r>
      <w:r w:rsidRPr="00823680">
        <w:rPr>
          <w:rFonts w:ascii="Verdana" w:hAnsi="Verdana"/>
          <w:color w:val="0071BB"/>
          <w:sz w:val="20"/>
          <w:szCs w:val="20"/>
        </w:rPr>
        <w:t xml:space="preserve"> wydalenia </w:t>
      </w:r>
      <w:r w:rsidR="00C82BEE">
        <w:rPr>
          <w:rFonts w:ascii="Verdana" w:hAnsi="Verdana"/>
          <w:color w:val="0071BB"/>
          <w:sz w:val="20"/>
          <w:szCs w:val="20"/>
        </w:rPr>
        <w:t>do państwa Komory</w:t>
      </w:r>
      <w:r w:rsidRPr="00823680">
        <w:rPr>
          <w:rFonts w:ascii="Verdana" w:hAnsi="Verdana"/>
          <w:color w:val="0071BB"/>
          <w:sz w:val="20"/>
          <w:szCs w:val="20"/>
        </w:rPr>
        <w:t>,</w:t>
      </w:r>
      <w:r w:rsidR="00A5259F">
        <w:rPr>
          <w:rFonts w:ascii="Verdana" w:hAnsi="Verdana"/>
          <w:color w:val="0071BB"/>
          <w:sz w:val="20"/>
          <w:szCs w:val="20"/>
        </w:rPr>
        <w:t xml:space="preserve"> stwierdzono</w:t>
      </w:r>
      <w:r w:rsidRPr="00823680">
        <w:rPr>
          <w:rFonts w:ascii="Verdana" w:hAnsi="Verdana"/>
          <w:color w:val="0071BB"/>
          <w:sz w:val="20"/>
          <w:szCs w:val="20"/>
        </w:rPr>
        <w:t xml:space="preserve"> </w:t>
      </w:r>
      <w:r w:rsidRPr="00823680">
        <w:rPr>
          <w:rFonts w:ascii="Verdana" w:hAnsi="Verdana"/>
          <w:b/>
          <w:bCs/>
          <w:color w:val="0071BB"/>
          <w:sz w:val="20"/>
          <w:szCs w:val="20"/>
        </w:rPr>
        <w:t xml:space="preserve">naruszenie </w:t>
      </w:r>
      <w:r w:rsidR="008822CF">
        <w:rPr>
          <w:rFonts w:ascii="Verdana" w:hAnsi="Verdana"/>
          <w:b/>
          <w:bCs/>
          <w:color w:val="0071BB"/>
          <w:sz w:val="20"/>
          <w:szCs w:val="20"/>
        </w:rPr>
        <w:t>art.</w:t>
      </w:r>
      <w:r w:rsidRPr="00823680">
        <w:rPr>
          <w:rFonts w:ascii="Verdana" w:hAnsi="Verdana"/>
          <w:b/>
          <w:bCs/>
          <w:color w:val="0071BB"/>
          <w:sz w:val="20"/>
          <w:szCs w:val="20"/>
        </w:rPr>
        <w:t xml:space="preserve"> 5 § 1</w:t>
      </w:r>
      <w:r w:rsidRPr="00823680">
        <w:rPr>
          <w:rFonts w:ascii="Verdana" w:hAnsi="Verdana"/>
          <w:color w:val="0071BB"/>
          <w:sz w:val="20"/>
          <w:szCs w:val="20"/>
        </w:rPr>
        <w:t xml:space="preserve"> (prawo do wolności i bezpieczeństwa osobistego), </w:t>
      </w:r>
      <w:r w:rsidR="00A5259F" w:rsidRPr="00A5259F">
        <w:rPr>
          <w:rFonts w:ascii="Verdana" w:hAnsi="Verdana"/>
          <w:b/>
          <w:bCs/>
          <w:color w:val="0071BB"/>
          <w:sz w:val="20"/>
          <w:szCs w:val="20"/>
        </w:rPr>
        <w:t>naruszenie</w:t>
      </w:r>
      <w:r w:rsidR="00A5259F">
        <w:rPr>
          <w:rFonts w:ascii="Verdana" w:hAnsi="Verdana"/>
          <w:color w:val="0071BB"/>
          <w:sz w:val="20"/>
          <w:szCs w:val="20"/>
        </w:rPr>
        <w:t xml:space="preserve"> </w:t>
      </w:r>
      <w:r w:rsidR="00A5259F">
        <w:rPr>
          <w:rFonts w:ascii="Verdana" w:hAnsi="Verdana"/>
          <w:b/>
          <w:bCs/>
          <w:color w:val="0071BB"/>
          <w:sz w:val="20"/>
          <w:szCs w:val="20"/>
        </w:rPr>
        <w:t>art.</w:t>
      </w:r>
      <w:r w:rsidRPr="00823680">
        <w:rPr>
          <w:rFonts w:ascii="Verdana" w:hAnsi="Verdana"/>
          <w:b/>
          <w:bCs/>
          <w:color w:val="0071BB"/>
          <w:sz w:val="20"/>
          <w:szCs w:val="20"/>
        </w:rPr>
        <w:t xml:space="preserve"> 5 § 4</w:t>
      </w:r>
      <w:r w:rsidRPr="00823680">
        <w:rPr>
          <w:rFonts w:ascii="Verdana" w:hAnsi="Verdana"/>
          <w:color w:val="0071BB"/>
          <w:sz w:val="20"/>
          <w:szCs w:val="20"/>
        </w:rPr>
        <w:t xml:space="preserve"> (prawo do szybkiego rozpoznania zgodności zatrzymania z prawem), </w:t>
      </w:r>
      <w:r w:rsidRPr="00823680">
        <w:rPr>
          <w:rFonts w:ascii="Verdana" w:hAnsi="Verdana"/>
          <w:b/>
          <w:bCs/>
          <w:color w:val="0071BB"/>
          <w:sz w:val="20"/>
          <w:szCs w:val="20"/>
        </w:rPr>
        <w:t xml:space="preserve">naruszenie </w:t>
      </w:r>
      <w:r w:rsidR="00A5259F">
        <w:rPr>
          <w:rFonts w:ascii="Verdana" w:hAnsi="Verdana"/>
          <w:b/>
          <w:bCs/>
          <w:color w:val="0071BB"/>
          <w:sz w:val="20"/>
          <w:szCs w:val="20"/>
        </w:rPr>
        <w:t>art.</w:t>
      </w:r>
      <w:r w:rsidRPr="00823680">
        <w:rPr>
          <w:rFonts w:ascii="Verdana" w:hAnsi="Verdana"/>
          <w:b/>
          <w:bCs/>
          <w:color w:val="0071BB"/>
          <w:sz w:val="20"/>
          <w:szCs w:val="20"/>
        </w:rPr>
        <w:t xml:space="preserve"> 8</w:t>
      </w:r>
      <w:r w:rsidRPr="00823680">
        <w:rPr>
          <w:rFonts w:ascii="Verdana" w:hAnsi="Verdana"/>
          <w:color w:val="0071BB"/>
          <w:sz w:val="20"/>
          <w:szCs w:val="20"/>
        </w:rPr>
        <w:t xml:space="preserve"> (prawo do poszanowania życia prywatnego i rodzinnego),</w:t>
      </w:r>
      <w:r w:rsidR="00A5259F">
        <w:rPr>
          <w:rFonts w:ascii="Verdana" w:hAnsi="Verdana"/>
          <w:color w:val="0071BB"/>
          <w:sz w:val="20"/>
          <w:szCs w:val="20"/>
        </w:rPr>
        <w:t xml:space="preserve"> oraz</w:t>
      </w:r>
      <w:r w:rsidRPr="00823680">
        <w:rPr>
          <w:rFonts w:ascii="Verdana" w:hAnsi="Verdana"/>
          <w:color w:val="0071BB"/>
          <w:sz w:val="20"/>
          <w:szCs w:val="20"/>
        </w:rPr>
        <w:t xml:space="preserve"> </w:t>
      </w:r>
      <w:r w:rsidRPr="00823680">
        <w:rPr>
          <w:rFonts w:ascii="Verdana" w:hAnsi="Verdana"/>
          <w:b/>
          <w:bCs/>
          <w:color w:val="0071BB"/>
          <w:sz w:val="20"/>
          <w:szCs w:val="20"/>
        </w:rPr>
        <w:t xml:space="preserve">brak naruszenia </w:t>
      </w:r>
      <w:r w:rsidR="00A5259F">
        <w:rPr>
          <w:rFonts w:ascii="Verdana" w:hAnsi="Verdana"/>
          <w:b/>
          <w:bCs/>
          <w:color w:val="0071BB"/>
          <w:sz w:val="20"/>
          <w:szCs w:val="20"/>
        </w:rPr>
        <w:t>art.</w:t>
      </w:r>
      <w:r w:rsidRPr="00823680">
        <w:rPr>
          <w:rFonts w:ascii="Verdana" w:hAnsi="Verdana"/>
          <w:b/>
          <w:bCs/>
          <w:color w:val="0071BB"/>
          <w:sz w:val="20"/>
          <w:szCs w:val="20"/>
        </w:rPr>
        <w:t xml:space="preserve"> 13 w </w:t>
      </w:r>
      <w:r w:rsidRPr="00823680">
        <w:rPr>
          <w:rFonts w:ascii="Verdana" w:hAnsi="Verdana"/>
          <w:b/>
          <w:bCs/>
          <w:color w:val="0071BB"/>
          <w:sz w:val="20"/>
          <w:szCs w:val="20"/>
        </w:rPr>
        <w:lastRenderedPageBreak/>
        <w:t xml:space="preserve">związku z </w:t>
      </w:r>
      <w:r w:rsidR="00A5259F">
        <w:rPr>
          <w:rFonts w:ascii="Verdana" w:hAnsi="Verdana"/>
          <w:b/>
          <w:bCs/>
          <w:color w:val="0071BB"/>
          <w:sz w:val="20"/>
          <w:szCs w:val="20"/>
        </w:rPr>
        <w:t>art.</w:t>
      </w:r>
      <w:r w:rsidRPr="00823680">
        <w:rPr>
          <w:rFonts w:ascii="Verdana" w:hAnsi="Verdana"/>
          <w:b/>
          <w:bCs/>
          <w:color w:val="0071BB"/>
          <w:sz w:val="20"/>
          <w:szCs w:val="20"/>
        </w:rPr>
        <w:t xml:space="preserve"> 3</w:t>
      </w:r>
      <w:r w:rsidRPr="00823680">
        <w:rPr>
          <w:rFonts w:ascii="Verdana" w:hAnsi="Verdana"/>
          <w:color w:val="0071BB"/>
          <w:sz w:val="20"/>
          <w:szCs w:val="20"/>
        </w:rPr>
        <w:t xml:space="preserve"> w zakresie skargi dotyczącej braku skutecznych środków odwoławczych przeciwko warunkom wydalenia oraz </w:t>
      </w:r>
      <w:r w:rsidRPr="00823680">
        <w:rPr>
          <w:rFonts w:ascii="Verdana" w:hAnsi="Verdana"/>
          <w:b/>
          <w:bCs/>
          <w:color w:val="0071BB"/>
          <w:sz w:val="20"/>
          <w:szCs w:val="20"/>
        </w:rPr>
        <w:t xml:space="preserve">naruszenie </w:t>
      </w:r>
      <w:r w:rsidR="00160166">
        <w:rPr>
          <w:rFonts w:ascii="Verdana" w:hAnsi="Verdana"/>
          <w:b/>
          <w:bCs/>
          <w:color w:val="0071BB"/>
          <w:sz w:val="20"/>
          <w:szCs w:val="20"/>
        </w:rPr>
        <w:t>art.</w:t>
      </w:r>
      <w:r w:rsidRPr="00823680">
        <w:rPr>
          <w:rFonts w:ascii="Verdana" w:hAnsi="Verdana"/>
          <w:b/>
          <w:bCs/>
          <w:color w:val="0071BB"/>
          <w:sz w:val="20"/>
          <w:szCs w:val="20"/>
        </w:rPr>
        <w:t xml:space="preserve"> 13 w związku z </w:t>
      </w:r>
      <w:r w:rsidR="00160166">
        <w:rPr>
          <w:rFonts w:ascii="Verdana" w:hAnsi="Verdana"/>
          <w:b/>
          <w:bCs/>
          <w:color w:val="0071BB"/>
          <w:sz w:val="20"/>
          <w:szCs w:val="20"/>
        </w:rPr>
        <w:t>art.</w:t>
      </w:r>
      <w:r w:rsidRPr="00823680">
        <w:rPr>
          <w:rFonts w:ascii="Verdana" w:hAnsi="Verdana"/>
          <w:b/>
          <w:bCs/>
          <w:color w:val="0071BB"/>
          <w:sz w:val="20"/>
          <w:szCs w:val="20"/>
        </w:rPr>
        <w:t xml:space="preserve"> 8.</w:t>
      </w:r>
    </w:p>
    <w:p w14:paraId="2878DB2C" w14:textId="07036E5C" w:rsidR="00823680" w:rsidRDefault="00823680" w:rsidP="00A2589A">
      <w:pPr>
        <w:autoSpaceDE w:val="0"/>
        <w:autoSpaceDN w:val="0"/>
        <w:adjustRightInd w:val="0"/>
        <w:spacing w:after="0" w:line="240" w:lineRule="auto"/>
        <w:jc w:val="both"/>
        <w:rPr>
          <w:rFonts w:ascii="Verdana" w:hAnsi="Verdana"/>
          <w:color w:val="0071BB"/>
          <w:sz w:val="20"/>
          <w:szCs w:val="20"/>
        </w:rPr>
      </w:pPr>
    </w:p>
    <w:bookmarkStart w:id="5" w:name="_Hlk192153136"/>
    <w:bookmarkStart w:id="6" w:name="_Hlk42608559"/>
    <w:p w14:paraId="1D246AFE" w14:textId="7FC92D07" w:rsidR="00533D71" w:rsidRPr="00DC6833" w:rsidRDefault="008822CF" w:rsidP="00533D71">
      <w:pPr>
        <w:pStyle w:val="Default"/>
        <w:rPr>
          <w:color w:val="0071BB"/>
          <w:sz w:val="20"/>
          <w:szCs w:val="20"/>
          <w:u w:val="single"/>
        </w:rPr>
      </w:pPr>
      <w:r>
        <w:rPr>
          <w:b/>
          <w:bCs/>
          <w:color w:val="0071BB"/>
          <w:sz w:val="20"/>
          <w:szCs w:val="20"/>
          <w:u w:val="single"/>
        </w:rPr>
        <w:fldChar w:fldCharType="begin"/>
      </w:r>
      <w:r>
        <w:rPr>
          <w:b/>
          <w:bCs/>
          <w:color w:val="0071BB"/>
          <w:sz w:val="20"/>
          <w:szCs w:val="20"/>
          <w:u w:val="single"/>
        </w:rPr>
        <w:instrText>HYPERLINK "https://hudoc.echr.coe.int/eng-press?i=003-6753467-9014046"</w:instrText>
      </w:r>
      <w:r>
        <w:rPr>
          <w:b/>
          <w:bCs/>
          <w:color w:val="0071BB"/>
          <w:sz w:val="20"/>
          <w:szCs w:val="20"/>
          <w:u w:val="single"/>
        </w:rPr>
      </w:r>
      <w:r>
        <w:rPr>
          <w:b/>
          <w:bCs/>
          <w:color w:val="0071BB"/>
          <w:sz w:val="20"/>
          <w:szCs w:val="20"/>
          <w:u w:val="single"/>
        </w:rPr>
        <w:fldChar w:fldCharType="separate"/>
      </w:r>
      <w:r w:rsidR="00533D71" w:rsidRPr="008822CF">
        <w:rPr>
          <w:rStyle w:val="Hipercze"/>
          <w:b/>
          <w:bCs/>
          <w:sz w:val="20"/>
          <w:szCs w:val="20"/>
        </w:rPr>
        <w:t xml:space="preserve">M.K. i Inni </w:t>
      </w:r>
      <w:bookmarkStart w:id="7" w:name="_Hlk192153600"/>
      <w:r w:rsidR="00533D71" w:rsidRPr="008822CF">
        <w:rPr>
          <w:rStyle w:val="Hipercze"/>
          <w:b/>
          <w:bCs/>
          <w:sz w:val="20"/>
          <w:szCs w:val="20"/>
        </w:rPr>
        <w:t xml:space="preserve">przeciwko </w:t>
      </w:r>
      <w:bookmarkEnd w:id="7"/>
      <w:r w:rsidR="00533D71" w:rsidRPr="008822CF">
        <w:rPr>
          <w:rStyle w:val="Hipercze"/>
          <w:b/>
          <w:bCs/>
          <w:sz w:val="20"/>
          <w:szCs w:val="20"/>
        </w:rPr>
        <w:t>Polsce (nr 40503/17, 42902/17 i 43643/17)</w:t>
      </w:r>
      <w:r>
        <w:rPr>
          <w:b/>
          <w:bCs/>
          <w:color w:val="0071BB"/>
          <w:sz w:val="20"/>
          <w:szCs w:val="20"/>
          <w:u w:val="single"/>
        </w:rPr>
        <w:fldChar w:fldCharType="end"/>
      </w:r>
    </w:p>
    <w:p w14:paraId="192946CD" w14:textId="15A31F52" w:rsidR="00533D71" w:rsidRPr="00A2589A" w:rsidRDefault="00533D71" w:rsidP="00533D71">
      <w:pPr>
        <w:pStyle w:val="Default"/>
        <w:rPr>
          <w:color w:val="808080"/>
          <w:sz w:val="20"/>
          <w:szCs w:val="20"/>
        </w:rPr>
      </w:pPr>
      <w:bookmarkStart w:id="8" w:name="_Hlk192153832"/>
      <w:r>
        <w:rPr>
          <w:color w:val="808080"/>
          <w:sz w:val="20"/>
          <w:szCs w:val="20"/>
        </w:rPr>
        <w:t>Wyrok Izby z dnia</w:t>
      </w:r>
      <w:r w:rsidR="006E6AE6" w:rsidRPr="006E6AE6">
        <w:rPr>
          <w:rFonts w:ascii="Calibri" w:hAnsi="Calibri" w:cs="Times New Roman"/>
          <w:color w:val="auto"/>
          <w:sz w:val="22"/>
          <w:szCs w:val="22"/>
          <w:lang w:eastAsia="en-US"/>
        </w:rPr>
        <w:t xml:space="preserve"> </w:t>
      </w:r>
      <w:r w:rsidR="006E6AE6" w:rsidRPr="006E6AE6">
        <w:rPr>
          <w:color w:val="808080"/>
          <w:sz w:val="20"/>
          <w:szCs w:val="20"/>
        </w:rPr>
        <w:t xml:space="preserve">23 lipca </w:t>
      </w:r>
      <w:bookmarkEnd w:id="8"/>
      <w:r w:rsidR="006E6AE6" w:rsidRPr="006E6AE6">
        <w:rPr>
          <w:color w:val="808080"/>
          <w:sz w:val="20"/>
          <w:szCs w:val="20"/>
        </w:rPr>
        <w:t xml:space="preserve">2020 </w:t>
      </w:r>
      <w:r w:rsidR="00E2019D">
        <w:rPr>
          <w:color w:val="808080"/>
          <w:sz w:val="20"/>
          <w:szCs w:val="20"/>
        </w:rPr>
        <w:t>r</w:t>
      </w:r>
      <w:r w:rsidR="009C75D5">
        <w:rPr>
          <w:color w:val="808080"/>
          <w:sz w:val="20"/>
          <w:szCs w:val="20"/>
        </w:rPr>
        <w:t>oku</w:t>
      </w:r>
    </w:p>
    <w:p w14:paraId="61D4DB17" w14:textId="3AE361B8" w:rsidR="00533D71" w:rsidRPr="00A2589A" w:rsidRDefault="006E6AE6" w:rsidP="00AB25F4">
      <w:pPr>
        <w:pStyle w:val="Default"/>
        <w:jc w:val="both"/>
        <w:rPr>
          <w:sz w:val="20"/>
          <w:szCs w:val="20"/>
        </w:rPr>
      </w:pPr>
      <w:r w:rsidRPr="006E6AE6">
        <w:rPr>
          <w:sz w:val="20"/>
          <w:szCs w:val="20"/>
        </w:rPr>
        <w:t>Sprawa dotyczyła wielokrotnej odmowy</w:t>
      </w:r>
      <w:r w:rsidR="00F3269D">
        <w:rPr>
          <w:sz w:val="20"/>
          <w:szCs w:val="20"/>
        </w:rPr>
        <w:t xml:space="preserve"> -</w:t>
      </w:r>
      <w:r w:rsidRPr="006E6AE6">
        <w:rPr>
          <w:sz w:val="20"/>
          <w:szCs w:val="20"/>
        </w:rPr>
        <w:t xml:space="preserve"> przez funkcjonariuszy Straży Granicznej</w:t>
      </w:r>
      <w:r w:rsidR="00F3269D">
        <w:rPr>
          <w:sz w:val="20"/>
          <w:szCs w:val="20"/>
        </w:rPr>
        <w:t xml:space="preserve"> stacjonujących </w:t>
      </w:r>
      <w:r w:rsidRPr="006E6AE6">
        <w:rPr>
          <w:sz w:val="20"/>
          <w:szCs w:val="20"/>
        </w:rPr>
        <w:t xml:space="preserve"> </w:t>
      </w:r>
      <w:r w:rsidR="00F3269D" w:rsidRPr="00F3269D">
        <w:rPr>
          <w:sz w:val="20"/>
          <w:szCs w:val="20"/>
        </w:rPr>
        <w:t>na granicy z Białorusią</w:t>
      </w:r>
      <w:r w:rsidR="00F3269D">
        <w:rPr>
          <w:sz w:val="20"/>
          <w:szCs w:val="20"/>
        </w:rPr>
        <w:t xml:space="preserve"> -</w:t>
      </w:r>
      <w:r w:rsidR="00F3269D" w:rsidRPr="00F3269D">
        <w:rPr>
          <w:sz w:val="20"/>
          <w:szCs w:val="20"/>
        </w:rPr>
        <w:t xml:space="preserve"> wjazdu na terytorium Polski </w:t>
      </w:r>
      <w:r w:rsidR="00F3269D">
        <w:rPr>
          <w:sz w:val="20"/>
          <w:szCs w:val="20"/>
        </w:rPr>
        <w:t>przez</w:t>
      </w:r>
      <w:r w:rsidRPr="006E6AE6">
        <w:rPr>
          <w:sz w:val="20"/>
          <w:szCs w:val="20"/>
        </w:rPr>
        <w:t xml:space="preserve"> skarżących, pochodzących z Czeczenii, którzy twierdzili, że wielokrotnie, bezskutecznie usiłowali złożyć wnioski o ochronę międzynarodową na granicy. Skarżący zarzucili w szczególności, że odmówiono im dostępu do procedur azylowych oraz że zostali narażeni na ryzyko traktowania sprzecznego z Konwencją</w:t>
      </w:r>
      <w:r>
        <w:rPr>
          <w:sz w:val="20"/>
          <w:szCs w:val="20"/>
        </w:rPr>
        <w:t xml:space="preserve"> </w:t>
      </w:r>
      <w:r w:rsidRPr="006E6AE6">
        <w:rPr>
          <w:sz w:val="20"/>
          <w:szCs w:val="20"/>
        </w:rPr>
        <w:t xml:space="preserve">w Czeczenii. </w:t>
      </w:r>
      <w:r w:rsidR="00B430F4" w:rsidRPr="00B430F4">
        <w:rPr>
          <w:sz w:val="20"/>
          <w:szCs w:val="20"/>
        </w:rPr>
        <w:t xml:space="preserve">Podnosili również, że zostali poddani zbiorowemu wydaleniu oraz że nie mieli dostępu do skutecznego środka prawnego w polskim </w:t>
      </w:r>
      <w:r w:rsidR="00F3269D">
        <w:rPr>
          <w:sz w:val="20"/>
          <w:szCs w:val="20"/>
        </w:rPr>
        <w:t>prawie</w:t>
      </w:r>
      <w:r w:rsidR="00B430F4" w:rsidRPr="00B430F4">
        <w:rPr>
          <w:sz w:val="20"/>
          <w:szCs w:val="20"/>
        </w:rPr>
        <w:t>, za pomocą którego mogliby złożyć odwołanie.</w:t>
      </w:r>
    </w:p>
    <w:p w14:paraId="59B60EAD" w14:textId="5AC53837" w:rsidR="00B430F4" w:rsidRPr="00B430F4" w:rsidRDefault="00B430F4" w:rsidP="009B1912">
      <w:pPr>
        <w:pBdr>
          <w:bottom w:val="single" w:sz="12" w:space="7" w:color="auto"/>
        </w:pBdr>
        <w:autoSpaceDE w:val="0"/>
        <w:autoSpaceDN w:val="0"/>
        <w:adjustRightInd w:val="0"/>
        <w:spacing w:after="0" w:line="240" w:lineRule="auto"/>
        <w:jc w:val="both"/>
        <w:rPr>
          <w:rFonts w:ascii="Verdana" w:hAnsi="Verdana"/>
          <w:color w:val="0071BB"/>
          <w:sz w:val="20"/>
          <w:szCs w:val="20"/>
        </w:rPr>
      </w:pPr>
      <w:r w:rsidRPr="00B430F4">
        <w:rPr>
          <w:rFonts w:ascii="Verdana" w:hAnsi="Verdana"/>
          <w:color w:val="0071BB"/>
          <w:sz w:val="20"/>
          <w:szCs w:val="20"/>
        </w:rPr>
        <w:t xml:space="preserve">Trybunał stwierdził naruszenie </w:t>
      </w:r>
      <w:r w:rsidRPr="00B430F4">
        <w:rPr>
          <w:rFonts w:ascii="Verdana" w:hAnsi="Verdana"/>
          <w:b/>
          <w:bCs/>
          <w:color w:val="0071BB"/>
          <w:sz w:val="20"/>
          <w:szCs w:val="20"/>
        </w:rPr>
        <w:t>art. 4 Protokołu nr 4 do Konwencji</w:t>
      </w:r>
      <w:r w:rsidRPr="00B430F4">
        <w:rPr>
          <w:rFonts w:ascii="Verdana" w:hAnsi="Verdana"/>
          <w:color w:val="0071BB"/>
          <w:sz w:val="20"/>
          <w:szCs w:val="20"/>
        </w:rPr>
        <w:t>, uznając, że decyzje o odmowie wjazdu skarżącym do Polski zostały podjęte bez należytego uwzględnienia ich indywidualnej sytuacji i stanowiły element szerszej polityki polegającej na odmawianiu przyjmowania wniosków o azyl od osób zgłaszających się na granicy polsko-białoruskiej oraz ich zawracaniu na terytorium Białorusi.</w:t>
      </w:r>
    </w:p>
    <w:p w14:paraId="385DF99C" w14:textId="4028923B" w:rsidR="00B430F4" w:rsidRPr="00B430F4" w:rsidRDefault="00B430F4" w:rsidP="009B1912">
      <w:pPr>
        <w:pBdr>
          <w:bottom w:val="single" w:sz="12" w:space="7" w:color="auto"/>
        </w:pBdr>
        <w:autoSpaceDE w:val="0"/>
        <w:autoSpaceDN w:val="0"/>
        <w:adjustRightInd w:val="0"/>
        <w:spacing w:after="0" w:line="240" w:lineRule="auto"/>
        <w:jc w:val="both"/>
        <w:rPr>
          <w:rFonts w:ascii="Verdana" w:hAnsi="Verdana"/>
          <w:color w:val="0071BB"/>
          <w:sz w:val="20"/>
          <w:szCs w:val="20"/>
        </w:rPr>
      </w:pPr>
      <w:r w:rsidRPr="00B430F4">
        <w:rPr>
          <w:rFonts w:ascii="Verdana" w:hAnsi="Verdana"/>
          <w:color w:val="0071BB"/>
          <w:sz w:val="20"/>
          <w:szCs w:val="20"/>
        </w:rPr>
        <w:t xml:space="preserve">Trybunał </w:t>
      </w:r>
      <w:bookmarkStart w:id="9" w:name="_Hlk192153693"/>
      <w:r w:rsidRPr="00B430F4">
        <w:rPr>
          <w:rFonts w:ascii="Verdana" w:hAnsi="Verdana"/>
          <w:color w:val="0071BB"/>
          <w:sz w:val="20"/>
          <w:szCs w:val="20"/>
        </w:rPr>
        <w:t xml:space="preserve">uznał również </w:t>
      </w:r>
      <w:bookmarkEnd w:id="9"/>
      <w:r w:rsidRPr="00B430F4">
        <w:rPr>
          <w:rFonts w:ascii="Verdana" w:hAnsi="Verdana"/>
          <w:color w:val="0071BB"/>
          <w:sz w:val="20"/>
          <w:szCs w:val="20"/>
        </w:rPr>
        <w:t xml:space="preserve">naruszenie </w:t>
      </w:r>
      <w:r w:rsidRPr="00B430F4">
        <w:rPr>
          <w:rFonts w:ascii="Verdana" w:hAnsi="Verdana"/>
          <w:b/>
          <w:bCs/>
          <w:color w:val="0071BB"/>
          <w:sz w:val="20"/>
          <w:szCs w:val="20"/>
        </w:rPr>
        <w:t>art. 3 Konwencji</w:t>
      </w:r>
      <w:r w:rsidRPr="00B430F4">
        <w:rPr>
          <w:rFonts w:ascii="Verdana" w:hAnsi="Verdana"/>
          <w:color w:val="0071BB"/>
          <w:sz w:val="20"/>
          <w:szCs w:val="20"/>
        </w:rPr>
        <w:t xml:space="preserve"> (zakaz nieludzkiego lub poniżającego traktowania) z uwagi na odmowę dostępu skarżących do procedury azylowej oraz ich wydalenie </w:t>
      </w:r>
      <w:r w:rsidR="00814386">
        <w:rPr>
          <w:rFonts w:ascii="Verdana" w:hAnsi="Verdana"/>
          <w:color w:val="0071BB"/>
          <w:sz w:val="20"/>
          <w:szCs w:val="20"/>
        </w:rPr>
        <w:t>na</w:t>
      </w:r>
      <w:r w:rsidRPr="00B430F4">
        <w:rPr>
          <w:rFonts w:ascii="Verdana" w:hAnsi="Verdana"/>
          <w:color w:val="0071BB"/>
          <w:sz w:val="20"/>
          <w:szCs w:val="20"/>
        </w:rPr>
        <w:t xml:space="preserve"> Białor</w:t>
      </w:r>
      <w:r w:rsidR="00F3269D">
        <w:rPr>
          <w:rFonts w:ascii="Verdana" w:hAnsi="Verdana"/>
          <w:color w:val="0071BB"/>
          <w:sz w:val="20"/>
          <w:szCs w:val="20"/>
        </w:rPr>
        <w:t>u</w:t>
      </w:r>
      <w:r w:rsidR="00814386">
        <w:rPr>
          <w:rFonts w:ascii="Verdana" w:hAnsi="Verdana"/>
          <w:color w:val="0071BB"/>
          <w:sz w:val="20"/>
          <w:szCs w:val="20"/>
        </w:rPr>
        <w:t>ś</w:t>
      </w:r>
      <w:r w:rsidRPr="00B430F4">
        <w:rPr>
          <w:rFonts w:ascii="Verdana" w:hAnsi="Verdana"/>
          <w:color w:val="0071BB"/>
          <w:sz w:val="20"/>
          <w:szCs w:val="20"/>
        </w:rPr>
        <w:t xml:space="preserve">. Ponadto stwierdził naruszenie </w:t>
      </w:r>
      <w:r w:rsidRPr="00B430F4">
        <w:rPr>
          <w:rFonts w:ascii="Verdana" w:hAnsi="Verdana"/>
          <w:b/>
          <w:bCs/>
          <w:color w:val="0071BB"/>
          <w:sz w:val="20"/>
          <w:szCs w:val="20"/>
        </w:rPr>
        <w:t>art. 13 Konwencji</w:t>
      </w:r>
      <w:r w:rsidRPr="00B430F4">
        <w:rPr>
          <w:rFonts w:ascii="Verdana" w:hAnsi="Verdana"/>
          <w:color w:val="0071BB"/>
          <w:sz w:val="20"/>
          <w:szCs w:val="20"/>
        </w:rPr>
        <w:t xml:space="preserve"> (prawo do skutecznego środka odwoławczego) w związku z </w:t>
      </w:r>
      <w:r w:rsidRPr="00B430F4">
        <w:rPr>
          <w:rFonts w:ascii="Verdana" w:hAnsi="Verdana"/>
          <w:b/>
          <w:bCs/>
          <w:color w:val="0071BB"/>
          <w:sz w:val="20"/>
          <w:szCs w:val="20"/>
        </w:rPr>
        <w:t>art. 3 Konwencji</w:t>
      </w:r>
      <w:r w:rsidRPr="00B430F4">
        <w:rPr>
          <w:rFonts w:ascii="Verdana" w:hAnsi="Verdana"/>
          <w:color w:val="0071BB"/>
          <w:sz w:val="20"/>
          <w:szCs w:val="20"/>
        </w:rPr>
        <w:t xml:space="preserve"> oraz </w:t>
      </w:r>
      <w:r w:rsidRPr="00B430F4">
        <w:rPr>
          <w:rFonts w:ascii="Verdana" w:hAnsi="Verdana"/>
          <w:b/>
          <w:bCs/>
          <w:color w:val="0071BB"/>
          <w:sz w:val="20"/>
          <w:szCs w:val="20"/>
        </w:rPr>
        <w:t>art. 4 Protokołu nr 4</w:t>
      </w:r>
      <w:r w:rsidRPr="00B430F4">
        <w:rPr>
          <w:rFonts w:ascii="Verdana" w:hAnsi="Verdana"/>
          <w:color w:val="0071BB"/>
          <w:sz w:val="20"/>
          <w:szCs w:val="20"/>
        </w:rPr>
        <w:t>, wskazując na brak środka prawnego o automatycznym skutku zawieszającym wykonanie decyzji.</w:t>
      </w:r>
    </w:p>
    <w:p w14:paraId="44444C78" w14:textId="05A462E4" w:rsidR="005F4B43" w:rsidRDefault="00B430F4" w:rsidP="009B1912">
      <w:pPr>
        <w:pBdr>
          <w:bottom w:val="single" w:sz="12" w:space="7" w:color="auto"/>
        </w:pBdr>
        <w:autoSpaceDE w:val="0"/>
        <w:autoSpaceDN w:val="0"/>
        <w:adjustRightInd w:val="0"/>
        <w:spacing w:after="0" w:line="240" w:lineRule="auto"/>
        <w:jc w:val="both"/>
        <w:rPr>
          <w:rFonts w:ascii="Verdana" w:hAnsi="Verdana"/>
          <w:color w:val="0071BB"/>
          <w:sz w:val="20"/>
          <w:szCs w:val="20"/>
        </w:rPr>
      </w:pPr>
      <w:r w:rsidRPr="00B430F4">
        <w:rPr>
          <w:rFonts w:ascii="Verdana" w:hAnsi="Verdana"/>
          <w:color w:val="0071BB"/>
          <w:sz w:val="20"/>
          <w:szCs w:val="20"/>
        </w:rPr>
        <w:t xml:space="preserve">Wreszcie Trybunał uznał, że Polska </w:t>
      </w:r>
      <w:r w:rsidRPr="00B430F4">
        <w:rPr>
          <w:rFonts w:ascii="Verdana" w:hAnsi="Verdana"/>
          <w:b/>
          <w:bCs/>
          <w:color w:val="0071BB"/>
          <w:sz w:val="20"/>
          <w:szCs w:val="20"/>
        </w:rPr>
        <w:t xml:space="preserve">nie wywiązała się ze </w:t>
      </w:r>
      <w:r w:rsidRPr="00B430F4">
        <w:rPr>
          <w:rFonts w:ascii="Verdana" w:hAnsi="Verdana"/>
          <w:color w:val="0071BB"/>
          <w:sz w:val="20"/>
          <w:szCs w:val="20"/>
        </w:rPr>
        <w:t>swoich</w:t>
      </w:r>
      <w:r w:rsidRPr="00B430F4">
        <w:rPr>
          <w:rFonts w:ascii="Verdana" w:hAnsi="Verdana"/>
          <w:b/>
          <w:bCs/>
          <w:color w:val="0071BB"/>
          <w:sz w:val="20"/>
          <w:szCs w:val="20"/>
        </w:rPr>
        <w:t xml:space="preserve"> zobowiązań wynikających z art. 34 </w:t>
      </w:r>
      <w:r w:rsidRPr="00B430F4">
        <w:rPr>
          <w:rFonts w:ascii="Verdana" w:hAnsi="Verdana"/>
          <w:color w:val="0071BB"/>
          <w:sz w:val="20"/>
          <w:szCs w:val="20"/>
        </w:rPr>
        <w:t>Konwencji</w:t>
      </w:r>
      <w:r w:rsidRPr="00B430F4">
        <w:rPr>
          <w:rFonts w:ascii="Verdana" w:hAnsi="Verdana"/>
          <w:b/>
          <w:bCs/>
          <w:color w:val="0071BB"/>
          <w:sz w:val="20"/>
          <w:szCs w:val="20"/>
        </w:rPr>
        <w:t xml:space="preserve"> </w:t>
      </w:r>
      <w:r w:rsidRPr="00B430F4">
        <w:rPr>
          <w:rFonts w:ascii="Verdana" w:hAnsi="Verdana"/>
          <w:color w:val="0071BB"/>
          <w:sz w:val="20"/>
          <w:szCs w:val="20"/>
        </w:rPr>
        <w:t>(prawo do skargi indywidualnej), ponieważ nie zastosowała się do środków tymczasowych wskazanych przez Trybunał albo uczyniła to z istotnym opóźnieniem.</w:t>
      </w:r>
    </w:p>
    <w:p w14:paraId="2A6C7F64" w14:textId="77777777" w:rsidR="005E3DE9" w:rsidRPr="00B430F4" w:rsidRDefault="005E3DE9" w:rsidP="009B1912">
      <w:pPr>
        <w:pBdr>
          <w:bottom w:val="single" w:sz="12" w:space="7" w:color="auto"/>
        </w:pBdr>
        <w:autoSpaceDE w:val="0"/>
        <w:autoSpaceDN w:val="0"/>
        <w:adjustRightInd w:val="0"/>
        <w:spacing w:after="0" w:line="240" w:lineRule="auto"/>
        <w:jc w:val="both"/>
        <w:rPr>
          <w:rFonts w:ascii="Verdana" w:hAnsi="Verdana"/>
          <w:color w:val="0071BB"/>
          <w:sz w:val="20"/>
          <w:szCs w:val="20"/>
        </w:rPr>
      </w:pPr>
    </w:p>
    <w:bookmarkEnd w:id="5"/>
    <w:p w14:paraId="070D4678" w14:textId="53B2C054" w:rsidR="002A4B3D" w:rsidRDefault="0023062A" w:rsidP="009B1912">
      <w:pPr>
        <w:pBdr>
          <w:bottom w:val="single" w:sz="12" w:space="7" w:color="auto"/>
        </w:pBdr>
        <w:autoSpaceDE w:val="0"/>
        <w:autoSpaceDN w:val="0"/>
        <w:adjustRightInd w:val="0"/>
        <w:spacing w:after="0" w:line="240" w:lineRule="auto"/>
        <w:jc w:val="both"/>
        <w:rPr>
          <w:rFonts w:ascii="Verdana" w:hAnsi="Verdana"/>
          <w:color w:val="404040"/>
          <w:sz w:val="20"/>
          <w:szCs w:val="20"/>
        </w:rPr>
      </w:pPr>
      <w:r w:rsidRPr="005E3DE9">
        <w:rPr>
          <w:rFonts w:ascii="Verdana" w:hAnsi="Verdana"/>
          <w:i/>
          <w:iCs/>
          <w:color w:val="404040"/>
          <w:sz w:val="20"/>
          <w:szCs w:val="20"/>
        </w:rPr>
        <w:t>Zobacz także:</w:t>
      </w:r>
      <w:r w:rsidRPr="005E3DE9">
        <w:rPr>
          <w:rFonts w:ascii="Verdana" w:hAnsi="Verdana"/>
          <w:color w:val="404040"/>
          <w:sz w:val="20"/>
          <w:szCs w:val="20"/>
        </w:rPr>
        <w:t xml:space="preserve"> </w:t>
      </w:r>
      <w:hyperlink r:id="rId21" w:history="1">
        <w:r w:rsidRPr="003E4EF1">
          <w:rPr>
            <w:rStyle w:val="Hipercze"/>
            <w:rFonts w:ascii="Verdana" w:hAnsi="Verdana"/>
            <w:b/>
            <w:bCs/>
            <w:sz w:val="20"/>
            <w:szCs w:val="20"/>
          </w:rPr>
          <w:t>D.A. i Inni przeciwko Polsce (nr 51246/17)</w:t>
        </w:r>
      </w:hyperlink>
      <w:r w:rsidRPr="005E3DE9">
        <w:rPr>
          <w:rFonts w:ascii="Verdana" w:hAnsi="Verdana"/>
          <w:b/>
          <w:bCs/>
          <w:color w:val="404040"/>
          <w:sz w:val="20"/>
          <w:szCs w:val="20"/>
        </w:rPr>
        <w:t>,</w:t>
      </w:r>
      <w:r w:rsidRPr="005E3DE9">
        <w:rPr>
          <w:rFonts w:ascii="Verdana" w:hAnsi="Verdana"/>
          <w:color w:val="404040"/>
          <w:sz w:val="20"/>
          <w:szCs w:val="20"/>
        </w:rPr>
        <w:t xml:space="preserve"> wyrok Izby z 8 lipca 2021</w:t>
      </w:r>
      <w:r w:rsidR="005E3DE9">
        <w:rPr>
          <w:rFonts w:ascii="Verdana" w:hAnsi="Verdana"/>
          <w:color w:val="404040"/>
          <w:sz w:val="20"/>
          <w:szCs w:val="20"/>
        </w:rPr>
        <w:t xml:space="preserve"> roku; </w:t>
      </w:r>
      <w:hyperlink r:id="rId22" w:history="1">
        <w:r w:rsidRPr="003E4EF1">
          <w:rPr>
            <w:rStyle w:val="Hipercze"/>
            <w:rFonts w:ascii="Verdana" w:hAnsi="Verdana"/>
            <w:b/>
            <w:bCs/>
            <w:sz w:val="20"/>
            <w:szCs w:val="20"/>
          </w:rPr>
          <w:t>A.B. i Inni przeciwko Polsce (nr 42907/17)</w:t>
        </w:r>
      </w:hyperlink>
      <w:r w:rsidRPr="005E3DE9">
        <w:rPr>
          <w:rFonts w:ascii="Verdana" w:hAnsi="Verdana"/>
          <w:color w:val="404040"/>
          <w:sz w:val="20"/>
          <w:szCs w:val="20"/>
        </w:rPr>
        <w:t>, wyrok Izby z 30 czerwca 2022 r</w:t>
      </w:r>
      <w:r w:rsidR="005E3DE9">
        <w:rPr>
          <w:rFonts w:ascii="Verdana" w:hAnsi="Verdana"/>
          <w:color w:val="404040"/>
          <w:sz w:val="20"/>
          <w:szCs w:val="20"/>
        </w:rPr>
        <w:t xml:space="preserve">oku; </w:t>
      </w:r>
      <w:hyperlink r:id="rId23" w:history="1">
        <w:r w:rsidRPr="003E4EF1">
          <w:rPr>
            <w:rStyle w:val="Hipercze"/>
            <w:rFonts w:ascii="Verdana" w:hAnsi="Verdana"/>
            <w:b/>
            <w:bCs/>
            <w:sz w:val="20"/>
            <w:szCs w:val="20"/>
          </w:rPr>
          <w:t>A.I. i Inni przeciwko Polsce (nr 39028/17)</w:t>
        </w:r>
      </w:hyperlink>
      <w:r w:rsidRPr="005E3DE9">
        <w:rPr>
          <w:rFonts w:ascii="Verdana" w:hAnsi="Verdana"/>
          <w:color w:val="404040"/>
          <w:sz w:val="20"/>
          <w:szCs w:val="20"/>
        </w:rPr>
        <w:t>, wyrok Izby z 30 czerwca 2022 r</w:t>
      </w:r>
      <w:r w:rsidR="005E3DE9">
        <w:rPr>
          <w:rFonts w:ascii="Verdana" w:hAnsi="Verdana"/>
          <w:color w:val="404040"/>
          <w:sz w:val="20"/>
          <w:szCs w:val="20"/>
        </w:rPr>
        <w:t xml:space="preserve">oku;     </w:t>
      </w:r>
      <w:hyperlink r:id="rId24" w:history="1">
        <w:r w:rsidRPr="003E4EF1">
          <w:rPr>
            <w:rStyle w:val="Hipercze"/>
            <w:rFonts w:ascii="Verdana" w:hAnsi="Verdana"/>
            <w:b/>
            <w:bCs/>
            <w:sz w:val="20"/>
            <w:szCs w:val="20"/>
          </w:rPr>
          <w:t>T.Z. i Inni przeciwko Polsce (nr 41764/17)</w:t>
        </w:r>
      </w:hyperlink>
      <w:r w:rsidRPr="005E3DE9">
        <w:rPr>
          <w:rFonts w:ascii="Verdana" w:hAnsi="Verdana"/>
          <w:color w:val="404040"/>
          <w:sz w:val="20"/>
          <w:szCs w:val="20"/>
        </w:rPr>
        <w:t>, wyrok Komitetu z 13 października 2022 r</w:t>
      </w:r>
      <w:r w:rsidR="005E3DE9">
        <w:rPr>
          <w:rFonts w:ascii="Verdana" w:hAnsi="Verdana"/>
          <w:color w:val="404040"/>
          <w:sz w:val="20"/>
          <w:szCs w:val="20"/>
        </w:rPr>
        <w:t>oku.</w:t>
      </w:r>
    </w:p>
    <w:p w14:paraId="377328F9" w14:textId="77777777" w:rsidR="009B1912" w:rsidRDefault="009B1912" w:rsidP="009B1912">
      <w:pPr>
        <w:pBdr>
          <w:bottom w:val="single" w:sz="12" w:space="7" w:color="auto"/>
        </w:pBdr>
        <w:autoSpaceDE w:val="0"/>
        <w:autoSpaceDN w:val="0"/>
        <w:adjustRightInd w:val="0"/>
        <w:spacing w:after="0" w:line="240" w:lineRule="auto"/>
        <w:jc w:val="both"/>
        <w:rPr>
          <w:rFonts w:ascii="Verdana" w:hAnsi="Verdana"/>
          <w:color w:val="404040"/>
          <w:sz w:val="20"/>
          <w:szCs w:val="20"/>
        </w:rPr>
      </w:pPr>
    </w:p>
    <w:p w14:paraId="2E39302D" w14:textId="54A23DDB" w:rsidR="009B1912" w:rsidRPr="009B1912" w:rsidRDefault="003538B6" w:rsidP="009B1912">
      <w:pPr>
        <w:pBdr>
          <w:bottom w:val="single" w:sz="12" w:space="7" w:color="auto"/>
        </w:pBdr>
        <w:autoSpaceDE w:val="0"/>
        <w:autoSpaceDN w:val="0"/>
        <w:adjustRightInd w:val="0"/>
        <w:spacing w:after="0" w:line="240" w:lineRule="auto"/>
        <w:rPr>
          <w:rFonts w:ascii="Verdana" w:hAnsi="Verdana"/>
          <w:color w:val="404040"/>
          <w:sz w:val="20"/>
          <w:szCs w:val="20"/>
        </w:rPr>
      </w:pPr>
      <w:hyperlink r:id="rId25" w:history="1">
        <w:proofErr w:type="spellStart"/>
        <w:r w:rsidRPr="003E4EF1">
          <w:rPr>
            <w:rStyle w:val="Hipercze"/>
            <w:rFonts w:ascii="Verdana" w:hAnsi="Verdana"/>
            <w:b/>
            <w:bCs/>
            <w:sz w:val="20"/>
            <w:szCs w:val="20"/>
          </w:rPr>
          <w:t>Shahzad</w:t>
        </w:r>
        <w:proofErr w:type="spellEnd"/>
        <w:r w:rsidRPr="003E4EF1">
          <w:rPr>
            <w:rStyle w:val="Hipercze"/>
            <w:rFonts w:ascii="Verdana" w:hAnsi="Verdana"/>
            <w:b/>
            <w:bCs/>
            <w:sz w:val="20"/>
            <w:szCs w:val="20"/>
          </w:rPr>
          <w:t xml:space="preserve"> przeciwko Węgrom</w:t>
        </w:r>
      </w:hyperlink>
      <w:r w:rsidR="009B1912" w:rsidRPr="009B1912">
        <w:rPr>
          <w:rFonts w:ascii="Verdana" w:hAnsi="Verdana"/>
          <w:color w:val="404040"/>
          <w:sz w:val="20"/>
          <w:szCs w:val="20"/>
          <w:u w:val="single"/>
        </w:rPr>
        <w:br/>
      </w:r>
      <w:r w:rsidRPr="003538B6">
        <w:rPr>
          <w:rFonts w:ascii="Verdana" w:hAnsi="Verdana"/>
          <w:color w:val="808080"/>
          <w:sz w:val="20"/>
          <w:szCs w:val="20"/>
        </w:rPr>
        <w:t>Wyrok Izby z dnia</w:t>
      </w:r>
      <w:r w:rsidRPr="003538B6">
        <w:rPr>
          <w:rFonts w:ascii="Verdana" w:hAnsi="Verdana"/>
        </w:rPr>
        <w:t xml:space="preserve"> </w:t>
      </w:r>
      <w:r>
        <w:rPr>
          <w:rFonts w:ascii="Verdana" w:hAnsi="Verdana"/>
          <w:color w:val="808080"/>
          <w:sz w:val="20"/>
          <w:szCs w:val="20"/>
        </w:rPr>
        <w:t>8</w:t>
      </w:r>
      <w:r w:rsidRPr="003538B6">
        <w:rPr>
          <w:rFonts w:ascii="Verdana" w:hAnsi="Verdana"/>
          <w:color w:val="808080"/>
          <w:sz w:val="20"/>
          <w:szCs w:val="20"/>
        </w:rPr>
        <w:t xml:space="preserve"> lipca</w:t>
      </w:r>
      <w:r>
        <w:rPr>
          <w:rFonts w:ascii="Verdana" w:hAnsi="Verdana"/>
          <w:color w:val="808080"/>
          <w:sz w:val="20"/>
          <w:szCs w:val="20"/>
        </w:rPr>
        <w:t xml:space="preserve"> 2021</w:t>
      </w:r>
      <w:r w:rsidR="00E2019D" w:rsidRPr="00E2019D">
        <w:rPr>
          <w:rFonts w:ascii="Verdana" w:hAnsi="Verdana"/>
          <w:color w:val="808080"/>
          <w:sz w:val="20"/>
          <w:szCs w:val="20"/>
        </w:rPr>
        <w:t xml:space="preserve"> r</w:t>
      </w:r>
      <w:r w:rsidR="009C75D5">
        <w:rPr>
          <w:rFonts w:ascii="Verdana" w:hAnsi="Verdana"/>
          <w:color w:val="808080"/>
          <w:sz w:val="20"/>
          <w:szCs w:val="20"/>
        </w:rPr>
        <w:t>oku</w:t>
      </w:r>
    </w:p>
    <w:p w14:paraId="331F710F" w14:textId="54F8FBB7" w:rsidR="003538B6" w:rsidRDefault="003375B9" w:rsidP="009B1912">
      <w:pPr>
        <w:pBdr>
          <w:bottom w:val="single" w:sz="12" w:space="7" w:color="auto"/>
        </w:pBdr>
        <w:autoSpaceDE w:val="0"/>
        <w:autoSpaceDN w:val="0"/>
        <w:adjustRightInd w:val="0"/>
        <w:spacing w:after="0" w:line="240" w:lineRule="auto"/>
        <w:jc w:val="both"/>
        <w:rPr>
          <w:rFonts w:ascii="Verdana" w:hAnsi="Verdana"/>
          <w:color w:val="404040"/>
          <w:sz w:val="20"/>
          <w:szCs w:val="20"/>
        </w:rPr>
      </w:pPr>
      <w:r w:rsidRPr="003375B9">
        <w:rPr>
          <w:rFonts w:ascii="Verdana" w:hAnsi="Verdana"/>
          <w:color w:val="404040"/>
          <w:sz w:val="20"/>
          <w:szCs w:val="20"/>
        </w:rPr>
        <w:t xml:space="preserve">Sprawa dotyczyła skarżącego, obywatela Pakistanu, który wjechał na terytorium Węgier z Serbii wraz z grupą innych osób, po czym został natychmiast wydalony przez policję. Twierdził on, że wydalenie miało charakter zbiorowy oraz że nie miał dostępu do skutecznego środka </w:t>
      </w:r>
      <w:r w:rsidR="004B7074">
        <w:rPr>
          <w:rFonts w:ascii="Verdana" w:hAnsi="Verdana"/>
          <w:color w:val="404040"/>
          <w:sz w:val="20"/>
          <w:szCs w:val="20"/>
        </w:rPr>
        <w:t>odwoławczego.</w:t>
      </w:r>
    </w:p>
    <w:p w14:paraId="48FACA58" w14:textId="51477787" w:rsidR="003538B6" w:rsidRPr="003538B6" w:rsidRDefault="003538B6" w:rsidP="003538B6">
      <w:pPr>
        <w:pBdr>
          <w:bottom w:val="single" w:sz="12" w:space="7" w:color="auto"/>
        </w:pBdr>
        <w:autoSpaceDE w:val="0"/>
        <w:autoSpaceDN w:val="0"/>
        <w:adjustRightInd w:val="0"/>
        <w:spacing w:after="0" w:line="240" w:lineRule="auto"/>
        <w:jc w:val="both"/>
        <w:rPr>
          <w:rFonts w:ascii="Verdana" w:hAnsi="Verdana"/>
          <w:color w:val="0071BB"/>
          <w:sz w:val="20"/>
          <w:szCs w:val="20"/>
        </w:rPr>
      </w:pPr>
      <w:r w:rsidRPr="009B1912">
        <w:rPr>
          <w:rFonts w:ascii="Verdana" w:hAnsi="Verdana"/>
          <w:color w:val="0071BB"/>
          <w:sz w:val="20"/>
          <w:szCs w:val="20"/>
        </w:rPr>
        <w:t xml:space="preserve">Trybunał stwierdził naruszenie </w:t>
      </w:r>
      <w:r w:rsidRPr="009B1912">
        <w:rPr>
          <w:rFonts w:ascii="Verdana" w:hAnsi="Verdana"/>
          <w:b/>
          <w:bCs/>
          <w:color w:val="0071BB"/>
          <w:sz w:val="20"/>
          <w:szCs w:val="20"/>
        </w:rPr>
        <w:t>art. 4 Protokołu nr 4 do Konwencji</w:t>
      </w:r>
      <w:r w:rsidRPr="009B1912">
        <w:rPr>
          <w:rFonts w:ascii="Verdana" w:hAnsi="Verdana"/>
          <w:color w:val="0071BB"/>
          <w:sz w:val="20"/>
          <w:szCs w:val="20"/>
        </w:rPr>
        <w:t xml:space="preserve">, uznając, że skarżący został poddany „zbiorowemu” wydaleniu, ponieważ władze nie </w:t>
      </w:r>
      <w:r>
        <w:rPr>
          <w:rFonts w:ascii="Verdana" w:hAnsi="Verdana"/>
          <w:color w:val="0071BB"/>
          <w:sz w:val="20"/>
          <w:szCs w:val="20"/>
        </w:rPr>
        <w:t>rozpatrzyły</w:t>
      </w:r>
      <w:r w:rsidRPr="009B1912">
        <w:rPr>
          <w:rFonts w:ascii="Verdana" w:hAnsi="Verdana"/>
          <w:color w:val="0071BB"/>
          <w:sz w:val="20"/>
          <w:szCs w:val="20"/>
        </w:rPr>
        <w:t xml:space="preserve"> jego indywidualnej sytuacji, nie zapewniły mu rzeczywistej i skutecznej możliwości legalnego wjazdu na terytorium Węgier, a jego wydalenie nie było wynikiem jego własnego zachowania.</w:t>
      </w:r>
      <w:r w:rsidR="000871C7">
        <w:rPr>
          <w:rFonts w:ascii="Verdana" w:hAnsi="Verdana"/>
          <w:color w:val="0071BB"/>
          <w:sz w:val="20"/>
          <w:szCs w:val="20"/>
        </w:rPr>
        <w:t xml:space="preserve"> </w:t>
      </w:r>
      <w:r w:rsidRPr="003538B6">
        <w:rPr>
          <w:rFonts w:ascii="Verdana" w:hAnsi="Verdana"/>
          <w:color w:val="0071BB"/>
          <w:sz w:val="20"/>
          <w:szCs w:val="20"/>
        </w:rPr>
        <w:t xml:space="preserve">Ponadto Trybunał uznał naruszenie </w:t>
      </w:r>
      <w:r w:rsidRPr="003538B6">
        <w:rPr>
          <w:rFonts w:ascii="Verdana" w:hAnsi="Verdana"/>
          <w:b/>
          <w:bCs/>
          <w:color w:val="0071BB"/>
          <w:sz w:val="20"/>
          <w:szCs w:val="20"/>
        </w:rPr>
        <w:t>art. 13 Konwencji</w:t>
      </w:r>
      <w:r w:rsidRPr="003538B6">
        <w:rPr>
          <w:rFonts w:ascii="Verdana" w:hAnsi="Verdana"/>
          <w:color w:val="0071BB"/>
          <w:sz w:val="20"/>
          <w:szCs w:val="20"/>
        </w:rPr>
        <w:t xml:space="preserve"> (prawo do skutecznego środka odwoławczego) </w:t>
      </w:r>
      <w:r w:rsidRPr="003538B6">
        <w:rPr>
          <w:rFonts w:ascii="Verdana" w:hAnsi="Verdana"/>
          <w:b/>
          <w:bCs/>
          <w:color w:val="0071BB"/>
          <w:sz w:val="20"/>
          <w:szCs w:val="20"/>
        </w:rPr>
        <w:t>w związku z</w:t>
      </w:r>
      <w:r w:rsidRPr="003538B6">
        <w:rPr>
          <w:rFonts w:ascii="Verdana" w:hAnsi="Verdana"/>
          <w:color w:val="0071BB"/>
          <w:sz w:val="20"/>
          <w:szCs w:val="20"/>
        </w:rPr>
        <w:t xml:space="preserve"> </w:t>
      </w:r>
      <w:r w:rsidRPr="003538B6">
        <w:rPr>
          <w:rFonts w:ascii="Verdana" w:hAnsi="Verdana"/>
          <w:b/>
          <w:bCs/>
          <w:color w:val="0071BB"/>
          <w:sz w:val="20"/>
          <w:szCs w:val="20"/>
        </w:rPr>
        <w:t>art. 4 Protokołu nr 4</w:t>
      </w:r>
      <w:r w:rsidRPr="003538B6">
        <w:rPr>
          <w:rFonts w:ascii="Verdana" w:hAnsi="Verdana"/>
          <w:color w:val="0071BB"/>
          <w:sz w:val="20"/>
          <w:szCs w:val="20"/>
        </w:rPr>
        <w:t xml:space="preserve">, wskazując, że skarżący nie miał dostępu do adekwatnego środka prawnego umożliwiającego </w:t>
      </w:r>
      <w:r w:rsidR="000871C7">
        <w:rPr>
          <w:rFonts w:ascii="Verdana" w:hAnsi="Verdana"/>
          <w:color w:val="0071BB"/>
          <w:sz w:val="20"/>
          <w:szCs w:val="20"/>
        </w:rPr>
        <w:t>odwołanie od</w:t>
      </w:r>
      <w:r w:rsidRPr="003538B6">
        <w:rPr>
          <w:rFonts w:ascii="Verdana" w:hAnsi="Verdana"/>
          <w:color w:val="0071BB"/>
          <w:sz w:val="20"/>
          <w:szCs w:val="20"/>
        </w:rPr>
        <w:t xml:space="preserve"> decyzji o jego wydaleniu.</w:t>
      </w:r>
    </w:p>
    <w:p w14:paraId="4242EDD5" w14:textId="58317938" w:rsidR="003538B6" w:rsidRDefault="003538B6" w:rsidP="009B1912">
      <w:pPr>
        <w:pBdr>
          <w:bottom w:val="single" w:sz="12" w:space="7" w:color="auto"/>
        </w:pBdr>
        <w:autoSpaceDE w:val="0"/>
        <w:autoSpaceDN w:val="0"/>
        <w:adjustRightInd w:val="0"/>
        <w:spacing w:after="0" w:line="240" w:lineRule="auto"/>
        <w:jc w:val="both"/>
        <w:rPr>
          <w:rFonts w:ascii="Verdana" w:hAnsi="Verdana"/>
          <w:color w:val="404040"/>
          <w:sz w:val="20"/>
          <w:szCs w:val="20"/>
        </w:rPr>
      </w:pPr>
    </w:p>
    <w:p w14:paraId="7BDA2DA3" w14:textId="76EACAE8" w:rsidR="00D73468" w:rsidRPr="009B1912" w:rsidRDefault="00EC7ABD" w:rsidP="00D73468">
      <w:pPr>
        <w:pBdr>
          <w:bottom w:val="single" w:sz="12" w:space="7" w:color="auto"/>
        </w:pBdr>
        <w:autoSpaceDE w:val="0"/>
        <w:autoSpaceDN w:val="0"/>
        <w:adjustRightInd w:val="0"/>
        <w:spacing w:after="0" w:line="240" w:lineRule="auto"/>
        <w:rPr>
          <w:rFonts w:ascii="Verdana" w:hAnsi="Verdana"/>
          <w:color w:val="404040"/>
          <w:sz w:val="20"/>
          <w:szCs w:val="20"/>
        </w:rPr>
      </w:pPr>
      <w:hyperlink r:id="rId26" w:history="1">
        <w:r w:rsidRPr="00FD5D42">
          <w:rPr>
            <w:rStyle w:val="Hipercze"/>
            <w:rFonts w:ascii="Verdana" w:hAnsi="Verdana"/>
            <w:b/>
            <w:bCs/>
            <w:sz w:val="20"/>
            <w:szCs w:val="20"/>
          </w:rPr>
          <w:t>J.A. i inni</w:t>
        </w:r>
        <w:r w:rsidR="00D73468" w:rsidRPr="00FD5D42">
          <w:rPr>
            <w:rStyle w:val="Hipercze"/>
            <w:rFonts w:ascii="Verdana" w:hAnsi="Verdana"/>
            <w:b/>
            <w:bCs/>
            <w:sz w:val="20"/>
            <w:szCs w:val="20"/>
          </w:rPr>
          <w:t xml:space="preserve"> przeciwk</w:t>
        </w:r>
        <w:r w:rsidRPr="00FD5D42">
          <w:rPr>
            <w:rStyle w:val="Hipercze"/>
            <w:rFonts w:ascii="Verdana" w:hAnsi="Verdana"/>
            <w:b/>
            <w:bCs/>
            <w:sz w:val="20"/>
            <w:szCs w:val="20"/>
          </w:rPr>
          <w:t>o Włochom (nr 21329/18)</w:t>
        </w:r>
      </w:hyperlink>
      <w:r w:rsidRPr="009B1912">
        <w:rPr>
          <w:rFonts w:ascii="Verdana" w:hAnsi="Verdana"/>
          <w:color w:val="404040"/>
          <w:sz w:val="20"/>
          <w:szCs w:val="20"/>
          <w:u w:val="single"/>
        </w:rPr>
        <w:t xml:space="preserve"> </w:t>
      </w:r>
      <w:r w:rsidR="00D73468" w:rsidRPr="009B1912">
        <w:rPr>
          <w:rFonts w:ascii="Verdana" w:hAnsi="Verdana"/>
          <w:color w:val="404040"/>
          <w:sz w:val="20"/>
          <w:szCs w:val="20"/>
          <w:u w:val="single"/>
        </w:rPr>
        <w:br/>
      </w:r>
      <w:r w:rsidR="00D73468" w:rsidRPr="003538B6">
        <w:rPr>
          <w:rFonts w:ascii="Verdana" w:hAnsi="Verdana"/>
          <w:color w:val="808080"/>
          <w:sz w:val="20"/>
          <w:szCs w:val="20"/>
        </w:rPr>
        <w:t>Wyrok Izby z dnia</w:t>
      </w:r>
      <w:r w:rsidR="00D73468" w:rsidRPr="003538B6">
        <w:rPr>
          <w:rFonts w:ascii="Verdana" w:hAnsi="Verdana"/>
        </w:rPr>
        <w:t xml:space="preserve"> </w:t>
      </w:r>
      <w:r>
        <w:rPr>
          <w:rFonts w:ascii="Verdana" w:hAnsi="Verdana"/>
          <w:color w:val="808080"/>
          <w:sz w:val="20"/>
          <w:szCs w:val="20"/>
        </w:rPr>
        <w:t>30 marca 2023</w:t>
      </w:r>
      <w:r w:rsidR="009C75D5">
        <w:rPr>
          <w:rFonts w:ascii="Verdana" w:hAnsi="Verdana"/>
          <w:color w:val="808080"/>
          <w:sz w:val="20"/>
          <w:szCs w:val="20"/>
        </w:rPr>
        <w:t xml:space="preserve"> roku</w:t>
      </w:r>
    </w:p>
    <w:p w14:paraId="6A15F60B" w14:textId="4A9883E1" w:rsidR="00D73468" w:rsidRPr="00D73468" w:rsidRDefault="00D73468" w:rsidP="00D73468">
      <w:pPr>
        <w:pBdr>
          <w:bottom w:val="single" w:sz="12" w:space="7" w:color="auto"/>
        </w:pBdr>
        <w:autoSpaceDE w:val="0"/>
        <w:autoSpaceDN w:val="0"/>
        <w:adjustRightInd w:val="0"/>
        <w:spacing w:after="0" w:line="240" w:lineRule="auto"/>
        <w:jc w:val="both"/>
        <w:rPr>
          <w:rFonts w:ascii="Verdana" w:hAnsi="Verdana"/>
          <w:color w:val="404040"/>
          <w:sz w:val="20"/>
          <w:szCs w:val="20"/>
        </w:rPr>
      </w:pPr>
      <w:r w:rsidRPr="00D73468">
        <w:rPr>
          <w:rFonts w:ascii="Verdana" w:hAnsi="Verdana"/>
          <w:color w:val="404040"/>
          <w:sz w:val="20"/>
          <w:szCs w:val="20"/>
        </w:rPr>
        <w:t xml:space="preserve">Sprawa dotyczyła pobytu skarżących, czterech obywateli Tunezji, w ośrodku typu „hotspot” na włoskiej wyspie Lampedusa, dokąd zostali przewiezieni po </w:t>
      </w:r>
      <w:r w:rsidR="00F3269D">
        <w:rPr>
          <w:rFonts w:ascii="Verdana" w:hAnsi="Verdana"/>
          <w:color w:val="404040"/>
          <w:sz w:val="20"/>
          <w:szCs w:val="20"/>
        </w:rPr>
        <w:t>ich przejęciu</w:t>
      </w:r>
      <w:r w:rsidRPr="00D73468">
        <w:rPr>
          <w:rFonts w:ascii="Verdana" w:hAnsi="Verdana"/>
          <w:color w:val="404040"/>
          <w:sz w:val="20"/>
          <w:szCs w:val="20"/>
        </w:rPr>
        <w:t xml:space="preserve"> przez włoski statek na Morzu Śródziemnym, oraz ich późniejszego wydalenia do Tunezji. Skarżący zarzucili w szczególności, że zostali pozbawieni wolności bez wyraźnej decyzji </w:t>
      </w:r>
      <w:r w:rsidRPr="00D73468">
        <w:rPr>
          <w:rFonts w:ascii="Verdana" w:hAnsi="Verdana"/>
          <w:color w:val="404040"/>
          <w:sz w:val="20"/>
          <w:szCs w:val="20"/>
        </w:rPr>
        <w:lastRenderedPageBreak/>
        <w:t>administracyjnej oraz bez możliwości skutecznego zakwestionowania tego pozbawienia wolności, a także że ich odroczona odmowa wjazdu (</w:t>
      </w:r>
      <w:proofErr w:type="spellStart"/>
      <w:r w:rsidRPr="00D73468">
        <w:rPr>
          <w:rFonts w:ascii="Verdana" w:hAnsi="Verdana"/>
          <w:color w:val="404040"/>
          <w:sz w:val="20"/>
          <w:szCs w:val="20"/>
        </w:rPr>
        <w:t>respingimento</w:t>
      </w:r>
      <w:proofErr w:type="spellEnd"/>
      <w:r w:rsidRPr="00D73468">
        <w:rPr>
          <w:rFonts w:ascii="Verdana" w:hAnsi="Verdana"/>
          <w:color w:val="404040"/>
          <w:sz w:val="20"/>
          <w:szCs w:val="20"/>
        </w:rPr>
        <w:t xml:space="preserve"> </w:t>
      </w:r>
      <w:proofErr w:type="spellStart"/>
      <w:r w:rsidRPr="00D73468">
        <w:rPr>
          <w:rFonts w:ascii="Verdana" w:hAnsi="Verdana"/>
          <w:color w:val="404040"/>
          <w:sz w:val="20"/>
          <w:szCs w:val="20"/>
        </w:rPr>
        <w:t>differito</w:t>
      </w:r>
      <w:proofErr w:type="spellEnd"/>
      <w:r w:rsidRPr="00D73468">
        <w:rPr>
          <w:rFonts w:ascii="Verdana" w:hAnsi="Verdana"/>
          <w:color w:val="404040"/>
          <w:sz w:val="20"/>
          <w:szCs w:val="20"/>
        </w:rPr>
        <w:t>) miała charakter</w:t>
      </w:r>
      <w:r w:rsidR="00F572C8">
        <w:rPr>
          <w:rFonts w:ascii="Verdana" w:hAnsi="Verdana"/>
          <w:color w:val="404040"/>
          <w:sz w:val="20"/>
          <w:szCs w:val="20"/>
        </w:rPr>
        <w:t>…</w:t>
      </w:r>
      <w:r w:rsidR="005570A6">
        <w:rPr>
          <w:rFonts w:ascii="Verdana" w:hAnsi="Verdana"/>
          <w:color w:val="404040"/>
          <w:sz w:val="20"/>
          <w:szCs w:val="20"/>
        </w:rPr>
        <w:t xml:space="preserve"> </w:t>
      </w:r>
      <w:r w:rsidR="005570A6" w:rsidRPr="005570A6">
        <w:rPr>
          <w:rFonts w:ascii="Verdana" w:hAnsi="Verdana"/>
          <w:color w:val="404040"/>
          <w:sz w:val="20"/>
          <w:szCs w:val="20"/>
        </w:rPr>
        <w:t>(przyp. tłum.: tekst w oryginale się urywa)</w:t>
      </w:r>
    </w:p>
    <w:p w14:paraId="5B2A269E" w14:textId="3E7DD8CE" w:rsidR="00D73468" w:rsidRDefault="00D73468" w:rsidP="00D73468">
      <w:pPr>
        <w:pBdr>
          <w:bottom w:val="single" w:sz="12" w:space="7" w:color="auto"/>
        </w:pBdr>
        <w:autoSpaceDE w:val="0"/>
        <w:autoSpaceDN w:val="0"/>
        <w:adjustRightInd w:val="0"/>
        <w:spacing w:after="0" w:line="240" w:lineRule="auto"/>
        <w:jc w:val="both"/>
        <w:rPr>
          <w:rFonts w:ascii="Verdana" w:hAnsi="Verdana"/>
          <w:color w:val="0071BB"/>
          <w:sz w:val="20"/>
          <w:szCs w:val="20"/>
        </w:rPr>
      </w:pPr>
      <w:r w:rsidRPr="00D73468">
        <w:rPr>
          <w:rFonts w:ascii="Verdana" w:hAnsi="Verdana"/>
          <w:color w:val="0071BB"/>
          <w:sz w:val="20"/>
          <w:szCs w:val="20"/>
        </w:rPr>
        <w:t xml:space="preserve">Trybunał stwierdził naruszenie </w:t>
      </w:r>
      <w:r w:rsidRPr="00D73468">
        <w:rPr>
          <w:rFonts w:ascii="Verdana" w:hAnsi="Verdana"/>
          <w:b/>
          <w:bCs/>
          <w:color w:val="0071BB"/>
          <w:sz w:val="20"/>
          <w:szCs w:val="20"/>
        </w:rPr>
        <w:t>art. 3 Konwencji</w:t>
      </w:r>
      <w:r w:rsidRPr="00D73468">
        <w:rPr>
          <w:rFonts w:ascii="Verdana" w:hAnsi="Verdana"/>
          <w:color w:val="0071BB"/>
          <w:sz w:val="20"/>
          <w:szCs w:val="20"/>
        </w:rPr>
        <w:t xml:space="preserve"> (zakaz nieludzkiego lub poniżającego traktowania), </w:t>
      </w:r>
      <w:r w:rsidRPr="00D73468">
        <w:rPr>
          <w:rFonts w:ascii="Verdana" w:hAnsi="Verdana"/>
          <w:b/>
          <w:bCs/>
          <w:color w:val="0071BB"/>
          <w:sz w:val="20"/>
          <w:szCs w:val="20"/>
        </w:rPr>
        <w:t>art. 5 ust. 1, 2 i 4 Konwencji</w:t>
      </w:r>
      <w:r w:rsidRPr="00D73468">
        <w:rPr>
          <w:rFonts w:ascii="Verdana" w:hAnsi="Verdana"/>
          <w:color w:val="0071BB"/>
          <w:sz w:val="20"/>
          <w:szCs w:val="20"/>
        </w:rPr>
        <w:t xml:space="preserve"> (prawo do wolności i bezpieczeństwa osobistego) oraz </w:t>
      </w:r>
      <w:r w:rsidRPr="00D73468">
        <w:rPr>
          <w:rFonts w:ascii="Verdana" w:hAnsi="Verdana"/>
          <w:b/>
          <w:bCs/>
          <w:color w:val="0071BB"/>
          <w:sz w:val="20"/>
          <w:szCs w:val="20"/>
        </w:rPr>
        <w:t>art. 4 Protokołu nr 4 do Konwencji</w:t>
      </w:r>
      <w:r w:rsidRPr="00D73468">
        <w:rPr>
          <w:rFonts w:ascii="Verdana" w:hAnsi="Verdana"/>
          <w:color w:val="0071BB"/>
          <w:sz w:val="20"/>
          <w:szCs w:val="20"/>
        </w:rPr>
        <w:t xml:space="preserve">. W szczególności Trybunał uznał, że rząd włoski nie </w:t>
      </w:r>
      <w:r w:rsidR="00BC267F">
        <w:rPr>
          <w:rFonts w:ascii="Verdana" w:hAnsi="Verdana"/>
          <w:color w:val="0071BB"/>
          <w:sz w:val="20"/>
          <w:szCs w:val="20"/>
        </w:rPr>
        <w:t xml:space="preserve">odparł </w:t>
      </w:r>
      <w:r w:rsidRPr="00D73468">
        <w:rPr>
          <w:rFonts w:ascii="Verdana" w:hAnsi="Verdana"/>
          <w:color w:val="0071BB"/>
          <w:sz w:val="20"/>
          <w:szCs w:val="20"/>
        </w:rPr>
        <w:t xml:space="preserve"> zarzutów dotyczących nieodpowiednich warunków panujących w ośrodku</w:t>
      </w:r>
      <w:r w:rsidR="00C466E9">
        <w:rPr>
          <w:rFonts w:ascii="Verdana" w:hAnsi="Verdana"/>
          <w:color w:val="0071BB"/>
          <w:sz w:val="20"/>
          <w:szCs w:val="20"/>
        </w:rPr>
        <w:t xml:space="preserve"> </w:t>
      </w:r>
      <w:r w:rsidRPr="00D73468">
        <w:rPr>
          <w:rFonts w:ascii="Verdana" w:hAnsi="Verdana"/>
          <w:color w:val="0071BB"/>
          <w:sz w:val="20"/>
          <w:szCs w:val="20"/>
        </w:rPr>
        <w:t xml:space="preserve">„hotspot”. </w:t>
      </w:r>
      <w:r w:rsidR="00CF7344">
        <w:rPr>
          <w:rFonts w:ascii="Verdana" w:hAnsi="Verdana"/>
          <w:color w:val="0071BB"/>
          <w:sz w:val="20"/>
          <w:szCs w:val="20"/>
        </w:rPr>
        <w:t>S</w:t>
      </w:r>
      <w:r w:rsidR="00CF7344" w:rsidRPr="00CF7344">
        <w:rPr>
          <w:rFonts w:ascii="Verdana" w:hAnsi="Verdana"/>
          <w:color w:val="0071BB"/>
          <w:sz w:val="20"/>
          <w:szCs w:val="20"/>
        </w:rPr>
        <w:t xml:space="preserve">twierdził </w:t>
      </w:r>
      <w:r w:rsidR="00CF7344">
        <w:rPr>
          <w:rFonts w:ascii="Verdana" w:hAnsi="Verdana"/>
          <w:color w:val="0071BB"/>
          <w:sz w:val="20"/>
          <w:szCs w:val="20"/>
        </w:rPr>
        <w:t>również</w:t>
      </w:r>
      <w:r w:rsidR="00CF7344" w:rsidRPr="00CF7344">
        <w:rPr>
          <w:rFonts w:ascii="Verdana" w:hAnsi="Verdana"/>
          <w:color w:val="0071BB"/>
          <w:sz w:val="20"/>
          <w:szCs w:val="20"/>
        </w:rPr>
        <w:t>, że pobyt skarżących w tym ośrodku stanowił faktyczne pozbawienie wolności, które nie wynikało z formalnej decyzji administracyjnej i nie było ograniczone do okresu niezbędnego do ustalenia ich statusu lub organizacji dalszego przekazania, jak wymagają przepisy prawa.</w:t>
      </w:r>
      <w:r w:rsidR="00CF7344">
        <w:rPr>
          <w:rFonts w:ascii="Verdana" w:hAnsi="Verdana"/>
          <w:color w:val="0071BB"/>
          <w:sz w:val="20"/>
          <w:szCs w:val="20"/>
        </w:rPr>
        <w:t xml:space="preserve"> </w:t>
      </w:r>
      <w:r w:rsidR="00CF7344" w:rsidRPr="00CF7344">
        <w:rPr>
          <w:rFonts w:ascii="Verdana" w:hAnsi="Verdana"/>
          <w:color w:val="0071BB"/>
          <w:sz w:val="20"/>
          <w:szCs w:val="20"/>
        </w:rPr>
        <w:t>Ponadto Trybunał uznał, że przed wydaniem decyzji o odmowie wjazdu nie dokonano indywidualnej oceny sytuacji skarżących.</w:t>
      </w:r>
      <w:r w:rsidR="00CF7344">
        <w:rPr>
          <w:rFonts w:ascii="Verdana" w:hAnsi="Verdana"/>
          <w:color w:val="0071BB"/>
          <w:sz w:val="20"/>
          <w:szCs w:val="20"/>
        </w:rPr>
        <w:t xml:space="preserve"> </w:t>
      </w:r>
      <w:r w:rsidRPr="00D73468">
        <w:rPr>
          <w:rFonts w:ascii="Verdana" w:hAnsi="Verdana"/>
          <w:color w:val="0071BB"/>
          <w:sz w:val="20"/>
          <w:szCs w:val="20"/>
        </w:rPr>
        <w:t xml:space="preserve">Trybunał zwrócił </w:t>
      </w:r>
      <w:r w:rsidR="00894E7A">
        <w:rPr>
          <w:rFonts w:ascii="Verdana" w:hAnsi="Verdana"/>
          <w:color w:val="0071BB"/>
          <w:sz w:val="20"/>
          <w:szCs w:val="20"/>
        </w:rPr>
        <w:t xml:space="preserve">także </w:t>
      </w:r>
      <w:r w:rsidRPr="00D73468">
        <w:rPr>
          <w:rFonts w:ascii="Verdana" w:hAnsi="Verdana"/>
          <w:color w:val="0071BB"/>
          <w:sz w:val="20"/>
          <w:szCs w:val="20"/>
        </w:rPr>
        <w:t xml:space="preserve">uwagę, że </w:t>
      </w:r>
      <w:r w:rsidR="00894E7A">
        <w:rPr>
          <w:rFonts w:ascii="Verdana" w:hAnsi="Verdana"/>
          <w:color w:val="0071BB"/>
          <w:sz w:val="20"/>
          <w:szCs w:val="20"/>
        </w:rPr>
        <w:t>w</w:t>
      </w:r>
      <w:r w:rsidR="00894E7A" w:rsidRPr="00D73468">
        <w:rPr>
          <w:rFonts w:ascii="Verdana" w:hAnsi="Verdana"/>
          <w:color w:val="0071BB"/>
          <w:sz w:val="20"/>
          <w:szCs w:val="20"/>
        </w:rPr>
        <w:t xml:space="preserve"> </w:t>
      </w:r>
      <w:r w:rsidR="00894E7A">
        <w:rPr>
          <w:rFonts w:ascii="Verdana" w:hAnsi="Verdana"/>
          <w:color w:val="0071BB"/>
          <w:sz w:val="20"/>
          <w:szCs w:val="20"/>
        </w:rPr>
        <w:t xml:space="preserve">przypadku </w:t>
      </w:r>
      <w:r w:rsidR="00894E7A" w:rsidRPr="00D73468">
        <w:rPr>
          <w:rFonts w:ascii="Verdana" w:hAnsi="Verdana"/>
          <w:color w:val="0071BB"/>
          <w:sz w:val="20"/>
          <w:szCs w:val="20"/>
        </w:rPr>
        <w:t>pierwszych dwóch skarżących</w:t>
      </w:r>
      <w:r w:rsidR="00894E7A">
        <w:rPr>
          <w:rFonts w:ascii="Verdana" w:hAnsi="Verdana"/>
          <w:color w:val="0071BB"/>
          <w:sz w:val="20"/>
          <w:szCs w:val="20"/>
        </w:rPr>
        <w:t xml:space="preserve">, </w:t>
      </w:r>
      <w:r w:rsidR="00F725B0">
        <w:rPr>
          <w:rFonts w:ascii="Verdana" w:hAnsi="Verdana"/>
          <w:color w:val="0071BB"/>
          <w:sz w:val="20"/>
          <w:szCs w:val="20"/>
        </w:rPr>
        <w:t>treść tych decyzji</w:t>
      </w:r>
      <w:r w:rsidRPr="00D73468">
        <w:rPr>
          <w:rFonts w:ascii="Verdana" w:hAnsi="Verdana"/>
          <w:color w:val="0071BB"/>
          <w:sz w:val="20"/>
          <w:szCs w:val="20"/>
        </w:rPr>
        <w:t xml:space="preserve"> miał</w:t>
      </w:r>
      <w:r w:rsidR="00F725B0">
        <w:rPr>
          <w:rFonts w:ascii="Verdana" w:hAnsi="Verdana"/>
          <w:color w:val="0071BB"/>
          <w:sz w:val="20"/>
          <w:szCs w:val="20"/>
        </w:rPr>
        <w:t>a</w:t>
      </w:r>
      <w:r w:rsidRPr="00D73468">
        <w:rPr>
          <w:rFonts w:ascii="Verdana" w:hAnsi="Verdana"/>
          <w:color w:val="0071BB"/>
          <w:sz w:val="20"/>
          <w:szCs w:val="20"/>
        </w:rPr>
        <w:t xml:space="preserve"> charakter schematyczny i nie zawierał</w:t>
      </w:r>
      <w:r w:rsidR="00894E7A">
        <w:rPr>
          <w:rFonts w:ascii="Verdana" w:hAnsi="Verdana"/>
          <w:color w:val="0071BB"/>
          <w:sz w:val="20"/>
          <w:szCs w:val="20"/>
        </w:rPr>
        <w:t>a</w:t>
      </w:r>
      <w:r w:rsidRPr="00D73468">
        <w:rPr>
          <w:rFonts w:ascii="Verdana" w:hAnsi="Verdana"/>
          <w:color w:val="0071BB"/>
          <w:sz w:val="20"/>
          <w:szCs w:val="20"/>
        </w:rPr>
        <w:t xml:space="preserve"> żadnych indywidualnych informacji</w:t>
      </w:r>
      <w:r w:rsidR="00894E7A">
        <w:rPr>
          <w:rFonts w:ascii="Verdana" w:hAnsi="Verdana"/>
          <w:color w:val="0071BB"/>
          <w:sz w:val="20"/>
          <w:szCs w:val="20"/>
        </w:rPr>
        <w:t xml:space="preserve">. </w:t>
      </w:r>
      <w:r w:rsidRPr="00D73468">
        <w:rPr>
          <w:rFonts w:ascii="Verdana" w:hAnsi="Verdana"/>
          <w:color w:val="0071BB"/>
          <w:sz w:val="20"/>
          <w:szCs w:val="20"/>
        </w:rPr>
        <w:t xml:space="preserve">W odniesieniu do dwóch pozostałych skarżących Trybunał zauważył, że nie byli oni w stanie uzyskać kopii decyzji w odpowiedniej komendzie policji. </w:t>
      </w:r>
      <w:r w:rsidR="00A667D6">
        <w:rPr>
          <w:rFonts w:ascii="Verdana" w:hAnsi="Verdana"/>
          <w:color w:val="0071BB"/>
          <w:sz w:val="20"/>
          <w:szCs w:val="20"/>
        </w:rPr>
        <w:t>Biorąc pod uwagę</w:t>
      </w:r>
      <w:r w:rsidRPr="00D73468">
        <w:rPr>
          <w:rFonts w:ascii="Verdana" w:hAnsi="Verdana"/>
          <w:color w:val="0071BB"/>
          <w:sz w:val="20"/>
          <w:szCs w:val="20"/>
        </w:rPr>
        <w:t xml:space="preserve"> krótki czas, jaki upłynął od podpisania decyzji, oraz fakt, że skarżący wydawali się nie rozumieć</w:t>
      </w:r>
      <w:r w:rsidR="00A667D6">
        <w:rPr>
          <w:rFonts w:ascii="Verdana" w:hAnsi="Verdana"/>
          <w:color w:val="0071BB"/>
          <w:sz w:val="20"/>
          <w:szCs w:val="20"/>
        </w:rPr>
        <w:t xml:space="preserve"> ich treści</w:t>
      </w:r>
      <w:r w:rsidRPr="00D73468">
        <w:rPr>
          <w:rFonts w:ascii="Verdana" w:hAnsi="Verdana"/>
          <w:color w:val="0071BB"/>
          <w:sz w:val="20"/>
          <w:szCs w:val="20"/>
        </w:rPr>
        <w:t>, Trybunał uznał, że nie było jasne, czy mieli oni rzeczywistą możliwość wniesienia odwołania od tych decyzji.</w:t>
      </w:r>
    </w:p>
    <w:p w14:paraId="14A5CB21" w14:textId="77777777" w:rsidR="00B12D3D" w:rsidRDefault="00B12D3D" w:rsidP="00D73468">
      <w:pPr>
        <w:pBdr>
          <w:bottom w:val="single" w:sz="12" w:space="7" w:color="auto"/>
        </w:pBdr>
        <w:autoSpaceDE w:val="0"/>
        <w:autoSpaceDN w:val="0"/>
        <w:adjustRightInd w:val="0"/>
        <w:spacing w:after="0" w:line="240" w:lineRule="auto"/>
        <w:jc w:val="both"/>
        <w:rPr>
          <w:rFonts w:ascii="Verdana" w:hAnsi="Verdana"/>
          <w:color w:val="0071BB"/>
          <w:sz w:val="20"/>
          <w:szCs w:val="20"/>
        </w:rPr>
      </w:pPr>
    </w:p>
    <w:p w14:paraId="52DE0E41" w14:textId="4E9434BB" w:rsidR="00086774" w:rsidRPr="00086774" w:rsidRDefault="00086774" w:rsidP="00086774">
      <w:pPr>
        <w:pBdr>
          <w:bottom w:val="single" w:sz="12" w:space="7" w:color="auto"/>
        </w:pBdr>
        <w:autoSpaceDE w:val="0"/>
        <w:autoSpaceDN w:val="0"/>
        <w:adjustRightInd w:val="0"/>
        <w:spacing w:after="0" w:line="240" w:lineRule="auto"/>
        <w:jc w:val="both"/>
        <w:rPr>
          <w:rFonts w:ascii="Verdana" w:hAnsi="Verdana"/>
          <w:b/>
          <w:bCs/>
          <w:color w:val="0071BB"/>
          <w:sz w:val="20"/>
          <w:szCs w:val="20"/>
        </w:rPr>
      </w:pPr>
      <w:hyperlink r:id="rId27" w:history="1">
        <w:r w:rsidRPr="00FD5D42">
          <w:rPr>
            <w:rStyle w:val="Hipercze"/>
            <w:rFonts w:ascii="Verdana" w:hAnsi="Verdana"/>
            <w:b/>
            <w:bCs/>
            <w:sz w:val="20"/>
            <w:szCs w:val="20"/>
          </w:rPr>
          <w:t>M.A. i Z.R. przeciwko Cyprowi (nr 39090/20)</w:t>
        </w:r>
      </w:hyperlink>
    </w:p>
    <w:p w14:paraId="423D8C5A" w14:textId="2063A56E" w:rsidR="00086774" w:rsidRPr="00086774" w:rsidRDefault="00086774" w:rsidP="00086774">
      <w:pPr>
        <w:pBdr>
          <w:bottom w:val="single" w:sz="12" w:space="7" w:color="auto"/>
        </w:pBdr>
        <w:autoSpaceDE w:val="0"/>
        <w:autoSpaceDN w:val="0"/>
        <w:adjustRightInd w:val="0"/>
        <w:spacing w:after="0" w:line="240" w:lineRule="auto"/>
        <w:jc w:val="both"/>
        <w:rPr>
          <w:rFonts w:ascii="Verdana" w:hAnsi="Verdana"/>
          <w:color w:val="0071BB"/>
          <w:sz w:val="20"/>
          <w:szCs w:val="20"/>
        </w:rPr>
      </w:pPr>
      <w:r w:rsidRPr="003538B6">
        <w:rPr>
          <w:rFonts w:ascii="Verdana" w:hAnsi="Verdana"/>
          <w:color w:val="808080"/>
          <w:sz w:val="20"/>
          <w:szCs w:val="20"/>
        </w:rPr>
        <w:t>Wyrok Izby z dni</w:t>
      </w:r>
      <w:r>
        <w:rPr>
          <w:rFonts w:ascii="Verdana" w:hAnsi="Verdana"/>
          <w:color w:val="808080"/>
          <w:sz w:val="20"/>
          <w:szCs w:val="20"/>
        </w:rPr>
        <w:t xml:space="preserve">a </w:t>
      </w:r>
      <w:r w:rsidRPr="00086774">
        <w:rPr>
          <w:rFonts w:ascii="Verdana" w:hAnsi="Verdana"/>
          <w:color w:val="808080"/>
          <w:sz w:val="20"/>
          <w:szCs w:val="20"/>
        </w:rPr>
        <w:t>8 października 2024 r</w:t>
      </w:r>
      <w:r w:rsidR="009C75D5">
        <w:rPr>
          <w:rFonts w:ascii="Verdana" w:hAnsi="Verdana"/>
          <w:color w:val="808080"/>
          <w:sz w:val="20"/>
          <w:szCs w:val="20"/>
        </w:rPr>
        <w:t>oku</w:t>
      </w:r>
      <w:r w:rsidR="00575A75">
        <w:rPr>
          <w:rStyle w:val="Odwoanieprzypisudolnego"/>
          <w:rFonts w:ascii="Verdana" w:hAnsi="Verdana"/>
          <w:color w:val="808080"/>
          <w:sz w:val="20"/>
          <w:szCs w:val="20"/>
        </w:rPr>
        <w:footnoteReference w:id="6"/>
      </w:r>
    </w:p>
    <w:p w14:paraId="515A7DFF" w14:textId="737E9D24" w:rsidR="000E75FA" w:rsidRPr="000E75FA" w:rsidRDefault="000E75FA" w:rsidP="000E75FA">
      <w:pPr>
        <w:pBdr>
          <w:bottom w:val="single" w:sz="12" w:space="7" w:color="auto"/>
        </w:pBdr>
        <w:autoSpaceDE w:val="0"/>
        <w:autoSpaceDN w:val="0"/>
        <w:adjustRightInd w:val="0"/>
        <w:spacing w:after="0" w:line="240" w:lineRule="auto"/>
        <w:jc w:val="both"/>
        <w:rPr>
          <w:rFonts w:ascii="Verdana" w:hAnsi="Verdana"/>
          <w:color w:val="000000" w:themeColor="text1"/>
          <w:sz w:val="20"/>
          <w:szCs w:val="20"/>
        </w:rPr>
      </w:pPr>
      <w:r w:rsidRPr="000E75FA">
        <w:rPr>
          <w:rFonts w:ascii="Verdana" w:hAnsi="Verdana"/>
          <w:color w:val="000000" w:themeColor="text1"/>
          <w:sz w:val="20"/>
          <w:szCs w:val="20"/>
        </w:rPr>
        <w:t xml:space="preserve">Sprawa dotyczyła przechwycenia na morzu obywateli Syrii przez władze cypryjskie oraz ich niezwłocznego zawrócenia do Libanu, gdzie wcześniej spędzili cztery lata w obozie dla uchodźców po ucieczce z Syrii w związku z trwającą tam wojną domową, atakami na ludność cywilną oraz zniszczeniem ich domów. Skarżący twierdzili, że byli osobami ubiegającymi się o azyl i zamierzali wystąpić o ochronę międzynarodową na Cyprze, </w:t>
      </w:r>
      <w:r>
        <w:rPr>
          <w:rFonts w:ascii="Verdana" w:hAnsi="Verdana"/>
          <w:color w:val="000000" w:themeColor="text1"/>
          <w:sz w:val="20"/>
          <w:szCs w:val="20"/>
        </w:rPr>
        <w:t xml:space="preserve">jednakże </w:t>
      </w:r>
      <w:r w:rsidRPr="000E75FA">
        <w:rPr>
          <w:rFonts w:ascii="Verdana" w:hAnsi="Verdana"/>
          <w:color w:val="000000" w:themeColor="text1"/>
          <w:sz w:val="20"/>
          <w:szCs w:val="20"/>
        </w:rPr>
        <w:t>rząd Cypru traktował ich jako migrantów ekonomicznych.</w:t>
      </w:r>
    </w:p>
    <w:p w14:paraId="32AA52EA" w14:textId="1B554099" w:rsidR="00086774" w:rsidRPr="00086774" w:rsidRDefault="000E75FA" w:rsidP="000E75FA">
      <w:pPr>
        <w:pBdr>
          <w:bottom w:val="single" w:sz="12" w:space="7" w:color="auto"/>
        </w:pBdr>
        <w:autoSpaceDE w:val="0"/>
        <w:autoSpaceDN w:val="0"/>
        <w:adjustRightInd w:val="0"/>
        <w:spacing w:after="0" w:line="240" w:lineRule="auto"/>
        <w:jc w:val="both"/>
        <w:rPr>
          <w:rFonts w:ascii="Verdana" w:hAnsi="Verdana"/>
          <w:color w:val="0071BB"/>
          <w:sz w:val="20"/>
          <w:szCs w:val="20"/>
        </w:rPr>
      </w:pPr>
      <w:r w:rsidRPr="000E75FA">
        <w:rPr>
          <w:rFonts w:ascii="Verdana" w:hAnsi="Verdana"/>
          <w:color w:val="000000" w:themeColor="text1"/>
          <w:sz w:val="20"/>
          <w:szCs w:val="20"/>
        </w:rPr>
        <w:t xml:space="preserve">Skarżący </w:t>
      </w:r>
      <w:r>
        <w:rPr>
          <w:rFonts w:ascii="Verdana" w:hAnsi="Verdana"/>
          <w:color w:val="000000" w:themeColor="text1"/>
          <w:sz w:val="20"/>
          <w:szCs w:val="20"/>
        </w:rPr>
        <w:t>podnosili w szczególności</w:t>
      </w:r>
      <w:r w:rsidRPr="000E75FA">
        <w:rPr>
          <w:rFonts w:ascii="Verdana" w:hAnsi="Verdana"/>
          <w:color w:val="000000" w:themeColor="text1"/>
          <w:sz w:val="20"/>
          <w:szCs w:val="20"/>
        </w:rPr>
        <w:t xml:space="preserve">, że władze cypryjskie odmówiły im dostępu do procedury azylowej i zawróciły ich do Libanu w ramach środka o charakterze zbiorowym, bez rozpatrzenia ich wniosków </w:t>
      </w:r>
      <w:r w:rsidR="00183F5C">
        <w:rPr>
          <w:rFonts w:ascii="Verdana" w:hAnsi="Verdana"/>
          <w:color w:val="000000" w:themeColor="text1"/>
          <w:sz w:val="20"/>
          <w:szCs w:val="20"/>
        </w:rPr>
        <w:t xml:space="preserve">o udzielenie azylu </w:t>
      </w:r>
      <w:r w:rsidRPr="000E75FA">
        <w:rPr>
          <w:rFonts w:ascii="Verdana" w:hAnsi="Verdana"/>
          <w:color w:val="000000" w:themeColor="text1"/>
          <w:sz w:val="20"/>
          <w:szCs w:val="20"/>
        </w:rPr>
        <w:t xml:space="preserve">ani oceny ich </w:t>
      </w:r>
      <w:r w:rsidR="00183F5C">
        <w:rPr>
          <w:rFonts w:ascii="Verdana" w:hAnsi="Verdana"/>
          <w:color w:val="000000" w:themeColor="text1"/>
          <w:sz w:val="20"/>
          <w:szCs w:val="20"/>
        </w:rPr>
        <w:t>jednostkowych</w:t>
      </w:r>
      <w:r w:rsidRPr="000E75FA">
        <w:rPr>
          <w:rFonts w:ascii="Verdana" w:hAnsi="Verdana"/>
          <w:color w:val="000000" w:themeColor="text1"/>
          <w:sz w:val="20"/>
          <w:szCs w:val="20"/>
        </w:rPr>
        <w:t xml:space="preserve"> sytuacji. Skarżyli się także na </w:t>
      </w:r>
      <w:r w:rsidR="00183F5C">
        <w:rPr>
          <w:rFonts w:ascii="Verdana" w:hAnsi="Verdana"/>
          <w:color w:val="000000" w:themeColor="text1"/>
          <w:sz w:val="20"/>
          <w:szCs w:val="20"/>
        </w:rPr>
        <w:t>pozbawienie</w:t>
      </w:r>
      <w:r w:rsidRPr="000E75FA">
        <w:rPr>
          <w:rFonts w:ascii="Verdana" w:hAnsi="Verdana"/>
          <w:color w:val="000000" w:themeColor="text1"/>
          <w:sz w:val="20"/>
          <w:szCs w:val="20"/>
        </w:rPr>
        <w:t xml:space="preserve"> dostępu do skutecznego środka odwoławczego na szczeblu krajowym.</w:t>
      </w:r>
    </w:p>
    <w:p w14:paraId="3821BCE3" w14:textId="4BBCA468" w:rsidR="00695D75" w:rsidRDefault="00086774" w:rsidP="00086774">
      <w:pPr>
        <w:pBdr>
          <w:bottom w:val="single" w:sz="12" w:space="7" w:color="auto"/>
        </w:pBdr>
        <w:autoSpaceDE w:val="0"/>
        <w:autoSpaceDN w:val="0"/>
        <w:adjustRightInd w:val="0"/>
        <w:spacing w:after="0" w:line="240" w:lineRule="auto"/>
        <w:jc w:val="both"/>
        <w:rPr>
          <w:rFonts w:ascii="Verdana" w:hAnsi="Verdana"/>
          <w:color w:val="0071BB"/>
          <w:sz w:val="20"/>
          <w:szCs w:val="20"/>
        </w:rPr>
      </w:pPr>
      <w:r w:rsidRPr="00086774">
        <w:rPr>
          <w:rFonts w:ascii="Verdana" w:hAnsi="Verdana"/>
          <w:color w:val="0071BB"/>
          <w:sz w:val="20"/>
          <w:szCs w:val="20"/>
        </w:rPr>
        <w:t xml:space="preserve">Trybunał uznał, że wydalenie skarżących miało charakter zbiorowy i stanowiło </w:t>
      </w:r>
      <w:r w:rsidRPr="00183F5C">
        <w:rPr>
          <w:rFonts w:ascii="Verdana" w:hAnsi="Verdana"/>
          <w:b/>
          <w:bCs/>
          <w:color w:val="0071BB"/>
          <w:sz w:val="20"/>
          <w:szCs w:val="20"/>
        </w:rPr>
        <w:t xml:space="preserve">naruszenie </w:t>
      </w:r>
      <w:r w:rsidR="00183F5C" w:rsidRPr="00183F5C">
        <w:rPr>
          <w:rFonts w:ascii="Verdana" w:hAnsi="Verdana"/>
          <w:b/>
          <w:bCs/>
          <w:color w:val="0071BB"/>
          <w:sz w:val="20"/>
          <w:szCs w:val="20"/>
        </w:rPr>
        <w:t>art.</w:t>
      </w:r>
      <w:r w:rsidRPr="00183F5C">
        <w:rPr>
          <w:rFonts w:ascii="Verdana" w:hAnsi="Verdana"/>
          <w:b/>
          <w:bCs/>
          <w:color w:val="0071BB"/>
          <w:sz w:val="20"/>
          <w:szCs w:val="20"/>
        </w:rPr>
        <w:t xml:space="preserve"> 4 Protokołu nr 4 do Konwencji</w:t>
      </w:r>
      <w:r w:rsidRPr="00086774">
        <w:rPr>
          <w:rFonts w:ascii="Verdana" w:hAnsi="Verdana"/>
          <w:color w:val="0071BB"/>
          <w:sz w:val="20"/>
          <w:szCs w:val="20"/>
        </w:rPr>
        <w:t xml:space="preserve">. Usunięcie ich z cypryjskich wód terytorialnych oraz przymusowe zawrócenie do Libanu stanowiło „wydalenie” w rozumieniu tego przepisu. </w:t>
      </w:r>
      <w:r w:rsidR="00183F5C">
        <w:rPr>
          <w:rFonts w:ascii="Verdana" w:hAnsi="Verdana"/>
          <w:color w:val="0071BB"/>
          <w:sz w:val="20"/>
          <w:szCs w:val="20"/>
        </w:rPr>
        <w:t>Trybunał zauważył, że</w:t>
      </w:r>
      <w:r w:rsidR="00135E1C">
        <w:rPr>
          <w:rFonts w:ascii="Verdana" w:hAnsi="Verdana"/>
          <w:color w:val="0071BB"/>
          <w:sz w:val="20"/>
          <w:szCs w:val="20"/>
        </w:rPr>
        <w:t xml:space="preserve"> z wyłączeniem </w:t>
      </w:r>
      <w:r w:rsidR="00695D75">
        <w:rPr>
          <w:rFonts w:ascii="Verdana" w:hAnsi="Verdana"/>
          <w:color w:val="0071BB"/>
          <w:sz w:val="20"/>
          <w:szCs w:val="20"/>
        </w:rPr>
        <w:t>podstawowych danych osobowych</w:t>
      </w:r>
      <w:r w:rsidR="00695D75" w:rsidRPr="00695D75">
        <w:rPr>
          <w:rFonts w:ascii="Verdana" w:hAnsi="Verdana"/>
          <w:color w:val="0071BB"/>
          <w:sz w:val="20"/>
          <w:szCs w:val="20"/>
        </w:rPr>
        <w:t xml:space="preserve"> (imię i nazwisko, data urodzenia, obywatelstwo, numer dowodu tożsamości), które mogły zostać odczytane z ich dokumentów tożsamości, rząd Cypru nie przedstawił Trybunałowi żadnej innej dokumentacji odnosząc</w:t>
      </w:r>
      <w:r w:rsidR="00695D75">
        <w:rPr>
          <w:rFonts w:ascii="Verdana" w:hAnsi="Verdana"/>
          <w:color w:val="0071BB"/>
          <w:sz w:val="20"/>
          <w:szCs w:val="20"/>
        </w:rPr>
        <w:t>ej</w:t>
      </w:r>
      <w:r w:rsidR="00695D75" w:rsidRPr="00695D75">
        <w:rPr>
          <w:rFonts w:ascii="Verdana" w:hAnsi="Verdana"/>
          <w:color w:val="0071BB"/>
          <w:sz w:val="20"/>
          <w:szCs w:val="20"/>
        </w:rPr>
        <w:t xml:space="preserve"> się do poszczególnych migrantów, protokołów przesłuchań skarżących ani nawet kopii formularzy, które Cypr był zobowiązany wypełnić na podstawie postanowień </w:t>
      </w:r>
      <w:r w:rsidR="00695D75">
        <w:rPr>
          <w:rFonts w:ascii="Verdana" w:hAnsi="Verdana"/>
          <w:color w:val="0071BB"/>
          <w:sz w:val="20"/>
          <w:szCs w:val="20"/>
        </w:rPr>
        <w:t>U</w:t>
      </w:r>
      <w:r w:rsidR="00695D75" w:rsidRPr="00695D75">
        <w:rPr>
          <w:rFonts w:ascii="Verdana" w:hAnsi="Verdana"/>
          <w:color w:val="0071BB"/>
          <w:sz w:val="20"/>
          <w:szCs w:val="20"/>
        </w:rPr>
        <w:t xml:space="preserve">mowy </w:t>
      </w:r>
      <w:r w:rsidR="00695D75">
        <w:rPr>
          <w:rFonts w:ascii="Verdana" w:hAnsi="Verdana"/>
          <w:color w:val="0071BB"/>
          <w:sz w:val="20"/>
          <w:szCs w:val="20"/>
        </w:rPr>
        <w:t>D</w:t>
      </w:r>
      <w:r w:rsidR="00695D75" w:rsidRPr="00695D75">
        <w:rPr>
          <w:rFonts w:ascii="Verdana" w:hAnsi="Verdana"/>
          <w:color w:val="0071BB"/>
          <w:sz w:val="20"/>
          <w:szCs w:val="20"/>
        </w:rPr>
        <w:t>wustronnej przed ich zawróceniem do Libanu.</w:t>
      </w:r>
    </w:p>
    <w:p w14:paraId="56DF29CC" w14:textId="77777777" w:rsidR="002A1556" w:rsidRDefault="00142EB4" w:rsidP="002A1556">
      <w:pPr>
        <w:pBdr>
          <w:bottom w:val="single" w:sz="12" w:space="7" w:color="auto"/>
        </w:pBdr>
        <w:autoSpaceDE w:val="0"/>
        <w:autoSpaceDN w:val="0"/>
        <w:adjustRightInd w:val="0"/>
        <w:spacing w:after="0" w:line="240" w:lineRule="auto"/>
        <w:jc w:val="both"/>
        <w:rPr>
          <w:rFonts w:ascii="Verdana" w:hAnsi="Verdana"/>
          <w:color w:val="0071BB"/>
          <w:sz w:val="20"/>
          <w:szCs w:val="20"/>
        </w:rPr>
      </w:pPr>
      <w:r w:rsidRPr="00142EB4">
        <w:rPr>
          <w:rFonts w:ascii="Verdana" w:hAnsi="Verdana"/>
          <w:color w:val="0071BB"/>
          <w:sz w:val="20"/>
          <w:szCs w:val="20"/>
        </w:rPr>
        <w:t>Nie odnotowano, aby skarżący zostali poinformowani o przysługujących im prawach ani o dostępnych środkach odwoławczych od decyzji o ich wydaleniu. Było jednak oczywiste, że skarżący, którzy byli przetrzymywani na pokładzie jednostki pływającej w celu uniemożliwienia im zejścia na terytorium Republiki Cypryjskiej, nie</w:t>
      </w:r>
      <w:r>
        <w:rPr>
          <w:rFonts w:ascii="Verdana" w:hAnsi="Verdana"/>
          <w:color w:val="0071BB"/>
          <w:sz w:val="20"/>
          <w:szCs w:val="20"/>
        </w:rPr>
        <w:t xml:space="preserve"> umożliwiono im</w:t>
      </w:r>
      <w:r w:rsidRPr="00142EB4">
        <w:rPr>
          <w:rFonts w:ascii="Verdana" w:hAnsi="Verdana"/>
          <w:color w:val="0071BB"/>
          <w:sz w:val="20"/>
          <w:szCs w:val="20"/>
        </w:rPr>
        <w:t xml:space="preserve"> dostępu do </w:t>
      </w:r>
      <w:r>
        <w:rPr>
          <w:rFonts w:ascii="Verdana" w:hAnsi="Verdana"/>
          <w:color w:val="0071BB"/>
          <w:sz w:val="20"/>
          <w:szCs w:val="20"/>
        </w:rPr>
        <w:t>pomocy prawnej</w:t>
      </w:r>
      <w:r w:rsidRPr="00142EB4">
        <w:rPr>
          <w:rFonts w:ascii="Verdana" w:hAnsi="Verdana"/>
          <w:color w:val="0071BB"/>
          <w:sz w:val="20"/>
          <w:szCs w:val="20"/>
        </w:rPr>
        <w:t xml:space="preserve">, a kontakt z członkami ich rodzin, za pośrednictwem których próbowali </w:t>
      </w:r>
      <w:r w:rsidR="00F80697">
        <w:rPr>
          <w:rFonts w:ascii="Verdana" w:hAnsi="Verdana"/>
          <w:color w:val="0071BB"/>
          <w:sz w:val="20"/>
          <w:szCs w:val="20"/>
        </w:rPr>
        <w:t>ją uzyskać</w:t>
      </w:r>
      <w:r w:rsidRPr="00142EB4">
        <w:rPr>
          <w:rFonts w:ascii="Verdana" w:hAnsi="Verdana"/>
          <w:color w:val="0071BB"/>
          <w:sz w:val="20"/>
          <w:szCs w:val="20"/>
        </w:rPr>
        <w:t xml:space="preserve">, był na morzu skrajnie utrudniony. </w:t>
      </w:r>
      <w:r w:rsidR="00F80697" w:rsidRPr="00F80697">
        <w:rPr>
          <w:rFonts w:ascii="Verdana" w:hAnsi="Verdana"/>
          <w:color w:val="0071BB"/>
          <w:sz w:val="20"/>
          <w:szCs w:val="20"/>
        </w:rPr>
        <w:t>Trybunał stwierdził ponadto brak jakiejkolwiek pisemnej decyzji administracyjnej zawierającej uzasadnienie ich wydalenia do Libanu</w:t>
      </w:r>
      <w:r w:rsidR="00F80697">
        <w:rPr>
          <w:rFonts w:ascii="Verdana" w:hAnsi="Verdana"/>
          <w:color w:val="0071BB"/>
          <w:sz w:val="20"/>
          <w:szCs w:val="20"/>
        </w:rPr>
        <w:t>.</w:t>
      </w:r>
    </w:p>
    <w:p w14:paraId="59AE4B4B" w14:textId="1C7F3349" w:rsidR="00F80697" w:rsidRDefault="004D3924" w:rsidP="002A1556">
      <w:pPr>
        <w:pBdr>
          <w:bottom w:val="single" w:sz="12" w:space="7" w:color="auto"/>
        </w:pBdr>
        <w:autoSpaceDE w:val="0"/>
        <w:autoSpaceDN w:val="0"/>
        <w:adjustRightInd w:val="0"/>
        <w:spacing w:after="0" w:line="240" w:lineRule="auto"/>
        <w:jc w:val="both"/>
        <w:rPr>
          <w:rFonts w:ascii="Verdana" w:hAnsi="Verdana"/>
          <w:color w:val="0071BB"/>
          <w:sz w:val="20"/>
          <w:szCs w:val="20"/>
        </w:rPr>
      </w:pPr>
      <w:r w:rsidRPr="004D3924">
        <w:rPr>
          <w:rFonts w:ascii="Verdana" w:hAnsi="Verdana"/>
          <w:color w:val="0071BB"/>
          <w:sz w:val="20"/>
          <w:szCs w:val="20"/>
        </w:rPr>
        <w:lastRenderedPageBreak/>
        <w:t xml:space="preserve">W niniejszej sprawie Trybunał uznał, że ze względu na wydalenie skarżących do Libanu doszło do </w:t>
      </w:r>
      <w:r w:rsidRPr="004D3924">
        <w:rPr>
          <w:rFonts w:ascii="Verdana" w:hAnsi="Verdana"/>
          <w:b/>
          <w:bCs/>
          <w:color w:val="0071BB"/>
          <w:sz w:val="20"/>
          <w:szCs w:val="20"/>
        </w:rPr>
        <w:t>naruszenia art. 3 Konwencji</w:t>
      </w:r>
      <w:r w:rsidRPr="004D3924">
        <w:rPr>
          <w:rFonts w:ascii="Verdana" w:hAnsi="Verdana"/>
          <w:color w:val="0071BB"/>
          <w:sz w:val="20"/>
          <w:szCs w:val="20"/>
        </w:rPr>
        <w:t xml:space="preserve"> (zakaz nieludzkiego lub poniżającego traktowania) oraz </w:t>
      </w:r>
      <w:r w:rsidRPr="004D3924">
        <w:rPr>
          <w:rFonts w:ascii="Verdana" w:hAnsi="Verdana"/>
          <w:b/>
          <w:bCs/>
          <w:color w:val="0071BB"/>
          <w:sz w:val="20"/>
          <w:szCs w:val="20"/>
        </w:rPr>
        <w:t>naruszenia art. 13 Konwencji</w:t>
      </w:r>
      <w:r w:rsidRPr="004D3924">
        <w:rPr>
          <w:rFonts w:ascii="Verdana" w:hAnsi="Verdana"/>
          <w:color w:val="0071BB"/>
          <w:sz w:val="20"/>
          <w:szCs w:val="20"/>
        </w:rPr>
        <w:t xml:space="preserve"> (prawo do skutecznego środka odwoławczego) </w:t>
      </w:r>
      <w:r w:rsidRPr="004D3924">
        <w:rPr>
          <w:rFonts w:ascii="Verdana" w:hAnsi="Verdana"/>
          <w:b/>
          <w:bCs/>
          <w:color w:val="0071BB"/>
          <w:sz w:val="20"/>
          <w:szCs w:val="20"/>
        </w:rPr>
        <w:t xml:space="preserve">w związku z </w:t>
      </w:r>
      <w:r>
        <w:rPr>
          <w:rFonts w:ascii="Verdana" w:hAnsi="Verdana"/>
          <w:b/>
          <w:bCs/>
          <w:color w:val="0071BB"/>
          <w:sz w:val="20"/>
          <w:szCs w:val="20"/>
        </w:rPr>
        <w:t>art.</w:t>
      </w:r>
      <w:r w:rsidRPr="004D3924">
        <w:rPr>
          <w:rFonts w:ascii="Verdana" w:hAnsi="Verdana"/>
          <w:b/>
          <w:bCs/>
          <w:color w:val="0071BB"/>
          <w:sz w:val="20"/>
          <w:szCs w:val="20"/>
        </w:rPr>
        <w:t xml:space="preserve"> 3 Konwencji oraz </w:t>
      </w:r>
      <w:r>
        <w:rPr>
          <w:rFonts w:ascii="Verdana" w:hAnsi="Verdana"/>
          <w:b/>
          <w:bCs/>
          <w:color w:val="0071BB"/>
          <w:sz w:val="20"/>
          <w:szCs w:val="20"/>
        </w:rPr>
        <w:t>art.</w:t>
      </w:r>
      <w:r w:rsidRPr="004D3924">
        <w:rPr>
          <w:rFonts w:ascii="Verdana" w:hAnsi="Verdana"/>
          <w:b/>
          <w:bCs/>
          <w:color w:val="0071BB"/>
          <w:sz w:val="20"/>
          <w:szCs w:val="20"/>
        </w:rPr>
        <w:t xml:space="preserve"> 4 Protokołu nr 4</w:t>
      </w:r>
      <w:r w:rsidRPr="004D3924">
        <w:rPr>
          <w:rFonts w:ascii="Verdana" w:hAnsi="Verdana"/>
          <w:color w:val="0071BB"/>
          <w:sz w:val="20"/>
          <w:szCs w:val="20"/>
        </w:rPr>
        <w:t xml:space="preserve">, a ze względu na sposób traktowania skarżących przez władze cypryjskie doszło do </w:t>
      </w:r>
      <w:r w:rsidRPr="004D3924">
        <w:rPr>
          <w:rFonts w:ascii="Verdana" w:hAnsi="Verdana"/>
          <w:b/>
          <w:bCs/>
          <w:color w:val="0071BB"/>
          <w:sz w:val="20"/>
          <w:szCs w:val="20"/>
        </w:rPr>
        <w:t xml:space="preserve">naruszenia </w:t>
      </w:r>
      <w:r>
        <w:rPr>
          <w:rFonts w:ascii="Verdana" w:hAnsi="Verdana"/>
          <w:b/>
          <w:bCs/>
          <w:color w:val="0071BB"/>
          <w:sz w:val="20"/>
          <w:szCs w:val="20"/>
        </w:rPr>
        <w:t>art.</w:t>
      </w:r>
      <w:r w:rsidRPr="004D3924">
        <w:rPr>
          <w:rFonts w:ascii="Verdana" w:hAnsi="Verdana"/>
          <w:b/>
          <w:bCs/>
          <w:color w:val="0071BB"/>
          <w:sz w:val="20"/>
          <w:szCs w:val="20"/>
        </w:rPr>
        <w:t xml:space="preserve"> 3 Konwencji</w:t>
      </w:r>
      <w:r w:rsidRPr="004D3924">
        <w:rPr>
          <w:rFonts w:ascii="Verdana" w:hAnsi="Verdana"/>
          <w:color w:val="0071BB"/>
          <w:sz w:val="20"/>
          <w:szCs w:val="20"/>
        </w:rPr>
        <w:t>.</w:t>
      </w:r>
    </w:p>
    <w:p w14:paraId="069A2F46" w14:textId="2118331F" w:rsidR="008B5EFF" w:rsidRPr="008B5EFF" w:rsidRDefault="008B5EFF" w:rsidP="00DE18EE">
      <w:pPr>
        <w:pBdr>
          <w:bottom w:val="single" w:sz="12" w:space="7" w:color="auto"/>
        </w:pBdr>
        <w:autoSpaceDE w:val="0"/>
        <w:autoSpaceDN w:val="0"/>
        <w:adjustRightInd w:val="0"/>
        <w:spacing w:before="120" w:after="120" w:line="240" w:lineRule="auto"/>
        <w:jc w:val="both"/>
        <w:rPr>
          <w:rFonts w:ascii="Verdana" w:hAnsi="Verdana"/>
          <w:sz w:val="20"/>
          <w:szCs w:val="20"/>
        </w:rPr>
      </w:pPr>
      <w:r w:rsidRPr="002C7FC0">
        <w:rPr>
          <w:rFonts w:ascii="Verdana" w:hAnsi="Verdana"/>
          <w:i/>
          <w:iCs/>
          <w:sz w:val="20"/>
          <w:szCs w:val="20"/>
        </w:rPr>
        <w:t>Zobacz także</w:t>
      </w:r>
      <w:r w:rsidRPr="008B5EFF">
        <w:rPr>
          <w:rFonts w:ascii="Verdana" w:hAnsi="Verdana"/>
          <w:sz w:val="20"/>
          <w:szCs w:val="20"/>
        </w:rPr>
        <w:t xml:space="preserve">, </w:t>
      </w:r>
      <w:r w:rsidR="002C7FC0">
        <w:rPr>
          <w:rFonts w:ascii="Verdana" w:hAnsi="Verdana"/>
          <w:sz w:val="20"/>
          <w:szCs w:val="20"/>
        </w:rPr>
        <w:t>nowsze</w:t>
      </w:r>
      <w:r w:rsidRPr="008B5EFF">
        <w:rPr>
          <w:rFonts w:ascii="Verdana" w:hAnsi="Verdana"/>
          <w:sz w:val="20"/>
          <w:szCs w:val="20"/>
        </w:rPr>
        <w:t>:</w:t>
      </w:r>
    </w:p>
    <w:p w14:paraId="17E525AB" w14:textId="3343DD65" w:rsidR="003E3311" w:rsidRPr="003E3311" w:rsidRDefault="003E3311" w:rsidP="003E3311">
      <w:pPr>
        <w:pBdr>
          <w:bottom w:val="single" w:sz="12" w:space="7" w:color="auto"/>
        </w:pBdr>
        <w:autoSpaceDE w:val="0"/>
        <w:autoSpaceDN w:val="0"/>
        <w:adjustRightInd w:val="0"/>
        <w:spacing w:after="0" w:line="240" w:lineRule="auto"/>
        <w:rPr>
          <w:rFonts w:ascii="Verdana" w:hAnsi="Verdana" w:cs="Verdana"/>
          <w:b/>
          <w:bCs/>
          <w:color w:val="808080"/>
          <w:sz w:val="20"/>
          <w:szCs w:val="20"/>
        </w:rPr>
      </w:pPr>
      <w:hyperlink r:id="rId28" w:history="1">
        <w:r w:rsidRPr="003E3311">
          <w:rPr>
            <w:rStyle w:val="Hipercze"/>
            <w:rFonts w:ascii="Verdana" w:hAnsi="Verdana" w:cs="Verdana"/>
            <w:b/>
            <w:bCs/>
            <w:sz w:val="20"/>
            <w:szCs w:val="20"/>
          </w:rPr>
          <w:t xml:space="preserve">M.H. i </w:t>
        </w:r>
        <w:r w:rsidR="00914594">
          <w:rPr>
            <w:rStyle w:val="Hipercze"/>
            <w:rFonts w:ascii="Verdana" w:hAnsi="Verdana" w:cs="Verdana"/>
            <w:b/>
            <w:bCs/>
            <w:sz w:val="20"/>
            <w:szCs w:val="20"/>
          </w:rPr>
          <w:t>I</w:t>
        </w:r>
        <w:r w:rsidRPr="003E3311">
          <w:rPr>
            <w:rStyle w:val="Hipercze"/>
            <w:rFonts w:ascii="Verdana" w:hAnsi="Verdana" w:cs="Verdana"/>
            <w:b/>
            <w:bCs/>
            <w:sz w:val="20"/>
            <w:szCs w:val="20"/>
          </w:rPr>
          <w:t>nni przeciwko Chorwacji (nr 15670/18)</w:t>
        </w:r>
      </w:hyperlink>
    </w:p>
    <w:p w14:paraId="3690C5BB" w14:textId="4BC6C566" w:rsidR="003E3311" w:rsidRPr="003E3311" w:rsidRDefault="003E3311" w:rsidP="00B62273">
      <w:pPr>
        <w:pBdr>
          <w:bottom w:val="single" w:sz="12" w:space="7" w:color="auto"/>
        </w:pBdr>
        <w:autoSpaceDE w:val="0"/>
        <w:autoSpaceDN w:val="0"/>
        <w:adjustRightInd w:val="0"/>
        <w:spacing w:after="120" w:line="240" w:lineRule="auto"/>
        <w:rPr>
          <w:rFonts w:ascii="Verdana" w:hAnsi="Verdana" w:cs="Verdana"/>
          <w:color w:val="808080"/>
          <w:sz w:val="20"/>
          <w:szCs w:val="20"/>
        </w:rPr>
      </w:pPr>
      <w:r w:rsidRPr="003E3311">
        <w:rPr>
          <w:rFonts w:ascii="Verdana" w:hAnsi="Verdana" w:cs="Verdana"/>
          <w:color w:val="808080"/>
          <w:sz w:val="20"/>
          <w:szCs w:val="20"/>
        </w:rPr>
        <w:t>Wyrok Izby z dnia 18 listopada 2021 rok</w:t>
      </w:r>
      <w:r w:rsidR="00A37096">
        <w:rPr>
          <w:rFonts w:ascii="Verdana" w:hAnsi="Verdana" w:cs="Verdana"/>
          <w:color w:val="808080"/>
          <w:sz w:val="20"/>
          <w:szCs w:val="20"/>
        </w:rPr>
        <w:t>u;</w:t>
      </w:r>
    </w:p>
    <w:p w14:paraId="6AFE7784" w14:textId="2ACE84EC" w:rsidR="003E3311" w:rsidRPr="00914594" w:rsidRDefault="003E3311" w:rsidP="003E3311">
      <w:pPr>
        <w:pBdr>
          <w:bottom w:val="single" w:sz="12" w:space="7" w:color="auto"/>
        </w:pBdr>
        <w:autoSpaceDE w:val="0"/>
        <w:autoSpaceDN w:val="0"/>
        <w:adjustRightInd w:val="0"/>
        <w:spacing w:after="0" w:line="240" w:lineRule="auto"/>
        <w:rPr>
          <w:rFonts w:ascii="Verdana" w:hAnsi="Verdana" w:cs="Verdana"/>
          <w:b/>
          <w:bCs/>
          <w:color w:val="808080"/>
          <w:sz w:val="20"/>
          <w:szCs w:val="20"/>
        </w:rPr>
      </w:pPr>
      <w:hyperlink r:id="rId29" w:history="1">
        <w:r w:rsidRPr="00914594">
          <w:rPr>
            <w:rStyle w:val="Hipercze"/>
            <w:rFonts w:ascii="Verdana" w:hAnsi="Verdana" w:cs="Verdana"/>
            <w:b/>
            <w:bCs/>
            <w:sz w:val="20"/>
            <w:szCs w:val="20"/>
          </w:rPr>
          <w:t>H.K. przeciwko Węgrom (nr 18531/17)</w:t>
        </w:r>
      </w:hyperlink>
    </w:p>
    <w:p w14:paraId="7758807E" w14:textId="238FB518" w:rsidR="003E3311" w:rsidRPr="003E3311" w:rsidRDefault="003E3311" w:rsidP="00B62273">
      <w:pPr>
        <w:pBdr>
          <w:bottom w:val="single" w:sz="12" w:space="7" w:color="auto"/>
        </w:pBdr>
        <w:autoSpaceDE w:val="0"/>
        <w:autoSpaceDN w:val="0"/>
        <w:adjustRightInd w:val="0"/>
        <w:spacing w:after="120" w:line="240" w:lineRule="auto"/>
        <w:rPr>
          <w:rFonts w:ascii="Verdana" w:hAnsi="Verdana" w:cs="Verdana"/>
          <w:color w:val="808080"/>
          <w:sz w:val="20"/>
          <w:szCs w:val="20"/>
        </w:rPr>
      </w:pPr>
      <w:r w:rsidRPr="003E3311">
        <w:rPr>
          <w:rFonts w:ascii="Verdana" w:hAnsi="Verdana" w:cs="Verdana"/>
          <w:color w:val="808080"/>
          <w:sz w:val="20"/>
          <w:szCs w:val="20"/>
        </w:rPr>
        <w:t>Wyrok Komitetu z dnia 22 września 2022 roku</w:t>
      </w:r>
      <w:r w:rsidR="00A37096">
        <w:rPr>
          <w:rFonts w:ascii="Verdana" w:hAnsi="Verdana" w:cs="Verdana"/>
          <w:color w:val="808080"/>
          <w:sz w:val="20"/>
          <w:szCs w:val="20"/>
        </w:rPr>
        <w:t>;</w:t>
      </w:r>
    </w:p>
    <w:p w14:paraId="194651B8" w14:textId="723F4956" w:rsidR="003E3311" w:rsidRPr="00914594" w:rsidRDefault="003E3311" w:rsidP="003E3311">
      <w:pPr>
        <w:pBdr>
          <w:bottom w:val="single" w:sz="12" w:space="7" w:color="auto"/>
        </w:pBdr>
        <w:autoSpaceDE w:val="0"/>
        <w:autoSpaceDN w:val="0"/>
        <w:adjustRightInd w:val="0"/>
        <w:spacing w:after="0" w:line="240" w:lineRule="auto"/>
        <w:rPr>
          <w:rFonts w:ascii="Verdana" w:hAnsi="Verdana" w:cs="Verdana"/>
          <w:b/>
          <w:bCs/>
          <w:color w:val="808080"/>
          <w:sz w:val="20"/>
          <w:szCs w:val="20"/>
        </w:rPr>
      </w:pPr>
      <w:hyperlink r:id="rId30" w:history="1">
        <w:r w:rsidRPr="00914594">
          <w:rPr>
            <w:rStyle w:val="Hipercze"/>
            <w:rFonts w:ascii="Verdana" w:hAnsi="Verdana" w:cs="Verdana"/>
            <w:b/>
            <w:bCs/>
            <w:sz w:val="20"/>
            <w:szCs w:val="20"/>
          </w:rPr>
          <w:t>R.N. przeciwko Węgrom (nr 71/18)</w:t>
        </w:r>
      </w:hyperlink>
    </w:p>
    <w:p w14:paraId="264909A2" w14:textId="5B2327CB" w:rsidR="003E3311" w:rsidRPr="003E3311" w:rsidRDefault="003E3311" w:rsidP="00B62273">
      <w:pPr>
        <w:pBdr>
          <w:bottom w:val="single" w:sz="12" w:space="7" w:color="auto"/>
        </w:pBdr>
        <w:autoSpaceDE w:val="0"/>
        <w:autoSpaceDN w:val="0"/>
        <w:adjustRightInd w:val="0"/>
        <w:spacing w:after="120" w:line="240" w:lineRule="auto"/>
        <w:rPr>
          <w:rFonts w:ascii="Verdana" w:hAnsi="Verdana" w:cs="Verdana"/>
          <w:color w:val="808080"/>
          <w:sz w:val="20"/>
          <w:szCs w:val="20"/>
        </w:rPr>
      </w:pPr>
      <w:r w:rsidRPr="003E3311">
        <w:rPr>
          <w:rFonts w:ascii="Verdana" w:hAnsi="Verdana" w:cs="Verdana"/>
          <w:color w:val="808080"/>
          <w:sz w:val="20"/>
          <w:szCs w:val="20"/>
        </w:rPr>
        <w:t>Wyrok Komitetu z dnia 4 maja 2023 roku</w:t>
      </w:r>
      <w:r w:rsidR="00A37096">
        <w:rPr>
          <w:rFonts w:ascii="Verdana" w:hAnsi="Verdana" w:cs="Verdana"/>
          <w:color w:val="808080"/>
          <w:sz w:val="20"/>
          <w:szCs w:val="20"/>
        </w:rPr>
        <w:t>;</w:t>
      </w:r>
    </w:p>
    <w:p w14:paraId="5B034D43" w14:textId="0068DDEA" w:rsidR="003E3311" w:rsidRPr="00914594" w:rsidRDefault="003E3311" w:rsidP="003E3311">
      <w:pPr>
        <w:pBdr>
          <w:bottom w:val="single" w:sz="12" w:space="7" w:color="auto"/>
        </w:pBdr>
        <w:autoSpaceDE w:val="0"/>
        <w:autoSpaceDN w:val="0"/>
        <w:adjustRightInd w:val="0"/>
        <w:spacing w:after="0" w:line="240" w:lineRule="auto"/>
        <w:rPr>
          <w:rFonts w:ascii="Verdana" w:hAnsi="Verdana" w:cs="Verdana"/>
          <w:b/>
          <w:bCs/>
          <w:color w:val="808080"/>
          <w:sz w:val="20"/>
          <w:szCs w:val="20"/>
        </w:rPr>
      </w:pPr>
      <w:hyperlink r:id="rId31" w:history="1">
        <w:r w:rsidRPr="00914594">
          <w:rPr>
            <w:rStyle w:val="Hipercze"/>
            <w:rFonts w:ascii="Verdana" w:hAnsi="Verdana" w:cs="Verdana"/>
            <w:b/>
            <w:bCs/>
            <w:sz w:val="20"/>
            <w:szCs w:val="20"/>
          </w:rPr>
          <w:t xml:space="preserve">S.S. i </w:t>
        </w:r>
        <w:r w:rsidR="00914594" w:rsidRPr="00914594">
          <w:rPr>
            <w:rStyle w:val="Hipercze"/>
            <w:rFonts w:ascii="Verdana" w:hAnsi="Verdana" w:cs="Verdana"/>
            <w:b/>
            <w:bCs/>
            <w:sz w:val="20"/>
            <w:szCs w:val="20"/>
          </w:rPr>
          <w:t>I</w:t>
        </w:r>
        <w:r w:rsidRPr="00914594">
          <w:rPr>
            <w:rStyle w:val="Hipercze"/>
            <w:rFonts w:ascii="Verdana" w:hAnsi="Verdana" w:cs="Verdana"/>
            <w:b/>
            <w:bCs/>
            <w:sz w:val="20"/>
            <w:szCs w:val="20"/>
          </w:rPr>
          <w:t>nni przeciwko Węgrom (nr 56417/19 i 44245/20)</w:t>
        </w:r>
      </w:hyperlink>
    </w:p>
    <w:p w14:paraId="33F7397E" w14:textId="6EBA7AEC" w:rsidR="003E3311" w:rsidRPr="003E3311" w:rsidRDefault="003E3311" w:rsidP="00B62273">
      <w:pPr>
        <w:pBdr>
          <w:bottom w:val="single" w:sz="12" w:space="7" w:color="auto"/>
        </w:pBdr>
        <w:autoSpaceDE w:val="0"/>
        <w:autoSpaceDN w:val="0"/>
        <w:adjustRightInd w:val="0"/>
        <w:spacing w:after="120" w:line="240" w:lineRule="auto"/>
        <w:rPr>
          <w:rFonts w:ascii="Verdana" w:hAnsi="Verdana" w:cs="Verdana"/>
          <w:color w:val="808080"/>
          <w:sz w:val="20"/>
          <w:szCs w:val="20"/>
        </w:rPr>
      </w:pPr>
      <w:r w:rsidRPr="003E3311">
        <w:rPr>
          <w:rFonts w:ascii="Verdana" w:hAnsi="Verdana" w:cs="Verdana"/>
          <w:color w:val="808080"/>
          <w:sz w:val="20"/>
          <w:szCs w:val="20"/>
        </w:rPr>
        <w:t>Wyrok Izby z dnia 12 października 2023 roku</w:t>
      </w:r>
      <w:r w:rsidR="00A37096">
        <w:rPr>
          <w:rFonts w:ascii="Verdana" w:hAnsi="Verdana" w:cs="Verdana"/>
          <w:color w:val="808080"/>
          <w:sz w:val="20"/>
          <w:szCs w:val="20"/>
        </w:rPr>
        <w:t>;</w:t>
      </w:r>
    </w:p>
    <w:p w14:paraId="2E655DF5" w14:textId="4E3F0D61" w:rsidR="003E3311" w:rsidRPr="00914594" w:rsidRDefault="003E3311" w:rsidP="003E3311">
      <w:pPr>
        <w:pBdr>
          <w:bottom w:val="single" w:sz="12" w:space="7" w:color="auto"/>
        </w:pBdr>
        <w:autoSpaceDE w:val="0"/>
        <w:autoSpaceDN w:val="0"/>
        <w:adjustRightInd w:val="0"/>
        <w:spacing w:after="0" w:line="240" w:lineRule="auto"/>
        <w:rPr>
          <w:rFonts w:ascii="Verdana" w:hAnsi="Verdana" w:cs="Verdana"/>
          <w:b/>
          <w:bCs/>
          <w:color w:val="808080"/>
          <w:sz w:val="20"/>
          <w:szCs w:val="20"/>
        </w:rPr>
      </w:pPr>
      <w:hyperlink r:id="rId32" w:history="1">
        <w:r w:rsidRPr="00914594">
          <w:rPr>
            <w:rStyle w:val="Hipercze"/>
            <w:rFonts w:ascii="Verdana" w:hAnsi="Verdana" w:cs="Verdana"/>
            <w:b/>
            <w:bCs/>
            <w:sz w:val="20"/>
            <w:szCs w:val="20"/>
          </w:rPr>
          <w:t>K.P. przeciwko Węgrom (nr 82479/17)</w:t>
        </w:r>
      </w:hyperlink>
    </w:p>
    <w:p w14:paraId="1061B536" w14:textId="030AAA52" w:rsidR="003E3311" w:rsidRDefault="003E3311" w:rsidP="00B62273">
      <w:pPr>
        <w:pBdr>
          <w:bottom w:val="single" w:sz="12" w:space="7" w:color="auto"/>
        </w:pBdr>
        <w:autoSpaceDE w:val="0"/>
        <w:autoSpaceDN w:val="0"/>
        <w:adjustRightInd w:val="0"/>
        <w:spacing w:after="120" w:line="240" w:lineRule="auto"/>
        <w:rPr>
          <w:rFonts w:ascii="Verdana" w:hAnsi="Verdana" w:cs="Verdana"/>
          <w:color w:val="808080"/>
          <w:sz w:val="20"/>
          <w:szCs w:val="20"/>
        </w:rPr>
      </w:pPr>
      <w:r w:rsidRPr="003E3311">
        <w:rPr>
          <w:rFonts w:ascii="Verdana" w:hAnsi="Verdana" w:cs="Verdana"/>
          <w:color w:val="808080"/>
          <w:sz w:val="20"/>
          <w:szCs w:val="20"/>
        </w:rPr>
        <w:t>Wyrok Komitetu z dnia 18 stycznia 2024 rok</w:t>
      </w:r>
      <w:r>
        <w:rPr>
          <w:rFonts w:ascii="Verdana" w:hAnsi="Verdana" w:cs="Verdana"/>
          <w:color w:val="808080"/>
          <w:sz w:val="20"/>
          <w:szCs w:val="20"/>
        </w:rPr>
        <w:t>u</w:t>
      </w:r>
      <w:r w:rsidR="00A37096">
        <w:rPr>
          <w:rFonts w:ascii="Verdana" w:hAnsi="Verdana" w:cs="Verdana"/>
          <w:color w:val="808080"/>
          <w:sz w:val="20"/>
          <w:szCs w:val="20"/>
        </w:rPr>
        <w:t>;</w:t>
      </w:r>
    </w:p>
    <w:p w14:paraId="0F4BDB5B" w14:textId="0FFF3229" w:rsidR="003E3311" w:rsidRPr="00914594" w:rsidRDefault="003E3311" w:rsidP="003E3311">
      <w:pPr>
        <w:pBdr>
          <w:bottom w:val="single" w:sz="12" w:space="7" w:color="auto"/>
        </w:pBdr>
        <w:autoSpaceDE w:val="0"/>
        <w:autoSpaceDN w:val="0"/>
        <w:adjustRightInd w:val="0"/>
        <w:spacing w:after="0" w:line="240" w:lineRule="auto"/>
        <w:rPr>
          <w:rFonts w:ascii="Verdana" w:hAnsi="Verdana" w:cs="Verdana"/>
          <w:b/>
          <w:bCs/>
          <w:color w:val="808080"/>
          <w:sz w:val="20"/>
          <w:szCs w:val="20"/>
        </w:rPr>
      </w:pPr>
      <w:hyperlink r:id="rId33" w:history="1">
        <w:proofErr w:type="spellStart"/>
        <w:r w:rsidRPr="00914594">
          <w:rPr>
            <w:rStyle w:val="Hipercze"/>
            <w:rFonts w:ascii="Verdana" w:hAnsi="Verdana" w:cs="Verdana"/>
            <w:b/>
            <w:bCs/>
            <w:sz w:val="20"/>
            <w:szCs w:val="20"/>
          </w:rPr>
          <w:t>Sherov</w:t>
        </w:r>
        <w:proofErr w:type="spellEnd"/>
        <w:r w:rsidRPr="00914594">
          <w:rPr>
            <w:rStyle w:val="Hipercze"/>
            <w:rFonts w:ascii="Verdana" w:hAnsi="Verdana" w:cs="Verdana"/>
            <w:b/>
            <w:bCs/>
            <w:sz w:val="20"/>
            <w:szCs w:val="20"/>
          </w:rPr>
          <w:t xml:space="preserve"> i </w:t>
        </w:r>
        <w:r w:rsidR="00914594" w:rsidRPr="00914594">
          <w:rPr>
            <w:rStyle w:val="Hipercze"/>
            <w:rFonts w:ascii="Verdana" w:hAnsi="Verdana" w:cs="Verdana"/>
            <w:b/>
            <w:bCs/>
            <w:sz w:val="20"/>
            <w:szCs w:val="20"/>
          </w:rPr>
          <w:t>I</w:t>
        </w:r>
        <w:r w:rsidRPr="00914594">
          <w:rPr>
            <w:rStyle w:val="Hipercze"/>
            <w:rFonts w:ascii="Verdana" w:hAnsi="Verdana" w:cs="Verdana"/>
            <w:b/>
            <w:bCs/>
            <w:sz w:val="20"/>
            <w:szCs w:val="20"/>
          </w:rPr>
          <w:t>nni przeciwko Polsce (nr 54029/17 i trzy inne)</w:t>
        </w:r>
      </w:hyperlink>
    </w:p>
    <w:p w14:paraId="462FF95F" w14:textId="4B34C58F" w:rsidR="003E3311" w:rsidRPr="003E3311" w:rsidRDefault="003E3311" w:rsidP="00B62273">
      <w:pPr>
        <w:pBdr>
          <w:bottom w:val="single" w:sz="12" w:space="7" w:color="auto"/>
        </w:pBdr>
        <w:autoSpaceDE w:val="0"/>
        <w:autoSpaceDN w:val="0"/>
        <w:adjustRightInd w:val="0"/>
        <w:spacing w:after="120" w:line="240" w:lineRule="auto"/>
        <w:rPr>
          <w:rFonts w:ascii="Verdana" w:hAnsi="Verdana" w:cs="Verdana"/>
          <w:color w:val="808080"/>
          <w:sz w:val="20"/>
          <w:szCs w:val="20"/>
        </w:rPr>
      </w:pPr>
      <w:r w:rsidRPr="003E3311">
        <w:rPr>
          <w:rFonts w:ascii="Verdana" w:hAnsi="Verdana" w:cs="Verdana"/>
          <w:color w:val="808080"/>
          <w:sz w:val="20"/>
          <w:szCs w:val="20"/>
        </w:rPr>
        <w:t>Wyrok Izby z dnia 4 kwietnia 2024 roku</w:t>
      </w:r>
      <w:r w:rsidR="00A37096">
        <w:rPr>
          <w:rFonts w:ascii="Verdana" w:hAnsi="Verdana" w:cs="Verdana"/>
          <w:color w:val="808080"/>
          <w:sz w:val="20"/>
          <w:szCs w:val="20"/>
        </w:rPr>
        <w:t>;</w:t>
      </w:r>
    </w:p>
    <w:p w14:paraId="397E8429" w14:textId="52C85007" w:rsidR="003E3311" w:rsidRPr="00914594" w:rsidRDefault="003E3311" w:rsidP="003E3311">
      <w:pPr>
        <w:pBdr>
          <w:bottom w:val="single" w:sz="12" w:space="7" w:color="auto"/>
        </w:pBdr>
        <w:autoSpaceDE w:val="0"/>
        <w:autoSpaceDN w:val="0"/>
        <w:adjustRightInd w:val="0"/>
        <w:spacing w:after="0" w:line="240" w:lineRule="auto"/>
        <w:rPr>
          <w:rFonts w:ascii="Verdana" w:hAnsi="Verdana" w:cs="Verdana"/>
          <w:b/>
          <w:bCs/>
          <w:color w:val="808080"/>
          <w:sz w:val="20"/>
          <w:szCs w:val="20"/>
        </w:rPr>
      </w:pPr>
      <w:hyperlink r:id="rId34" w:history="1">
        <w:r w:rsidRPr="00914594">
          <w:rPr>
            <w:rStyle w:val="Hipercze"/>
            <w:rFonts w:ascii="Verdana" w:hAnsi="Verdana" w:cs="Verdana"/>
            <w:b/>
            <w:bCs/>
            <w:sz w:val="20"/>
            <w:szCs w:val="20"/>
          </w:rPr>
          <w:t xml:space="preserve">M.D. i </w:t>
        </w:r>
        <w:r w:rsidR="00914594" w:rsidRPr="00914594">
          <w:rPr>
            <w:rStyle w:val="Hipercze"/>
            <w:rFonts w:ascii="Verdana" w:hAnsi="Verdana" w:cs="Verdana"/>
            <w:b/>
            <w:bCs/>
            <w:sz w:val="20"/>
            <w:szCs w:val="20"/>
          </w:rPr>
          <w:t>I</w:t>
        </w:r>
        <w:r w:rsidRPr="00914594">
          <w:rPr>
            <w:rStyle w:val="Hipercze"/>
            <w:rFonts w:ascii="Verdana" w:hAnsi="Verdana" w:cs="Verdana"/>
            <w:b/>
            <w:bCs/>
            <w:sz w:val="20"/>
            <w:szCs w:val="20"/>
          </w:rPr>
          <w:t>nni przeciwko Węgrom (nr 60778/19)</w:t>
        </w:r>
      </w:hyperlink>
    </w:p>
    <w:p w14:paraId="5D749C1D" w14:textId="428BDA84" w:rsidR="003E3311" w:rsidRPr="008B5EFF" w:rsidRDefault="003E3311" w:rsidP="003E3311">
      <w:pPr>
        <w:pBdr>
          <w:bottom w:val="single" w:sz="12" w:space="7" w:color="auto"/>
        </w:pBdr>
        <w:autoSpaceDE w:val="0"/>
        <w:autoSpaceDN w:val="0"/>
        <w:adjustRightInd w:val="0"/>
        <w:spacing w:after="0" w:line="240" w:lineRule="auto"/>
        <w:rPr>
          <w:rFonts w:ascii="Verdana" w:hAnsi="Verdana" w:cs="Verdana"/>
          <w:color w:val="808080"/>
          <w:sz w:val="20"/>
          <w:szCs w:val="20"/>
        </w:rPr>
      </w:pPr>
      <w:r w:rsidRPr="003E3311">
        <w:rPr>
          <w:rFonts w:ascii="Verdana" w:hAnsi="Verdana" w:cs="Verdana"/>
          <w:color w:val="808080"/>
          <w:sz w:val="20"/>
          <w:szCs w:val="20"/>
        </w:rPr>
        <w:t>Wyrok Izby z dnia 19 września 2024 roku</w:t>
      </w:r>
      <w:r w:rsidR="00A37096">
        <w:rPr>
          <w:rFonts w:ascii="Verdana" w:hAnsi="Verdana" w:cs="Verdana"/>
          <w:color w:val="808080"/>
          <w:sz w:val="20"/>
          <w:szCs w:val="20"/>
        </w:rPr>
        <w:t>.</w:t>
      </w:r>
      <w:r w:rsidR="00C514EF">
        <w:rPr>
          <w:rStyle w:val="Odwoanieprzypisudolnego"/>
          <w:rFonts w:ascii="Verdana" w:hAnsi="Verdana" w:cs="Verdana"/>
          <w:color w:val="808080"/>
          <w:sz w:val="20"/>
          <w:szCs w:val="20"/>
        </w:rPr>
        <w:footnoteReference w:id="7"/>
      </w:r>
    </w:p>
    <w:p w14:paraId="093957EE" w14:textId="77777777" w:rsidR="005F4B43" w:rsidRPr="005F4B43" w:rsidRDefault="005F4B43" w:rsidP="009B1912">
      <w:pPr>
        <w:pBdr>
          <w:bottom w:val="single" w:sz="12" w:space="7" w:color="auto"/>
        </w:pBdr>
        <w:autoSpaceDE w:val="0"/>
        <w:autoSpaceDN w:val="0"/>
        <w:adjustRightInd w:val="0"/>
        <w:spacing w:after="0" w:line="240" w:lineRule="auto"/>
        <w:jc w:val="both"/>
        <w:rPr>
          <w:rFonts w:ascii="Verdana" w:hAnsi="Verdana"/>
          <w:color w:val="404040"/>
          <w:sz w:val="20"/>
          <w:szCs w:val="20"/>
        </w:rPr>
      </w:pPr>
    </w:p>
    <w:p w14:paraId="2355192D" w14:textId="0834E39F" w:rsidR="00B35105" w:rsidRPr="00FA2EAD" w:rsidRDefault="00B35105" w:rsidP="009B1912">
      <w:pPr>
        <w:pBdr>
          <w:bottom w:val="single" w:sz="12" w:space="7" w:color="auto"/>
        </w:pBdr>
        <w:autoSpaceDE w:val="0"/>
        <w:autoSpaceDN w:val="0"/>
        <w:adjustRightInd w:val="0"/>
        <w:spacing w:after="0" w:line="240" w:lineRule="auto"/>
        <w:jc w:val="both"/>
        <w:rPr>
          <w:rFonts w:ascii="Verdana" w:hAnsi="Verdana" w:cs="Verdana"/>
          <w:color w:val="33CCCC"/>
          <w:sz w:val="28"/>
          <w:szCs w:val="28"/>
        </w:rPr>
      </w:pPr>
      <w:r>
        <w:rPr>
          <w:rFonts w:ascii="Verdana" w:hAnsi="Verdana" w:cs="Verdana"/>
          <w:color w:val="0072BD"/>
          <w:sz w:val="28"/>
          <w:szCs w:val="28"/>
        </w:rPr>
        <w:t xml:space="preserve">Sprawy, w których Trybunał </w:t>
      </w:r>
      <w:r w:rsidR="004D3924">
        <w:rPr>
          <w:rFonts w:ascii="Verdana" w:hAnsi="Verdana" w:cs="Verdana"/>
          <w:color w:val="0072BD"/>
          <w:sz w:val="28"/>
          <w:szCs w:val="28"/>
        </w:rPr>
        <w:t xml:space="preserve">nie </w:t>
      </w:r>
      <w:r>
        <w:rPr>
          <w:rFonts w:ascii="Verdana" w:hAnsi="Verdana" w:cs="Verdana"/>
          <w:color w:val="0072BD"/>
          <w:sz w:val="28"/>
          <w:szCs w:val="28"/>
        </w:rPr>
        <w:t>stwierdził naruszeni</w:t>
      </w:r>
      <w:r w:rsidR="004D3924">
        <w:rPr>
          <w:rFonts w:ascii="Verdana" w:hAnsi="Verdana" w:cs="Verdana"/>
          <w:color w:val="0072BD"/>
          <w:sz w:val="28"/>
          <w:szCs w:val="28"/>
        </w:rPr>
        <w:t>a</w:t>
      </w:r>
      <w:r>
        <w:rPr>
          <w:rFonts w:ascii="Verdana" w:hAnsi="Verdana" w:cs="Verdana"/>
          <w:color w:val="0072BD"/>
          <w:sz w:val="28"/>
          <w:szCs w:val="28"/>
        </w:rPr>
        <w:t xml:space="preserve"> art. 4 Protokołu nr 4 do Konwencji</w:t>
      </w:r>
    </w:p>
    <w:bookmarkEnd w:id="6"/>
    <w:p w14:paraId="12B393F0" w14:textId="77777777" w:rsidR="00B35105" w:rsidRPr="00E6498A" w:rsidRDefault="00B35105" w:rsidP="002A4B3D">
      <w:pPr>
        <w:autoSpaceDE w:val="0"/>
        <w:autoSpaceDN w:val="0"/>
        <w:adjustRightInd w:val="0"/>
        <w:spacing w:after="0" w:line="240" w:lineRule="auto"/>
        <w:jc w:val="both"/>
        <w:rPr>
          <w:rFonts w:ascii="Verdana" w:hAnsi="Verdana" w:cs="Verdana"/>
          <w:color w:val="0070C0"/>
          <w:sz w:val="20"/>
          <w:szCs w:val="20"/>
          <w:u w:val="single"/>
        </w:rPr>
      </w:pPr>
    </w:p>
    <w:p w14:paraId="0E3F27B2" w14:textId="74D37D31" w:rsidR="00B35105" w:rsidRPr="00B21606" w:rsidRDefault="00B35105" w:rsidP="002A4B3D">
      <w:pPr>
        <w:autoSpaceDE w:val="0"/>
        <w:autoSpaceDN w:val="0"/>
        <w:adjustRightInd w:val="0"/>
        <w:spacing w:after="0" w:line="240" w:lineRule="auto"/>
        <w:jc w:val="both"/>
        <w:rPr>
          <w:rFonts w:ascii="Verdana" w:hAnsi="Verdana" w:cs="Verdana"/>
          <w:b/>
          <w:bCs/>
          <w:color w:val="0070C0"/>
          <w:sz w:val="20"/>
          <w:szCs w:val="20"/>
        </w:rPr>
      </w:pPr>
      <w:hyperlink r:id="rId35" w:history="1">
        <w:proofErr w:type="spellStart"/>
        <w:r w:rsidRPr="00724E07">
          <w:rPr>
            <w:rStyle w:val="Hipercze"/>
            <w:rFonts w:ascii="Verdana" w:hAnsi="Verdana" w:cs="Verdana"/>
            <w:b/>
            <w:bCs/>
            <w:sz w:val="20"/>
            <w:szCs w:val="20"/>
          </w:rPr>
          <w:t>Sultani</w:t>
        </w:r>
        <w:proofErr w:type="spellEnd"/>
        <w:r w:rsidRPr="00724E07">
          <w:rPr>
            <w:rStyle w:val="Hipercze"/>
            <w:rFonts w:ascii="Verdana" w:hAnsi="Verdana" w:cs="Verdana"/>
            <w:b/>
            <w:bCs/>
            <w:sz w:val="20"/>
            <w:szCs w:val="20"/>
          </w:rPr>
          <w:t xml:space="preserve"> przeciwko Francji</w:t>
        </w:r>
      </w:hyperlink>
      <w:r w:rsidRPr="00B21606">
        <w:rPr>
          <w:rFonts w:ascii="Verdana" w:hAnsi="Verdana" w:cs="Verdana"/>
          <w:b/>
          <w:bCs/>
          <w:color w:val="0070C0"/>
          <w:sz w:val="20"/>
          <w:szCs w:val="20"/>
        </w:rPr>
        <w:t xml:space="preserve"> </w:t>
      </w:r>
    </w:p>
    <w:p w14:paraId="27E29269" w14:textId="47504DF4" w:rsidR="00B35105" w:rsidRPr="000D1C49" w:rsidRDefault="00B35105" w:rsidP="002A4B3D">
      <w:pPr>
        <w:autoSpaceDE w:val="0"/>
        <w:autoSpaceDN w:val="0"/>
        <w:adjustRightInd w:val="0"/>
        <w:spacing w:after="0" w:line="240" w:lineRule="auto"/>
        <w:jc w:val="both"/>
        <w:rPr>
          <w:rFonts w:ascii="Verdana" w:hAnsi="Verdana" w:cs="Verdana"/>
          <w:color w:val="808080"/>
          <w:sz w:val="20"/>
          <w:szCs w:val="20"/>
        </w:rPr>
      </w:pPr>
      <w:r w:rsidRPr="000D1C49">
        <w:rPr>
          <w:rFonts w:ascii="Verdana" w:hAnsi="Verdana" w:cs="Verdana"/>
          <w:color w:val="808080"/>
          <w:sz w:val="20"/>
          <w:szCs w:val="20"/>
        </w:rPr>
        <w:t>Wyrok Izby z dnia 20 września 2007</w:t>
      </w:r>
      <w:r w:rsidR="00533D71">
        <w:rPr>
          <w:rFonts w:ascii="Verdana" w:hAnsi="Verdana" w:cs="Verdana"/>
          <w:color w:val="808080"/>
          <w:sz w:val="20"/>
          <w:szCs w:val="20"/>
        </w:rPr>
        <w:t xml:space="preserve"> </w:t>
      </w:r>
      <w:r w:rsidR="00E2019D">
        <w:rPr>
          <w:color w:val="808080"/>
          <w:sz w:val="20"/>
          <w:szCs w:val="20"/>
        </w:rPr>
        <w:t>r.</w:t>
      </w:r>
    </w:p>
    <w:p w14:paraId="3A178935" w14:textId="0785A845" w:rsidR="00B35105" w:rsidRPr="00E6498A" w:rsidRDefault="00B35105" w:rsidP="002A4B3D">
      <w:pPr>
        <w:autoSpaceDE w:val="0"/>
        <w:autoSpaceDN w:val="0"/>
        <w:adjustRightInd w:val="0"/>
        <w:spacing w:after="0" w:line="240" w:lineRule="auto"/>
        <w:jc w:val="both"/>
        <w:rPr>
          <w:rFonts w:ascii="Verdana" w:hAnsi="Verdana" w:cs="Verdana"/>
          <w:sz w:val="20"/>
          <w:szCs w:val="20"/>
        </w:rPr>
      </w:pPr>
      <w:r w:rsidRPr="00E6498A">
        <w:rPr>
          <w:rFonts w:ascii="Verdana" w:hAnsi="Verdana" w:cs="Verdana"/>
          <w:sz w:val="20"/>
          <w:szCs w:val="20"/>
        </w:rPr>
        <w:t xml:space="preserve">Ta sprawa dotyczyła ryzyka deportacji na zbiorowym rejsie lotniczym służącym deportacji nielegalnych imigrantów. Skarżący </w:t>
      </w:r>
      <w:r w:rsidR="00E6498A" w:rsidRPr="00E6498A">
        <w:rPr>
          <w:rFonts w:ascii="Verdana" w:hAnsi="Verdana" w:cs="Verdana"/>
          <w:sz w:val="20"/>
          <w:szCs w:val="20"/>
        </w:rPr>
        <w:t xml:space="preserve">podniósł w szczególności, że w przypadku deportacji do Afganistanu grozi mu ryzyko nieludzkiego lub poniżającego traktowania. Skarżący podważał </w:t>
      </w:r>
      <w:r w:rsidR="002001B5">
        <w:rPr>
          <w:rFonts w:ascii="Verdana" w:hAnsi="Verdana" w:cs="Verdana"/>
          <w:sz w:val="20"/>
          <w:szCs w:val="20"/>
        </w:rPr>
        <w:t>prowadzone wobec siebie postepowanie deportacyjne</w:t>
      </w:r>
      <w:r w:rsidR="00E6498A" w:rsidRPr="00E6498A">
        <w:rPr>
          <w:rFonts w:ascii="Verdana" w:hAnsi="Verdana" w:cs="Verdana"/>
          <w:sz w:val="20"/>
          <w:szCs w:val="20"/>
        </w:rPr>
        <w:t xml:space="preserve">, a w szczególności krótki czas, w jakim Francuska Agencja ds. Ochrony Uchodźców i Bezpaństwowców (OFPRA) rozpoznała  jego drugi wniosek azylowy.  </w:t>
      </w:r>
    </w:p>
    <w:p w14:paraId="33F77F89" w14:textId="2A2CB180" w:rsidR="00B35105" w:rsidRPr="00E6498A" w:rsidRDefault="00E6498A" w:rsidP="00DE18EE">
      <w:pPr>
        <w:autoSpaceDE w:val="0"/>
        <w:autoSpaceDN w:val="0"/>
        <w:adjustRightInd w:val="0"/>
        <w:spacing w:after="120" w:line="240" w:lineRule="auto"/>
        <w:jc w:val="both"/>
        <w:rPr>
          <w:rFonts w:ascii="Verdana" w:hAnsi="Verdana" w:cs="Verdana"/>
          <w:color w:val="0070C0"/>
          <w:sz w:val="20"/>
          <w:szCs w:val="20"/>
        </w:rPr>
      </w:pPr>
      <w:r w:rsidRPr="00E6498A">
        <w:rPr>
          <w:rFonts w:ascii="Verdana" w:hAnsi="Verdana" w:cs="Verdana"/>
          <w:color w:val="0070C0"/>
          <w:sz w:val="20"/>
          <w:szCs w:val="20"/>
        </w:rPr>
        <w:t>Trybunał</w:t>
      </w:r>
      <w:r w:rsidRPr="00E6498A">
        <w:rPr>
          <w:rFonts w:ascii="Verdana" w:hAnsi="Verdana" w:cs="Verdana"/>
          <w:b/>
          <w:bCs/>
          <w:color w:val="0070C0"/>
          <w:sz w:val="20"/>
          <w:szCs w:val="20"/>
        </w:rPr>
        <w:t xml:space="preserve"> stwierdził</w:t>
      </w:r>
      <w:r>
        <w:rPr>
          <w:rFonts w:ascii="Verdana" w:hAnsi="Verdana" w:cs="Verdana"/>
          <w:b/>
          <w:bCs/>
          <w:color w:val="0070C0"/>
          <w:sz w:val="20"/>
          <w:szCs w:val="20"/>
        </w:rPr>
        <w:t xml:space="preserve">, że nie </w:t>
      </w:r>
      <w:r w:rsidR="00FA2FD3">
        <w:rPr>
          <w:rFonts w:ascii="Verdana" w:hAnsi="Verdana" w:cs="Verdana"/>
          <w:b/>
          <w:bCs/>
          <w:color w:val="0070C0"/>
          <w:sz w:val="20"/>
          <w:szCs w:val="20"/>
        </w:rPr>
        <w:t>doszłoby</w:t>
      </w:r>
      <w:r w:rsidR="00B35105" w:rsidRPr="00E6498A">
        <w:rPr>
          <w:rFonts w:ascii="Verdana" w:hAnsi="Verdana" w:cs="Verdana"/>
          <w:b/>
          <w:bCs/>
          <w:color w:val="0070C0"/>
          <w:sz w:val="20"/>
          <w:szCs w:val="20"/>
        </w:rPr>
        <w:t xml:space="preserve"> naruszenia art. 4 Protokołu nr 4 do Konwencji</w:t>
      </w:r>
      <w:r>
        <w:rPr>
          <w:rFonts w:ascii="Verdana" w:hAnsi="Verdana" w:cs="Verdana"/>
          <w:b/>
          <w:bCs/>
          <w:color w:val="0070C0"/>
          <w:sz w:val="20"/>
          <w:szCs w:val="20"/>
        </w:rPr>
        <w:t xml:space="preserve"> gdyby weszła w życie decyzja w sprawie deportacji</w:t>
      </w:r>
      <w:r>
        <w:rPr>
          <w:rFonts w:ascii="Verdana" w:hAnsi="Verdana" w:cs="Verdana"/>
          <w:color w:val="0070C0"/>
          <w:sz w:val="20"/>
          <w:szCs w:val="20"/>
        </w:rPr>
        <w:t>.</w:t>
      </w:r>
      <w:r w:rsidR="00B35105" w:rsidRPr="00E6498A">
        <w:rPr>
          <w:rFonts w:ascii="Verdana" w:hAnsi="Verdana" w:cs="Verdana"/>
          <w:color w:val="0070C0"/>
          <w:sz w:val="20"/>
          <w:szCs w:val="20"/>
        </w:rPr>
        <w:t xml:space="preserve"> </w:t>
      </w:r>
      <w:r>
        <w:rPr>
          <w:rFonts w:ascii="Verdana" w:hAnsi="Verdana" w:cs="Verdana"/>
          <w:color w:val="0070C0"/>
          <w:sz w:val="20"/>
          <w:szCs w:val="20"/>
        </w:rPr>
        <w:t>Francuskie w</w:t>
      </w:r>
      <w:r w:rsidR="00B35105" w:rsidRPr="00E6498A">
        <w:rPr>
          <w:rFonts w:ascii="Verdana" w:hAnsi="Verdana" w:cs="Verdana"/>
          <w:color w:val="0070C0"/>
          <w:sz w:val="20"/>
          <w:szCs w:val="20"/>
        </w:rPr>
        <w:t>ładze, podejmując decyzję o odmowie udzielenia skarżącemu azylu, wzięły pod uwagę nie tylko całokształt sytuacji w Afganistanie, ale także oświadczenia samego skarżącego odnośnie jego sytuacji osobistej i domniemanych zagrożeń w przypadku wydalenia. Sytuacja skarżącego została oceniona jednostkowo, wyniku czego stwierdzono istnienie podstaw do wydalenia.</w:t>
      </w:r>
      <w:r>
        <w:rPr>
          <w:rFonts w:ascii="Verdana" w:hAnsi="Verdana" w:cs="Verdana"/>
          <w:color w:val="0070C0"/>
          <w:sz w:val="20"/>
          <w:szCs w:val="20"/>
        </w:rPr>
        <w:t xml:space="preserve"> W tej sprawie Trybunał stwierdził, że </w:t>
      </w:r>
      <w:r w:rsidR="00FA2FD3" w:rsidRPr="00FA2FD3">
        <w:rPr>
          <w:rFonts w:ascii="Verdana" w:hAnsi="Verdana" w:cs="Verdana"/>
          <w:b/>
          <w:bCs/>
          <w:color w:val="0070C0"/>
          <w:sz w:val="20"/>
          <w:szCs w:val="20"/>
        </w:rPr>
        <w:t xml:space="preserve">nie </w:t>
      </w:r>
      <w:r w:rsidR="00FA2FD3">
        <w:rPr>
          <w:rFonts w:ascii="Verdana" w:hAnsi="Verdana" w:cs="Verdana"/>
          <w:b/>
          <w:bCs/>
          <w:color w:val="0070C0"/>
          <w:sz w:val="20"/>
          <w:szCs w:val="20"/>
        </w:rPr>
        <w:t>doszłoby</w:t>
      </w:r>
      <w:r w:rsidR="00FA2FD3" w:rsidRPr="00FA2FD3">
        <w:rPr>
          <w:rFonts w:ascii="Verdana" w:hAnsi="Verdana" w:cs="Verdana"/>
          <w:b/>
          <w:bCs/>
          <w:color w:val="0070C0"/>
          <w:sz w:val="20"/>
          <w:szCs w:val="20"/>
        </w:rPr>
        <w:t xml:space="preserve"> naruszenia art. 3 Konwencji</w:t>
      </w:r>
      <w:r w:rsidR="00FA2FD3">
        <w:rPr>
          <w:rFonts w:ascii="Verdana" w:hAnsi="Verdana" w:cs="Verdana"/>
          <w:color w:val="0070C0"/>
          <w:sz w:val="20"/>
          <w:szCs w:val="20"/>
        </w:rPr>
        <w:t xml:space="preserve"> (zakaz tortur i nieludzkiego traktowania) gdyby </w:t>
      </w:r>
      <w:r w:rsidR="002001B5">
        <w:rPr>
          <w:rFonts w:ascii="Verdana" w:hAnsi="Verdana" w:cs="Verdana"/>
          <w:color w:val="0070C0"/>
          <w:sz w:val="20"/>
          <w:szCs w:val="20"/>
        </w:rPr>
        <w:t>skarżącego</w:t>
      </w:r>
      <w:r w:rsidR="00FA2FD3">
        <w:rPr>
          <w:rFonts w:ascii="Verdana" w:hAnsi="Verdana" w:cs="Verdana"/>
          <w:color w:val="0070C0"/>
          <w:sz w:val="20"/>
          <w:szCs w:val="20"/>
        </w:rPr>
        <w:t xml:space="preserve"> wydalono.</w:t>
      </w:r>
    </w:p>
    <w:p w14:paraId="38E476F9" w14:textId="0E6E5EC9" w:rsidR="001B3D5E" w:rsidRDefault="00FA2FD3" w:rsidP="002A4B3D">
      <w:pPr>
        <w:autoSpaceDE w:val="0"/>
        <w:autoSpaceDN w:val="0"/>
        <w:adjustRightInd w:val="0"/>
        <w:spacing w:after="0" w:line="240" w:lineRule="auto"/>
        <w:jc w:val="both"/>
        <w:rPr>
          <w:rFonts w:ascii="Verdana" w:hAnsi="Verdana" w:cs="Verdana"/>
          <w:sz w:val="20"/>
          <w:szCs w:val="20"/>
        </w:rPr>
      </w:pPr>
      <w:r w:rsidRPr="005C24C3">
        <w:rPr>
          <w:rFonts w:ascii="Verdana" w:hAnsi="Verdana" w:cs="Verdana"/>
          <w:i/>
          <w:iCs/>
          <w:sz w:val="20"/>
          <w:szCs w:val="20"/>
        </w:rPr>
        <w:t>Zob</w:t>
      </w:r>
      <w:r w:rsidR="005C24C3" w:rsidRPr="005C24C3">
        <w:rPr>
          <w:rFonts w:ascii="Verdana" w:hAnsi="Verdana" w:cs="Verdana"/>
          <w:i/>
          <w:iCs/>
          <w:sz w:val="20"/>
          <w:szCs w:val="20"/>
        </w:rPr>
        <w:t>acz</w:t>
      </w:r>
      <w:r w:rsidRPr="005C24C3">
        <w:rPr>
          <w:rFonts w:ascii="Verdana" w:hAnsi="Verdana" w:cs="Verdana"/>
          <w:i/>
          <w:iCs/>
          <w:sz w:val="20"/>
          <w:szCs w:val="20"/>
        </w:rPr>
        <w:t xml:space="preserve"> także</w:t>
      </w:r>
      <w:r>
        <w:rPr>
          <w:rFonts w:ascii="Verdana" w:hAnsi="Verdana" w:cs="Verdana"/>
          <w:sz w:val="20"/>
          <w:szCs w:val="20"/>
        </w:rPr>
        <w:t xml:space="preserve">: </w:t>
      </w:r>
      <w:hyperlink r:id="rId36" w:history="1">
        <w:proofErr w:type="spellStart"/>
        <w:r w:rsidRPr="00724E07">
          <w:rPr>
            <w:rStyle w:val="Hipercze"/>
            <w:rFonts w:ascii="Verdana" w:hAnsi="Verdana" w:cs="Verdana"/>
            <w:b/>
            <w:bCs/>
            <w:sz w:val="20"/>
            <w:szCs w:val="20"/>
          </w:rPr>
          <w:t>Ghulami</w:t>
        </w:r>
        <w:proofErr w:type="spellEnd"/>
        <w:r w:rsidRPr="00724E07">
          <w:rPr>
            <w:rStyle w:val="Hipercze"/>
            <w:rFonts w:ascii="Verdana" w:hAnsi="Verdana" w:cs="Verdana"/>
            <w:b/>
            <w:bCs/>
            <w:sz w:val="20"/>
            <w:szCs w:val="20"/>
          </w:rPr>
          <w:t xml:space="preserve"> p. Francji</w:t>
        </w:r>
      </w:hyperlink>
      <w:r w:rsidRPr="00B21606">
        <w:rPr>
          <w:rFonts w:ascii="Verdana" w:hAnsi="Verdana" w:cs="Verdana"/>
          <w:color w:val="0070C0"/>
          <w:sz w:val="20"/>
          <w:szCs w:val="20"/>
        </w:rPr>
        <w:t xml:space="preserve">, </w:t>
      </w:r>
      <w:r w:rsidRPr="00B21606">
        <w:rPr>
          <w:rFonts w:ascii="Verdana" w:hAnsi="Verdana" w:cs="Verdana"/>
          <w:sz w:val="20"/>
          <w:szCs w:val="20"/>
        </w:rPr>
        <w:t>decyzja (Izby) w przedmiocie dopuszczalności z dnia 7 kwietnia 2009 roku.</w:t>
      </w:r>
    </w:p>
    <w:p w14:paraId="4674F6FB" w14:textId="77777777" w:rsidR="005C24C3" w:rsidRPr="00B21606" w:rsidRDefault="005C24C3" w:rsidP="002A4B3D">
      <w:pPr>
        <w:autoSpaceDE w:val="0"/>
        <w:autoSpaceDN w:val="0"/>
        <w:adjustRightInd w:val="0"/>
        <w:spacing w:after="0" w:line="240" w:lineRule="auto"/>
        <w:jc w:val="both"/>
        <w:rPr>
          <w:rFonts w:ascii="Verdana" w:hAnsi="Verdana" w:cs="Verdana"/>
          <w:sz w:val="20"/>
          <w:szCs w:val="20"/>
        </w:rPr>
      </w:pPr>
    </w:p>
    <w:p w14:paraId="2FB4FDE2" w14:textId="77777777" w:rsidR="00B35105" w:rsidRDefault="00B35105" w:rsidP="002A4B3D">
      <w:pPr>
        <w:autoSpaceDE w:val="0"/>
        <w:autoSpaceDN w:val="0"/>
        <w:adjustRightInd w:val="0"/>
        <w:spacing w:after="0" w:line="240" w:lineRule="auto"/>
        <w:jc w:val="both"/>
        <w:rPr>
          <w:rFonts w:ascii="Verdana" w:hAnsi="Verdana" w:cs="Verdana"/>
          <w:color w:val="3366FF"/>
          <w:sz w:val="20"/>
          <w:szCs w:val="20"/>
          <w:u w:val="single"/>
        </w:rPr>
      </w:pPr>
    </w:p>
    <w:p w14:paraId="4D7C8F42" w14:textId="63DC6316" w:rsidR="00FA2FD3" w:rsidRPr="00C603B2" w:rsidRDefault="00FA2FD3" w:rsidP="002A4B3D">
      <w:pPr>
        <w:autoSpaceDE w:val="0"/>
        <w:autoSpaceDN w:val="0"/>
        <w:adjustRightInd w:val="0"/>
        <w:spacing w:after="0" w:line="240" w:lineRule="auto"/>
        <w:jc w:val="both"/>
        <w:rPr>
          <w:rFonts w:ascii="Verdana" w:hAnsi="Verdana" w:cs="Verdana"/>
          <w:b/>
          <w:bCs/>
          <w:color w:val="0070C0"/>
          <w:sz w:val="20"/>
          <w:szCs w:val="20"/>
          <w:u w:val="single"/>
        </w:rPr>
      </w:pPr>
      <w:hyperlink r:id="rId37" w:history="1">
        <w:r w:rsidRPr="00761997">
          <w:rPr>
            <w:rStyle w:val="Hipercze"/>
            <w:rFonts w:ascii="Verdana" w:hAnsi="Verdana" w:cs="Verdana"/>
            <w:b/>
            <w:bCs/>
            <w:sz w:val="20"/>
            <w:szCs w:val="20"/>
          </w:rPr>
          <w:t>M.A. przeciwko Cyprowi (nr 41872/10)</w:t>
        </w:r>
      </w:hyperlink>
    </w:p>
    <w:p w14:paraId="3E90ADBE" w14:textId="7A40FB8A" w:rsidR="00FA2FD3" w:rsidRPr="009C75D5" w:rsidRDefault="00FA2FD3" w:rsidP="002A4B3D">
      <w:pPr>
        <w:autoSpaceDE w:val="0"/>
        <w:autoSpaceDN w:val="0"/>
        <w:adjustRightInd w:val="0"/>
        <w:spacing w:after="0" w:line="240" w:lineRule="auto"/>
        <w:jc w:val="both"/>
        <w:rPr>
          <w:rFonts w:ascii="Verdana" w:hAnsi="Verdana" w:cs="Verdana"/>
          <w:color w:val="808080"/>
          <w:sz w:val="20"/>
          <w:szCs w:val="20"/>
        </w:rPr>
      </w:pPr>
      <w:r w:rsidRPr="009C75D5">
        <w:rPr>
          <w:rFonts w:ascii="Verdana" w:hAnsi="Verdana" w:cs="Verdana"/>
          <w:color w:val="808080"/>
          <w:sz w:val="20"/>
          <w:szCs w:val="20"/>
        </w:rPr>
        <w:t xml:space="preserve">Wyrok Izby z dnia 23 lipca 2013 </w:t>
      </w:r>
      <w:r w:rsidR="009C75D5" w:rsidRPr="009C75D5">
        <w:rPr>
          <w:rFonts w:ascii="Verdana" w:hAnsi="Verdana"/>
          <w:color w:val="808080"/>
          <w:sz w:val="20"/>
          <w:szCs w:val="20"/>
        </w:rPr>
        <w:t>roku</w:t>
      </w:r>
    </w:p>
    <w:p w14:paraId="4F6638E6" w14:textId="77777777" w:rsidR="00FA2FD3" w:rsidRPr="00C232B0" w:rsidRDefault="00FA2FD3" w:rsidP="002A4B3D">
      <w:pPr>
        <w:autoSpaceDE w:val="0"/>
        <w:autoSpaceDN w:val="0"/>
        <w:adjustRightInd w:val="0"/>
        <w:spacing w:after="0" w:line="240" w:lineRule="auto"/>
        <w:jc w:val="both"/>
        <w:rPr>
          <w:rFonts w:ascii="Verdana" w:hAnsi="Verdana" w:cs="Verdana"/>
          <w:sz w:val="20"/>
          <w:szCs w:val="20"/>
        </w:rPr>
      </w:pPr>
      <w:r w:rsidRPr="00C232B0">
        <w:rPr>
          <w:rFonts w:ascii="Verdana" w:hAnsi="Verdana" w:cs="Verdana"/>
          <w:sz w:val="20"/>
          <w:szCs w:val="20"/>
        </w:rPr>
        <w:t xml:space="preserve">Ta sprawa dotyczyła zatrzymania przez władze cypryjskie syryjskiego Kurda i jego planowaną deportację do Syrii po </w:t>
      </w:r>
      <w:proofErr w:type="spellStart"/>
      <w:r w:rsidRPr="00C232B0">
        <w:rPr>
          <w:rFonts w:ascii="Verdana" w:hAnsi="Verdana" w:cs="Verdana"/>
          <w:sz w:val="20"/>
          <w:szCs w:val="20"/>
        </w:rPr>
        <w:t>wczesnoporannej</w:t>
      </w:r>
      <w:proofErr w:type="spellEnd"/>
      <w:r w:rsidRPr="00C232B0">
        <w:rPr>
          <w:rFonts w:ascii="Verdana" w:hAnsi="Verdana" w:cs="Verdana"/>
          <w:sz w:val="20"/>
          <w:szCs w:val="20"/>
        </w:rPr>
        <w:t xml:space="preserve"> akcji policyjnej, w której usunięto jego i innych Kurdów pochodzących z Syrii z obozu znajdującego na zewnątrz budynków rządowych w Nikozji w związku z protestem przeciwko cypryjskiej polityce imigracyjnej. Skarżący podniósł, że władze cypryjskie chciały go deportować w ramach operacji zbiorowego wydalenia, bez dokonania indywidualnej oceny </w:t>
      </w:r>
      <w:r w:rsidR="00315831" w:rsidRPr="00C232B0">
        <w:rPr>
          <w:rFonts w:ascii="Verdana" w:hAnsi="Verdana" w:cs="Verdana"/>
          <w:sz w:val="20"/>
          <w:szCs w:val="20"/>
        </w:rPr>
        <w:t>i rozpoznania jego sprawy.</w:t>
      </w:r>
    </w:p>
    <w:p w14:paraId="1FA1B875" w14:textId="77777777" w:rsidR="00315831" w:rsidRPr="00C232B0" w:rsidRDefault="00315831" w:rsidP="002A4B3D">
      <w:pPr>
        <w:autoSpaceDE w:val="0"/>
        <w:autoSpaceDN w:val="0"/>
        <w:adjustRightInd w:val="0"/>
        <w:spacing w:after="0" w:line="240" w:lineRule="auto"/>
        <w:jc w:val="both"/>
        <w:rPr>
          <w:rFonts w:ascii="Verdana" w:hAnsi="Verdana" w:cs="Verdana"/>
          <w:color w:val="0070C0"/>
          <w:sz w:val="20"/>
          <w:szCs w:val="20"/>
        </w:rPr>
      </w:pPr>
      <w:r w:rsidRPr="00C232B0">
        <w:rPr>
          <w:rFonts w:ascii="Verdana" w:hAnsi="Verdana" w:cs="Verdana"/>
          <w:color w:val="0070C0"/>
          <w:sz w:val="20"/>
          <w:szCs w:val="20"/>
        </w:rPr>
        <w:t xml:space="preserve">Trybunał </w:t>
      </w:r>
      <w:r w:rsidRPr="00C232B0">
        <w:rPr>
          <w:rFonts w:ascii="Verdana" w:hAnsi="Verdana" w:cs="Verdana"/>
          <w:b/>
          <w:bCs/>
          <w:color w:val="0070C0"/>
          <w:sz w:val="20"/>
          <w:szCs w:val="20"/>
        </w:rPr>
        <w:t>nie stwierdził naruszenia art. 4 Protokołu nr 4 do Konwencji</w:t>
      </w:r>
      <w:r w:rsidRPr="00C232B0">
        <w:rPr>
          <w:rFonts w:ascii="Verdana" w:hAnsi="Verdana" w:cs="Verdana"/>
          <w:color w:val="0070C0"/>
          <w:sz w:val="20"/>
          <w:szCs w:val="20"/>
        </w:rPr>
        <w:t>. Wskazał w szczególności, że ważne jest, aby każda sprawa dotycząca deportacji</w:t>
      </w:r>
      <w:r w:rsidR="0088792E" w:rsidRPr="00C232B0">
        <w:rPr>
          <w:rFonts w:ascii="Verdana" w:hAnsi="Verdana" w:cs="Verdana"/>
          <w:color w:val="0070C0"/>
          <w:sz w:val="20"/>
          <w:szCs w:val="20"/>
        </w:rPr>
        <w:t xml:space="preserve"> była rozpatrywana indywidualnie i rozstrzygana w oparciu o jej specyficzne okoliczności. Fakt, że protestujący, w tym skarżący, </w:t>
      </w:r>
      <w:r w:rsidR="00F67F7A" w:rsidRPr="00C232B0">
        <w:rPr>
          <w:rFonts w:ascii="Verdana" w:hAnsi="Verdana" w:cs="Verdana"/>
          <w:color w:val="0070C0"/>
          <w:sz w:val="20"/>
          <w:szCs w:val="20"/>
        </w:rPr>
        <w:t xml:space="preserve">zostali zabrani razem do siedziby policji, że niektórzy zostali deportowali w grupie albo że nakazy wydalenia sformułowane były z użyciem podobnych wyrażeń i dlatego nie odnosiły się szczegółowo do wcześniejszych faz postępowania, nie czyniło z tego wydalenia zbiorowego. Każda decyzja o deportacji opierała się na </w:t>
      </w:r>
      <w:r w:rsidR="00BC1038" w:rsidRPr="00C232B0">
        <w:rPr>
          <w:rFonts w:ascii="Verdana" w:hAnsi="Verdana" w:cs="Verdana"/>
          <w:color w:val="0070C0"/>
          <w:sz w:val="20"/>
          <w:szCs w:val="20"/>
        </w:rPr>
        <w:t>stwierdzeniu, że byli oni nielegalnymi imigrantami po odmowie udzielenia azylu albo zamknięciu sprawy w związku z indywidualnym rozpatrywaniem sprawy przez okres ponad 5 la. W konsekwencji przedsięwzięte środki nie miały charakteru wydalenia zbiorowego.</w:t>
      </w:r>
    </w:p>
    <w:p w14:paraId="1A2E1F5F" w14:textId="77777777" w:rsidR="00BC1038" w:rsidRDefault="00BC1038" w:rsidP="002A4B3D">
      <w:pPr>
        <w:autoSpaceDE w:val="0"/>
        <w:autoSpaceDN w:val="0"/>
        <w:adjustRightInd w:val="0"/>
        <w:spacing w:after="0" w:line="240" w:lineRule="auto"/>
        <w:jc w:val="both"/>
        <w:rPr>
          <w:rFonts w:ascii="Verdana" w:hAnsi="Verdana" w:cs="Verdana"/>
          <w:color w:val="0070C0"/>
          <w:sz w:val="20"/>
          <w:szCs w:val="20"/>
        </w:rPr>
      </w:pPr>
      <w:r w:rsidRPr="00C232B0">
        <w:rPr>
          <w:rFonts w:ascii="Verdana" w:hAnsi="Verdana" w:cs="Verdana"/>
          <w:color w:val="0070C0"/>
          <w:sz w:val="20"/>
          <w:szCs w:val="20"/>
        </w:rPr>
        <w:t xml:space="preserve">W tej sprawie Trybunał stwierdził jeszcze, że </w:t>
      </w:r>
      <w:r w:rsidRPr="00C232B0">
        <w:rPr>
          <w:rFonts w:ascii="Verdana" w:hAnsi="Verdana" w:cs="Verdana"/>
          <w:b/>
          <w:bCs/>
          <w:color w:val="0070C0"/>
          <w:sz w:val="20"/>
          <w:szCs w:val="20"/>
        </w:rPr>
        <w:t>doszło do naruszenia art. 13 Konwencji</w:t>
      </w:r>
      <w:r w:rsidRPr="00C232B0">
        <w:rPr>
          <w:rFonts w:ascii="Verdana" w:hAnsi="Verdana" w:cs="Verdana"/>
          <w:color w:val="0070C0"/>
          <w:sz w:val="20"/>
          <w:szCs w:val="20"/>
        </w:rPr>
        <w:t xml:space="preserve"> (prawo do skutecznego środka odwoławczego) w zw. </w:t>
      </w:r>
      <w:r w:rsidRPr="00C232B0">
        <w:rPr>
          <w:rFonts w:ascii="Verdana" w:hAnsi="Verdana" w:cs="Verdana"/>
          <w:b/>
          <w:bCs/>
          <w:color w:val="0070C0"/>
          <w:sz w:val="20"/>
          <w:szCs w:val="20"/>
        </w:rPr>
        <w:t>z art. 2</w:t>
      </w:r>
      <w:r w:rsidRPr="00C232B0">
        <w:rPr>
          <w:rFonts w:ascii="Verdana" w:hAnsi="Verdana" w:cs="Verdana"/>
          <w:color w:val="0070C0"/>
          <w:sz w:val="20"/>
          <w:szCs w:val="20"/>
        </w:rPr>
        <w:t xml:space="preserve"> Konwencji (prawo do życia) i </w:t>
      </w:r>
      <w:r w:rsidR="00C232B0" w:rsidRPr="00C232B0">
        <w:rPr>
          <w:rFonts w:ascii="Verdana" w:hAnsi="Verdana" w:cs="Verdana"/>
          <w:b/>
          <w:bCs/>
          <w:color w:val="0070C0"/>
          <w:sz w:val="20"/>
          <w:szCs w:val="20"/>
        </w:rPr>
        <w:t>art.</w:t>
      </w:r>
      <w:r w:rsidR="00C232B0">
        <w:rPr>
          <w:rFonts w:ascii="Verdana" w:hAnsi="Verdana" w:cs="Verdana"/>
          <w:color w:val="0070C0"/>
          <w:sz w:val="20"/>
          <w:szCs w:val="20"/>
        </w:rPr>
        <w:t xml:space="preserve"> </w:t>
      </w:r>
      <w:r w:rsidRPr="00C232B0">
        <w:rPr>
          <w:rFonts w:ascii="Verdana" w:hAnsi="Verdana" w:cs="Verdana"/>
          <w:b/>
          <w:bCs/>
          <w:color w:val="0070C0"/>
          <w:sz w:val="20"/>
          <w:szCs w:val="20"/>
        </w:rPr>
        <w:t>3 Konwencji</w:t>
      </w:r>
      <w:r w:rsidRPr="00C232B0">
        <w:rPr>
          <w:rFonts w:ascii="Verdana" w:hAnsi="Verdana" w:cs="Verdana"/>
          <w:color w:val="0070C0"/>
          <w:sz w:val="20"/>
          <w:szCs w:val="20"/>
        </w:rPr>
        <w:t xml:space="preserve"> (zakaz nieludzkiego i poniżającego traktowania), naruszenie </w:t>
      </w:r>
      <w:r w:rsidRPr="00C232B0">
        <w:rPr>
          <w:rFonts w:ascii="Verdana" w:hAnsi="Verdana" w:cs="Verdana"/>
          <w:b/>
          <w:bCs/>
          <w:color w:val="0070C0"/>
          <w:sz w:val="20"/>
          <w:szCs w:val="20"/>
        </w:rPr>
        <w:t xml:space="preserve">art. 5 ust. </w:t>
      </w:r>
      <w:r w:rsidR="00C232B0" w:rsidRPr="00C232B0">
        <w:rPr>
          <w:rFonts w:ascii="Verdana" w:hAnsi="Verdana" w:cs="Verdana"/>
          <w:b/>
          <w:bCs/>
          <w:color w:val="0070C0"/>
          <w:sz w:val="20"/>
          <w:szCs w:val="20"/>
        </w:rPr>
        <w:t>1 i 4 Konwencji</w:t>
      </w:r>
      <w:r w:rsidR="00C232B0" w:rsidRPr="00C232B0">
        <w:rPr>
          <w:rFonts w:ascii="Verdana" w:hAnsi="Verdana" w:cs="Verdana"/>
          <w:color w:val="0070C0"/>
          <w:sz w:val="20"/>
          <w:szCs w:val="20"/>
        </w:rPr>
        <w:t xml:space="preserve"> (nielegalne pozbawienie wolności, efektywny środek w celu zbadania legalności pozbawienia wolności) oraz że </w:t>
      </w:r>
      <w:r w:rsidR="00C232B0" w:rsidRPr="00C232B0">
        <w:rPr>
          <w:rFonts w:ascii="Verdana" w:hAnsi="Verdana" w:cs="Verdana"/>
          <w:b/>
          <w:bCs/>
          <w:color w:val="0070C0"/>
          <w:sz w:val="20"/>
          <w:szCs w:val="20"/>
        </w:rPr>
        <w:t xml:space="preserve">nie doszło do naruszenia art. 5 ust. 2 Konwencji </w:t>
      </w:r>
      <w:r w:rsidR="00C232B0" w:rsidRPr="00C232B0">
        <w:rPr>
          <w:rFonts w:ascii="Verdana" w:hAnsi="Verdana" w:cs="Verdana"/>
          <w:color w:val="0070C0"/>
          <w:sz w:val="20"/>
          <w:szCs w:val="20"/>
        </w:rPr>
        <w:t xml:space="preserve">(prawo do informacji o podstawach aresztowania). </w:t>
      </w:r>
      <w:r w:rsidRPr="00C232B0">
        <w:rPr>
          <w:rFonts w:ascii="Verdana" w:hAnsi="Verdana" w:cs="Verdana"/>
          <w:color w:val="0070C0"/>
          <w:sz w:val="20"/>
          <w:szCs w:val="20"/>
        </w:rPr>
        <w:t xml:space="preserve"> </w:t>
      </w:r>
    </w:p>
    <w:p w14:paraId="76764232" w14:textId="77777777" w:rsidR="00C232B0" w:rsidRDefault="00C232B0" w:rsidP="002A4B3D">
      <w:pPr>
        <w:autoSpaceDE w:val="0"/>
        <w:autoSpaceDN w:val="0"/>
        <w:adjustRightInd w:val="0"/>
        <w:spacing w:after="0" w:line="240" w:lineRule="auto"/>
        <w:jc w:val="both"/>
        <w:rPr>
          <w:rFonts w:ascii="Verdana" w:hAnsi="Verdana" w:cs="Verdana"/>
          <w:color w:val="0070C0"/>
          <w:sz w:val="20"/>
          <w:szCs w:val="20"/>
        </w:rPr>
      </w:pPr>
    </w:p>
    <w:p w14:paraId="31D66B54" w14:textId="29055705" w:rsidR="00C232B0" w:rsidRPr="0013106C" w:rsidRDefault="00C232B0" w:rsidP="002A4B3D">
      <w:pPr>
        <w:autoSpaceDE w:val="0"/>
        <w:autoSpaceDN w:val="0"/>
        <w:adjustRightInd w:val="0"/>
        <w:spacing w:after="0" w:line="240" w:lineRule="auto"/>
        <w:jc w:val="both"/>
        <w:rPr>
          <w:rFonts w:ascii="Verdana" w:hAnsi="Verdana" w:cs="Verdana"/>
          <w:b/>
          <w:bCs/>
          <w:color w:val="0070C0"/>
          <w:sz w:val="20"/>
          <w:szCs w:val="20"/>
          <w:u w:val="single"/>
        </w:rPr>
      </w:pPr>
      <w:hyperlink r:id="rId38" w:history="1">
        <w:proofErr w:type="spellStart"/>
        <w:r w:rsidRPr="00761997">
          <w:rPr>
            <w:rStyle w:val="Hipercze"/>
            <w:rFonts w:ascii="Verdana" w:hAnsi="Verdana" w:cs="Verdana"/>
            <w:b/>
            <w:bCs/>
            <w:sz w:val="20"/>
            <w:szCs w:val="20"/>
          </w:rPr>
          <w:t>Khlaifia</w:t>
        </w:r>
        <w:proofErr w:type="spellEnd"/>
        <w:r w:rsidRPr="00761997">
          <w:rPr>
            <w:rStyle w:val="Hipercze"/>
            <w:rFonts w:ascii="Verdana" w:hAnsi="Verdana" w:cs="Verdana"/>
            <w:b/>
            <w:bCs/>
            <w:sz w:val="20"/>
            <w:szCs w:val="20"/>
          </w:rPr>
          <w:t xml:space="preserve"> i Inni p</w:t>
        </w:r>
        <w:r w:rsidR="00B21606" w:rsidRPr="00761997">
          <w:rPr>
            <w:rStyle w:val="Hipercze"/>
            <w:rFonts w:ascii="Verdana" w:hAnsi="Verdana" w:cs="Verdana"/>
            <w:b/>
            <w:bCs/>
            <w:sz w:val="20"/>
            <w:szCs w:val="20"/>
          </w:rPr>
          <w:t>rzeciwko</w:t>
        </w:r>
        <w:r w:rsidRPr="00761997">
          <w:rPr>
            <w:rStyle w:val="Hipercze"/>
            <w:rFonts w:ascii="Verdana" w:hAnsi="Verdana" w:cs="Verdana"/>
            <w:b/>
            <w:bCs/>
            <w:sz w:val="20"/>
            <w:szCs w:val="20"/>
          </w:rPr>
          <w:t xml:space="preserve"> Włochom</w:t>
        </w:r>
      </w:hyperlink>
    </w:p>
    <w:p w14:paraId="09E05667" w14:textId="7741382F" w:rsidR="00C232B0" w:rsidRPr="009C75D5" w:rsidRDefault="00C232B0" w:rsidP="002A4B3D">
      <w:pPr>
        <w:autoSpaceDE w:val="0"/>
        <w:autoSpaceDN w:val="0"/>
        <w:adjustRightInd w:val="0"/>
        <w:spacing w:after="0" w:line="240" w:lineRule="auto"/>
        <w:jc w:val="both"/>
        <w:rPr>
          <w:rFonts w:ascii="Verdana" w:hAnsi="Verdana" w:cs="Verdana"/>
          <w:color w:val="808080"/>
          <w:sz w:val="20"/>
          <w:szCs w:val="20"/>
        </w:rPr>
      </w:pPr>
      <w:r w:rsidRPr="009C75D5">
        <w:rPr>
          <w:rFonts w:ascii="Verdana" w:hAnsi="Verdana" w:cs="Verdana"/>
          <w:color w:val="808080"/>
          <w:sz w:val="20"/>
          <w:szCs w:val="20"/>
        </w:rPr>
        <w:t xml:space="preserve">Wyrok Wielkiej Izby z dnia 15 grudnia 2016 </w:t>
      </w:r>
      <w:r w:rsidR="009C75D5" w:rsidRPr="009C75D5">
        <w:rPr>
          <w:rFonts w:ascii="Verdana" w:hAnsi="Verdana"/>
          <w:color w:val="808080"/>
          <w:sz w:val="20"/>
          <w:szCs w:val="20"/>
        </w:rPr>
        <w:t>roku</w:t>
      </w:r>
    </w:p>
    <w:p w14:paraId="7E5F5B92" w14:textId="77777777" w:rsidR="00C232B0" w:rsidRPr="000D1C49" w:rsidRDefault="00C232B0" w:rsidP="002A4B3D">
      <w:pPr>
        <w:autoSpaceDE w:val="0"/>
        <w:autoSpaceDN w:val="0"/>
        <w:adjustRightInd w:val="0"/>
        <w:spacing w:after="0" w:line="240" w:lineRule="auto"/>
        <w:jc w:val="both"/>
        <w:rPr>
          <w:rFonts w:ascii="Verdana" w:hAnsi="Verdana" w:cs="Verdana"/>
          <w:color w:val="000000"/>
          <w:sz w:val="20"/>
          <w:szCs w:val="20"/>
        </w:rPr>
      </w:pPr>
      <w:r w:rsidRPr="000D1C49">
        <w:rPr>
          <w:rFonts w:ascii="Verdana" w:hAnsi="Verdana" w:cs="Verdana"/>
          <w:color w:val="000000"/>
          <w:sz w:val="20"/>
          <w:szCs w:val="20"/>
        </w:rPr>
        <w:t xml:space="preserve">Ta sprawa dotyczyła zatrzymania w ośrodku dla uchodźców na </w:t>
      </w:r>
      <w:proofErr w:type="spellStart"/>
      <w:r w:rsidRPr="000D1C49">
        <w:rPr>
          <w:rFonts w:ascii="Verdana" w:hAnsi="Verdana" w:cs="Verdana"/>
          <w:color w:val="000000"/>
          <w:sz w:val="20"/>
          <w:szCs w:val="20"/>
        </w:rPr>
        <w:t>Lampeduzie</w:t>
      </w:r>
      <w:proofErr w:type="spellEnd"/>
      <w:r w:rsidR="00C45B5C" w:rsidRPr="000D1C49">
        <w:rPr>
          <w:rFonts w:ascii="Verdana" w:hAnsi="Verdana" w:cs="Verdana"/>
          <w:color w:val="000000"/>
          <w:sz w:val="20"/>
          <w:szCs w:val="20"/>
        </w:rPr>
        <w:t>, a następnie na statkach zacumowanych w porcie w Palermo, a także deportacji do Tunezji nielegalnych imigrantów, którzy przybyli na wybrzeże włoskie w 2011 roku podczas zdarzeń związanych z „Arabską Wiosną”. Skarżący podnieśli, że byli podmiotem wydalenia zbiorowego.</w:t>
      </w:r>
    </w:p>
    <w:p w14:paraId="6314D252" w14:textId="30D57679" w:rsidR="005C24C3" w:rsidRDefault="00C45B5C" w:rsidP="002A4B3D">
      <w:pPr>
        <w:autoSpaceDE w:val="0"/>
        <w:autoSpaceDN w:val="0"/>
        <w:adjustRightInd w:val="0"/>
        <w:spacing w:after="0" w:line="240" w:lineRule="auto"/>
        <w:jc w:val="both"/>
        <w:rPr>
          <w:rFonts w:ascii="Verdana" w:hAnsi="Verdana" w:cs="Verdana"/>
          <w:color w:val="0070C0"/>
          <w:sz w:val="20"/>
          <w:szCs w:val="20"/>
        </w:rPr>
      </w:pPr>
      <w:r>
        <w:rPr>
          <w:rFonts w:ascii="Verdana" w:hAnsi="Verdana" w:cs="Verdana"/>
          <w:color w:val="0070C0"/>
          <w:sz w:val="20"/>
          <w:szCs w:val="20"/>
        </w:rPr>
        <w:t xml:space="preserve">Wielka Izba stwierdziła </w:t>
      </w:r>
      <w:r w:rsidRPr="0013106C">
        <w:rPr>
          <w:rFonts w:ascii="Verdana" w:hAnsi="Verdana" w:cs="Verdana"/>
          <w:b/>
          <w:bCs/>
          <w:color w:val="0070C0"/>
          <w:sz w:val="20"/>
          <w:szCs w:val="20"/>
        </w:rPr>
        <w:t>brak naruszenia art. 4 Protokołu nr 4 do Konwencji</w:t>
      </w:r>
      <w:r>
        <w:rPr>
          <w:rFonts w:ascii="Verdana" w:hAnsi="Verdana" w:cs="Verdana"/>
          <w:color w:val="0070C0"/>
          <w:sz w:val="20"/>
          <w:szCs w:val="20"/>
        </w:rPr>
        <w:t xml:space="preserve">. W szczególności wskazała, że artykuł ten nie gwarantuje prawa indywidualnego rozważenia wszystkich okoliczności. Wymagania tego artykułu zostaną spełnione, jeśli każdy z obcych będzie miał możliwość podniesienia zarzutów przeciwko decyzji o wydaleniu i że zarzuty te zostaną rozpatrzone przez władze krajowe. W niniejszej sprawie Wielka Izba </w:t>
      </w:r>
      <w:r w:rsidR="003700FE">
        <w:rPr>
          <w:rFonts w:ascii="Verdana" w:hAnsi="Verdana" w:cs="Verdana"/>
          <w:color w:val="0070C0"/>
          <w:sz w:val="20"/>
          <w:szCs w:val="20"/>
        </w:rPr>
        <w:t xml:space="preserve"> stwierdziła, że skarżący, po dwukrotnym ich rozpoznaniu i potwierdzeniu narodowości, mieli </w:t>
      </w:r>
      <w:r w:rsidR="005B4137">
        <w:rPr>
          <w:rFonts w:ascii="Verdana" w:hAnsi="Verdana" w:cs="Verdana"/>
          <w:color w:val="0070C0"/>
          <w:sz w:val="20"/>
          <w:szCs w:val="20"/>
        </w:rPr>
        <w:t>rzeczywistą i skuteczną</w:t>
      </w:r>
      <w:r w:rsidR="003700FE">
        <w:rPr>
          <w:rFonts w:ascii="Verdana" w:hAnsi="Verdana" w:cs="Verdana"/>
          <w:color w:val="0070C0"/>
          <w:sz w:val="20"/>
          <w:szCs w:val="20"/>
        </w:rPr>
        <w:t xml:space="preserve"> możliwość podniesienia zarzutów przeciwko wydaleniu. Wielka Izba </w:t>
      </w:r>
      <w:r w:rsidR="003700FE" w:rsidRPr="0013106C">
        <w:rPr>
          <w:rFonts w:ascii="Verdana" w:hAnsi="Verdana" w:cs="Verdana"/>
          <w:b/>
          <w:bCs/>
          <w:color w:val="0070C0"/>
          <w:sz w:val="20"/>
          <w:szCs w:val="20"/>
        </w:rPr>
        <w:t>stwierdziła też</w:t>
      </w:r>
      <w:r w:rsidR="0013106C">
        <w:rPr>
          <w:rFonts w:ascii="Verdana" w:hAnsi="Verdana" w:cs="Verdana"/>
          <w:b/>
          <w:bCs/>
          <w:color w:val="0070C0"/>
          <w:sz w:val="20"/>
          <w:szCs w:val="20"/>
        </w:rPr>
        <w:t xml:space="preserve"> brak</w:t>
      </w:r>
      <w:r w:rsidR="003700FE" w:rsidRPr="0013106C">
        <w:rPr>
          <w:rFonts w:ascii="Verdana" w:hAnsi="Verdana" w:cs="Verdana"/>
          <w:b/>
          <w:bCs/>
          <w:color w:val="0070C0"/>
          <w:sz w:val="20"/>
          <w:szCs w:val="20"/>
        </w:rPr>
        <w:t xml:space="preserve"> naruszenia art. 13 Konwencji</w:t>
      </w:r>
      <w:r w:rsidR="003700FE">
        <w:rPr>
          <w:rFonts w:ascii="Verdana" w:hAnsi="Verdana" w:cs="Verdana"/>
          <w:color w:val="0070C0"/>
          <w:sz w:val="20"/>
          <w:szCs w:val="20"/>
        </w:rPr>
        <w:t xml:space="preserve"> (prawo do skutecznego środka odwoławczego) </w:t>
      </w:r>
      <w:r w:rsidR="003700FE" w:rsidRPr="0013106C">
        <w:rPr>
          <w:rFonts w:ascii="Verdana" w:hAnsi="Verdana" w:cs="Verdana"/>
          <w:b/>
          <w:bCs/>
          <w:color w:val="0070C0"/>
          <w:sz w:val="20"/>
          <w:szCs w:val="20"/>
        </w:rPr>
        <w:t>w zw.</w:t>
      </w:r>
      <w:r w:rsidR="003700FE">
        <w:rPr>
          <w:rFonts w:ascii="Verdana" w:hAnsi="Verdana" w:cs="Verdana"/>
          <w:color w:val="0070C0"/>
          <w:sz w:val="20"/>
          <w:szCs w:val="20"/>
        </w:rPr>
        <w:t xml:space="preserve"> </w:t>
      </w:r>
      <w:r w:rsidR="003700FE" w:rsidRPr="0013106C">
        <w:rPr>
          <w:rFonts w:ascii="Verdana" w:hAnsi="Verdana" w:cs="Verdana"/>
          <w:b/>
          <w:bCs/>
          <w:color w:val="0070C0"/>
          <w:sz w:val="20"/>
          <w:szCs w:val="20"/>
        </w:rPr>
        <w:t>z art. 4 Protokołu nr 4 do Konwencji</w:t>
      </w:r>
      <w:r w:rsidR="003700FE">
        <w:rPr>
          <w:rFonts w:ascii="Verdana" w:hAnsi="Verdana" w:cs="Verdana"/>
          <w:color w:val="0070C0"/>
          <w:sz w:val="20"/>
          <w:szCs w:val="20"/>
        </w:rPr>
        <w:t xml:space="preserve">, uznając że brak zawieszającego skutku odwołania nie łączył się z ryzykiem naruszenia praw gwarantowanych przez art. 2 Konwencji (prawo do życia) lub art. 3 Konwencji (zakaz tortur i nieludzkiego lub poniżającego traktowania) w kraju docelowym. Wreszcie, Wielka Izba </w:t>
      </w:r>
      <w:r w:rsidR="003700FE" w:rsidRPr="0013106C">
        <w:rPr>
          <w:rFonts w:ascii="Verdana" w:hAnsi="Verdana" w:cs="Verdana"/>
          <w:b/>
          <w:bCs/>
          <w:color w:val="0070C0"/>
          <w:sz w:val="20"/>
          <w:szCs w:val="20"/>
        </w:rPr>
        <w:t>stwierdziła naruszenie art. 5 ust. 1</w:t>
      </w:r>
      <w:r w:rsidR="003700FE">
        <w:rPr>
          <w:rFonts w:ascii="Verdana" w:hAnsi="Verdana" w:cs="Verdana"/>
          <w:color w:val="0070C0"/>
          <w:sz w:val="20"/>
          <w:szCs w:val="20"/>
        </w:rPr>
        <w:t xml:space="preserve"> (prawo do wolności i bezpieczeństwa)</w:t>
      </w:r>
      <w:r w:rsidR="00055BC1">
        <w:rPr>
          <w:rFonts w:ascii="Verdana" w:hAnsi="Verdana" w:cs="Verdana"/>
          <w:color w:val="0070C0"/>
          <w:sz w:val="20"/>
          <w:szCs w:val="20"/>
        </w:rPr>
        <w:t xml:space="preserve">, </w:t>
      </w:r>
      <w:r w:rsidR="00055BC1" w:rsidRPr="0013106C">
        <w:rPr>
          <w:rFonts w:ascii="Verdana" w:hAnsi="Verdana" w:cs="Verdana"/>
          <w:b/>
          <w:bCs/>
          <w:color w:val="0070C0"/>
          <w:sz w:val="20"/>
          <w:szCs w:val="20"/>
        </w:rPr>
        <w:t>naruszenie art. 5 ust. 2 Konwencji</w:t>
      </w:r>
      <w:r w:rsidR="00055BC1">
        <w:rPr>
          <w:rFonts w:ascii="Verdana" w:hAnsi="Verdana" w:cs="Verdana"/>
          <w:color w:val="0070C0"/>
          <w:sz w:val="20"/>
          <w:szCs w:val="20"/>
        </w:rPr>
        <w:t xml:space="preserve"> (prawo do powiadomienia o przyczynach pozbawienia wolności), </w:t>
      </w:r>
      <w:r w:rsidR="00055BC1" w:rsidRPr="0013106C">
        <w:rPr>
          <w:rFonts w:ascii="Verdana" w:hAnsi="Verdana" w:cs="Verdana"/>
          <w:b/>
          <w:bCs/>
          <w:color w:val="0070C0"/>
          <w:sz w:val="20"/>
          <w:szCs w:val="20"/>
        </w:rPr>
        <w:t>naruszenie art. 5 ust. 4 Konwencji</w:t>
      </w:r>
      <w:r w:rsidR="00055BC1">
        <w:rPr>
          <w:rFonts w:ascii="Verdana" w:hAnsi="Verdana" w:cs="Verdana"/>
          <w:color w:val="0070C0"/>
          <w:sz w:val="20"/>
          <w:szCs w:val="20"/>
        </w:rPr>
        <w:t xml:space="preserve"> (prawo do szybkiego rozpoznania przez sąd legalności zatrzymania), </w:t>
      </w:r>
      <w:r w:rsidR="00055BC1" w:rsidRPr="0013106C">
        <w:rPr>
          <w:rFonts w:ascii="Verdana" w:hAnsi="Verdana" w:cs="Verdana"/>
          <w:b/>
          <w:bCs/>
          <w:color w:val="0070C0"/>
          <w:sz w:val="20"/>
          <w:szCs w:val="20"/>
        </w:rPr>
        <w:t>brak naruszenia art. 3 Konwencji</w:t>
      </w:r>
      <w:r w:rsidR="00055BC1">
        <w:rPr>
          <w:rFonts w:ascii="Verdana" w:hAnsi="Verdana" w:cs="Verdana"/>
          <w:color w:val="0070C0"/>
          <w:sz w:val="20"/>
          <w:szCs w:val="20"/>
        </w:rPr>
        <w:t xml:space="preserve"> (zakaz nieludzkiego lub poniżającego traktowania) zarówno w zakresie warunków w centrum uchodźców na </w:t>
      </w:r>
      <w:proofErr w:type="spellStart"/>
      <w:r w:rsidR="00055BC1">
        <w:rPr>
          <w:rFonts w:ascii="Verdana" w:hAnsi="Verdana" w:cs="Verdana"/>
          <w:color w:val="0070C0"/>
          <w:sz w:val="20"/>
          <w:szCs w:val="20"/>
        </w:rPr>
        <w:t>Lampeduzie</w:t>
      </w:r>
      <w:proofErr w:type="spellEnd"/>
      <w:r w:rsidR="00055BC1">
        <w:rPr>
          <w:rFonts w:ascii="Verdana" w:hAnsi="Verdana" w:cs="Verdana"/>
          <w:color w:val="0070C0"/>
          <w:sz w:val="20"/>
          <w:szCs w:val="20"/>
        </w:rPr>
        <w:t xml:space="preserve">, jak i warunków na statku w porcie w Palermo, a nadto </w:t>
      </w:r>
      <w:r w:rsidR="00055BC1" w:rsidRPr="0013106C">
        <w:rPr>
          <w:rFonts w:ascii="Verdana" w:hAnsi="Verdana" w:cs="Verdana"/>
          <w:b/>
          <w:bCs/>
          <w:color w:val="0070C0"/>
          <w:sz w:val="20"/>
          <w:szCs w:val="20"/>
        </w:rPr>
        <w:t>stwierdził</w:t>
      </w:r>
      <w:r w:rsidR="0013106C" w:rsidRPr="0013106C">
        <w:rPr>
          <w:rFonts w:ascii="Verdana" w:hAnsi="Verdana" w:cs="Verdana"/>
          <w:b/>
          <w:bCs/>
          <w:color w:val="0070C0"/>
          <w:sz w:val="20"/>
          <w:szCs w:val="20"/>
        </w:rPr>
        <w:t>a</w:t>
      </w:r>
      <w:r w:rsidR="00055BC1" w:rsidRPr="0013106C">
        <w:rPr>
          <w:rFonts w:ascii="Verdana" w:hAnsi="Verdana" w:cs="Verdana"/>
          <w:b/>
          <w:bCs/>
          <w:color w:val="0070C0"/>
          <w:sz w:val="20"/>
          <w:szCs w:val="20"/>
        </w:rPr>
        <w:t xml:space="preserve"> naruszenie art. 13 Konwencji</w:t>
      </w:r>
      <w:r w:rsidR="00055BC1">
        <w:rPr>
          <w:rFonts w:ascii="Verdana" w:hAnsi="Verdana" w:cs="Verdana"/>
          <w:color w:val="0070C0"/>
          <w:sz w:val="20"/>
          <w:szCs w:val="20"/>
        </w:rPr>
        <w:t xml:space="preserve"> (prawo do skutecznego środka odwoławczego) </w:t>
      </w:r>
      <w:r w:rsidR="00055BC1" w:rsidRPr="0013106C">
        <w:rPr>
          <w:rFonts w:ascii="Verdana" w:hAnsi="Verdana" w:cs="Verdana"/>
          <w:b/>
          <w:bCs/>
          <w:color w:val="0070C0"/>
          <w:sz w:val="20"/>
          <w:szCs w:val="20"/>
        </w:rPr>
        <w:t>w zw. z art. 3</w:t>
      </w:r>
      <w:r w:rsidR="00055BC1">
        <w:rPr>
          <w:rFonts w:ascii="Verdana" w:hAnsi="Verdana" w:cs="Verdana"/>
          <w:color w:val="0070C0"/>
          <w:sz w:val="20"/>
          <w:szCs w:val="20"/>
        </w:rPr>
        <w:t xml:space="preserve"> Konwencji w zakresie braku środka, za pomocą którego skarżący mogliby zaskarżyć warunki, w których byli przetrzymywani na centrum uchodźców na </w:t>
      </w:r>
      <w:proofErr w:type="spellStart"/>
      <w:r w:rsidR="00055BC1">
        <w:rPr>
          <w:rFonts w:ascii="Verdana" w:hAnsi="Verdana" w:cs="Verdana"/>
          <w:color w:val="0070C0"/>
          <w:sz w:val="20"/>
          <w:szCs w:val="20"/>
        </w:rPr>
        <w:t>Lampeduzie</w:t>
      </w:r>
      <w:proofErr w:type="spellEnd"/>
      <w:r w:rsidR="00055BC1">
        <w:rPr>
          <w:rFonts w:ascii="Verdana" w:hAnsi="Verdana" w:cs="Verdana"/>
          <w:color w:val="0070C0"/>
          <w:sz w:val="20"/>
          <w:szCs w:val="20"/>
        </w:rPr>
        <w:t xml:space="preserve"> i na statkach.</w:t>
      </w:r>
    </w:p>
    <w:p w14:paraId="55F5FF10" w14:textId="77777777" w:rsidR="005C24C3" w:rsidRDefault="005C24C3" w:rsidP="002A4B3D">
      <w:pPr>
        <w:autoSpaceDE w:val="0"/>
        <w:autoSpaceDN w:val="0"/>
        <w:adjustRightInd w:val="0"/>
        <w:spacing w:after="0" w:line="240" w:lineRule="auto"/>
        <w:jc w:val="both"/>
        <w:rPr>
          <w:rFonts w:ascii="Verdana" w:hAnsi="Verdana" w:cs="Verdana"/>
          <w:color w:val="0070C0"/>
          <w:sz w:val="20"/>
          <w:szCs w:val="20"/>
        </w:rPr>
      </w:pPr>
    </w:p>
    <w:p w14:paraId="12DBCB07" w14:textId="77777777" w:rsidR="005C24C3" w:rsidRDefault="005C24C3" w:rsidP="002A4B3D">
      <w:pPr>
        <w:autoSpaceDE w:val="0"/>
        <w:autoSpaceDN w:val="0"/>
        <w:adjustRightInd w:val="0"/>
        <w:spacing w:after="0" w:line="240" w:lineRule="auto"/>
        <w:jc w:val="both"/>
        <w:rPr>
          <w:rFonts w:ascii="Verdana" w:hAnsi="Verdana" w:cs="Verdana"/>
          <w:color w:val="0070C0"/>
          <w:sz w:val="20"/>
          <w:szCs w:val="20"/>
        </w:rPr>
      </w:pPr>
    </w:p>
    <w:p w14:paraId="03E65E82" w14:textId="77777777" w:rsidR="005C24C3" w:rsidRDefault="005C24C3" w:rsidP="002A4B3D">
      <w:pPr>
        <w:autoSpaceDE w:val="0"/>
        <w:autoSpaceDN w:val="0"/>
        <w:adjustRightInd w:val="0"/>
        <w:spacing w:after="0" w:line="240" w:lineRule="auto"/>
        <w:jc w:val="both"/>
        <w:rPr>
          <w:rFonts w:ascii="Verdana" w:hAnsi="Verdana" w:cs="Verdana"/>
          <w:color w:val="0070C0"/>
          <w:sz w:val="20"/>
          <w:szCs w:val="20"/>
        </w:rPr>
      </w:pPr>
    </w:p>
    <w:p w14:paraId="0054A98D" w14:textId="5D719883" w:rsidR="0013106C" w:rsidRPr="004D6CDB" w:rsidRDefault="0013106C" w:rsidP="002A4B3D">
      <w:pPr>
        <w:autoSpaceDE w:val="0"/>
        <w:autoSpaceDN w:val="0"/>
        <w:adjustRightInd w:val="0"/>
        <w:spacing w:after="0" w:line="240" w:lineRule="auto"/>
        <w:jc w:val="both"/>
        <w:rPr>
          <w:rFonts w:ascii="Verdana" w:hAnsi="Verdana" w:cs="Verdana"/>
          <w:b/>
          <w:bCs/>
          <w:color w:val="0070C0"/>
          <w:sz w:val="20"/>
          <w:szCs w:val="20"/>
          <w:u w:val="single"/>
        </w:rPr>
      </w:pPr>
      <w:hyperlink r:id="rId39" w:history="1">
        <w:r w:rsidRPr="00761997">
          <w:rPr>
            <w:rStyle w:val="Hipercze"/>
            <w:rFonts w:ascii="Verdana" w:hAnsi="Verdana" w:cs="Verdana"/>
            <w:b/>
            <w:bCs/>
            <w:sz w:val="20"/>
            <w:szCs w:val="20"/>
          </w:rPr>
          <w:t xml:space="preserve">N.D. i N.T. </w:t>
        </w:r>
        <w:r w:rsidR="00F175B8" w:rsidRPr="00761997">
          <w:rPr>
            <w:rStyle w:val="Hipercze"/>
            <w:rFonts w:ascii="Verdana" w:hAnsi="Verdana" w:cs="Verdana"/>
            <w:b/>
            <w:bCs/>
            <w:sz w:val="20"/>
            <w:szCs w:val="20"/>
          </w:rPr>
          <w:t>przeciwko</w:t>
        </w:r>
        <w:r w:rsidRPr="00761997">
          <w:rPr>
            <w:rStyle w:val="Hipercze"/>
            <w:rFonts w:ascii="Verdana" w:hAnsi="Verdana" w:cs="Verdana"/>
            <w:b/>
            <w:bCs/>
            <w:sz w:val="20"/>
            <w:szCs w:val="20"/>
          </w:rPr>
          <w:t xml:space="preserve"> Hiszpanii</w:t>
        </w:r>
      </w:hyperlink>
    </w:p>
    <w:p w14:paraId="4AF93B59" w14:textId="078B1221" w:rsidR="0013106C" w:rsidRPr="009C75D5" w:rsidRDefault="0013106C" w:rsidP="002A4B3D">
      <w:pPr>
        <w:autoSpaceDE w:val="0"/>
        <w:autoSpaceDN w:val="0"/>
        <w:adjustRightInd w:val="0"/>
        <w:spacing w:after="0" w:line="240" w:lineRule="auto"/>
        <w:jc w:val="both"/>
        <w:rPr>
          <w:rFonts w:ascii="Verdana" w:hAnsi="Verdana" w:cs="Verdana"/>
          <w:color w:val="808080"/>
          <w:sz w:val="20"/>
          <w:szCs w:val="20"/>
        </w:rPr>
      </w:pPr>
      <w:r w:rsidRPr="009C75D5">
        <w:rPr>
          <w:rFonts w:ascii="Verdana" w:hAnsi="Verdana" w:cs="Verdana"/>
          <w:color w:val="808080"/>
          <w:sz w:val="20"/>
          <w:szCs w:val="20"/>
        </w:rPr>
        <w:t>Wyrok Wielkiej Izby z dnia 13 lutego 2020</w:t>
      </w:r>
      <w:r w:rsidR="009C75D5" w:rsidRPr="009C75D5">
        <w:rPr>
          <w:rFonts w:ascii="Verdana" w:hAnsi="Verdana" w:cs="Verdana"/>
          <w:color w:val="808080"/>
          <w:sz w:val="20"/>
          <w:szCs w:val="20"/>
        </w:rPr>
        <w:t xml:space="preserve"> </w:t>
      </w:r>
      <w:r w:rsidR="009C75D5" w:rsidRPr="009C75D5">
        <w:rPr>
          <w:rFonts w:ascii="Verdana" w:hAnsi="Verdana"/>
          <w:color w:val="808080"/>
          <w:sz w:val="20"/>
          <w:szCs w:val="20"/>
        </w:rPr>
        <w:t>r</w:t>
      </w:r>
      <w:r w:rsidR="009C75D5">
        <w:rPr>
          <w:rFonts w:ascii="Verdana" w:hAnsi="Verdana"/>
          <w:color w:val="808080"/>
          <w:sz w:val="20"/>
          <w:szCs w:val="20"/>
        </w:rPr>
        <w:t>oku</w:t>
      </w:r>
    </w:p>
    <w:p w14:paraId="566696DB" w14:textId="77777777" w:rsidR="0013106C" w:rsidRPr="004D6CDB" w:rsidRDefault="0013106C" w:rsidP="002A4B3D">
      <w:pPr>
        <w:autoSpaceDE w:val="0"/>
        <w:autoSpaceDN w:val="0"/>
        <w:adjustRightInd w:val="0"/>
        <w:spacing w:after="0" w:line="240" w:lineRule="auto"/>
        <w:jc w:val="both"/>
        <w:rPr>
          <w:rFonts w:ascii="Verdana" w:hAnsi="Verdana" w:cs="Verdana"/>
          <w:sz w:val="20"/>
          <w:szCs w:val="20"/>
        </w:rPr>
      </w:pPr>
      <w:r w:rsidRPr="004D6CDB">
        <w:rPr>
          <w:rFonts w:ascii="Verdana" w:hAnsi="Verdana" w:cs="Verdana"/>
          <w:sz w:val="20"/>
          <w:szCs w:val="20"/>
        </w:rPr>
        <w:t>Ta sprawa dotyczyła natychmiastowego powrotu do Maroka dwóch obyw</w:t>
      </w:r>
      <w:r w:rsidR="000039E6" w:rsidRPr="004D6CDB">
        <w:rPr>
          <w:rFonts w:ascii="Verdana" w:hAnsi="Verdana" w:cs="Verdana"/>
          <w:sz w:val="20"/>
          <w:szCs w:val="20"/>
        </w:rPr>
        <w:t xml:space="preserve">ateli Mali i </w:t>
      </w:r>
      <w:proofErr w:type="spellStart"/>
      <w:r w:rsidR="000039E6" w:rsidRPr="004D6CDB">
        <w:rPr>
          <w:rFonts w:ascii="Verdana" w:hAnsi="Verdana" w:cs="Verdana"/>
          <w:sz w:val="20"/>
          <w:szCs w:val="20"/>
        </w:rPr>
        <w:t>Cote</w:t>
      </w:r>
      <w:proofErr w:type="spellEnd"/>
      <w:r w:rsidR="000039E6" w:rsidRPr="004D6CDB">
        <w:rPr>
          <w:rFonts w:ascii="Verdana" w:hAnsi="Verdana" w:cs="Verdana"/>
          <w:sz w:val="20"/>
          <w:szCs w:val="20"/>
        </w:rPr>
        <w:t xml:space="preserve"> </w:t>
      </w:r>
      <w:proofErr w:type="spellStart"/>
      <w:r w:rsidR="000039E6" w:rsidRPr="004D6CDB">
        <w:rPr>
          <w:rFonts w:ascii="Verdana" w:hAnsi="Verdana" w:cs="Verdana"/>
          <w:sz w:val="20"/>
          <w:szCs w:val="20"/>
        </w:rPr>
        <w:t>d’Ivoire</w:t>
      </w:r>
      <w:proofErr w:type="spellEnd"/>
      <w:r w:rsidR="000039E6" w:rsidRPr="004D6CDB">
        <w:rPr>
          <w:rFonts w:ascii="Verdana" w:hAnsi="Verdana" w:cs="Verdana"/>
          <w:sz w:val="20"/>
          <w:szCs w:val="20"/>
        </w:rPr>
        <w:t>, którzy w dniu 13 sierpnia 2014 roku próbowali bez kontroli dostać się na terytorium Hiszpanii poprzez</w:t>
      </w:r>
      <w:r w:rsidR="005C2432" w:rsidRPr="004D6CDB">
        <w:rPr>
          <w:rFonts w:ascii="Verdana" w:hAnsi="Verdana" w:cs="Verdana"/>
          <w:sz w:val="20"/>
          <w:szCs w:val="20"/>
        </w:rPr>
        <w:t xml:space="preserve"> sforsowanie płotu otaczającego hiszpańską enklawę Melilla na północnym wybrzeżu Afryki. Skarżący utrzymywali, że byli przedmiotem wydalenia zbiorowego bez indywidualnego rozważenia okoliczności i braku jakichkolwiek procedur oraz pomocy prawnej. Skarżący odnieśli się do polityki systematycznego usuwania imigrantów bez uprzedniej identyfikacji, co – ich zdaniem – było pozbawione podstaw prawnych w tamtym czasie. Ponadto skarżący zarzucili brak skutecznego środka ze skutkiem zawieszającym, przy pomocy którego mogliby zaskarżyć wydalenie do Maroka.</w:t>
      </w:r>
    </w:p>
    <w:p w14:paraId="38B62966" w14:textId="251BCAD6" w:rsidR="004D6CDB" w:rsidRDefault="005C2432" w:rsidP="002A4B3D">
      <w:pPr>
        <w:autoSpaceDE w:val="0"/>
        <w:autoSpaceDN w:val="0"/>
        <w:adjustRightInd w:val="0"/>
        <w:spacing w:after="0" w:line="240" w:lineRule="auto"/>
        <w:jc w:val="both"/>
        <w:rPr>
          <w:rFonts w:ascii="Verdana" w:hAnsi="Verdana" w:cs="Verdana"/>
          <w:color w:val="0070C0"/>
          <w:sz w:val="20"/>
          <w:szCs w:val="20"/>
        </w:rPr>
      </w:pPr>
      <w:r>
        <w:rPr>
          <w:rFonts w:ascii="Verdana" w:hAnsi="Verdana" w:cs="Verdana"/>
          <w:color w:val="0070C0"/>
          <w:sz w:val="20"/>
          <w:szCs w:val="20"/>
        </w:rPr>
        <w:t xml:space="preserve">Wielka Izba uznała jednogłośnie, że </w:t>
      </w:r>
      <w:r w:rsidRPr="004D6CDB">
        <w:rPr>
          <w:rFonts w:ascii="Verdana" w:hAnsi="Verdana" w:cs="Verdana"/>
          <w:b/>
          <w:bCs/>
          <w:color w:val="0070C0"/>
          <w:sz w:val="20"/>
          <w:szCs w:val="20"/>
        </w:rPr>
        <w:t>nie doszło do naruszenia art. 4 Protokołu nr 4 do Konwencji</w:t>
      </w:r>
      <w:r>
        <w:rPr>
          <w:rFonts w:ascii="Verdana" w:hAnsi="Verdana" w:cs="Verdana"/>
          <w:color w:val="0070C0"/>
          <w:sz w:val="20"/>
          <w:szCs w:val="20"/>
        </w:rPr>
        <w:t>. Wielka Izba zauważyła</w:t>
      </w:r>
      <w:r w:rsidR="000E7E6B">
        <w:rPr>
          <w:rFonts w:ascii="Verdana" w:hAnsi="Verdana" w:cs="Verdana"/>
          <w:color w:val="0070C0"/>
          <w:sz w:val="20"/>
          <w:szCs w:val="20"/>
        </w:rPr>
        <w:t xml:space="preserve"> w szczególności, że skarżący w istocie sami znaleźli się w bezprawnej sytuacji, kiedy świadomie </w:t>
      </w:r>
      <w:r w:rsidR="00427E94">
        <w:rPr>
          <w:rFonts w:ascii="Verdana" w:hAnsi="Verdana" w:cs="Verdana"/>
          <w:color w:val="0070C0"/>
          <w:sz w:val="20"/>
          <w:szCs w:val="20"/>
        </w:rPr>
        <w:t>próbowali jako część większej grupy i w miejscu niedozwolonym przedostać się do Hiszpanii w dniu 13 sierpnia 2014 roku poprzez przekroczenie zasieków granicznych Melilli, korzystając z liczebności grupy oraz używając siły. W ten sposób zdecydowali, że nie podejmą legalnych środków, które były dostępne aby dostać się do Hiszpanii w sposób legalny.</w:t>
      </w:r>
      <w:r w:rsidR="002001B5">
        <w:rPr>
          <w:rFonts w:ascii="Verdana" w:hAnsi="Verdana" w:cs="Verdana"/>
          <w:color w:val="0070C0"/>
          <w:sz w:val="20"/>
          <w:szCs w:val="20"/>
        </w:rPr>
        <w:t xml:space="preserve"> </w:t>
      </w:r>
      <w:r w:rsidR="00427E94">
        <w:rPr>
          <w:rFonts w:ascii="Verdana" w:hAnsi="Verdana" w:cs="Verdana"/>
          <w:color w:val="0070C0"/>
          <w:sz w:val="20"/>
          <w:szCs w:val="20"/>
        </w:rPr>
        <w:t>W konsekwencji Trybunał uznał, że brak indywidualnych decyzji o wydaleniu mógł być związany z tym, że skarżący – przy założeniu, iż chcieli skorzystać z praw konwencyjnych – nie uczynili użytku z</w:t>
      </w:r>
      <w:r w:rsidR="006F01F6">
        <w:rPr>
          <w:rFonts w:ascii="Verdana" w:hAnsi="Verdana" w:cs="Verdana"/>
          <w:color w:val="0070C0"/>
          <w:sz w:val="20"/>
          <w:szCs w:val="20"/>
        </w:rPr>
        <w:t xml:space="preserve"> ustanowionych w tym celu</w:t>
      </w:r>
      <w:r w:rsidR="00427E94">
        <w:rPr>
          <w:rFonts w:ascii="Verdana" w:hAnsi="Verdana" w:cs="Verdana"/>
          <w:color w:val="0070C0"/>
          <w:sz w:val="20"/>
          <w:szCs w:val="20"/>
        </w:rPr>
        <w:t xml:space="preserve"> oficjalnych procedur wjazdowych</w:t>
      </w:r>
      <w:r w:rsidR="006F01F6">
        <w:rPr>
          <w:rFonts w:ascii="Verdana" w:hAnsi="Verdana" w:cs="Verdana"/>
          <w:color w:val="0070C0"/>
          <w:sz w:val="20"/>
          <w:szCs w:val="20"/>
        </w:rPr>
        <w:t xml:space="preserve"> i było to w konsekwencji efektem ich osobistego zachowania. Wielka Izba uznała też, iż </w:t>
      </w:r>
      <w:r w:rsidR="006F01F6" w:rsidRPr="004D6CDB">
        <w:rPr>
          <w:rFonts w:ascii="Verdana" w:hAnsi="Verdana" w:cs="Verdana"/>
          <w:b/>
          <w:bCs/>
          <w:color w:val="0070C0"/>
          <w:sz w:val="20"/>
          <w:szCs w:val="20"/>
        </w:rPr>
        <w:t>nie doszło do naruszenia art. 13 Konwencji</w:t>
      </w:r>
      <w:r w:rsidR="006F01F6">
        <w:rPr>
          <w:rFonts w:ascii="Verdana" w:hAnsi="Verdana" w:cs="Verdana"/>
          <w:color w:val="0070C0"/>
          <w:sz w:val="20"/>
          <w:szCs w:val="20"/>
        </w:rPr>
        <w:t xml:space="preserve"> (prawo do skutecznego środka odwoławczego) </w:t>
      </w:r>
      <w:r w:rsidR="006F01F6" w:rsidRPr="004D6CDB">
        <w:rPr>
          <w:rFonts w:ascii="Verdana" w:hAnsi="Verdana" w:cs="Verdana"/>
          <w:b/>
          <w:bCs/>
          <w:color w:val="0070C0"/>
          <w:sz w:val="20"/>
          <w:szCs w:val="20"/>
        </w:rPr>
        <w:t>w zw. z art. 4 Protokołu nr 4 do Konwencji</w:t>
      </w:r>
      <w:r w:rsidR="006F01F6">
        <w:rPr>
          <w:rFonts w:ascii="Verdana" w:hAnsi="Verdana" w:cs="Verdana"/>
          <w:color w:val="0070C0"/>
          <w:sz w:val="20"/>
          <w:szCs w:val="20"/>
        </w:rPr>
        <w:t xml:space="preserve">. W tym względzie Izba uznała, że </w:t>
      </w:r>
      <w:r w:rsidR="004D6CDB">
        <w:rPr>
          <w:rFonts w:ascii="Verdana" w:hAnsi="Verdana" w:cs="Verdana"/>
          <w:color w:val="0070C0"/>
          <w:sz w:val="20"/>
          <w:szCs w:val="20"/>
        </w:rPr>
        <w:t xml:space="preserve">skoro </w:t>
      </w:r>
      <w:r w:rsidR="006F01F6">
        <w:rPr>
          <w:rFonts w:ascii="Verdana" w:hAnsi="Verdana" w:cs="Verdana"/>
          <w:color w:val="0070C0"/>
          <w:sz w:val="20"/>
          <w:szCs w:val="20"/>
        </w:rPr>
        <w:t>brak indywidualnej procedury wydaleniowej był konsekwencją własnego zachowania skarżących,</w:t>
      </w:r>
      <w:r w:rsidR="004D6CDB">
        <w:rPr>
          <w:rFonts w:ascii="Verdana" w:hAnsi="Verdana" w:cs="Verdana"/>
          <w:color w:val="0070C0"/>
          <w:sz w:val="20"/>
          <w:szCs w:val="20"/>
        </w:rPr>
        <w:t xml:space="preserve"> to</w:t>
      </w:r>
      <w:r w:rsidR="006F01F6">
        <w:rPr>
          <w:rFonts w:ascii="Verdana" w:hAnsi="Verdana" w:cs="Verdana"/>
          <w:color w:val="0070C0"/>
          <w:sz w:val="20"/>
          <w:szCs w:val="20"/>
        </w:rPr>
        <w:t xml:space="preserve"> nie można czynić Państwa odpowiedzialnym za brak </w:t>
      </w:r>
      <w:r w:rsidR="004D6CDB">
        <w:rPr>
          <w:rFonts w:ascii="Verdana" w:hAnsi="Verdana" w:cs="Verdana"/>
          <w:color w:val="0070C0"/>
          <w:sz w:val="20"/>
          <w:szCs w:val="20"/>
        </w:rPr>
        <w:t>dostępności prawnego środka w Melilli, który umożliwiałby skarżącym podważanie decyzji o wydaleniu.</w:t>
      </w:r>
    </w:p>
    <w:p w14:paraId="3F5EFFBA" w14:textId="77777777" w:rsidR="004D6CDB" w:rsidRDefault="004D6CDB" w:rsidP="002E6CBE">
      <w:pPr>
        <w:autoSpaceDE w:val="0"/>
        <w:autoSpaceDN w:val="0"/>
        <w:adjustRightInd w:val="0"/>
        <w:spacing w:after="0" w:line="240" w:lineRule="auto"/>
        <w:jc w:val="both"/>
        <w:rPr>
          <w:rFonts w:ascii="Verdana" w:hAnsi="Verdana" w:cs="Verdana"/>
          <w:color w:val="0070C0"/>
          <w:sz w:val="20"/>
          <w:szCs w:val="20"/>
        </w:rPr>
      </w:pPr>
    </w:p>
    <w:p w14:paraId="3A855BF6" w14:textId="4AED1BC7" w:rsidR="002A4B3D" w:rsidRPr="002E6CBE" w:rsidRDefault="00B77E96" w:rsidP="002A4B3D">
      <w:pPr>
        <w:autoSpaceDE w:val="0"/>
        <w:autoSpaceDN w:val="0"/>
        <w:adjustRightInd w:val="0"/>
        <w:spacing w:after="0" w:line="240" w:lineRule="auto"/>
        <w:jc w:val="both"/>
        <w:rPr>
          <w:rFonts w:ascii="Verdana" w:hAnsi="Verdana" w:cs="Verdana"/>
          <w:sz w:val="20"/>
          <w:szCs w:val="20"/>
        </w:rPr>
      </w:pPr>
      <w:r w:rsidRPr="00B77E96">
        <w:rPr>
          <w:rFonts w:ascii="Verdana" w:hAnsi="Verdana" w:cs="Verdana"/>
          <w:i/>
          <w:iCs/>
          <w:sz w:val="20"/>
          <w:szCs w:val="20"/>
        </w:rPr>
        <w:t>Zobacz także:</w:t>
      </w:r>
      <w:r>
        <w:rPr>
          <w:rFonts w:ascii="Verdana" w:hAnsi="Verdana" w:cs="Verdana"/>
          <w:sz w:val="20"/>
          <w:szCs w:val="20"/>
        </w:rPr>
        <w:t xml:space="preserve"> </w:t>
      </w:r>
      <w:hyperlink r:id="rId40" w:history="1">
        <w:proofErr w:type="spellStart"/>
        <w:r w:rsidRPr="00B77E96">
          <w:rPr>
            <w:rStyle w:val="Hipercze"/>
            <w:rFonts w:ascii="Verdana" w:hAnsi="Verdana" w:cs="Verdana"/>
            <w:b/>
            <w:bCs/>
            <w:sz w:val="20"/>
            <w:szCs w:val="20"/>
          </w:rPr>
          <w:t>Doumbe</w:t>
        </w:r>
        <w:proofErr w:type="spellEnd"/>
        <w:r w:rsidRPr="00B77E96">
          <w:rPr>
            <w:rStyle w:val="Hipercze"/>
            <w:rFonts w:ascii="Verdana" w:hAnsi="Verdana" w:cs="Verdana"/>
            <w:b/>
            <w:bCs/>
            <w:sz w:val="20"/>
            <w:szCs w:val="20"/>
          </w:rPr>
          <w:t xml:space="preserve"> </w:t>
        </w:r>
        <w:proofErr w:type="spellStart"/>
        <w:r w:rsidRPr="00B77E96">
          <w:rPr>
            <w:rStyle w:val="Hipercze"/>
            <w:rFonts w:ascii="Verdana" w:hAnsi="Verdana" w:cs="Verdana"/>
            <w:b/>
            <w:bCs/>
            <w:sz w:val="20"/>
            <w:szCs w:val="20"/>
          </w:rPr>
          <w:t>Nnabuchi</w:t>
        </w:r>
        <w:proofErr w:type="spellEnd"/>
        <w:r w:rsidRPr="00B77E96">
          <w:rPr>
            <w:rStyle w:val="Hipercze"/>
            <w:rFonts w:ascii="Verdana" w:hAnsi="Verdana" w:cs="Verdana"/>
            <w:b/>
            <w:bCs/>
            <w:sz w:val="20"/>
            <w:szCs w:val="20"/>
          </w:rPr>
          <w:t xml:space="preserve"> przeciwko Hiszpanii</w:t>
        </w:r>
      </w:hyperlink>
      <w:r w:rsidRPr="00B77E96">
        <w:rPr>
          <w:rFonts w:ascii="Verdana" w:hAnsi="Verdana" w:cs="Verdana"/>
          <w:sz w:val="20"/>
          <w:szCs w:val="20"/>
        </w:rPr>
        <w:t>, decyzja Komitet</w:t>
      </w:r>
      <w:r>
        <w:rPr>
          <w:rFonts w:ascii="Verdana" w:hAnsi="Verdana" w:cs="Verdana"/>
          <w:sz w:val="20"/>
          <w:szCs w:val="20"/>
        </w:rPr>
        <w:t>u</w:t>
      </w:r>
      <w:r w:rsidRPr="00B77E96">
        <w:rPr>
          <w:rFonts w:ascii="Verdana" w:hAnsi="Verdana" w:cs="Verdana"/>
          <w:sz w:val="20"/>
          <w:szCs w:val="20"/>
        </w:rPr>
        <w:t xml:space="preserve"> w </w:t>
      </w:r>
      <w:r>
        <w:rPr>
          <w:rFonts w:ascii="Verdana" w:hAnsi="Verdana" w:cs="Verdana"/>
          <w:sz w:val="20"/>
          <w:szCs w:val="20"/>
        </w:rPr>
        <w:t>przedmiocie</w:t>
      </w:r>
      <w:r w:rsidRPr="00B77E96">
        <w:rPr>
          <w:rFonts w:ascii="Verdana" w:hAnsi="Verdana" w:cs="Verdana"/>
          <w:sz w:val="20"/>
          <w:szCs w:val="20"/>
        </w:rPr>
        <w:t xml:space="preserve"> dopuszczalności z dnia 1 czerwca 2021 roku;</w:t>
      </w:r>
      <w:r w:rsidRPr="00B77E96">
        <w:rPr>
          <w:rFonts w:ascii="Verdana" w:hAnsi="Verdana" w:cs="Verdana"/>
          <w:sz w:val="20"/>
          <w:szCs w:val="20"/>
        </w:rPr>
        <w:br/>
      </w:r>
      <w:hyperlink r:id="rId41" w:history="1">
        <w:r w:rsidRPr="00B77E96">
          <w:rPr>
            <w:rStyle w:val="Hipercze"/>
            <w:rFonts w:ascii="Verdana" w:hAnsi="Verdana" w:cs="Verdana"/>
            <w:b/>
            <w:bCs/>
            <w:sz w:val="20"/>
            <w:szCs w:val="20"/>
          </w:rPr>
          <w:t>M.B. i R.A. przeciwko Hiszpanii (nr 20351/17)</w:t>
        </w:r>
      </w:hyperlink>
      <w:r w:rsidRPr="00B77E96">
        <w:rPr>
          <w:rFonts w:ascii="Verdana" w:hAnsi="Verdana" w:cs="Verdana"/>
          <w:sz w:val="20"/>
          <w:szCs w:val="20"/>
        </w:rPr>
        <w:t>, decyzja</w:t>
      </w:r>
      <w:r w:rsidR="00B96596">
        <w:rPr>
          <w:rFonts w:ascii="Verdana" w:hAnsi="Verdana" w:cs="Verdana"/>
          <w:sz w:val="20"/>
          <w:szCs w:val="20"/>
        </w:rPr>
        <w:t xml:space="preserve"> </w:t>
      </w:r>
      <w:r w:rsidRPr="00B77E96">
        <w:rPr>
          <w:rFonts w:ascii="Verdana" w:hAnsi="Verdana" w:cs="Verdana"/>
          <w:sz w:val="20"/>
          <w:szCs w:val="20"/>
        </w:rPr>
        <w:t>Komitet</w:t>
      </w:r>
      <w:r>
        <w:rPr>
          <w:rFonts w:ascii="Verdana" w:hAnsi="Verdana" w:cs="Verdana"/>
          <w:sz w:val="20"/>
          <w:szCs w:val="20"/>
        </w:rPr>
        <w:t>u</w:t>
      </w:r>
      <w:r w:rsidRPr="00B77E96">
        <w:rPr>
          <w:rFonts w:ascii="Verdana" w:hAnsi="Verdana" w:cs="Verdana"/>
          <w:sz w:val="20"/>
          <w:szCs w:val="20"/>
        </w:rPr>
        <w:t xml:space="preserve"> w </w:t>
      </w:r>
      <w:r>
        <w:rPr>
          <w:rFonts w:ascii="Verdana" w:hAnsi="Verdana" w:cs="Verdana"/>
          <w:sz w:val="20"/>
          <w:szCs w:val="20"/>
        </w:rPr>
        <w:t>przedmiocie</w:t>
      </w:r>
      <w:r w:rsidRPr="00B77E96">
        <w:rPr>
          <w:rFonts w:ascii="Verdana" w:hAnsi="Verdana" w:cs="Verdana"/>
          <w:sz w:val="20"/>
          <w:szCs w:val="20"/>
        </w:rPr>
        <w:t xml:space="preserve"> dopuszczalności z dnia 5 lipca 2022 roku.</w:t>
      </w:r>
    </w:p>
    <w:p w14:paraId="2925BA98" w14:textId="77777777" w:rsidR="002A4B3D" w:rsidRDefault="002A4B3D" w:rsidP="002A4B3D">
      <w:pPr>
        <w:autoSpaceDE w:val="0"/>
        <w:autoSpaceDN w:val="0"/>
        <w:adjustRightInd w:val="0"/>
        <w:spacing w:after="0" w:line="240" w:lineRule="auto"/>
        <w:jc w:val="both"/>
        <w:rPr>
          <w:rFonts w:ascii="Verdana" w:hAnsi="Verdana" w:cs="Verdana"/>
          <w:b/>
          <w:bCs/>
          <w:color w:val="0070C0"/>
          <w:sz w:val="20"/>
          <w:szCs w:val="20"/>
          <w:u w:val="single"/>
        </w:rPr>
      </w:pPr>
    </w:p>
    <w:p w14:paraId="277424F9" w14:textId="30AE82A1" w:rsidR="004D6CDB" w:rsidRPr="00662976" w:rsidRDefault="004D6CDB" w:rsidP="002A4B3D">
      <w:pPr>
        <w:autoSpaceDE w:val="0"/>
        <w:autoSpaceDN w:val="0"/>
        <w:adjustRightInd w:val="0"/>
        <w:spacing w:after="0" w:line="240" w:lineRule="auto"/>
        <w:jc w:val="both"/>
        <w:rPr>
          <w:rFonts w:ascii="Verdana" w:hAnsi="Verdana" w:cs="Verdana"/>
          <w:b/>
          <w:bCs/>
          <w:color w:val="0070C0"/>
          <w:sz w:val="20"/>
          <w:szCs w:val="20"/>
          <w:u w:val="single"/>
        </w:rPr>
      </w:pPr>
      <w:hyperlink r:id="rId42" w:history="1">
        <w:proofErr w:type="spellStart"/>
        <w:r w:rsidRPr="00761997">
          <w:rPr>
            <w:rStyle w:val="Hipercze"/>
            <w:rFonts w:ascii="Verdana" w:hAnsi="Verdana" w:cs="Verdana"/>
            <w:b/>
            <w:bCs/>
            <w:sz w:val="20"/>
            <w:szCs w:val="20"/>
          </w:rPr>
          <w:t>Asady</w:t>
        </w:r>
        <w:proofErr w:type="spellEnd"/>
        <w:r w:rsidRPr="00761997">
          <w:rPr>
            <w:rStyle w:val="Hipercze"/>
            <w:rFonts w:ascii="Verdana" w:hAnsi="Verdana" w:cs="Verdana"/>
            <w:b/>
            <w:bCs/>
            <w:sz w:val="20"/>
            <w:szCs w:val="20"/>
          </w:rPr>
          <w:t xml:space="preserve"> i Inni p</w:t>
        </w:r>
        <w:r w:rsidR="00F175B8" w:rsidRPr="00761997">
          <w:rPr>
            <w:rStyle w:val="Hipercze"/>
            <w:rFonts w:ascii="Verdana" w:hAnsi="Verdana" w:cs="Verdana"/>
            <w:b/>
            <w:bCs/>
            <w:sz w:val="20"/>
            <w:szCs w:val="20"/>
          </w:rPr>
          <w:t>rzeciwko</w:t>
        </w:r>
        <w:r w:rsidRPr="00761997">
          <w:rPr>
            <w:rStyle w:val="Hipercze"/>
            <w:rFonts w:ascii="Verdana" w:hAnsi="Verdana" w:cs="Verdana"/>
            <w:b/>
            <w:bCs/>
            <w:sz w:val="20"/>
            <w:szCs w:val="20"/>
          </w:rPr>
          <w:t xml:space="preserve"> Słowacji</w:t>
        </w:r>
      </w:hyperlink>
    </w:p>
    <w:p w14:paraId="2DBB3070" w14:textId="0107F543" w:rsidR="004D6CDB" w:rsidRPr="009C335F" w:rsidRDefault="004D6CDB" w:rsidP="002A4B3D">
      <w:pPr>
        <w:autoSpaceDE w:val="0"/>
        <w:autoSpaceDN w:val="0"/>
        <w:adjustRightInd w:val="0"/>
        <w:spacing w:after="0" w:line="240" w:lineRule="auto"/>
        <w:jc w:val="both"/>
        <w:rPr>
          <w:rFonts w:ascii="Verdana" w:hAnsi="Verdana" w:cs="Verdana"/>
          <w:color w:val="808080"/>
          <w:sz w:val="20"/>
          <w:szCs w:val="20"/>
        </w:rPr>
      </w:pPr>
      <w:r w:rsidRPr="009C335F">
        <w:rPr>
          <w:rFonts w:ascii="Verdana" w:hAnsi="Verdana" w:cs="Verdana"/>
          <w:color w:val="808080"/>
          <w:sz w:val="20"/>
          <w:szCs w:val="20"/>
        </w:rPr>
        <w:t xml:space="preserve">Wyrok Izby z dnia 24 marca 2020 </w:t>
      </w:r>
      <w:r w:rsidR="009C75D5" w:rsidRPr="009C75D5">
        <w:rPr>
          <w:rFonts w:ascii="Verdana" w:hAnsi="Verdana"/>
          <w:color w:val="808080"/>
          <w:sz w:val="20"/>
          <w:szCs w:val="20"/>
        </w:rPr>
        <w:t>r</w:t>
      </w:r>
      <w:r w:rsidR="009C75D5">
        <w:rPr>
          <w:rFonts w:ascii="Verdana" w:hAnsi="Verdana"/>
          <w:color w:val="808080"/>
          <w:sz w:val="20"/>
          <w:szCs w:val="20"/>
        </w:rPr>
        <w:t>oku</w:t>
      </w:r>
      <w:r w:rsidR="00BD57E5" w:rsidRPr="009C335F">
        <w:rPr>
          <w:rStyle w:val="Odwoanieprzypisudolnego"/>
          <w:rFonts w:ascii="Verdana" w:hAnsi="Verdana" w:cs="Verdana"/>
          <w:color w:val="808080"/>
          <w:sz w:val="20"/>
          <w:szCs w:val="20"/>
        </w:rPr>
        <w:footnoteReference w:id="8"/>
      </w:r>
    </w:p>
    <w:p w14:paraId="013DF336" w14:textId="77777777" w:rsidR="005C2432" w:rsidRDefault="004D6CDB" w:rsidP="002A4B3D">
      <w:pPr>
        <w:autoSpaceDE w:val="0"/>
        <w:autoSpaceDN w:val="0"/>
        <w:adjustRightInd w:val="0"/>
        <w:spacing w:after="0" w:line="240" w:lineRule="auto"/>
        <w:jc w:val="both"/>
        <w:rPr>
          <w:rFonts w:ascii="Verdana" w:hAnsi="Verdana" w:cs="Verdana"/>
          <w:color w:val="0070C0"/>
          <w:sz w:val="20"/>
          <w:szCs w:val="20"/>
        </w:rPr>
      </w:pPr>
      <w:r>
        <w:rPr>
          <w:rFonts w:ascii="Verdana" w:hAnsi="Verdana" w:cs="Verdana"/>
          <w:color w:val="0070C0"/>
          <w:sz w:val="20"/>
          <w:szCs w:val="20"/>
        </w:rPr>
        <w:t>Sprawa ta dotyczyła wydalenia przez słowackie służby graniczne i uchod</w:t>
      </w:r>
      <w:r w:rsidR="00C603B2">
        <w:rPr>
          <w:rFonts w:ascii="Verdana" w:hAnsi="Verdana" w:cs="Verdana"/>
          <w:color w:val="0070C0"/>
          <w:sz w:val="20"/>
          <w:szCs w:val="20"/>
        </w:rPr>
        <w:t>ź</w:t>
      </w:r>
      <w:r>
        <w:rPr>
          <w:rFonts w:ascii="Verdana" w:hAnsi="Verdana" w:cs="Verdana"/>
          <w:color w:val="0070C0"/>
          <w:sz w:val="20"/>
          <w:szCs w:val="20"/>
        </w:rPr>
        <w:t>cze 19 obywateli afgańskich na Ukrainę.</w:t>
      </w:r>
    </w:p>
    <w:p w14:paraId="40A80CC6" w14:textId="77777777" w:rsidR="004D6CDB" w:rsidRDefault="004D6CDB" w:rsidP="00927A76">
      <w:pPr>
        <w:autoSpaceDE w:val="0"/>
        <w:autoSpaceDN w:val="0"/>
        <w:adjustRightInd w:val="0"/>
        <w:spacing w:after="160" w:line="240" w:lineRule="auto"/>
        <w:jc w:val="both"/>
        <w:rPr>
          <w:rFonts w:ascii="Verdana" w:hAnsi="Verdana" w:cs="Verdana"/>
          <w:color w:val="0070C0"/>
          <w:sz w:val="20"/>
          <w:szCs w:val="20"/>
        </w:rPr>
      </w:pPr>
      <w:r>
        <w:rPr>
          <w:rFonts w:ascii="Verdana" w:hAnsi="Verdana" w:cs="Verdana"/>
          <w:color w:val="0070C0"/>
          <w:sz w:val="20"/>
          <w:szCs w:val="20"/>
        </w:rPr>
        <w:t>Trybunał zbadał jedynie 7 z 19 skarg, skreślając sprawę z listy w stosunku do pozostałych. Trybunał stwierdził, że nie doszło do naruszenia art. 4 Protokołu nr 4 do Konwencji wobec tych siedmiu skarżących</w:t>
      </w:r>
      <w:r w:rsidR="00C603B2">
        <w:rPr>
          <w:rFonts w:ascii="Verdana" w:hAnsi="Verdana" w:cs="Verdana"/>
          <w:color w:val="0070C0"/>
          <w:sz w:val="20"/>
          <w:szCs w:val="20"/>
        </w:rPr>
        <w:t>, uznając, że słowacka policja nie doprowadziła do zbiorowego wydalenia gdy przekazała ich na Ukrainę. Trybunał stwierdził w szczególności, że pomimo krótkiego przesłuchania na komisariacie, otrzymali autentyczną możliwość zwrócenia uwagi władz na każdą kwestię, która mogła wpływać na ich status i prawo do pozostania na Słowacji. Ich wydalenie nie nastąpiło bez zbadania indywidualnych okoliczności sprawy.</w:t>
      </w:r>
    </w:p>
    <w:p w14:paraId="0E4ACD78" w14:textId="452026A4" w:rsidR="00927A76" w:rsidRDefault="00B96596" w:rsidP="005C24C3">
      <w:pPr>
        <w:autoSpaceDE w:val="0"/>
        <w:autoSpaceDN w:val="0"/>
        <w:adjustRightInd w:val="0"/>
        <w:spacing w:after="120" w:line="240" w:lineRule="auto"/>
        <w:rPr>
          <w:rFonts w:ascii="Verdana" w:hAnsi="Verdana" w:cs="Verdana"/>
          <w:i/>
          <w:iCs/>
          <w:color w:val="000000" w:themeColor="text1"/>
          <w:sz w:val="20"/>
          <w:szCs w:val="20"/>
        </w:rPr>
      </w:pPr>
      <w:r w:rsidRPr="00B96596">
        <w:rPr>
          <w:rFonts w:ascii="Verdana" w:hAnsi="Verdana" w:cs="Verdana"/>
          <w:i/>
          <w:iCs/>
          <w:color w:val="000000" w:themeColor="text1"/>
          <w:sz w:val="20"/>
          <w:szCs w:val="20"/>
        </w:rPr>
        <w:t>Zobacz także</w:t>
      </w:r>
      <w:r w:rsidRPr="00B96596">
        <w:rPr>
          <w:rFonts w:ascii="Verdana" w:hAnsi="Verdana" w:cs="Verdana"/>
          <w:color w:val="000000" w:themeColor="text1"/>
          <w:sz w:val="20"/>
          <w:szCs w:val="20"/>
        </w:rPr>
        <w:t>,</w:t>
      </w:r>
      <w:r w:rsidRPr="00B96596">
        <w:rPr>
          <w:rFonts w:ascii="Verdana" w:hAnsi="Verdana" w:cs="Verdana"/>
          <w:i/>
          <w:iCs/>
          <w:color w:val="000000" w:themeColor="text1"/>
          <w:sz w:val="20"/>
          <w:szCs w:val="20"/>
        </w:rPr>
        <w:t xml:space="preserve"> </w:t>
      </w:r>
      <w:r w:rsidR="002C7FC0" w:rsidRPr="005C24C3">
        <w:rPr>
          <w:rFonts w:ascii="Verdana" w:hAnsi="Verdana" w:cs="Verdana"/>
          <w:color w:val="000000" w:themeColor="text1"/>
          <w:sz w:val="20"/>
          <w:szCs w:val="20"/>
        </w:rPr>
        <w:t>nowsz</w:t>
      </w:r>
      <w:r w:rsidR="00A37096">
        <w:rPr>
          <w:rFonts w:ascii="Verdana" w:hAnsi="Verdana" w:cs="Verdana"/>
          <w:color w:val="000000" w:themeColor="text1"/>
          <w:sz w:val="20"/>
          <w:szCs w:val="20"/>
        </w:rPr>
        <w:t>e</w:t>
      </w:r>
      <w:r w:rsidRPr="00B96596">
        <w:rPr>
          <w:rFonts w:ascii="Verdana" w:hAnsi="Verdana" w:cs="Verdana"/>
          <w:color w:val="000000" w:themeColor="text1"/>
          <w:sz w:val="20"/>
          <w:szCs w:val="20"/>
        </w:rPr>
        <w:t>:</w:t>
      </w:r>
      <w:r w:rsidR="00927A76">
        <w:rPr>
          <w:rFonts w:ascii="Verdana" w:hAnsi="Verdana" w:cs="Verdana"/>
          <w:i/>
          <w:iCs/>
          <w:color w:val="000000" w:themeColor="text1"/>
          <w:sz w:val="20"/>
          <w:szCs w:val="20"/>
        </w:rPr>
        <w:t xml:space="preserve"> </w:t>
      </w:r>
    </w:p>
    <w:p w14:paraId="35390D23" w14:textId="3C9C5A0C" w:rsidR="00B96596" w:rsidRPr="00B96596" w:rsidRDefault="00B96596" w:rsidP="00B96596">
      <w:pPr>
        <w:autoSpaceDE w:val="0"/>
        <w:autoSpaceDN w:val="0"/>
        <w:adjustRightInd w:val="0"/>
        <w:spacing w:after="0" w:line="240" w:lineRule="auto"/>
        <w:rPr>
          <w:rFonts w:ascii="Verdana" w:hAnsi="Verdana" w:cs="Verdana"/>
          <w:i/>
          <w:iCs/>
          <w:color w:val="000000" w:themeColor="text1"/>
          <w:sz w:val="20"/>
          <w:szCs w:val="20"/>
        </w:rPr>
      </w:pPr>
      <w:hyperlink r:id="rId43" w:history="1">
        <w:r w:rsidRPr="00B96596">
          <w:rPr>
            <w:rStyle w:val="Hipercze"/>
            <w:rFonts w:ascii="Verdana" w:hAnsi="Verdana" w:cs="Verdana"/>
            <w:b/>
            <w:bCs/>
            <w:sz w:val="20"/>
            <w:szCs w:val="20"/>
          </w:rPr>
          <w:t xml:space="preserve">A.A. i </w:t>
        </w:r>
        <w:r w:rsidR="00927A76">
          <w:rPr>
            <w:rStyle w:val="Hipercze"/>
            <w:rFonts w:ascii="Verdana" w:hAnsi="Verdana" w:cs="Verdana"/>
            <w:b/>
            <w:bCs/>
            <w:sz w:val="20"/>
            <w:szCs w:val="20"/>
          </w:rPr>
          <w:t>I</w:t>
        </w:r>
        <w:r w:rsidRPr="00B96596">
          <w:rPr>
            <w:rStyle w:val="Hipercze"/>
            <w:rFonts w:ascii="Verdana" w:hAnsi="Verdana" w:cs="Verdana"/>
            <w:b/>
            <w:bCs/>
            <w:sz w:val="20"/>
            <w:szCs w:val="20"/>
          </w:rPr>
          <w:t>nni przeciwko Macedonii Północnej (nr 55798/16, 55808/16, 55817/16, 55820/16 i 55823/16)</w:t>
        </w:r>
      </w:hyperlink>
      <w:r w:rsidRPr="00B96596">
        <w:rPr>
          <w:rFonts w:ascii="Verdana" w:hAnsi="Verdana" w:cs="Verdana"/>
          <w:color w:val="000000" w:themeColor="text1"/>
          <w:sz w:val="20"/>
          <w:szCs w:val="20"/>
        </w:rPr>
        <w:br/>
      </w:r>
      <w:r w:rsidR="00927A76" w:rsidRPr="00927A76">
        <w:rPr>
          <w:rFonts w:ascii="Verdana" w:hAnsi="Verdana" w:cs="Verdana"/>
          <w:color w:val="808080"/>
          <w:sz w:val="20"/>
          <w:szCs w:val="20"/>
        </w:rPr>
        <w:t>Wyrok Izby z dnia 5 kwietnia 2022 roku</w:t>
      </w:r>
      <w:r w:rsidR="00A37096">
        <w:rPr>
          <w:rFonts w:ascii="Verdana" w:hAnsi="Verdana" w:cs="Verdana"/>
          <w:color w:val="808080"/>
          <w:sz w:val="20"/>
          <w:szCs w:val="20"/>
        </w:rPr>
        <w:t>.</w:t>
      </w:r>
    </w:p>
    <w:p w14:paraId="09FEDD94" w14:textId="77777777" w:rsidR="002A4B3D" w:rsidRDefault="002A4B3D" w:rsidP="002A4B3D">
      <w:pPr>
        <w:pBdr>
          <w:bottom w:val="single" w:sz="12" w:space="0" w:color="auto"/>
        </w:pBdr>
        <w:autoSpaceDE w:val="0"/>
        <w:autoSpaceDN w:val="0"/>
        <w:adjustRightInd w:val="0"/>
        <w:spacing w:after="0" w:line="240" w:lineRule="auto"/>
        <w:jc w:val="both"/>
        <w:rPr>
          <w:rFonts w:ascii="Verdana" w:hAnsi="Verdana" w:cs="Verdana"/>
          <w:color w:val="0072BD"/>
          <w:sz w:val="28"/>
          <w:szCs w:val="28"/>
        </w:rPr>
      </w:pPr>
      <w:bookmarkStart w:id="10" w:name="_Hlk42670842"/>
    </w:p>
    <w:p w14:paraId="118726F3" w14:textId="77777777" w:rsidR="00C603B2" w:rsidRDefault="00C603B2" w:rsidP="002A4B3D">
      <w:pPr>
        <w:pBdr>
          <w:bottom w:val="single" w:sz="12" w:space="0" w:color="auto"/>
        </w:pBdr>
        <w:autoSpaceDE w:val="0"/>
        <w:autoSpaceDN w:val="0"/>
        <w:adjustRightInd w:val="0"/>
        <w:spacing w:after="0" w:line="240" w:lineRule="auto"/>
        <w:jc w:val="both"/>
        <w:rPr>
          <w:rFonts w:ascii="Verdana" w:hAnsi="Verdana" w:cs="Verdana"/>
          <w:color w:val="0072BD"/>
          <w:sz w:val="28"/>
          <w:szCs w:val="28"/>
        </w:rPr>
      </w:pPr>
      <w:r>
        <w:rPr>
          <w:rFonts w:ascii="Verdana" w:hAnsi="Verdana" w:cs="Verdana"/>
          <w:color w:val="0072BD"/>
          <w:sz w:val="28"/>
          <w:szCs w:val="28"/>
        </w:rPr>
        <w:lastRenderedPageBreak/>
        <w:t>Sprawy, w których Trybunał uznał skargi za niedopuszczalne w świetle art. 4 Protokołu nr 4 do Konwencji</w:t>
      </w:r>
    </w:p>
    <w:bookmarkEnd w:id="10"/>
    <w:p w14:paraId="08EDE3E4" w14:textId="77777777" w:rsidR="00B35105" w:rsidRDefault="00B35105" w:rsidP="002A4B3D">
      <w:pPr>
        <w:autoSpaceDE w:val="0"/>
        <w:autoSpaceDN w:val="0"/>
        <w:adjustRightInd w:val="0"/>
        <w:spacing w:after="0" w:line="240" w:lineRule="auto"/>
        <w:jc w:val="both"/>
        <w:rPr>
          <w:rFonts w:ascii="Verdana" w:hAnsi="Verdana" w:cs="Verdana"/>
          <w:color w:val="3366FF"/>
          <w:sz w:val="20"/>
          <w:szCs w:val="20"/>
          <w:u w:val="single"/>
        </w:rPr>
      </w:pPr>
    </w:p>
    <w:p w14:paraId="294C4A5E" w14:textId="09CF5DCA" w:rsidR="00BD57E5" w:rsidRPr="00C56CE2" w:rsidRDefault="004607DF" w:rsidP="002A4B3D">
      <w:pPr>
        <w:autoSpaceDE w:val="0"/>
        <w:autoSpaceDN w:val="0"/>
        <w:adjustRightInd w:val="0"/>
        <w:spacing w:after="0" w:line="240" w:lineRule="auto"/>
        <w:jc w:val="both"/>
        <w:rPr>
          <w:rFonts w:ascii="Verdana" w:hAnsi="Verdana" w:cs="Verdana"/>
          <w:b/>
          <w:bCs/>
          <w:color w:val="0070C0"/>
          <w:sz w:val="20"/>
          <w:szCs w:val="20"/>
          <w:u w:val="single"/>
        </w:rPr>
      </w:pPr>
      <w:hyperlink r:id="rId44" w:history="1">
        <w:r w:rsidRPr="00741079">
          <w:rPr>
            <w:rStyle w:val="Hipercze"/>
            <w:rFonts w:ascii="Verdana" w:hAnsi="Verdana" w:cs="Verdana"/>
            <w:b/>
            <w:bCs/>
            <w:sz w:val="20"/>
            <w:szCs w:val="20"/>
          </w:rPr>
          <w:t>Becker przeciwko Danii</w:t>
        </w:r>
      </w:hyperlink>
      <w:r w:rsidRPr="00C56CE2">
        <w:rPr>
          <w:rFonts w:ascii="Verdana" w:hAnsi="Verdana" w:cs="Verdana"/>
          <w:b/>
          <w:bCs/>
          <w:color w:val="0070C0"/>
          <w:sz w:val="20"/>
          <w:szCs w:val="20"/>
          <w:u w:val="single"/>
        </w:rPr>
        <w:t xml:space="preserve"> </w:t>
      </w:r>
    </w:p>
    <w:p w14:paraId="6ECDB5E3" w14:textId="333D8E21" w:rsidR="004607DF" w:rsidRPr="000D1C49" w:rsidRDefault="00BD57E5" w:rsidP="002A4B3D">
      <w:pPr>
        <w:autoSpaceDE w:val="0"/>
        <w:autoSpaceDN w:val="0"/>
        <w:adjustRightInd w:val="0"/>
        <w:spacing w:after="0" w:line="240" w:lineRule="auto"/>
        <w:jc w:val="both"/>
        <w:rPr>
          <w:rFonts w:ascii="Verdana" w:hAnsi="Verdana" w:cs="Verdana"/>
          <w:color w:val="808080"/>
          <w:sz w:val="20"/>
          <w:szCs w:val="20"/>
        </w:rPr>
      </w:pPr>
      <w:r w:rsidRPr="000D1C49">
        <w:rPr>
          <w:rFonts w:ascii="Verdana" w:hAnsi="Verdana" w:cs="Verdana"/>
          <w:color w:val="808080"/>
          <w:sz w:val="20"/>
          <w:szCs w:val="20"/>
        </w:rPr>
        <w:t xml:space="preserve">Decyzja Europejskiej Komisji Praw Człowieka z dnia </w:t>
      </w:r>
      <w:r w:rsidR="004607DF" w:rsidRPr="000D1C49">
        <w:rPr>
          <w:rFonts w:ascii="Verdana" w:hAnsi="Verdana" w:cs="Verdana"/>
          <w:color w:val="808080"/>
          <w:sz w:val="20"/>
          <w:szCs w:val="20"/>
        </w:rPr>
        <w:t>3</w:t>
      </w:r>
      <w:r w:rsidRPr="000D1C49">
        <w:rPr>
          <w:rFonts w:ascii="Verdana" w:hAnsi="Verdana" w:cs="Verdana"/>
          <w:color w:val="808080"/>
          <w:sz w:val="20"/>
          <w:szCs w:val="20"/>
        </w:rPr>
        <w:t xml:space="preserve"> października </w:t>
      </w:r>
      <w:r w:rsidR="004607DF" w:rsidRPr="000D1C49">
        <w:rPr>
          <w:rFonts w:ascii="Verdana" w:hAnsi="Verdana" w:cs="Verdana"/>
          <w:color w:val="808080"/>
          <w:sz w:val="20"/>
          <w:szCs w:val="20"/>
        </w:rPr>
        <w:t>1975</w:t>
      </w:r>
      <w:r w:rsidRPr="000D1C49">
        <w:rPr>
          <w:rFonts w:ascii="Verdana" w:hAnsi="Verdana" w:cs="Verdana"/>
          <w:color w:val="808080"/>
          <w:sz w:val="20"/>
          <w:szCs w:val="20"/>
        </w:rPr>
        <w:t xml:space="preserve"> </w:t>
      </w:r>
      <w:r w:rsidR="009C75D5" w:rsidRPr="009C335F">
        <w:rPr>
          <w:rFonts w:ascii="Verdana" w:hAnsi="Verdana" w:cs="Verdana"/>
          <w:color w:val="808080"/>
          <w:sz w:val="20"/>
          <w:szCs w:val="20"/>
        </w:rPr>
        <w:t>roku</w:t>
      </w:r>
      <w:r w:rsidR="009C75D5" w:rsidRPr="000D1C49">
        <w:rPr>
          <w:rStyle w:val="Odwoanieprzypisudolnego"/>
          <w:rFonts w:ascii="Verdana" w:hAnsi="Verdana" w:cs="Verdana"/>
          <w:color w:val="808080"/>
          <w:sz w:val="20"/>
          <w:szCs w:val="20"/>
        </w:rPr>
        <w:t xml:space="preserve"> </w:t>
      </w:r>
      <w:r w:rsidRPr="000D1C49">
        <w:rPr>
          <w:rStyle w:val="Odwoanieprzypisudolnego"/>
          <w:rFonts w:ascii="Verdana" w:hAnsi="Verdana" w:cs="Verdana"/>
          <w:color w:val="808080"/>
          <w:sz w:val="20"/>
          <w:szCs w:val="20"/>
        </w:rPr>
        <w:footnoteReference w:id="9"/>
      </w:r>
    </w:p>
    <w:p w14:paraId="7E189DB7" w14:textId="41248A23" w:rsidR="00E660F0" w:rsidRDefault="004607DF" w:rsidP="002A4B3D">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Skarżący, który był dziennikarzem i prezesem organizacji „</w:t>
      </w:r>
      <w:r w:rsidR="00314898" w:rsidRPr="00314898">
        <w:rPr>
          <w:rFonts w:ascii="Verdana" w:hAnsi="Verdana" w:cs="Verdana"/>
          <w:sz w:val="20"/>
          <w:szCs w:val="20"/>
        </w:rPr>
        <w:t xml:space="preserve">Project </w:t>
      </w:r>
      <w:proofErr w:type="spellStart"/>
      <w:r w:rsidR="00314898" w:rsidRPr="00314898">
        <w:rPr>
          <w:rFonts w:ascii="Verdana" w:hAnsi="Verdana" w:cs="Verdana"/>
          <w:sz w:val="20"/>
          <w:szCs w:val="20"/>
        </w:rPr>
        <w:t>Children’s</w:t>
      </w:r>
      <w:proofErr w:type="spellEnd"/>
      <w:r w:rsidR="00314898" w:rsidRPr="00314898">
        <w:rPr>
          <w:rFonts w:ascii="Verdana" w:hAnsi="Verdana" w:cs="Verdana"/>
          <w:sz w:val="20"/>
          <w:szCs w:val="20"/>
        </w:rPr>
        <w:t xml:space="preserve"> </w:t>
      </w:r>
      <w:proofErr w:type="spellStart"/>
      <w:r w:rsidR="00314898" w:rsidRPr="00314898">
        <w:rPr>
          <w:rFonts w:ascii="Verdana" w:hAnsi="Verdana" w:cs="Verdana"/>
          <w:sz w:val="20"/>
          <w:szCs w:val="20"/>
        </w:rPr>
        <w:t>Protection</w:t>
      </w:r>
      <w:proofErr w:type="spellEnd"/>
      <w:r w:rsidR="00314898" w:rsidRPr="00314898">
        <w:rPr>
          <w:rFonts w:ascii="Verdana" w:hAnsi="Verdana" w:cs="Verdana"/>
          <w:sz w:val="20"/>
          <w:szCs w:val="20"/>
        </w:rPr>
        <w:t xml:space="preserve"> and Security International</w:t>
      </w:r>
      <w:r w:rsidR="00911E4E">
        <w:rPr>
          <w:rFonts w:ascii="Verdana" w:hAnsi="Verdana" w:cs="Verdana"/>
          <w:sz w:val="20"/>
          <w:szCs w:val="20"/>
        </w:rPr>
        <w:t xml:space="preserve">”, twierdził </w:t>
      </w:r>
      <w:r w:rsidR="005A1E19">
        <w:rPr>
          <w:rFonts w:ascii="Verdana" w:hAnsi="Verdana" w:cs="Verdana"/>
          <w:sz w:val="20"/>
          <w:szCs w:val="20"/>
        </w:rPr>
        <w:t xml:space="preserve">że przymusowy </w:t>
      </w:r>
      <w:r w:rsidR="00E660F0" w:rsidRPr="00E660F0">
        <w:rPr>
          <w:rFonts w:ascii="Verdana" w:hAnsi="Verdana" w:cs="Verdana"/>
          <w:sz w:val="20"/>
          <w:szCs w:val="20"/>
        </w:rPr>
        <w:t xml:space="preserve">powrót do Wietnamu 199 wietnamskich dzieci przyjętych w Danii stanowiłby, jeśli zostałby przeprowadzony, naruszenie art. 4 Protokołu nr 4 do Konwencji. </w:t>
      </w:r>
    </w:p>
    <w:p w14:paraId="5D141898" w14:textId="1BB63EB6" w:rsidR="00E154D5" w:rsidRPr="00C56CE2" w:rsidRDefault="00603203" w:rsidP="002A4B3D">
      <w:pPr>
        <w:autoSpaceDE w:val="0"/>
        <w:autoSpaceDN w:val="0"/>
        <w:adjustRightInd w:val="0"/>
        <w:spacing w:after="0" w:line="240" w:lineRule="auto"/>
        <w:jc w:val="both"/>
        <w:rPr>
          <w:rFonts w:ascii="Verdana" w:hAnsi="Verdana" w:cs="Verdana"/>
          <w:color w:val="0070C0"/>
          <w:sz w:val="20"/>
          <w:szCs w:val="20"/>
        </w:rPr>
      </w:pPr>
      <w:r w:rsidRPr="00603203">
        <w:rPr>
          <w:rFonts w:ascii="Verdana" w:hAnsi="Verdana" w:cs="Verdana"/>
          <w:color w:val="0070C0"/>
          <w:sz w:val="20"/>
          <w:szCs w:val="20"/>
        </w:rPr>
        <w:t>Europejska Komisja Praw Człowieka uznała skargę za niedopuszczalną (ratione materiae). Ponieważ Dania zgodziła się na indywidualne rozpatrywanie przypadków, a repatriacja mogła leżeć w interesie niektórych dzieci bardziej niż pozostanie w Danii, nie mogło dojść do kwestii zbiorowego wydalenia.</w:t>
      </w:r>
    </w:p>
    <w:p w14:paraId="6700615F" w14:textId="77777777" w:rsidR="004C54F7" w:rsidRDefault="004C54F7" w:rsidP="002A4B3D">
      <w:pPr>
        <w:autoSpaceDE w:val="0"/>
        <w:autoSpaceDN w:val="0"/>
        <w:adjustRightInd w:val="0"/>
        <w:spacing w:after="0" w:line="240" w:lineRule="auto"/>
        <w:jc w:val="both"/>
        <w:rPr>
          <w:rFonts w:ascii="Verdana" w:hAnsi="Verdana" w:cs="Verdana"/>
          <w:sz w:val="20"/>
          <w:szCs w:val="20"/>
        </w:rPr>
      </w:pPr>
    </w:p>
    <w:p w14:paraId="14A477C5" w14:textId="0E085CA1" w:rsidR="007B27CD" w:rsidRPr="00CE7A24" w:rsidRDefault="00C56CE2" w:rsidP="002A4B3D">
      <w:pPr>
        <w:autoSpaceDE w:val="0"/>
        <w:autoSpaceDN w:val="0"/>
        <w:adjustRightInd w:val="0"/>
        <w:spacing w:after="0" w:line="240" w:lineRule="auto"/>
        <w:jc w:val="both"/>
        <w:rPr>
          <w:rFonts w:ascii="Verdana" w:hAnsi="Verdana" w:cs="Verdana"/>
          <w:b/>
          <w:bCs/>
          <w:color w:val="0070C0"/>
          <w:sz w:val="20"/>
          <w:szCs w:val="20"/>
          <w:u w:val="single"/>
        </w:rPr>
      </w:pPr>
      <w:hyperlink r:id="rId45" w:history="1">
        <w:proofErr w:type="spellStart"/>
        <w:r w:rsidRPr="00E93BBA">
          <w:rPr>
            <w:rStyle w:val="Hipercze"/>
            <w:rFonts w:ascii="Verdana" w:hAnsi="Verdana" w:cs="Verdana"/>
            <w:b/>
            <w:bCs/>
            <w:sz w:val="20"/>
            <w:szCs w:val="20"/>
          </w:rPr>
          <w:t>Andric</w:t>
        </w:r>
        <w:proofErr w:type="spellEnd"/>
        <w:r w:rsidRPr="00E93BBA">
          <w:rPr>
            <w:rStyle w:val="Hipercze"/>
            <w:rFonts w:ascii="Verdana" w:hAnsi="Verdana" w:cs="Verdana"/>
            <w:b/>
            <w:bCs/>
            <w:sz w:val="20"/>
            <w:szCs w:val="20"/>
          </w:rPr>
          <w:t xml:space="preserve"> p</w:t>
        </w:r>
        <w:r w:rsidR="00053376" w:rsidRPr="00E93BBA">
          <w:rPr>
            <w:rStyle w:val="Hipercze"/>
            <w:rFonts w:ascii="Verdana" w:hAnsi="Verdana" w:cs="Verdana"/>
            <w:b/>
            <w:bCs/>
            <w:sz w:val="20"/>
            <w:szCs w:val="20"/>
          </w:rPr>
          <w:t>rzeciwko</w:t>
        </w:r>
        <w:r w:rsidRPr="00E93BBA">
          <w:rPr>
            <w:rStyle w:val="Hipercze"/>
            <w:rFonts w:ascii="Verdana" w:hAnsi="Verdana" w:cs="Verdana"/>
            <w:b/>
            <w:bCs/>
            <w:sz w:val="20"/>
            <w:szCs w:val="20"/>
          </w:rPr>
          <w:t xml:space="preserve"> Szwecji</w:t>
        </w:r>
      </w:hyperlink>
    </w:p>
    <w:p w14:paraId="04937685" w14:textId="5C181ABA" w:rsidR="00C56CE2" w:rsidRPr="000D1C49" w:rsidRDefault="00C56CE2" w:rsidP="002A4B3D">
      <w:pPr>
        <w:autoSpaceDE w:val="0"/>
        <w:autoSpaceDN w:val="0"/>
        <w:adjustRightInd w:val="0"/>
        <w:spacing w:after="0" w:line="240" w:lineRule="auto"/>
        <w:jc w:val="both"/>
        <w:rPr>
          <w:rFonts w:ascii="Verdana" w:hAnsi="Verdana" w:cs="Verdana"/>
          <w:color w:val="808080"/>
          <w:sz w:val="20"/>
          <w:szCs w:val="20"/>
        </w:rPr>
      </w:pPr>
      <w:r w:rsidRPr="000D1C49">
        <w:rPr>
          <w:rFonts w:ascii="Verdana" w:hAnsi="Verdana" w:cs="Verdana"/>
          <w:color w:val="808080"/>
          <w:sz w:val="20"/>
          <w:szCs w:val="20"/>
        </w:rPr>
        <w:t xml:space="preserve">Decyzja Izby z dnia 23 lutego 1999 </w:t>
      </w:r>
      <w:r w:rsidR="009C75D5" w:rsidRPr="009C335F">
        <w:rPr>
          <w:rFonts w:ascii="Verdana" w:hAnsi="Verdana" w:cs="Verdana"/>
          <w:color w:val="808080"/>
          <w:sz w:val="20"/>
          <w:szCs w:val="20"/>
        </w:rPr>
        <w:t>roku</w:t>
      </w:r>
    </w:p>
    <w:p w14:paraId="28367767" w14:textId="77777777" w:rsidR="00C56CE2" w:rsidRDefault="00C56CE2" w:rsidP="002A4B3D">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Ta sprawa dotyczy wydalenia do Chorwacji i Bośni</w:t>
      </w:r>
      <w:r w:rsidR="002A4B3D">
        <w:rPr>
          <w:rFonts w:ascii="Verdana" w:hAnsi="Verdana" w:cs="Verdana"/>
          <w:sz w:val="20"/>
          <w:szCs w:val="20"/>
        </w:rPr>
        <w:t xml:space="preserve"> i </w:t>
      </w:r>
      <w:r>
        <w:rPr>
          <w:rFonts w:ascii="Verdana" w:hAnsi="Verdana" w:cs="Verdana"/>
          <w:sz w:val="20"/>
          <w:szCs w:val="20"/>
        </w:rPr>
        <w:t>Hercegowiny etnicznych Chorwatów z Bośni</w:t>
      </w:r>
      <w:r w:rsidR="002A4B3D">
        <w:rPr>
          <w:rFonts w:ascii="Verdana" w:hAnsi="Verdana" w:cs="Verdana"/>
          <w:sz w:val="20"/>
          <w:szCs w:val="20"/>
        </w:rPr>
        <w:t xml:space="preserve"> i </w:t>
      </w:r>
      <w:r>
        <w:rPr>
          <w:rFonts w:ascii="Verdana" w:hAnsi="Verdana" w:cs="Verdana"/>
          <w:sz w:val="20"/>
          <w:szCs w:val="20"/>
        </w:rPr>
        <w:t>Hercegowiny, którzy posiadali zarówno obywatelstwo chorwackie, jak i bośniackie.</w:t>
      </w:r>
    </w:p>
    <w:p w14:paraId="4C8F6EE7" w14:textId="77777777" w:rsidR="00046DFE" w:rsidRDefault="00046DFE" w:rsidP="002A4B3D">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Poprosili oni o azyl w Szwecji po tym, jak uciekli z Bośni</w:t>
      </w:r>
      <w:r w:rsidR="002A4B3D">
        <w:rPr>
          <w:rFonts w:ascii="Verdana" w:hAnsi="Verdana" w:cs="Verdana"/>
          <w:sz w:val="20"/>
          <w:szCs w:val="20"/>
        </w:rPr>
        <w:t xml:space="preserve"> i </w:t>
      </w:r>
      <w:r>
        <w:rPr>
          <w:rFonts w:ascii="Verdana" w:hAnsi="Verdana" w:cs="Verdana"/>
          <w:sz w:val="20"/>
          <w:szCs w:val="20"/>
        </w:rPr>
        <w:t>Hercegowiny, jednak służby graniczne zdecydowały o ich deportacji do Chorwacji po odrzuceniu ich wniosków azylowych. Skarżący zarzucili naruszenie art. 3 Konwencji (zakaz nieludzkiego lub poniżającego traktowania), oraz art. 4 Protokołu nr 4 do Konwencji.</w:t>
      </w:r>
    </w:p>
    <w:p w14:paraId="359E6E82" w14:textId="77777777" w:rsidR="00046DFE" w:rsidRPr="000B019E" w:rsidRDefault="00046DFE" w:rsidP="002A4B3D">
      <w:pPr>
        <w:autoSpaceDE w:val="0"/>
        <w:autoSpaceDN w:val="0"/>
        <w:adjustRightInd w:val="0"/>
        <w:spacing w:after="0" w:line="240" w:lineRule="auto"/>
        <w:jc w:val="both"/>
        <w:rPr>
          <w:rFonts w:ascii="Verdana" w:hAnsi="Verdana" w:cs="Verdana"/>
          <w:color w:val="0070C0"/>
          <w:sz w:val="20"/>
          <w:szCs w:val="20"/>
        </w:rPr>
      </w:pPr>
      <w:r w:rsidRPr="000B019E">
        <w:rPr>
          <w:rFonts w:ascii="Verdana" w:hAnsi="Verdana" w:cs="Verdana"/>
          <w:color w:val="0070C0"/>
          <w:sz w:val="20"/>
          <w:szCs w:val="20"/>
        </w:rPr>
        <w:t xml:space="preserve">Trybunał </w:t>
      </w:r>
      <w:r w:rsidRPr="000B019E">
        <w:rPr>
          <w:rFonts w:ascii="Verdana" w:hAnsi="Verdana" w:cs="Verdana"/>
          <w:b/>
          <w:bCs/>
          <w:color w:val="0070C0"/>
          <w:sz w:val="20"/>
          <w:szCs w:val="20"/>
        </w:rPr>
        <w:t>stwierdził niedopuszczalność skargi w zakresie art. 4 Protokołu nr 4</w:t>
      </w:r>
      <w:r w:rsidRPr="000B019E">
        <w:rPr>
          <w:rFonts w:ascii="Verdana" w:hAnsi="Verdana" w:cs="Verdana"/>
          <w:color w:val="0070C0"/>
          <w:sz w:val="20"/>
          <w:szCs w:val="20"/>
        </w:rPr>
        <w:t xml:space="preserve"> do Konwencji </w:t>
      </w:r>
      <w:r w:rsidRPr="000B019E">
        <w:rPr>
          <w:rFonts w:ascii="Verdana" w:hAnsi="Verdana" w:cs="Verdana"/>
          <w:b/>
          <w:bCs/>
          <w:color w:val="0070C0"/>
          <w:sz w:val="20"/>
          <w:szCs w:val="20"/>
        </w:rPr>
        <w:t>jako oczywiście bezzasadnej</w:t>
      </w:r>
      <w:r w:rsidRPr="000B019E">
        <w:rPr>
          <w:rFonts w:ascii="Verdana" w:hAnsi="Verdana" w:cs="Verdana"/>
          <w:color w:val="0070C0"/>
          <w:sz w:val="20"/>
          <w:szCs w:val="20"/>
        </w:rPr>
        <w:t xml:space="preserve">. Trybunał zauważył, że fakt otrzymania przez grupę </w:t>
      </w:r>
      <w:r w:rsidR="00CE7A24">
        <w:rPr>
          <w:rFonts w:ascii="Verdana" w:hAnsi="Verdana" w:cs="Verdana"/>
          <w:color w:val="0070C0"/>
          <w:sz w:val="20"/>
          <w:szCs w:val="20"/>
        </w:rPr>
        <w:t>cudzoziemców</w:t>
      </w:r>
      <w:r w:rsidRPr="000B019E">
        <w:rPr>
          <w:rFonts w:ascii="Verdana" w:hAnsi="Verdana" w:cs="Verdana"/>
          <w:color w:val="0070C0"/>
          <w:sz w:val="20"/>
          <w:szCs w:val="20"/>
        </w:rPr>
        <w:t xml:space="preserve"> podobnych decyzji nie powinien prowadzić do wniosku, że doszło do zbiorowego wydalenia w sytuacji, gdy każda z tych osób miała możliwość podniesienia zarzutów przeciwko wydaleniu</w:t>
      </w:r>
      <w:r w:rsidR="000B019E" w:rsidRPr="000B019E">
        <w:rPr>
          <w:rFonts w:ascii="Verdana" w:hAnsi="Verdana" w:cs="Verdana"/>
          <w:color w:val="0070C0"/>
          <w:sz w:val="20"/>
          <w:szCs w:val="20"/>
        </w:rPr>
        <w:t xml:space="preserve"> przed właściwymi władzami</w:t>
      </w:r>
      <w:r w:rsidRPr="000B019E">
        <w:rPr>
          <w:rFonts w:ascii="Verdana" w:hAnsi="Verdana" w:cs="Verdana"/>
          <w:color w:val="0070C0"/>
          <w:sz w:val="20"/>
          <w:szCs w:val="20"/>
        </w:rPr>
        <w:t>,</w:t>
      </w:r>
      <w:r w:rsidR="000B019E" w:rsidRPr="000B019E">
        <w:rPr>
          <w:rFonts w:ascii="Verdana" w:hAnsi="Verdana" w:cs="Verdana"/>
          <w:color w:val="0070C0"/>
          <w:sz w:val="20"/>
          <w:szCs w:val="20"/>
        </w:rPr>
        <w:t xml:space="preserve"> które </w:t>
      </w:r>
      <w:r w:rsidRPr="000B019E">
        <w:rPr>
          <w:rFonts w:ascii="Verdana" w:hAnsi="Verdana" w:cs="Verdana"/>
          <w:color w:val="0070C0"/>
          <w:sz w:val="20"/>
          <w:szCs w:val="20"/>
        </w:rPr>
        <w:t>opart</w:t>
      </w:r>
      <w:r w:rsidR="000B019E" w:rsidRPr="000B019E">
        <w:rPr>
          <w:rFonts w:ascii="Verdana" w:hAnsi="Verdana" w:cs="Verdana"/>
          <w:color w:val="0070C0"/>
          <w:sz w:val="20"/>
          <w:szCs w:val="20"/>
        </w:rPr>
        <w:t>e były</w:t>
      </w:r>
      <w:r w:rsidRPr="000B019E">
        <w:rPr>
          <w:rFonts w:ascii="Verdana" w:hAnsi="Verdana" w:cs="Verdana"/>
          <w:color w:val="0070C0"/>
          <w:sz w:val="20"/>
          <w:szCs w:val="20"/>
        </w:rPr>
        <w:t xml:space="preserve"> na indywidualnych podstawach.</w:t>
      </w:r>
      <w:r w:rsidR="000B019E" w:rsidRPr="000B019E">
        <w:rPr>
          <w:rFonts w:ascii="Verdana" w:hAnsi="Verdana" w:cs="Verdana"/>
          <w:color w:val="0070C0"/>
          <w:sz w:val="20"/>
          <w:szCs w:val="20"/>
        </w:rPr>
        <w:t xml:space="preserve"> W tej sprawie każdy ze skarżących złożył indywidualny wniosek do władz imigracyjnych i mógł przedstawić zarzutu przeciwko deportacji do Chorwacji. Jednocześnie władze brały pod uwagę nie tylko okoliczności wspólne, ale także sytuację każdego ze skarżących, a także niebezpieczeństwa rzekomo ich dotyczące w przypadku ich wydalenia. Co więcej, oddalając wnioski azylowe, władze wydały indywidualne decyzje odnoszące się do sytuacji każdego z nich.</w:t>
      </w:r>
    </w:p>
    <w:p w14:paraId="1A023BDC" w14:textId="77777777" w:rsidR="000B019E" w:rsidRDefault="000B019E" w:rsidP="002A4B3D">
      <w:pPr>
        <w:autoSpaceDE w:val="0"/>
        <w:autoSpaceDN w:val="0"/>
        <w:adjustRightInd w:val="0"/>
        <w:spacing w:after="0" w:line="240" w:lineRule="auto"/>
        <w:jc w:val="both"/>
        <w:rPr>
          <w:rFonts w:ascii="Verdana" w:hAnsi="Verdana" w:cs="Verdana"/>
          <w:color w:val="0070C0"/>
          <w:sz w:val="20"/>
          <w:szCs w:val="20"/>
        </w:rPr>
      </w:pPr>
      <w:r w:rsidRPr="000B019E">
        <w:rPr>
          <w:rFonts w:ascii="Verdana" w:hAnsi="Verdana" w:cs="Verdana"/>
          <w:color w:val="0070C0"/>
          <w:sz w:val="20"/>
          <w:szCs w:val="20"/>
        </w:rPr>
        <w:t xml:space="preserve">Trybunał </w:t>
      </w:r>
      <w:r w:rsidRPr="000B019E">
        <w:rPr>
          <w:rFonts w:ascii="Verdana" w:hAnsi="Verdana" w:cs="Verdana"/>
          <w:b/>
          <w:bCs/>
          <w:color w:val="0070C0"/>
          <w:sz w:val="20"/>
          <w:szCs w:val="20"/>
        </w:rPr>
        <w:t>uznał także za niedopuszczalną</w:t>
      </w:r>
      <w:r w:rsidRPr="000B019E">
        <w:rPr>
          <w:rFonts w:ascii="Verdana" w:hAnsi="Verdana" w:cs="Verdana"/>
          <w:color w:val="0070C0"/>
          <w:sz w:val="20"/>
          <w:szCs w:val="20"/>
        </w:rPr>
        <w:t xml:space="preserve"> skargę z art. </w:t>
      </w:r>
      <w:r w:rsidRPr="000B019E">
        <w:rPr>
          <w:rFonts w:ascii="Verdana" w:hAnsi="Verdana" w:cs="Verdana"/>
          <w:b/>
          <w:bCs/>
          <w:color w:val="0070C0"/>
          <w:sz w:val="20"/>
          <w:szCs w:val="20"/>
        </w:rPr>
        <w:t>3 Konwencji</w:t>
      </w:r>
      <w:r w:rsidRPr="000B019E">
        <w:rPr>
          <w:rFonts w:ascii="Verdana" w:hAnsi="Verdana" w:cs="Verdana"/>
          <w:color w:val="0070C0"/>
          <w:sz w:val="20"/>
          <w:szCs w:val="20"/>
        </w:rPr>
        <w:t>.</w:t>
      </w:r>
    </w:p>
    <w:p w14:paraId="62BF1719" w14:textId="77777777" w:rsidR="00CE7A24" w:rsidRDefault="00CE7A24" w:rsidP="002A4B3D">
      <w:pPr>
        <w:autoSpaceDE w:val="0"/>
        <w:autoSpaceDN w:val="0"/>
        <w:adjustRightInd w:val="0"/>
        <w:spacing w:after="0" w:line="240" w:lineRule="auto"/>
        <w:jc w:val="both"/>
        <w:rPr>
          <w:rFonts w:ascii="Verdana" w:hAnsi="Verdana" w:cs="Verdana"/>
          <w:color w:val="0070C0"/>
          <w:sz w:val="20"/>
          <w:szCs w:val="20"/>
        </w:rPr>
      </w:pPr>
    </w:p>
    <w:p w14:paraId="57E6126A" w14:textId="7D905973" w:rsidR="00CE7A24" w:rsidRPr="00CE7A24" w:rsidRDefault="00CE7A24" w:rsidP="002A4B3D">
      <w:pPr>
        <w:autoSpaceDE w:val="0"/>
        <w:autoSpaceDN w:val="0"/>
        <w:adjustRightInd w:val="0"/>
        <w:spacing w:after="0" w:line="240" w:lineRule="auto"/>
        <w:jc w:val="both"/>
        <w:rPr>
          <w:rFonts w:ascii="Verdana" w:hAnsi="Verdana" w:cs="Verdana"/>
          <w:b/>
          <w:bCs/>
          <w:color w:val="0070C0"/>
          <w:sz w:val="20"/>
          <w:szCs w:val="20"/>
          <w:u w:val="single"/>
        </w:rPr>
      </w:pPr>
      <w:hyperlink r:id="rId46" w:history="1">
        <w:r w:rsidRPr="00E93BBA">
          <w:rPr>
            <w:rStyle w:val="Hipercze"/>
            <w:rFonts w:ascii="Verdana" w:hAnsi="Verdana" w:cs="Verdana"/>
            <w:b/>
            <w:bCs/>
            <w:sz w:val="20"/>
            <w:szCs w:val="20"/>
          </w:rPr>
          <w:t xml:space="preserve">Berisha i </w:t>
        </w:r>
        <w:proofErr w:type="spellStart"/>
        <w:r w:rsidRPr="00E93BBA">
          <w:rPr>
            <w:rStyle w:val="Hipercze"/>
            <w:rFonts w:ascii="Verdana" w:hAnsi="Verdana" w:cs="Verdana"/>
            <w:b/>
            <w:bCs/>
            <w:sz w:val="20"/>
            <w:szCs w:val="20"/>
          </w:rPr>
          <w:t>Haljiti</w:t>
        </w:r>
        <w:proofErr w:type="spellEnd"/>
        <w:r w:rsidRPr="00E93BBA">
          <w:rPr>
            <w:rStyle w:val="Hipercze"/>
            <w:rFonts w:ascii="Verdana" w:hAnsi="Verdana" w:cs="Verdana"/>
            <w:b/>
            <w:bCs/>
            <w:sz w:val="20"/>
            <w:szCs w:val="20"/>
          </w:rPr>
          <w:t xml:space="preserve"> p</w:t>
        </w:r>
        <w:r w:rsidR="00F175B8" w:rsidRPr="00E93BBA">
          <w:rPr>
            <w:rStyle w:val="Hipercze"/>
            <w:rFonts w:ascii="Verdana" w:hAnsi="Verdana" w:cs="Verdana"/>
            <w:b/>
            <w:bCs/>
            <w:sz w:val="20"/>
            <w:szCs w:val="20"/>
          </w:rPr>
          <w:t>rzeciwko</w:t>
        </w:r>
        <w:r w:rsidRPr="00E93BBA">
          <w:rPr>
            <w:rStyle w:val="Hipercze"/>
            <w:rFonts w:ascii="Verdana" w:hAnsi="Verdana" w:cs="Verdana"/>
            <w:b/>
            <w:bCs/>
            <w:sz w:val="20"/>
            <w:szCs w:val="20"/>
          </w:rPr>
          <w:t xml:space="preserve"> Byłej Jugosłowiańskiej Republice Mołdawii</w:t>
        </w:r>
      </w:hyperlink>
    </w:p>
    <w:p w14:paraId="305D61C6" w14:textId="3AF289CB" w:rsidR="00CE7A24" w:rsidRPr="00261095" w:rsidRDefault="00CE7A24" w:rsidP="002A4B3D">
      <w:pPr>
        <w:autoSpaceDE w:val="0"/>
        <w:autoSpaceDN w:val="0"/>
        <w:adjustRightInd w:val="0"/>
        <w:spacing w:after="0" w:line="240" w:lineRule="auto"/>
        <w:jc w:val="both"/>
        <w:rPr>
          <w:rFonts w:ascii="Verdana" w:hAnsi="Verdana" w:cs="Verdana"/>
          <w:color w:val="808080"/>
          <w:sz w:val="20"/>
          <w:szCs w:val="20"/>
        </w:rPr>
      </w:pPr>
      <w:r w:rsidRPr="00261095">
        <w:rPr>
          <w:rFonts w:ascii="Verdana" w:hAnsi="Verdana" w:cs="Verdana"/>
          <w:color w:val="808080"/>
          <w:sz w:val="20"/>
          <w:szCs w:val="20"/>
        </w:rPr>
        <w:t xml:space="preserve">Decyzja Izby o dopuszczalności z dnia 16 czerwca 2005 </w:t>
      </w:r>
      <w:r w:rsidR="009C75D5" w:rsidRPr="009C335F">
        <w:rPr>
          <w:rFonts w:ascii="Verdana" w:hAnsi="Verdana" w:cs="Verdana"/>
          <w:color w:val="808080"/>
          <w:sz w:val="20"/>
          <w:szCs w:val="20"/>
        </w:rPr>
        <w:t>roku</w:t>
      </w:r>
    </w:p>
    <w:p w14:paraId="097CA6AD" w14:textId="0F5D0CFD" w:rsidR="00CE7A24" w:rsidRPr="008F1EAF" w:rsidRDefault="00CE7A24" w:rsidP="002A4B3D">
      <w:pPr>
        <w:autoSpaceDE w:val="0"/>
        <w:autoSpaceDN w:val="0"/>
        <w:adjustRightInd w:val="0"/>
        <w:spacing w:after="0" w:line="240" w:lineRule="auto"/>
        <w:jc w:val="both"/>
        <w:rPr>
          <w:rFonts w:ascii="Verdana" w:hAnsi="Verdana" w:cs="Verdana"/>
          <w:sz w:val="20"/>
          <w:szCs w:val="20"/>
        </w:rPr>
      </w:pPr>
      <w:r w:rsidRPr="008F1EAF">
        <w:rPr>
          <w:rFonts w:ascii="Verdana" w:hAnsi="Verdana" w:cs="Verdana"/>
          <w:sz w:val="20"/>
          <w:szCs w:val="20"/>
        </w:rPr>
        <w:t xml:space="preserve">Skarżący są małżeństwem o obywatelami Serbii oraz Montenegro z prowincji Kosowo. Są pochodzenia romskiego. Podnieśli, że codziennie byli nękani przez Albańczyków z ich własnej wioski i zmuszani przez członków Kosowskiej Armii Wyzwolenia  i innych mieszkańców wsi do opuszczenia domu. Podnieśli, że były podmiotem wydalenia zbiorowego, sprzecznego z art. 4 Protokołu nr 4 do Konwencji (zakaz wydaleń zbiorowych cudzoziemców), gdyż władze </w:t>
      </w:r>
      <w:r w:rsidR="008F1EAF" w:rsidRPr="008F1EAF">
        <w:rPr>
          <w:rFonts w:ascii="Verdana" w:hAnsi="Verdana" w:cs="Verdana"/>
          <w:sz w:val="20"/>
          <w:szCs w:val="20"/>
        </w:rPr>
        <w:t xml:space="preserve">wydały jedną decyzję dotyczącą obojga z nich bez przeprowadzenia </w:t>
      </w:r>
      <w:r w:rsidR="00D2583E">
        <w:rPr>
          <w:rFonts w:ascii="Verdana" w:hAnsi="Verdana" w:cs="Verdana"/>
          <w:sz w:val="20"/>
          <w:szCs w:val="20"/>
        </w:rPr>
        <w:t>rozważnego</w:t>
      </w:r>
      <w:r w:rsidR="008F1EAF" w:rsidRPr="008F1EAF">
        <w:rPr>
          <w:rFonts w:ascii="Verdana" w:hAnsi="Verdana" w:cs="Verdana"/>
          <w:sz w:val="20"/>
          <w:szCs w:val="20"/>
        </w:rPr>
        <w:t xml:space="preserve"> i obiektywnego zbadania szczególnych okoliczności ich dotyczących.</w:t>
      </w:r>
    </w:p>
    <w:p w14:paraId="0E12E1BD" w14:textId="77777777" w:rsidR="008F1EAF" w:rsidRDefault="008F1EAF" w:rsidP="002A4B3D">
      <w:pPr>
        <w:autoSpaceDE w:val="0"/>
        <w:autoSpaceDN w:val="0"/>
        <w:adjustRightInd w:val="0"/>
        <w:spacing w:after="0" w:line="240" w:lineRule="auto"/>
        <w:jc w:val="both"/>
        <w:rPr>
          <w:rFonts w:ascii="Verdana" w:hAnsi="Verdana" w:cs="Verdana"/>
          <w:color w:val="0070C0"/>
          <w:sz w:val="20"/>
          <w:szCs w:val="20"/>
        </w:rPr>
      </w:pPr>
      <w:r>
        <w:rPr>
          <w:rFonts w:ascii="Verdana" w:hAnsi="Verdana" w:cs="Verdana"/>
          <w:color w:val="0070C0"/>
          <w:sz w:val="20"/>
          <w:szCs w:val="20"/>
        </w:rPr>
        <w:t xml:space="preserve">Trybunał </w:t>
      </w:r>
      <w:r w:rsidRPr="008F1EAF">
        <w:rPr>
          <w:rFonts w:ascii="Verdana" w:hAnsi="Verdana" w:cs="Verdana"/>
          <w:b/>
          <w:bCs/>
          <w:color w:val="0070C0"/>
          <w:sz w:val="20"/>
          <w:szCs w:val="20"/>
        </w:rPr>
        <w:t>uznał skargę za niedopuszczalną</w:t>
      </w:r>
      <w:r>
        <w:rPr>
          <w:rFonts w:ascii="Verdana" w:hAnsi="Verdana" w:cs="Verdana"/>
          <w:color w:val="0070C0"/>
          <w:sz w:val="20"/>
          <w:szCs w:val="20"/>
        </w:rPr>
        <w:t xml:space="preserve"> w związku z jej oczywistą bezzasadnością. Sam fakt, że władze wydały jedną decyzję dla obojga z nich jako małżonków, był konsekwencją ich własnego zachowania: przybyli razem do Byłej Jugosłowiańskiej </w:t>
      </w:r>
      <w:r>
        <w:rPr>
          <w:rFonts w:ascii="Verdana" w:hAnsi="Verdana" w:cs="Verdana"/>
          <w:color w:val="0070C0"/>
          <w:sz w:val="20"/>
          <w:szCs w:val="20"/>
        </w:rPr>
        <w:lastRenderedPageBreak/>
        <w:t>Republiki Macedonii, wspólnie złożyli wniosek o azyl, przedstawili te same dowody i złożyli wspólne odwołanie. W tych okolicznościach deportacja skarżących nie ujawniała  cech wydalenia zbiorowego.</w:t>
      </w:r>
    </w:p>
    <w:p w14:paraId="056ACD8E" w14:textId="77777777" w:rsidR="008F1EAF" w:rsidRDefault="008F1EAF" w:rsidP="002A4B3D">
      <w:pPr>
        <w:autoSpaceDE w:val="0"/>
        <w:autoSpaceDN w:val="0"/>
        <w:adjustRightInd w:val="0"/>
        <w:spacing w:after="0" w:line="240" w:lineRule="auto"/>
        <w:jc w:val="both"/>
        <w:rPr>
          <w:rFonts w:ascii="Verdana" w:hAnsi="Verdana" w:cs="Verdana"/>
          <w:color w:val="0070C0"/>
          <w:sz w:val="20"/>
          <w:szCs w:val="20"/>
        </w:rPr>
      </w:pPr>
    </w:p>
    <w:p w14:paraId="6D5C7568" w14:textId="560416CB" w:rsidR="008F1EAF" w:rsidRPr="00F175B8" w:rsidRDefault="008F1EAF" w:rsidP="00E93BBA">
      <w:pPr>
        <w:tabs>
          <w:tab w:val="center" w:pos="4536"/>
        </w:tabs>
        <w:autoSpaceDE w:val="0"/>
        <w:autoSpaceDN w:val="0"/>
        <w:adjustRightInd w:val="0"/>
        <w:spacing w:after="0" w:line="240" w:lineRule="auto"/>
        <w:jc w:val="both"/>
        <w:rPr>
          <w:rFonts w:ascii="Verdana" w:hAnsi="Verdana" w:cs="Verdana"/>
          <w:b/>
          <w:bCs/>
          <w:color w:val="0070C0"/>
          <w:sz w:val="20"/>
          <w:szCs w:val="20"/>
          <w:u w:val="single"/>
        </w:rPr>
      </w:pPr>
      <w:hyperlink r:id="rId47" w:history="1">
        <w:proofErr w:type="spellStart"/>
        <w:r w:rsidRPr="00E93BBA">
          <w:rPr>
            <w:rStyle w:val="Hipercze"/>
            <w:rFonts w:ascii="Verdana" w:hAnsi="Verdana" w:cs="Verdana"/>
            <w:b/>
            <w:bCs/>
            <w:sz w:val="20"/>
            <w:szCs w:val="20"/>
          </w:rPr>
          <w:t>Dristat</w:t>
        </w:r>
        <w:proofErr w:type="spellEnd"/>
        <w:r w:rsidRPr="00E93BBA">
          <w:rPr>
            <w:rStyle w:val="Hipercze"/>
            <w:rFonts w:ascii="Verdana" w:hAnsi="Verdana" w:cs="Verdana"/>
            <w:b/>
            <w:bCs/>
            <w:sz w:val="20"/>
            <w:szCs w:val="20"/>
          </w:rPr>
          <w:t xml:space="preserve"> i Inni p</w:t>
        </w:r>
        <w:r w:rsidR="00F175B8" w:rsidRPr="00E93BBA">
          <w:rPr>
            <w:rStyle w:val="Hipercze"/>
            <w:rFonts w:ascii="Verdana" w:hAnsi="Verdana" w:cs="Verdana"/>
            <w:b/>
            <w:bCs/>
            <w:sz w:val="20"/>
            <w:szCs w:val="20"/>
          </w:rPr>
          <w:t>rzeciwko</w:t>
        </w:r>
        <w:r w:rsidRPr="00E93BBA">
          <w:rPr>
            <w:rStyle w:val="Hipercze"/>
            <w:rFonts w:ascii="Verdana" w:hAnsi="Verdana" w:cs="Verdana"/>
            <w:b/>
            <w:bCs/>
            <w:sz w:val="20"/>
            <w:szCs w:val="20"/>
          </w:rPr>
          <w:t xml:space="preserve"> Włochom</w:t>
        </w:r>
      </w:hyperlink>
    </w:p>
    <w:p w14:paraId="0F111929" w14:textId="77777777" w:rsidR="008F1EAF" w:rsidRPr="00261095" w:rsidRDefault="008F1EAF" w:rsidP="002A4B3D">
      <w:pPr>
        <w:autoSpaceDE w:val="0"/>
        <w:autoSpaceDN w:val="0"/>
        <w:adjustRightInd w:val="0"/>
        <w:spacing w:after="0" w:line="240" w:lineRule="auto"/>
        <w:jc w:val="both"/>
        <w:rPr>
          <w:rFonts w:ascii="Verdana" w:hAnsi="Verdana" w:cs="Verdana"/>
          <w:color w:val="808080"/>
          <w:sz w:val="20"/>
          <w:szCs w:val="20"/>
        </w:rPr>
      </w:pPr>
      <w:r w:rsidRPr="00261095">
        <w:rPr>
          <w:rFonts w:ascii="Verdana" w:hAnsi="Verdana" w:cs="Verdana"/>
          <w:color w:val="808080"/>
          <w:sz w:val="20"/>
          <w:szCs w:val="20"/>
        </w:rPr>
        <w:t>Decyzja Izby o dopuszczalności z dnia 1 lutego 2011 roku</w:t>
      </w:r>
    </w:p>
    <w:p w14:paraId="1DFEEF78" w14:textId="77777777" w:rsidR="004F7BD6" w:rsidRPr="00261095" w:rsidRDefault="008F1EAF" w:rsidP="002A4B3D">
      <w:pPr>
        <w:autoSpaceDE w:val="0"/>
        <w:autoSpaceDN w:val="0"/>
        <w:adjustRightInd w:val="0"/>
        <w:spacing w:after="0" w:line="240" w:lineRule="auto"/>
        <w:jc w:val="both"/>
        <w:rPr>
          <w:rFonts w:ascii="Verdana" w:hAnsi="Verdana" w:cs="Verdana"/>
          <w:color w:val="000000"/>
          <w:sz w:val="20"/>
          <w:szCs w:val="20"/>
        </w:rPr>
      </w:pPr>
      <w:r w:rsidRPr="00261095">
        <w:rPr>
          <w:rFonts w:ascii="Verdana" w:hAnsi="Verdana" w:cs="Verdana"/>
          <w:color w:val="000000"/>
          <w:sz w:val="20"/>
          <w:szCs w:val="20"/>
        </w:rPr>
        <w:t xml:space="preserve">W lipcu 2011 roku </w:t>
      </w:r>
      <w:r w:rsidR="007C4F54" w:rsidRPr="00261095">
        <w:rPr>
          <w:rFonts w:ascii="Verdana" w:hAnsi="Verdana" w:cs="Verdana"/>
          <w:color w:val="000000"/>
          <w:sz w:val="20"/>
          <w:szCs w:val="20"/>
        </w:rPr>
        <w:t xml:space="preserve">46 skarżących, wszyscy pochodzenia greckiego, wsiadło na statek w </w:t>
      </w:r>
      <w:proofErr w:type="spellStart"/>
      <w:r w:rsidR="007C4F54" w:rsidRPr="00261095">
        <w:rPr>
          <w:rFonts w:ascii="Verdana" w:hAnsi="Verdana" w:cs="Verdana"/>
          <w:color w:val="000000"/>
          <w:sz w:val="20"/>
          <w:szCs w:val="20"/>
        </w:rPr>
        <w:t>Patras</w:t>
      </w:r>
      <w:proofErr w:type="spellEnd"/>
      <w:r w:rsidR="007C4F54" w:rsidRPr="00261095">
        <w:rPr>
          <w:rFonts w:ascii="Verdana" w:hAnsi="Verdana" w:cs="Verdana"/>
          <w:color w:val="000000"/>
          <w:sz w:val="20"/>
          <w:szCs w:val="20"/>
        </w:rPr>
        <w:t xml:space="preserve">, kierujący się do Ancony i dalej Genui, wraz z grupą innych 800 greckich obywateli należących do greckiego komitetu protestacyjnego anty-G8, w celu uczestnictwa w protestach przeciwko szczytowi grupy G-8. Twierdzili w szczególności, że zostali aresztowani przez policję po przybyciu do Ankony i ostatecznie zmuszeni do powrotu do </w:t>
      </w:r>
      <w:proofErr w:type="spellStart"/>
      <w:r w:rsidR="007C4F54" w:rsidRPr="00261095">
        <w:rPr>
          <w:rFonts w:ascii="Verdana" w:hAnsi="Verdana" w:cs="Verdana"/>
          <w:color w:val="000000"/>
          <w:sz w:val="20"/>
          <w:szCs w:val="20"/>
        </w:rPr>
        <w:t>Patras</w:t>
      </w:r>
      <w:proofErr w:type="spellEnd"/>
      <w:r w:rsidR="007C4F54" w:rsidRPr="00261095">
        <w:rPr>
          <w:rFonts w:ascii="Verdana" w:hAnsi="Verdana" w:cs="Verdana"/>
          <w:color w:val="000000"/>
          <w:sz w:val="20"/>
          <w:szCs w:val="20"/>
        </w:rPr>
        <w:t>. Powołując się na art. 4 Protokołu nr 4 do Konwencji (zakaz zbiorowych wydaleń cudzoziemców) w szczególności zarzucali, że ich deportacja skutkowała wydaleniem zbiorowym</w:t>
      </w:r>
      <w:r w:rsidR="004F7BD6" w:rsidRPr="00261095">
        <w:rPr>
          <w:rFonts w:ascii="Verdana" w:hAnsi="Verdana" w:cs="Verdana"/>
          <w:color w:val="000000"/>
          <w:sz w:val="20"/>
          <w:szCs w:val="20"/>
        </w:rPr>
        <w:t>, jako że nie wydano i nie doręczono im żadnych formalnych decyzji.</w:t>
      </w:r>
    </w:p>
    <w:p w14:paraId="5835A390" w14:textId="77777777" w:rsidR="009C3424" w:rsidRDefault="004F7BD6" w:rsidP="002A4B3D">
      <w:pPr>
        <w:autoSpaceDE w:val="0"/>
        <w:autoSpaceDN w:val="0"/>
        <w:adjustRightInd w:val="0"/>
        <w:spacing w:after="0" w:line="240" w:lineRule="auto"/>
        <w:jc w:val="both"/>
        <w:rPr>
          <w:rFonts w:ascii="Verdana" w:hAnsi="Verdana" w:cs="Verdana"/>
          <w:color w:val="0070C0"/>
          <w:sz w:val="20"/>
          <w:szCs w:val="20"/>
        </w:rPr>
      </w:pPr>
      <w:r>
        <w:rPr>
          <w:rFonts w:ascii="Verdana" w:hAnsi="Verdana" w:cs="Verdana"/>
          <w:color w:val="0070C0"/>
          <w:sz w:val="20"/>
          <w:szCs w:val="20"/>
        </w:rPr>
        <w:t xml:space="preserve">Mając na uwadze treść </w:t>
      </w:r>
      <w:r w:rsidRPr="009C3424">
        <w:rPr>
          <w:rFonts w:ascii="Verdana" w:hAnsi="Verdana" w:cs="Verdana"/>
          <w:b/>
          <w:bCs/>
          <w:color w:val="0070C0"/>
          <w:sz w:val="20"/>
          <w:szCs w:val="20"/>
        </w:rPr>
        <w:t>art. 4 Protokołu nr 4 do Konwencji</w:t>
      </w:r>
      <w:r>
        <w:rPr>
          <w:rFonts w:ascii="Verdana" w:hAnsi="Verdana" w:cs="Verdana"/>
          <w:color w:val="0070C0"/>
          <w:sz w:val="20"/>
          <w:szCs w:val="20"/>
        </w:rPr>
        <w:t xml:space="preserve"> Trybunał </w:t>
      </w:r>
      <w:r w:rsidRPr="009C3424">
        <w:rPr>
          <w:rFonts w:ascii="Verdana" w:hAnsi="Verdana" w:cs="Verdana"/>
          <w:b/>
          <w:bCs/>
          <w:color w:val="0070C0"/>
          <w:sz w:val="20"/>
          <w:szCs w:val="20"/>
        </w:rPr>
        <w:t>stwierdził niedopuszczalność skargi</w:t>
      </w:r>
      <w:r>
        <w:rPr>
          <w:rFonts w:ascii="Verdana" w:hAnsi="Verdana" w:cs="Verdana"/>
          <w:color w:val="0070C0"/>
          <w:sz w:val="20"/>
          <w:szCs w:val="20"/>
        </w:rPr>
        <w:t xml:space="preserve"> jako oczywiście bezzasadnej. Nawet gdyby przyjąć, że skarżący niezwłocznie okazali swoje dokumenty policji, inni uczestnicy tej grupy manifestantów dwukrotnie odmówili wykonania tej czynności. Poproszono ich o okazanie tych dokumentów z myślą o przygotowaniu nakazów wydalenia tych osób, zgodnie z wytycznymi dla policji od Ministra Spraw Wewnętrznych. W tych okolicznościach, pozwany Rząd </w:t>
      </w:r>
      <w:r w:rsidR="009C3424">
        <w:rPr>
          <w:rFonts w:ascii="Verdana" w:hAnsi="Verdana" w:cs="Verdana"/>
          <w:color w:val="0070C0"/>
          <w:sz w:val="20"/>
          <w:szCs w:val="20"/>
        </w:rPr>
        <w:t>nie może w jakimkolwiek zakresie być odpowiedzialnym za to, że nie wydano indywidualnych nakazów wydalenia skarżących.</w:t>
      </w:r>
    </w:p>
    <w:p w14:paraId="1CD0A468" w14:textId="77777777" w:rsidR="008F1EAF" w:rsidRPr="000B019E" w:rsidRDefault="009C3424" w:rsidP="002A4B3D">
      <w:pPr>
        <w:autoSpaceDE w:val="0"/>
        <w:autoSpaceDN w:val="0"/>
        <w:adjustRightInd w:val="0"/>
        <w:spacing w:after="0" w:line="240" w:lineRule="auto"/>
        <w:jc w:val="both"/>
        <w:rPr>
          <w:rFonts w:ascii="Verdana" w:hAnsi="Verdana" w:cs="Verdana"/>
          <w:color w:val="0070C0"/>
          <w:sz w:val="20"/>
          <w:szCs w:val="20"/>
        </w:rPr>
      </w:pPr>
      <w:r>
        <w:rPr>
          <w:rFonts w:ascii="Verdana" w:hAnsi="Verdana" w:cs="Verdana"/>
          <w:color w:val="0070C0"/>
          <w:sz w:val="20"/>
          <w:szCs w:val="20"/>
        </w:rPr>
        <w:t xml:space="preserve">Trybunał </w:t>
      </w:r>
      <w:r w:rsidRPr="009C3424">
        <w:rPr>
          <w:rFonts w:ascii="Verdana" w:hAnsi="Verdana" w:cs="Verdana"/>
          <w:b/>
          <w:bCs/>
          <w:color w:val="0070C0"/>
          <w:sz w:val="20"/>
          <w:szCs w:val="20"/>
        </w:rPr>
        <w:t>uznał także pozostałe skargi za niedopuszczalne</w:t>
      </w:r>
      <w:r>
        <w:rPr>
          <w:rFonts w:ascii="Verdana" w:hAnsi="Verdana" w:cs="Verdana"/>
          <w:color w:val="0070C0"/>
          <w:sz w:val="20"/>
          <w:szCs w:val="20"/>
        </w:rPr>
        <w:t>.</w:t>
      </w:r>
      <w:r w:rsidR="004F7BD6">
        <w:rPr>
          <w:rFonts w:ascii="Verdana" w:hAnsi="Verdana" w:cs="Verdana"/>
          <w:color w:val="0070C0"/>
          <w:sz w:val="20"/>
          <w:szCs w:val="20"/>
        </w:rPr>
        <w:t xml:space="preserve">  </w:t>
      </w:r>
    </w:p>
    <w:p w14:paraId="0B3FDC23" w14:textId="77777777" w:rsidR="00C56CE2" w:rsidRPr="000B019E" w:rsidRDefault="00C56CE2" w:rsidP="002A4B3D">
      <w:pPr>
        <w:autoSpaceDE w:val="0"/>
        <w:autoSpaceDN w:val="0"/>
        <w:adjustRightInd w:val="0"/>
        <w:spacing w:after="0" w:line="240" w:lineRule="auto"/>
        <w:jc w:val="both"/>
        <w:rPr>
          <w:rFonts w:ascii="Verdana" w:hAnsi="Verdana" w:cs="Verdana"/>
          <w:color w:val="0070C0"/>
          <w:sz w:val="20"/>
          <w:szCs w:val="20"/>
        </w:rPr>
      </w:pPr>
    </w:p>
    <w:p w14:paraId="57C93D65" w14:textId="77777777" w:rsidR="00E93BBA" w:rsidRPr="00DE7CF9" w:rsidRDefault="00662976" w:rsidP="00DE18EE">
      <w:pPr>
        <w:autoSpaceDE w:val="0"/>
        <w:autoSpaceDN w:val="0"/>
        <w:adjustRightInd w:val="0"/>
        <w:spacing w:after="120" w:line="276" w:lineRule="auto"/>
        <w:jc w:val="both"/>
        <w:rPr>
          <w:rFonts w:ascii="Verdana" w:hAnsi="Verdana" w:cs="Verdana"/>
          <w:color w:val="3B3838" w:themeColor="background2" w:themeShade="40"/>
          <w:sz w:val="20"/>
          <w:szCs w:val="20"/>
        </w:rPr>
      </w:pPr>
      <w:r w:rsidRPr="00DE7CF9">
        <w:rPr>
          <w:rFonts w:ascii="Verdana" w:hAnsi="Verdana" w:cs="Verdana"/>
          <w:i/>
          <w:iCs/>
          <w:color w:val="3B3838" w:themeColor="background2" w:themeShade="40"/>
          <w:sz w:val="20"/>
          <w:szCs w:val="20"/>
        </w:rPr>
        <w:t>Zob</w:t>
      </w:r>
      <w:r w:rsidR="00E93BBA" w:rsidRPr="00DE7CF9">
        <w:rPr>
          <w:rFonts w:ascii="Verdana" w:hAnsi="Verdana" w:cs="Verdana"/>
          <w:i/>
          <w:iCs/>
          <w:color w:val="3B3838" w:themeColor="background2" w:themeShade="40"/>
          <w:sz w:val="20"/>
          <w:szCs w:val="20"/>
        </w:rPr>
        <w:t>acz</w:t>
      </w:r>
      <w:r w:rsidRPr="00DE7CF9">
        <w:rPr>
          <w:rFonts w:ascii="Verdana" w:hAnsi="Verdana" w:cs="Verdana"/>
          <w:i/>
          <w:iCs/>
          <w:color w:val="3B3838" w:themeColor="background2" w:themeShade="40"/>
          <w:sz w:val="20"/>
          <w:szCs w:val="20"/>
        </w:rPr>
        <w:t xml:space="preserve"> także</w:t>
      </w:r>
      <w:r w:rsidRPr="00DE7CF9">
        <w:rPr>
          <w:rFonts w:ascii="Verdana" w:hAnsi="Verdana" w:cs="Verdana"/>
          <w:color w:val="3B3838" w:themeColor="background2" w:themeShade="40"/>
          <w:sz w:val="20"/>
          <w:szCs w:val="20"/>
        </w:rPr>
        <w:t>, nowsze:</w:t>
      </w:r>
    </w:p>
    <w:p w14:paraId="2BECE097" w14:textId="492136B5" w:rsidR="00C56CE2" w:rsidRPr="00DE7CF9" w:rsidRDefault="00DE7CF9" w:rsidP="002C7FC0">
      <w:pPr>
        <w:autoSpaceDE w:val="0"/>
        <w:autoSpaceDN w:val="0"/>
        <w:adjustRightInd w:val="0"/>
        <w:spacing w:after="0" w:line="276" w:lineRule="auto"/>
        <w:jc w:val="both"/>
        <w:rPr>
          <w:rFonts w:ascii="Verdana" w:hAnsi="Verdana" w:cs="Verdana"/>
          <w:color w:val="3B3838" w:themeColor="background2" w:themeShade="40"/>
          <w:sz w:val="20"/>
          <w:szCs w:val="20"/>
        </w:rPr>
      </w:pPr>
      <w:hyperlink r:id="rId48" w:history="1">
        <w:r w:rsidRPr="00DE7CF9">
          <w:rPr>
            <w:rStyle w:val="Hipercze"/>
            <w:rFonts w:ascii="Verdana" w:hAnsi="Verdana" w:cs="Verdana"/>
            <w:color w:val="011830" w:themeColor="hyperlink" w:themeShade="40"/>
            <w:sz w:val="20"/>
            <w:szCs w:val="20"/>
            <w:u w:val="none"/>
          </w:rPr>
          <w:t xml:space="preserve">- </w:t>
        </w:r>
        <w:proofErr w:type="spellStart"/>
        <w:r w:rsidR="00662976" w:rsidRPr="00DE7CF9">
          <w:rPr>
            <w:rStyle w:val="Hipercze"/>
            <w:rFonts w:ascii="Verdana" w:hAnsi="Verdana" w:cs="Verdana"/>
            <w:b/>
            <w:bCs/>
            <w:color w:val="0070C0"/>
            <w:sz w:val="20"/>
            <w:szCs w:val="20"/>
          </w:rPr>
          <w:t>Abdi</w:t>
        </w:r>
        <w:proofErr w:type="spellEnd"/>
        <w:r w:rsidR="00662976" w:rsidRPr="00DE7CF9">
          <w:rPr>
            <w:rStyle w:val="Hipercze"/>
            <w:rFonts w:ascii="Verdana" w:hAnsi="Verdana" w:cs="Verdana"/>
            <w:b/>
            <w:bCs/>
            <w:color w:val="0070C0"/>
            <w:sz w:val="20"/>
            <w:szCs w:val="20"/>
          </w:rPr>
          <w:t xml:space="preserve"> Ahmed i Inni p</w:t>
        </w:r>
        <w:r w:rsidR="00E93BBA" w:rsidRPr="00DE7CF9">
          <w:rPr>
            <w:rStyle w:val="Hipercze"/>
            <w:rFonts w:ascii="Verdana" w:hAnsi="Verdana" w:cs="Verdana"/>
            <w:b/>
            <w:bCs/>
            <w:color w:val="0070C0"/>
            <w:sz w:val="20"/>
            <w:szCs w:val="20"/>
          </w:rPr>
          <w:t>rzeciwko</w:t>
        </w:r>
        <w:r w:rsidR="00662976" w:rsidRPr="00DE7CF9">
          <w:rPr>
            <w:rStyle w:val="Hipercze"/>
            <w:rFonts w:ascii="Verdana" w:hAnsi="Verdana" w:cs="Verdana"/>
            <w:b/>
            <w:bCs/>
            <w:color w:val="0070C0"/>
            <w:sz w:val="20"/>
            <w:szCs w:val="20"/>
          </w:rPr>
          <w:t xml:space="preserve"> Malcie</w:t>
        </w:r>
      </w:hyperlink>
      <w:r w:rsidR="00662976" w:rsidRPr="00DE7CF9">
        <w:rPr>
          <w:rFonts w:ascii="Verdana" w:hAnsi="Verdana" w:cs="Verdana"/>
          <w:color w:val="3B3838" w:themeColor="background2" w:themeShade="40"/>
          <w:sz w:val="20"/>
          <w:szCs w:val="20"/>
        </w:rPr>
        <w:t>, decyzja Izby o dopuszczalności z dnia 16 września 2014 roku</w:t>
      </w:r>
      <w:r w:rsidR="00E131B4" w:rsidRPr="00DE7CF9">
        <w:rPr>
          <w:rFonts w:ascii="Verdana" w:hAnsi="Verdana" w:cs="Verdana"/>
          <w:color w:val="3B3838" w:themeColor="background2" w:themeShade="40"/>
          <w:sz w:val="20"/>
          <w:szCs w:val="20"/>
        </w:rPr>
        <w:t>;</w:t>
      </w:r>
    </w:p>
    <w:p w14:paraId="178A749E" w14:textId="1456E17D" w:rsidR="00DE7CF9" w:rsidRPr="00DE7CF9" w:rsidRDefault="00DE7CF9" w:rsidP="002C7FC0">
      <w:pPr>
        <w:autoSpaceDE w:val="0"/>
        <w:autoSpaceDN w:val="0"/>
        <w:adjustRightInd w:val="0"/>
        <w:spacing w:after="0" w:line="276" w:lineRule="auto"/>
        <w:jc w:val="both"/>
        <w:rPr>
          <w:rFonts w:ascii="Verdana" w:hAnsi="Verdana" w:cs="Verdana"/>
          <w:color w:val="3B3838" w:themeColor="background2" w:themeShade="40"/>
          <w:sz w:val="20"/>
          <w:szCs w:val="20"/>
        </w:rPr>
      </w:pPr>
      <w:r w:rsidRPr="00DE7CF9">
        <w:rPr>
          <w:rFonts w:ascii="Verdana" w:hAnsi="Verdana" w:cs="Verdana"/>
          <w:b/>
          <w:bCs/>
          <w:color w:val="3B3838" w:themeColor="background2" w:themeShade="40"/>
          <w:sz w:val="20"/>
          <w:szCs w:val="20"/>
        </w:rPr>
        <w:t xml:space="preserve">- </w:t>
      </w:r>
      <w:hyperlink r:id="rId49" w:history="1">
        <w:proofErr w:type="spellStart"/>
        <w:r w:rsidRPr="00DE7CF9">
          <w:rPr>
            <w:rStyle w:val="Hipercze"/>
            <w:rFonts w:ascii="Verdana" w:hAnsi="Verdana" w:cs="Verdana"/>
            <w:b/>
            <w:bCs/>
            <w:color w:val="0070C0"/>
            <w:sz w:val="20"/>
            <w:szCs w:val="20"/>
          </w:rPr>
          <w:t>Doumbe</w:t>
        </w:r>
        <w:proofErr w:type="spellEnd"/>
        <w:r w:rsidRPr="00DE7CF9">
          <w:rPr>
            <w:rStyle w:val="Hipercze"/>
            <w:rFonts w:ascii="Verdana" w:hAnsi="Verdana" w:cs="Verdana"/>
            <w:b/>
            <w:bCs/>
            <w:color w:val="0070C0"/>
            <w:sz w:val="20"/>
            <w:szCs w:val="20"/>
          </w:rPr>
          <w:t xml:space="preserve"> </w:t>
        </w:r>
        <w:proofErr w:type="spellStart"/>
        <w:r w:rsidRPr="00DE7CF9">
          <w:rPr>
            <w:rStyle w:val="Hipercze"/>
            <w:rFonts w:ascii="Verdana" w:hAnsi="Verdana" w:cs="Verdana"/>
            <w:b/>
            <w:bCs/>
            <w:color w:val="0070C0"/>
            <w:sz w:val="20"/>
            <w:szCs w:val="20"/>
          </w:rPr>
          <w:t>Nnabuchi</w:t>
        </w:r>
        <w:proofErr w:type="spellEnd"/>
        <w:r w:rsidRPr="00DE7CF9">
          <w:rPr>
            <w:rStyle w:val="Hipercze"/>
            <w:rFonts w:ascii="Verdana" w:hAnsi="Verdana" w:cs="Verdana"/>
            <w:b/>
            <w:bCs/>
            <w:color w:val="0070C0"/>
            <w:sz w:val="20"/>
            <w:szCs w:val="20"/>
          </w:rPr>
          <w:t xml:space="preserve"> przeciwko Hiszpanii</w:t>
        </w:r>
        <w:r w:rsidRPr="00DE7CF9">
          <w:rPr>
            <w:rStyle w:val="Hipercze"/>
            <w:rFonts w:ascii="Verdana" w:hAnsi="Verdana" w:cs="Verdana"/>
            <w:color w:val="011830" w:themeColor="hyperlink" w:themeShade="40"/>
            <w:sz w:val="20"/>
            <w:szCs w:val="20"/>
            <w:u w:val="none"/>
          </w:rPr>
          <w:t>,</w:t>
        </w:r>
      </w:hyperlink>
      <w:r w:rsidRPr="00DE7CF9">
        <w:rPr>
          <w:rFonts w:ascii="Verdana" w:hAnsi="Verdana" w:cs="Verdana"/>
          <w:color w:val="3B3838" w:themeColor="background2" w:themeShade="40"/>
          <w:sz w:val="20"/>
          <w:szCs w:val="20"/>
        </w:rPr>
        <w:t xml:space="preserve"> decyzja Komitetu z dnia 1 czerwca 2021 roku w sprawie dopuszczalności; </w:t>
      </w:r>
    </w:p>
    <w:p w14:paraId="35A88493" w14:textId="5F94CF94" w:rsidR="00DE7CF9" w:rsidRPr="00DE7CF9" w:rsidRDefault="00DE7CF9" w:rsidP="002C7FC0">
      <w:pPr>
        <w:autoSpaceDE w:val="0"/>
        <w:autoSpaceDN w:val="0"/>
        <w:adjustRightInd w:val="0"/>
        <w:spacing w:after="0" w:line="276" w:lineRule="auto"/>
        <w:jc w:val="both"/>
        <w:rPr>
          <w:rFonts w:ascii="Verdana" w:hAnsi="Verdana" w:cs="Verdana"/>
          <w:color w:val="3B3838" w:themeColor="background2" w:themeShade="40"/>
          <w:sz w:val="20"/>
          <w:szCs w:val="20"/>
        </w:rPr>
      </w:pPr>
      <w:r w:rsidRPr="00DE7CF9">
        <w:rPr>
          <w:rFonts w:ascii="Verdana" w:hAnsi="Verdana" w:cs="Verdana"/>
          <w:b/>
          <w:bCs/>
          <w:color w:val="3B3838" w:themeColor="background2" w:themeShade="40"/>
          <w:sz w:val="20"/>
          <w:szCs w:val="20"/>
        </w:rPr>
        <w:t xml:space="preserve">- </w:t>
      </w:r>
      <w:hyperlink r:id="rId50" w:history="1">
        <w:proofErr w:type="spellStart"/>
        <w:r w:rsidRPr="00DE7CF9">
          <w:rPr>
            <w:rStyle w:val="Hipercze"/>
            <w:rFonts w:ascii="Verdana" w:hAnsi="Verdana" w:cs="Verdana"/>
            <w:b/>
            <w:bCs/>
            <w:color w:val="0070C0"/>
            <w:sz w:val="20"/>
            <w:szCs w:val="20"/>
          </w:rPr>
          <w:t>Zarubin</w:t>
        </w:r>
        <w:proofErr w:type="spellEnd"/>
        <w:r w:rsidRPr="00DE7CF9">
          <w:rPr>
            <w:rStyle w:val="Hipercze"/>
            <w:rFonts w:ascii="Verdana" w:hAnsi="Verdana" w:cs="Verdana"/>
            <w:b/>
            <w:bCs/>
            <w:color w:val="0070C0"/>
            <w:sz w:val="20"/>
            <w:szCs w:val="20"/>
          </w:rPr>
          <w:t xml:space="preserve"> i Inni przeciwko Litwie</w:t>
        </w:r>
        <w:r w:rsidRPr="00DE7CF9">
          <w:rPr>
            <w:rStyle w:val="Hipercze"/>
            <w:rFonts w:ascii="Verdana" w:hAnsi="Verdana" w:cs="Verdana"/>
            <w:color w:val="011830" w:themeColor="hyperlink" w:themeShade="40"/>
            <w:sz w:val="20"/>
            <w:szCs w:val="20"/>
          </w:rPr>
          <w:t>,</w:t>
        </w:r>
      </w:hyperlink>
      <w:r w:rsidRPr="00DE7CF9">
        <w:rPr>
          <w:rFonts w:ascii="Verdana" w:hAnsi="Verdana" w:cs="Verdana"/>
          <w:color w:val="3B3838" w:themeColor="background2" w:themeShade="40"/>
          <w:sz w:val="20"/>
          <w:szCs w:val="20"/>
        </w:rPr>
        <w:t xml:space="preserve"> decyzja Izby z dnia 26 listopada 2019 roku w sprawie dopuszczalności; </w:t>
      </w:r>
    </w:p>
    <w:p w14:paraId="3970CB56" w14:textId="1C6598BA" w:rsidR="00C56CE2" w:rsidRDefault="00DE7CF9" w:rsidP="002C7FC0">
      <w:pPr>
        <w:autoSpaceDE w:val="0"/>
        <w:autoSpaceDN w:val="0"/>
        <w:adjustRightInd w:val="0"/>
        <w:spacing w:after="0" w:line="276" w:lineRule="auto"/>
        <w:jc w:val="both"/>
        <w:rPr>
          <w:rFonts w:ascii="Verdana" w:hAnsi="Verdana" w:cs="Verdana"/>
          <w:color w:val="3B3838" w:themeColor="background2" w:themeShade="40"/>
          <w:sz w:val="20"/>
          <w:szCs w:val="20"/>
        </w:rPr>
      </w:pPr>
      <w:r w:rsidRPr="00DE7CF9">
        <w:rPr>
          <w:rFonts w:ascii="Verdana" w:hAnsi="Verdana" w:cs="Verdana"/>
          <w:color w:val="3B3838" w:themeColor="background2" w:themeShade="40"/>
          <w:sz w:val="20"/>
          <w:szCs w:val="20"/>
        </w:rPr>
        <w:t xml:space="preserve">- </w:t>
      </w:r>
      <w:hyperlink r:id="rId51" w:history="1">
        <w:r w:rsidRPr="002C7FC0">
          <w:rPr>
            <w:rStyle w:val="Hipercze"/>
            <w:rFonts w:ascii="Verdana" w:hAnsi="Verdana" w:cs="Verdana"/>
            <w:b/>
            <w:bCs/>
            <w:color w:val="0070C0"/>
            <w:sz w:val="20"/>
            <w:szCs w:val="20"/>
          </w:rPr>
          <w:t>M.A. i Inni przeciwko Łotwie</w:t>
        </w:r>
      </w:hyperlink>
      <w:r w:rsidRPr="002C7FC0">
        <w:rPr>
          <w:rFonts w:ascii="Verdana" w:hAnsi="Verdana" w:cs="Verdana"/>
          <w:color w:val="0070C0"/>
          <w:sz w:val="20"/>
          <w:szCs w:val="20"/>
        </w:rPr>
        <w:t>,</w:t>
      </w:r>
      <w:r w:rsidRPr="002C7FC0">
        <w:rPr>
          <w:rFonts w:ascii="Verdana" w:hAnsi="Verdana" w:cs="Verdana"/>
          <w:color w:val="3B3838" w:themeColor="background2" w:themeShade="40"/>
          <w:sz w:val="20"/>
          <w:szCs w:val="20"/>
        </w:rPr>
        <w:t xml:space="preserve"> </w:t>
      </w:r>
      <w:r w:rsidRPr="00DE7CF9">
        <w:rPr>
          <w:rFonts w:ascii="Verdana" w:hAnsi="Verdana" w:cs="Verdana"/>
          <w:color w:val="3B3838" w:themeColor="background2" w:themeShade="40"/>
          <w:sz w:val="20"/>
          <w:szCs w:val="20"/>
        </w:rPr>
        <w:t>decyzja Izby w sprawie dopuszczalności.</w:t>
      </w:r>
    </w:p>
    <w:p w14:paraId="527847D5" w14:textId="77777777" w:rsidR="00DE7CF9" w:rsidRPr="00DE7CF9" w:rsidRDefault="00DE7CF9" w:rsidP="00DE7CF9">
      <w:pPr>
        <w:autoSpaceDE w:val="0"/>
        <w:autoSpaceDN w:val="0"/>
        <w:adjustRightInd w:val="0"/>
        <w:spacing w:after="0" w:line="240" w:lineRule="auto"/>
        <w:jc w:val="both"/>
        <w:rPr>
          <w:rFonts w:ascii="Verdana" w:hAnsi="Verdana" w:cs="Verdana"/>
          <w:color w:val="3B3838" w:themeColor="background2" w:themeShade="40"/>
          <w:sz w:val="20"/>
          <w:szCs w:val="20"/>
        </w:rPr>
      </w:pPr>
    </w:p>
    <w:p w14:paraId="37356AD9" w14:textId="77777777" w:rsidR="00662976" w:rsidRDefault="00662976" w:rsidP="002A4B3D">
      <w:pPr>
        <w:pBdr>
          <w:bottom w:val="single" w:sz="12" w:space="0" w:color="auto"/>
        </w:pBdr>
        <w:autoSpaceDE w:val="0"/>
        <w:autoSpaceDN w:val="0"/>
        <w:adjustRightInd w:val="0"/>
        <w:spacing w:after="0" w:line="240" w:lineRule="auto"/>
        <w:jc w:val="both"/>
        <w:rPr>
          <w:rFonts w:ascii="Verdana" w:hAnsi="Verdana" w:cs="Verdana"/>
          <w:color w:val="0072BD"/>
          <w:sz w:val="28"/>
          <w:szCs w:val="28"/>
        </w:rPr>
      </w:pPr>
      <w:r>
        <w:rPr>
          <w:rFonts w:ascii="Verdana" w:hAnsi="Verdana" w:cs="Verdana"/>
          <w:color w:val="0072BD"/>
          <w:sz w:val="28"/>
          <w:szCs w:val="28"/>
        </w:rPr>
        <w:t xml:space="preserve">Sprawy dotyczące art. 4 Protokołu nr 4 </w:t>
      </w:r>
      <w:r w:rsidR="000A6F2F">
        <w:rPr>
          <w:rFonts w:ascii="Verdana" w:hAnsi="Verdana" w:cs="Verdana"/>
          <w:color w:val="0072BD"/>
          <w:sz w:val="28"/>
          <w:szCs w:val="28"/>
        </w:rPr>
        <w:t>skreślone z listy Trybunału</w:t>
      </w:r>
    </w:p>
    <w:p w14:paraId="1750E10C" w14:textId="77777777" w:rsidR="00662976" w:rsidRPr="000D1C49" w:rsidRDefault="00662976" w:rsidP="002A4B3D">
      <w:pPr>
        <w:pBdr>
          <w:bottom w:val="single" w:sz="12" w:space="0" w:color="auto"/>
        </w:pBdr>
        <w:autoSpaceDE w:val="0"/>
        <w:autoSpaceDN w:val="0"/>
        <w:adjustRightInd w:val="0"/>
        <w:spacing w:after="0" w:line="240" w:lineRule="auto"/>
        <w:jc w:val="both"/>
        <w:rPr>
          <w:rFonts w:ascii="Verdana" w:hAnsi="Verdana" w:cs="Verdana"/>
          <w:color w:val="808080"/>
          <w:sz w:val="28"/>
          <w:szCs w:val="28"/>
        </w:rPr>
      </w:pPr>
    </w:p>
    <w:p w14:paraId="14D65783" w14:textId="77777777" w:rsidR="00662976" w:rsidRPr="000D1C49" w:rsidRDefault="00662976" w:rsidP="002A4B3D">
      <w:pPr>
        <w:autoSpaceDE w:val="0"/>
        <w:autoSpaceDN w:val="0"/>
        <w:adjustRightInd w:val="0"/>
        <w:spacing w:after="0" w:line="240" w:lineRule="auto"/>
        <w:jc w:val="both"/>
        <w:rPr>
          <w:rFonts w:ascii="Verdana" w:hAnsi="Verdana" w:cs="Verdana"/>
          <w:color w:val="808080"/>
          <w:sz w:val="20"/>
          <w:szCs w:val="20"/>
        </w:rPr>
      </w:pPr>
    </w:p>
    <w:p w14:paraId="7DE8015F" w14:textId="1EF3ABF1" w:rsidR="00662976" w:rsidRPr="008F026F" w:rsidRDefault="000A6F2F" w:rsidP="002A4B3D">
      <w:pPr>
        <w:autoSpaceDE w:val="0"/>
        <w:autoSpaceDN w:val="0"/>
        <w:adjustRightInd w:val="0"/>
        <w:spacing w:after="0" w:line="240" w:lineRule="auto"/>
        <w:jc w:val="both"/>
        <w:rPr>
          <w:rFonts w:ascii="Verdana" w:hAnsi="Verdana" w:cs="Verdana"/>
          <w:b/>
          <w:bCs/>
          <w:color w:val="0070C0"/>
          <w:sz w:val="20"/>
          <w:szCs w:val="20"/>
          <w:u w:val="single"/>
        </w:rPr>
      </w:pPr>
      <w:hyperlink r:id="rId52" w:history="1">
        <w:proofErr w:type="spellStart"/>
        <w:r w:rsidRPr="00D95895">
          <w:rPr>
            <w:rStyle w:val="Hipercze"/>
            <w:rFonts w:ascii="Verdana" w:hAnsi="Verdana" w:cs="Verdana"/>
            <w:b/>
            <w:bCs/>
            <w:sz w:val="20"/>
            <w:szCs w:val="20"/>
          </w:rPr>
          <w:t>Hussun</w:t>
        </w:r>
        <w:proofErr w:type="spellEnd"/>
        <w:r w:rsidRPr="00D95895">
          <w:rPr>
            <w:rStyle w:val="Hipercze"/>
            <w:rFonts w:ascii="Verdana" w:hAnsi="Verdana" w:cs="Verdana"/>
            <w:b/>
            <w:bCs/>
            <w:sz w:val="20"/>
            <w:szCs w:val="20"/>
          </w:rPr>
          <w:t xml:space="preserve"> i Inni p</w:t>
        </w:r>
        <w:r w:rsidR="00F175B8" w:rsidRPr="00D95895">
          <w:rPr>
            <w:rStyle w:val="Hipercze"/>
            <w:rFonts w:ascii="Verdana" w:hAnsi="Verdana" w:cs="Verdana"/>
            <w:b/>
            <w:bCs/>
            <w:sz w:val="20"/>
            <w:szCs w:val="20"/>
          </w:rPr>
          <w:t>rzeciwko</w:t>
        </w:r>
        <w:r w:rsidRPr="00D95895">
          <w:rPr>
            <w:rStyle w:val="Hipercze"/>
            <w:rFonts w:ascii="Verdana" w:hAnsi="Verdana" w:cs="Verdana"/>
            <w:b/>
            <w:bCs/>
            <w:sz w:val="20"/>
            <w:szCs w:val="20"/>
          </w:rPr>
          <w:t xml:space="preserve"> Włochom</w:t>
        </w:r>
      </w:hyperlink>
    </w:p>
    <w:p w14:paraId="48898FF9" w14:textId="77777777" w:rsidR="000A6F2F" w:rsidRPr="009C335F" w:rsidRDefault="000A6F2F" w:rsidP="002A4B3D">
      <w:pPr>
        <w:autoSpaceDE w:val="0"/>
        <w:autoSpaceDN w:val="0"/>
        <w:adjustRightInd w:val="0"/>
        <w:spacing w:after="0" w:line="240" w:lineRule="auto"/>
        <w:jc w:val="both"/>
        <w:rPr>
          <w:rFonts w:ascii="Verdana" w:hAnsi="Verdana" w:cs="Verdana"/>
          <w:color w:val="808080"/>
          <w:sz w:val="20"/>
          <w:szCs w:val="20"/>
        </w:rPr>
      </w:pPr>
      <w:r w:rsidRPr="009C335F">
        <w:rPr>
          <w:rFonts w:ascii="Verdana" w:hAnsi="Verdana" w:cs="Verdana"/>
          <w:color w:val="808080"/>
          <w:sz w:val="20"/>
          <w:szCs w:val="20"/>
        </w:rPr>
        <w:t>Skreślenie z listy przez Izbę w dniu 19 stycznia 2010 roku</w:t>
      </w:r>
    </w:p>
    <w:p w14:paraId="6065240A" w14:textId="77777777" w:rsidR="00CC098A" w:rsidRDefault="000A6F2F" w:rsidP="002A4B3D">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xml:space="preserve">W 2005 roku 84 skarżący, którzy oświadczyli, że należą do grupy 1200 nielegalnych imigrantów, przybyli do Włoch na łodziach płynących z Libii i zostali umieszczeni w tymczasowych ośrodkach dla uchodźców. Nakazy wydalenia zostały wydane do niektórych z nich. Niektórzy zostali zwolnieni </w:t>
      </w:r>
      <w:r w:rsidR="00CC098A">
        <w:rPr>
          <w:rFonts w:ascii="Verdana" w:hAnsi="Verdana" w:cs="Verdana"/>
          <w:sz w:val="20"/>
          <w:szCs w:val="20"/>
        </w:rPr>
        <w:t>w związku z upływem maksymalnego terminu osadzenia.; inni zostali deportowani. Opierając się w szczególności na art. 4 Protokołu nr 4 do Konwencji (zakaz wydaleń zbiorowych obcokrajowców) skarżący zaskarżyli wydalenie jako zbiorowe.</w:t>
      </w:r>
    </w:p>
    <w:p w14:paraId="232472A5" w14:textId="5B079FAF" w:rsidR="000A6F2F" w:rsidRPr="008F026F" w:rsidRDefault="00CC098A" w:rsidP="002A4B3D">
      <w:pPr>
        <w:autoSpaceDE w:val="0"/>
        <w:autoSpaceDN w:val="0"/>
        <w:adjustRightInd w:val="0"/>
        <w:spacing w:after="0" w:line="240" w:lineRule="auto"/>
        <w:jc w:val="both"/>
        <w:rPr>
          <w:rFonts w:ascii="Verdana" w:hAnsi="Verdana" w:cs="Verdana"/>
          <w:color w:val="0070C0"/>
          <w:sz w:val="20"/>
          <w:szCs w:val="20"/>
        </w:rPr>
      </w:pPr>
      <w:r w:rsidRPr="008F026F">
        <w:rPr>
          <w:rFonts w:ascii="Verdana" w:hAnsi="Verdana" w:cs="Verdana"/>
          <w:color w:val="0070C0"/>
          <w:sz w:val="20"/>
          <w:szCs w:val="20"/>
        </w:rPr>
        <w:t xml:space="preserve">W </w:t>
      </w:r>
      <w:hyperlink r:id="rId53" w:history="1">
        <w:r w:rsidRPr="00B62273">
          <w:rPr>
            <w:rStyle w:val="Hipercze"/>
            <w:rFonts w:ascii="Verdana" w:hAnsi="Verdana" w:cs="Verdana"/>
            <w:sz w:val="20"/>
            <w:szCs w:val="20"/>
          </w:rPr>
          <w:t>decyzji o dopuszczalności</w:t>
        </w:r>
      </w:hyperlink>
      <w:r w:rsidRPr="008F026F">
        <w:rPr>
          <w:rFonts w:ascii="Verdana" w:hAnsi="Verdana" w:cs="Verdana"/>
          <w:color w:val="0070C0"/>
          <w:sz w:val="20"/>
          <w:szCs w:val="20"/>
        </w:rPr>
        <w:t xml:space="preserve"> z dnia 11 maja 2006 roku Trybunał odroczył rozpoznanie sprawy 57 skarżących, których los był nieznany i uznał za dopuszczalne w zakresie art. 2, art. 3, art. 13 i 34 skargi 14 wydalonych skarżących oraz w zakresie art. 34 Konwencji 13 skarżących, którzy zostali zwolnieni.</w:t>
      </w:r>
    </w:p>
    <w:p w14:paraId="484EE3B5" w14:textId="6D98502A" w:rsidR="00C56CE2" w:rsidRDefault="00E6061A" w:rsidP="002A4B3D">
      <w:pPr>
        <w:autoSpaceDE w:val="0"/>
        <w:autoSpaceDN w:val="0"/>
        <w:adjustRightInd w:val="0"/>
        <w:spacing w:after="0" w:line="240" w:lineRule="auto"/>
        <w:jc w:val="both"/>
        <w:rPr>
          <w:rFonts w:ascii="Verdana" w:hAnsi="Verdana" w:cs="Verdana"/>
          <w:color w:val="0070C0"/>
          <w:sz w:val="20"/>
          <w:szCs w:val="20"/>
        </w:rPr>
      </w:pPr>
      <w:r w:rsidRPr="008F026F">
        <w:rPr>
          <w:rFonts w:ascii="Verdana" w:hAnsi="Verdana" w:cs="Verdana"/>
          <w:color w:val="0070C0"/>
          <w:sz w:val="20"/>
          <w:szCs w:val="20"/>
        </w:rPr>
        <w:t xml:space="preserve">W </w:t>
      </w:r>
      <w:hyperlink r:id="rId54" w:history="1">
        <w:r w:rsidRPr="00B62273">
          <w:rPr>
            <w:rStyle w:val="Hipercze"/>
            <w:rFonts w:ascii="Verdana" w:hAnsi="Verdana" w:cs="Verdana"/>
            <w:sz w:val="20"/>
            <w:szCs w:val="20"/>
          </w:rPr>
          <w:t>orzeczeniu</w:t>
        </w:r>
      </w:hyperlink>
      <w:r w:rsidRPr="008F026F">
        <w:rPr>
          <w:rFonts w:ascii="Verdana" w:hAnsi="Verdana" w:cs="Verdana"/>
          <w:color w:val="0070C0"/>
          <w:sz w:val="20"/>
          <w:szCs w:val="20"/>
        </w:rPr>
        <w:t xml:space="preserve"> z dnia 19 stycznia 2010 roku, dotyczącym zarzutów skarżących z </w:t>
      </w:r>
      <w:r w:rsidRPr="008F026F">
        <w:rPr>
          <w:rFonts w:ascii="Verdana" w:hAnsi="Verdana" w:cs="Verdana"/>
          <w:b/>
          <w:bCs/>
          <w:color w:val="0070C0"/>
          <w:sz w:val="20"/>
          <w:szCs w:val="20"/>
        </w:rPr>
        <w:t>art. 2 Konwencji</w:t>
      </w:r>
      <w:r w:rsidRPr="008F026F">
        <w:rPr>
          <w:rFonts w:ascii="Verdana" w:hAnsi="Verdana" w:cs="Verdana"/>
          <w:color w:val="0070C0"/>
          <w:sz w:val="20"/>
          <w:szCs w:val="20"/>
        </w:rPr>
        <w:t xml:space="preserve"> (Prawo do życia), </w:t>
      </w:r>
      <w:r w:rsidRPr="008F026F">
        <w:rPr>
          <w:rFonts w:ascii="Verdana" w:hAnsi="Verdana" w:cs="Verdana"/>
          <w:b/>
          <w:bCs/>
          <w:color w:val="0070C0"/>
          <w:sz w:val="20"/>
          <w:szCs w:val="20"/>
        </w:rPr>
        <w:t>art. 3 Konwencji</w:t>
      </w:r>
      <w:r w:rsidRPr="008F026F">
        <w:rPr>
          <w:rFonts w:ascii="Verdana" w:hAnsi="Verdana" w:cs="Verdana"/>
          <w:color w:val="0070C0"/>
          <w:sz w:val="20"/>
          <w:szCs w:val="20"/>
        </w:rPr>
        <w:t xml:space="preserve"> (zakaz nieludzkiego lub poniżającego traktowania), </w:t>
      </w:r>
      <w:r w:rsidRPr="008F026F">
        <w:rPr>
          <w:rFonts w:ascii="Verdana" w:hAnsi="Verdana" w:cs="Verdana"/>
          <w:b/>
          <w:bCs/>
          <w:color w:val="0070C0"/>
          <w:sz w:val="20"/>
          <w:szCs w:val="20"/>
        </w:rPr>
        <w:t>art. 13 Konwencji</w:t>
      </w:r>
      <w:r w:rsidRPr="008F026F">
        <w:rPr>
          <w:rFonts w:ascii="Verdana" w:hAnsi="Verdana" w:cs="Verdana"/>
          <w:color w:val="0070C0"/>
          <w:sz w:val="20"/>
          <w:szCs w:val="20"/>
        </w:rPr>
        <w:t xml:space="preserve"> (prawo do skutecznego środka odwoławczego) i </w:t>
      </w:r>
      <w:r w:rsidRPr="008F026F">
        <w:rPr>
          <w:rFonts w:ascii="Verdana" w:hAnsi="Verdana" w:cs="Verdana"/>
          <w:b/>
          <w:bCs/>
          <w:color w:val="0070C0"/>
          <w:sz w:val="20"/>
          <w:szCs w:val="20"/>
        </w:rPr>
        <w:t xml:space="preserve">art. 4 </w:t>
      </w:r>
      <w:r w:rsidRPr="008F026F">
        <w:rPr>
          <w:rFonts w:ascii="Verdana" w:hAnsi="Verdana" w:cs="Verdana"/>
          <w:b/>
          <w:bCs/>
          <w:color w:val="0070C0"/>
          <w:sz w:val="20"/>
          <w:szCs w:val="20"/>
        </w:rPr>
        <w:lastRenderedPageBreak/>
        <w:t>Protokołu nr 4 do Konwencji</w:t>
      </w:r>
      <w:r w:rsidR="00DC5F13" w:rsidRPr="008F026F">
        <w:rPr>
          <w:rFonts w:ascii="Verdana" w:hAnsi="Verdana" w:cs="Verdana"/>
          <w:color w:val="0070C0"/>
          <w:sz w:val="20"/>
          <w:szCs w:val="20"/>
        </w:rPr>
        <w:t xml:space="preserve">, w zakresie dotyczącym 14 skarżących wydalonych do Libii Trybunał zauważył, że właściwy sąd rejonowy, po przeprowadzeniu posiedzenia w obecności obrońców i tłumaczy, wydał wobec każdego z nich indywidualny nakaz deportacji. Trybunał stwierdził dalej, że ważność pełnomocnictw w zakresie niektórych skarżących pozwalała wzbudzać wątpliwości. Jeśli chodzi o grupę 57 skarżących, których los był nieznany, z których niektórzy zbiegli przed marcem 2005 roku, Trybunał stwierdził, że według opinii grafologa większość pełnomocnictw </w:t>
      </w:r>
      <w:r w:rsidR="0088566E" w:rsidRPr="008F026F">
        <w:rPr>
          <w:rFonts w:ascii="Verdana" w:hAnsi="Verdana" w:cs="Verdana"/>
          <w:color w:val="0070C0"/>
          <w:sz w:val="20"/>
          <w:szCs w:val="20"/>
        </w:rPr>
        <w:t xml:space="preserve">została wypełniona i podpisana przez jedną osobę. W każdym razie pełnomocnicy stracili kontakt ze wszystkimi tymi skarżącymi, dlatego też Trybunał nie mógł pozyskać informacji o ich szczególnej sytuacji. W świetle tych okoliczności Trybunał uznał, że </w:t>
      </w:r>
      <w:r w:rsidR="0088566E" w:rsidRPr="00A87B81">
        <w:rPr>
          <w:rFonts w:ascii="Verdana" w:hAnsi="Verdana" w:cs="Verdana"/>
          <w:b/>
          <w:bCs/>
          <w:color w:val="0070C0"/>
          <w:sz w:val="20"/>
          <w:szCs w:val="20"/>
        </w:rPr>
        <w:t>nie było zasadne dalsze badanie tych skarg</w:t>
      </w:r>
      <w:r w:rsidR="0088566E" w:rsidRPr="008F026F">
        <w:rPr>
          <w:rFonts w:ascii="Verdana" w:hAnsi="Verdana" w:cs="Verdana"/>
          <w:color w:val="0070C0"/>
          <w:sz w:val="20"/>
          <w:szCs w:val="20"/>
        </w:rPr>
        <w:t xml:space="preserve"> i </w:t>
      </w:r>
      <w:r w:rsidR="0088566E" w:rsidRPr="00A87B81">
        <w:rPr>
          <w:rFonts w:ascii="Verdana" w:hAnsi="Verdana" w:cs="Verdana"/>
          <w:b/>
          <w:bCs/>
          <w:color w:val="0070C0"/>
          <w:sz w:val="20"/>
          <w:szCs w:val="20"/>
        </w:rPr>
        <w:t>skreślił je z listy</w:t>
      </w:r>
      <w:r w:rsidR="0088566E" w:rsidRPr="008F026F">
        <w:rPr>
          <w:rFonts w:ascii="Verdana" w:hAnsi="Verdana" w:cs="Verdana"/>
          <w:color w:val="0070C0"/>
          <w:sz w:val="20"/>
          <w:szCs w:val="20"/>
        </w:rPr>
        <w:t xml:space="preserve"> na podstawie art. 37 § 1 lit. c Konwencji.</w:t>
      </w:r>
      <w:r w:rsidR="00DC5F13" w:rsidRPr="008F026F">
        <w:rPr>
          <w:rFonts w:ascii="Verdana" w:hAnsi="Verdana" w:cs="Verdana"/>
          <w:color w:val="0070C0"/>
          <w:sz w:val="20"/>
          <w:szCs w:val="20"/>
        </w:rPr>
        <w:t xml:space="preserve"> </w:t>
      </w:r>
    </w:p>
    <w:p w14:paraId="45B684F4" w14:textId="0C8000D2" w:rsidR="001D10D9" w:rsidRPr="006150AF" w:rsidRDefault="008F026F" w:rsidP="002A4B3D">
      <w:pPr>
        <w:autoSpaceDE w:val="0"/>
        <w:autoSpaceDN w:val="0"/>
        <w:adjustRightInd w:val="0"/>
        <w:spacing w:after="0" w:line="240" w:lineRule="auto"/>
        <w:jc w:val="both"/>
        <w:rPr>
          <w:rFonts w:ascii="Verdana" w:hAnsi="Verdana" w:cs="Verdana"/>
          <w:color w:val="0070C0"/>
          <w:sz w:val="20"/>
          <w:szCs w:val="20"/>
        </w:rPr>
      </w:pPr>
      <w:r>
        <w:rPr>
          <w:rFonts w:ascii="Verdana" w:hAnsi="Verdana" w:cs="Verdana"/>
          <w:color w:val="0070C0"/>
          <w:sz w:val="20"/>
          <w:szCs w:val="20"/>
        </w:rPr>
        <w:t xml:space="preserve">Odnośnie do skarżących z art. </w:t>
      </w:r>
      <w:r w:rsidRPr="008F026F">
        <w:rPr>
          <w:rFonts w:ascii="Verdana" w:hAnsi="Verdana" w:cs="Verdana"/>
          <w:b/>
          <w:bCs/>
          <w:color w:val="0070C0"/>
          <w:sz w:val="20"/>
          <w:szCs w:val="20"/>
        </w:rPr>
        <w:t>34 Konwencji</w:t>
      </w:r>
      <w:r>
        <w:rPr>
          <w:rFonts w:ascii="Verdana" w:hAnsi="Verdana" w:cs="Verdana"/>
          <w:color w:val="0070C0"/>
          <w:sz w:val="20"/>
          <w:szCs w:val="20"/>
        </w:rPr>
        <w:t xml:space="preserve"> (prawo do skargi indywidualnej) Trybunał uznał, z tych samych powodów, co wyżej, że </w:t>
      </w:r>
      <w:r w:rsidRPr="00A87B81">
        <w:rPr>
          <w:rFonts w:ascii="Verdana" w:hAnsi="Verdana" w:cs="Verdana"/>
          <w:b/>
          <w:bCs/>
          <w:color w:val="0070C0"/>
          <w:sz w:val="20"/>
          <w:szCs w:val="20"/>
        </w:rPr>
        <w:t>nie było zasadne dalsze badanie tych skarg</w:t>
      </w:r>
      <w:r>
        <w:rPr>
          <w:rFonts w:ascii="Verdana" w:hAnsi="Verdana" w:cs="Verdana"/>
          <w:color w:val="0070C0"/>
          <w:sz w:val="20"/>
          <w:szCs w:val="20"/>
        </w:rPr>
        <w:t xml:space="preserve"> i powinny być one </w:t>
      </w:r>
      <w:r w:rsidRPr="00A87B81">
        <w:rPr>
          <w:rFonts w:ascii="Verdana" w:hAnsi="Verdana" w:cs="Verdana"/>
          <w:b/>
          <w:bCs/>
          <w:color w:val="0070C0"/>
          <w:sz w:val="20"/>
          <w:szCs w:val="20"/>
        </w:rPr>
        <w:t>skreślone z listy</w:t>
      </w:r>
      <w:r>
        <w:rPr>
          <w:rFonts w:ascii="Verdana" w:hAnsi="Verdana" w:cs="Verdana"/>
          <w:color w:val="0070C0"/>
          <w:sz w:val="20"/>
          <w:szCs w:val="20"/>
        </w:rPr>
        <w:t xml:space="preserve"> (z wyjątkiem jednej skargi: w tej sprawie nie było wątpliwości co do autentyczności pełnomocnictwa i skarżący pozostał w kontakcie z pełnomocnikiem – Trybunał zauważył jednak, że </w:t>
      </w:r>
      <w:r w:rsidR="000149DE">
        <w:rPr>
          <w:rFonts w:ascii="Verdana" w:hAnsi="Verdana" w:cs="Verdana"/>
          <w:color w:val="0070C0"/>
          <w:sz w:val="20"/>
          <w:szCs w:val="20"/>
        </w:rPr>
        <w:t>nie odnotowano oznak, aby władze krajowe podjęły działania utrudniające wniesienie skargi do Trybunału lub uznania skargi za nieskuteczną i stwierdził, że z tego powodu nie doszło do naruszenia art. 34 Konwencji w tej sprawie)</w:t>
      </w:r>
      <w:r w:rsidR="00A87B81">
        <w:rPr>
          <w:rFonts w:ascii="Verdana" w:hAnsi="Verdana" w:cs="Verdana"/>
          <w:color w:val="0070C0"/>
          <w:sz w:val="20"/>
          <w:szCs w:val="20"/>
        </w:rPr>
        <w:t>.</w:t>
      </w:r>
      <w:r>
        <w:rPr>
          <w:rFonts w:ascii="Verdana" w:hAnsi="Verdana" w:cs="Verdana"/>
          <w:color w:val="0070C0"/>
          <w:sz w:val="20"/>
          <w:szCs w:val="20"/>
        </w:rPr>
        <w:t xml:space="preserve"> </w:t>
      </w:r>
    </w:p>
    <w:p w14:paraId="126A2B0F" w14:textId="77777777" w:rsidR="00DA16F9" w:rsidRDefault="00DA16F9" w:rsidP="002A4B3D">
      <w:pPr>
        <w:autoSpaceDE w:val="0"/>
        <w:autoSpaceDN w:val="0"/>
        <w:adjustRightInd w:val="0"/>
        <w:spacing w:after="0" w:line="240" w:lineRule="auto"/>
        <w:rPr>
          <w:rFonts w:ascii="Verdana" w:hAnsi="Verdana" w:cs="Verdana"/>
          <w:color w:val="0070C0"/>
          <w:sz w:val="20"/>
          <w:szCs w:val="20"/>
        </w:rPr>
      </w:pPr>
    </w:p>
    <w:p w14:paraId="0E02ABEE" w14:textId="77777777" w:rsidR="00DA16F9" w:rsidRDefault="00DA16F9" w:rsidP="002A4B3D">
      <w:pPr>
        <w:autoSpaceDE w:val="0"/>
        <w:autoSpaceDN w:val="0"/>
        <w:adjustRightInd w:val="0"/>
        <w:spacing w:after="0" w:line="240" w:lineRule="auto"/>
        <w:rPr>
          <w:rFonts w:ascii="Verdana" w:hAnsi="Verdana" w:cs="Verdana"/>
          <w:color w:val="0070C0"/>
          <w:sz w:val="20"/>
          <w:szCs w:val="20"/>
        </w:rPr>
      </w:pPr>
    </w:p>
    <w:p w14:paraId="178A75E5" w14:textId="77777777" w:rsidR="00DA16F9" w:rsidRPr="002A4B3D" w:rsidRDefault="00DA16F9" w:rsidP="002A4B3D">
      <w:pPr>
        <w:pBdr>
          <w:bottom w:val="single" w:sz="12" w:space="0" w:color="auto"/>
        </w:pBdr>
        <w:autoSpaceDE w:val="0"/>
        <w:autoSpaceDN w:val="0"/>
        <w:adjustRightInd w:val="0"/>
        <w:spacing w:after="0" w:line="240" w:lineRule="auto"/>
        <w:jc w:val="both"/>
        <w:rPr>
          <w:rFonts w:ascii="Verdana" w:hAnsi="Verdana" w:cs="Verdana"/>
          <w:color w:val="0072BD"/>
          <w:sz w:val="28"/>
          <w:szCs w:val="28"/>
        </w:rPr>
      </w:pPr>
      <w:r w:rsidRPr="002A4B3D">
        <w:rPr>
          <w:rFonts w:ascii="Verdana" w:hAnsi="Verdana" w:cs="Verdana"/>
          <w:color w:val="0072BD"/>
          <w:sz w:val="28"/>
          <w:szCs w:val="28"/>
        </w:rPr>
        <w:t>Inne teksty</w:t>
      </w:r>
    </w:p>
    <w:p w14:paraId="35D9A104" w14:textId="77777777" w:rsidR="00DA16F9" w:rsidRDefault="00DA16F9" w:rsidP="002A4B3D">
      <w:pPr>
        <w:autoSpaceDE w:val="0"/>
        <w:autoSpaceDN w:val="0"/>
        <w:adjustRightInd w:val="0"/>
        <w:spacing w:after="0" w:line="240" w:lineRule="auto"/>
        <w:rPr>
          <w:rFonts w:ascii="Verdana" w:hAnsi="Verdana" w:cs="Verdana"/>
          <w:color w:val="0070C0"/>
          <w:sz w:val="20"/>
          <w:szCs w:val="20"/>
        </w:rPr>
      </w:pPr>
    </w:p>
    <w:p w14:paraId="7902F396" w14:textId="3D8EA26E" w:rsidR="003B1E4D" w:rsidRPr="003B1E4D" w:rsidRDefault="003B1E4D" w:rsidP="006150AF">
      <w:pPr>
        <w:autoSpaceDE w:val="0"/>
        <w:autoSpaceDN w:val="0"/>
        <w:adjustRightInd w:val="0"/>
        <w:spacing w:after="0" w:line="276" w:lineRule="auto"/>
        <w:rPr>
          <w:rFonts w:ascii="Verdana" w:hAnsi="Verdana" w:cs="Verdana"/>
          <w:sz w:val="20"/>
          <w:szCs w:val="20"/>
        </w:rPr>
      </w:pPr>
      <w:r w:rsidRPr="003B1E4D">
        <w:rPr>
          <w:rFonts w:ascii="Verdana" w:hAnsi="Verdana" w:cs="Verdana"/>
          <w:sz w:val="20"/>
          <w:szCs w:val="20"/>
        </w:rPr>
        <w:t>Zob</w:t>
      </w:r>
      <w:r w:rsidR="002C7FC0">
        <w:rPr>
          <w:rFonts w:ascii="Verdana" w:hAnsi="Verdana" w:cs="Verdana"/>
          <w:sz w:val="20"/>
          <w:szCs w:val="20"/>
        </w:rPr>
        <w:t xml:space="preserve">acz </w:t>
      </w:r>
      <w:r w:rsidRPr="003B1E4D">
        <w:rPr>
          <w:rFonts w:ascii="Verdana" w:hAnsi="Verdana" w:cs="Verdana"/>
          <w:sz w:val="20"/>
          <w:szCs w:val="20"/>
        </w:rPr>
        <w:t>w szczególności:</w:t>
      </w:r>
    </w:p>
    <w:p w14:paraId="34EAA306" w14:textId="4E5BBE23" w:rsidR="002C7FC0" w:rsidRPr="006150AF" w:rsidRDefault="003B1E4D" w:rsidP="006150AF">
      <w:pPr>
        <w:autoSpaceDE w:val="0"/>
        <w:autoSpaceDN w:val="0"/>
        <w:adjustRightInd w:val="0"/>
        <w:spacing w:after="0" w:line="276" w:lineRule="auto"/>
        <w:rPr>
          <w:rFonts w:ascii="Verdana" w:hAnsi="Verdana" w:cs="Verdana"/>
          <w:color w:val="000000" w:themeColor="text1"/>
          <w:sz w:val="20"/>
          <w:szCs w:val="20"/>
        </w:rPr>
      </w:pPr>
      <w:r>
        <w:rPr>
          <w:rFonts w:ascii="Verdana" w:hAnsi="Verdana" w:cs="Verdana"/>
          <w:color w:val="0070C0"/>
          <w:sz w:val="20"/>
          <w:szCs w:val="20"/>
        </w:rPr>
        <w:t xml:space="preserve">- </w:t>
      </w:r>
      <w:r w:rsidR="002C7FC0" w:rsidRPr="006150AF">
        <w:rPr>
          <w:rFonts w:ascii="Verdana" w:hAnsi="Verdana" w:cs="Verdana"/>
          <w:color w:val="000000" w:themeColor="text1"/>
          <w:sz w:val="20"/>
          <w:szCs w:val="20"/>
        </w:rPr>
        <w:t>Platforma wymiany wiedzy ETPC (ECHR-KS),</w:t>
      </w:r>
      <w:r w:rsidR="002C7FC0" w:rsidRPr="006150AF">
        <w:rPr>
          <w:rFonts w:ascii="Verdana" w:hAnsi="Verdana" w:cs="Verdana"/>
          <w:b/>
          <w:bCs/>
          <w:color w:val="000000" w:themeColor="text1"/>
          <w:sz w:val="20"/>
          <w:szCs w:val="20"/>
        </w:rPr>
        <w:t xml:space="preserve"> </w:t>
      </w:r>
      <w:hyperlink r:id="rId55" w:history="1">
        <w:r w:rsidR="002C7FC0" w:rsidRPr="006150AF">
          <w:rPr>
            <w:rStyle w:val="Hipercze"/>
            <w:rFonts w:ascii="Verdana" w:hAnsi="Verdana" w:cs="Verdana"/>
            <w:b/>
            <w:bCs/>
            <w:sz w:val="20"/>
            <w:szCs w:val="20"/>
          </w:rPr>
          <w:t>Artykuł 4 Protokołu nr 4 – Zakaz zbiorowego wydalania cudzoziemców</w:t>
        </w:r>
      </w:hyperlink>
      <w:r w:rsidR="006150AF" w:rsidRPr="006150AF">
        <w:rPr>
          <w:rFonts w:ascii="Verdana" w:hAnsi="Verdana" w:cs="Verdana"/>
          <w:color w:val="000000" w:themeColor="text1"/>
          <w:sz w:val="20"/>
          <w:szCs w:val="20"/>
        </w:rPr>
        <w:t xml:space="preserve"> (dostępna wyłącznie w języku angielskim</w:t>
      </w:r>
      <w:r w:rsidR="006150AF">
        <w:rPr>
          <w:rFonts w:ascii="Verdana" w:hAnsi="Verdana" w:cs="Verdana"/>
          <w:color w:val="000000" w:themeColor="text1"/>
          <w:sz w:val="20"/>
          <w:szCs w:val="20"/>
        </w:rPr>
        <w:t>.</w:t>
      </w:r>
      <w:r w:rsidR="006150AF" w:rsidRPr="006150AF">
        <w:rPr>
          <w:rFonts w:ascii="Verdana" w:hAnsi="Verdana" w:cs="Verdana"/>
          <w:color w:val="000000" w:themeColor="text1"/>
          <w:sz w:val="20"/>
          <w:szCs w:val="20"/>
        </w:rPr>
        <w:t>)</w:t>
      </w:r>
    </w:p>
    <w:p w14:paraId="0147B93B" w14:textId="287CDD18" w:rsidR="003B1E4D" w:rsidRDefault="003B1E4D" w:rsidP="002A4B3D">
      <w:pPr>
        <w:autoSpaceDE w:val="0"/>
        <w:autoSpaceDN w:val="0"/>
        <w:adjustRightInd w:val="0"/>
        <w:spacing w:after="0" w:line="240" w:lineRule="auto"/>
        <w:rPr>
          <w:rFonts w:ascii="Verdana" w:hAnsi="Verdana" w:cs="Verdana"/>
          <w:color w:val="0070C0"/>
          <w:sz w:val="20"/>
          <w:szCs w:val="20"/>
        </w:rPr>
      </w:pPr>
    </w:p>
    <w:p w14:paraId="3799CA1A" w14:textId="5E5F7C3A" w:rsidR="00DA16F9" w:rsidRDefault="00DA16F9" w:rsidP="00DA16F9">
      <w:pPr>
        <w:autoSpaceDE w:val="0"/>
        <w:autoSpaceDN w:val="0"/>
        <w:adjustRightInd w:val="0"/>
        <w:spacing w:after="0" w:line="240" w:lineRule="auto"/>
        <w:rPr>
          <w:rFonts w:ascii="Verdana" w:hAnsi="Verdana" w:cs="Verdana"/>
          <w:color w:val="808080"/>
          <w:sz w:val="20"/>
          <w:szCs w:val="20"/>
        </w:rPr>
      </w:pPr>
    </w:p>
    <w:p w14:paraId="21EB0DBB" w14:textId="77777777" w:rsidR="00DA16F9" w:rsidRDefault="00DA16F9" w:rsidP="00DA16F9">
      <w:pPr>
        <w:autoSpaceDE w:val="0"/>
        <w:autoSpaceDN w:val="0"/>
        <w:adjustRightInd w:val="0"/>
        <w:spacing w:after="0" w:line="240" w:lineRule="auto"/>
        <w:rPr>
          <w:rFonts w:ascii="Verdana" w:hAnsi="Verdana" w:cs="Verdana"/>
          <w:color w:val="808080"/>
          <w:sz w:val="20"/>
          <w:szCs w:val="20"/>
        </w:rPr>
      </w:pPr>
    </w:p>
    <w:p w14:paraId="517A8C69" w14:textId="77777777" w:rsidR="00F052C0" w:rsidRPr="00F052C0" w:rsidRDefault="001D10D9" w:rsidP="003B1E4D">
      <w:pPr>
        <w:autoSpaceDE w:val="0"/>
        <w:autoSpaceDN w:val="0"/>
        <w:adjustRightInd w:val="0"/>
        <w:spacing w:after="0" w:line="240" w:lineRule="auto"/>
        <w:ind w:left="2832" w:firstLine="708"/>
        <w:rPr>
          <w:rFonts w:ascii="Verdana" w:hAnsi="Verdana" w:cs="Verdana"/>
          <w:color w:val="808080"/>
          <w:sz w:val="20"/>
          <w:szCs w:val="20"/>
        </w:rPr>
      </w:pPr>
      <w:r w:rsidRPr="00F052C0">
        <w:rPr>
          <w:rFonts w:ascii="Verdana" w:hAnsi="Verdana" w:cs="Verdana"/>
          <w:color w:val="808080"/>
          <w:sz w:val="20"/>
          <w:szCs w:val="20"/>
        </w:rPr>
        <w:t>Kontakt</w:t>
      </w:r>
      <w:r w:rsidR="003B1E4D">
        <w:rPr>
          <w:rFonts w:ascii="Verdana" w:hAnsi="Verdana" w:cs="Verdana"/>
          <w:color w:val="808080"/>
          <w:sz w:val="20"/>
          <w:szCs w:val="20"/>
        </w:rPr>
        <w:t xml:space="preserve"> medialny</w:t>
      </w:r>
      <w:r w:rsidRPr="00F052C0">
        <w:rPr>
          <w:rFonts w:ascii="Verdana" w:hAnsi="Verdana" w:cs="Verdana"/>
          <w:color w:val="808080"/>
          <w:sz w:val="20"/>
          <w:szCs w:val="20"/>
        </w:rPr>
        <w:t xml:space="preserve">: </w:t>
      </w:r>
    </w:p>
    <w:p w14:paraId="65696AF0" w14:textId="77777777" w:rsidR="001D10D9" w:rsidRPr="00F052C0" w:rsidRDefault="001D10D9" w:rsidP="00F052C0">
      <w:pPr>
        <w:autoSpaceDE w:val="0"/>
        <w:autoSpaceDN w:val="0"/>
        <w:adjustRightInd w:val="0"/>
        <w:spacing w:after="0" w:line="240" w:lineRule="auto"/>
        <w:jc w:val="center"/>
        <w:rPr>
          <w:rFonts w:ascii="Verdana" w:hAnsi="Verdana" w:cs="Verdana"/>
          <w:color w:val="808080"/>
          <w:sz w:val="20"/>
          <w:szCs w:val="20"/>
        </w:rPr>
      </w:pPr>
      <w:r w:rsidRPr="00F052C0">
        <w:rPr>
          <w:rFonts w:ascii="Verdana" w:hAnsi="Verdana" w:cs="Verdana"/>
          <w:color w:val="808080"/>
          <w:sz w:val="20"/>
          <w:szCs w:val="20"/>
        </w:rPr>
        <w:t>tel. +33 3 90 21 42 08</w:t>
      </w:r>
    </w:p>
    <w:p w14:paraId="18386E61" w14:textId="77777777" w:rsidR="0057632A" w:rsidRDefault="0057632A" w:rsidP="0009369F">
      <w:pPr>
        <w:autoSpaceDE w:val="0"/>
        <w:autoSpaceDN w:val="0"/>
        <w:adjustRightInd w:val="0"/>
        <w:spacing w:after="0" w:line="240" w:lineRule="auto"/>
        <w:jc w:val="both"/>
        <w:rPr>
          <w:rFonts w:ascii="Verdana" w:hAnsi="Verdana" w:cs="Verdana"/>
          <w:sz w:val="20"/>
          <w:szCs w:val="20"/>
        </w:rPr>
      </w:pPr>
    </w:p>
    <w:p w14:paraId="47EF3603" w14:textId="77777777" w:rsidR="00496631" w:rsidRPr="00496631" w:rsidRDefault="00496631" w:rsidP="0009369F">
      <w:pPr>
        <w:autoSpaceDE w:val="0"/>
        <w:autoSpaceDN w:val="0"/>
        <w:adjustRightInd w:val="0"/>
        <w:spacing w:after="0" w:line="240" w:lineRule="auto"/>
        <w:jc w:val="both"/>
        <w:rPr>
          <w:rFonts w:ascii="Verdana" w:hAnsi="Verdana" w:cs="Verdana"/>
          <w:sz w:val="20"/>
          <w:szCs w:val="20"/>
        </w:rPr>
      </w:pPr>
    </w:p>
    <w:sectPr w:rsidR="00496631" w:rsidRPr="00496631" w:rsidSect="002A4B3D">
      <w:headerReference w:type="default" r:id="rId56"/>
      <w:headerReference w:type="first" r:id="rId57"/>
      <w:pgSz w:w="11906" w:h="16838"/>
      <w:pgMar w:top="58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C69A" w14:textId="77777777" w:rsidR="003B094A" w:rsidRDefault="003B094A">
      <w:r>
        <w:separator/>
      </w:r>
    </w:p>
  </w:endnote>
  <w:endnote w:type="continuationSeparator" w:id="0">
    <w:p w14:paraId="13A1C520" w14:textId="77777777" w:rsidR="003B094A" w:rsidRDefault="003B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F5BC" w14:textId="77777777" w:rsidR="003B094A" w:rsidRDefault="003B094A">
      <w:r>
        <w:separator/>
      </w:r>
    </w:p>
  </w:footnote>
  <w:footnote w:type="continuationSeparator" w:id="0">
    <w:p w14:paraId="348BA4A5" w14:textId="77777777" w:rsidR="003B094A" w:rsidRDefault="003B094A">
      <w:r>
        <w:continuationSeparator/>
      </w:r>
    </w:p>
  </w:footnote>
  <w:footnote w:id="1">
    <w:p w14:paraId="3C2917B4" w14:textId="174E70CD" w:rsidR="00090D16" w:rsidRDefault="00090D16" w:rsidP="00C973FF">
      <w:pPr>
        <w:pStyle w:val="Tekstprzypisudolnego"/>
        <w:spacing w:after="0" w:line="240" w:lineRule="auto"/>
      </w:pPr>
      <w:r>
        <w:rPr>
          <w:rStyle w:val="Odwoanieprzypisudolnego"/>
        </w:rPr>
        <w:footnoteRef/>
      </w:r>
      <w:r>
        <w:t xml:space="preserve"> Obecnie, przed Trybunałem toczy się ponad 30 spraw przeciwko Litwie, Łotwie i Polsce</w:t>
      </w:r>
      <w:r w:rsidR="00F72261">
        <w:t xml:space="preserve"> dotyczących sytuacji na granicach z Białorusią od wiosny 2021 do lata 2023.</w:t>
      </w:r>
    </w:p>
  </w:footnote>
  <w:footnote w:id="2">
    <w:p w14:paraId="48FDEBBF" w14:textId="7ECC1DD1" w:rsidR="00BC0A19" w:rsidRDefault="00BC0A19" w:rsidP="00644801">
      <w:pPr>
        <w:pStyle w:val="Tekstprzypisudolnego"/>
        <w:spacing w:after="0" w:line="240" w:lineRule="auto"/>
      </w:pPr>
      <w:r>
        <w:rPr>
          <w:rStyle w:val="Odwoanieprzypisudolnego"/>
        </w:rPr>
        <w:footnoteRef/>
      </w:r>
      <w:r>
        <w:t xml:space="preserve"> </w:t>
      </w:r>
      <w:r w:rsidRPr="00BC0A19">
        <w:t>W dniu 16 września 2022 roku Federacja Rosyjska przestała być Stroną Europejskiej Konwencji Praw Człowieka („Konwencji”).</w:t>
      </w:r>
    </w:p>
  </w:footnote>
  <w:footnote w:id="3">
    <w:p w14:paraId="365D56E7" w14:textId="2E1CBA7B" w:rsidR="001D0852" w:rsidRDefault="001D0852" w:rsidP="00644801">
      <w:pPr>
        <w:pStyle w:val="Tekstprzypisudolnego"/>
        <w:spacing w:after="0" w:line="240" w:lineRule="auto"/>
      </w:pPr>
      <w:r>
        <w:rPr>
          <w:rStyle w:val="Odwoanieprzypisudolnego"/>
        </w:rPr>
        <w:footnoteRef/>
      </w:r>
      <w:r>
        <w:t xml:space="preserve"> </w:t>
      </w:r>
      <w:r w:rsidRPr="00BC0A19">
        <w:t>W dniu 16 września 2022 roku Federacja Rosyjska przestała być Stroną</w:t>
      </w:r>
      <w:r>
        <w:t xml:space="preserve"> </w:t>
      </w:r>
      <w:r w:rsidRPr="00BC0A19">
        <w:t>Konwencji</w:t>
      </w:r>
      <w:r>
        <w:t>.</w:t>
      </w:r>
    </w:p>
  </w:footnote>
  <w:footnote w:id="4">
    <w:p w14:paraId="504169DA" w14:textId="77777777" w:rsidR="005C2432" w:rsidRDefault="005C2432" w:rsidP="00644801">
      <w:pPr>
        <w:pStyle w:val="Tekstprzypisudolnego"/>
        <w:spacing w:after="0" w:line="240" w:lineRule="auto"/>
        <w:jc w:val="both"/>
      </w:pPr>
      <w:r>
        <w:rPr>
          <w:rStyle w:val="Odwoanieprzypisudolnego"/>
        </w:rPr>
        <w:footnoteRef/>
      </w:r>
      <w:r>
        <w:t xml:space="preserve"> W stosunku do 31 innych skarżących Trybunał skreślił skargi z listy na podstawie art. 37 Konwencji</w:t>
      </w:r>
    </w:p>
  </w:footnote>
  <w:footnote w:id="5">
    <w:p w14:paraId="7886C275" w14:textId="1D8ABBE2" w:rsidR="005C2432" w:rsidRDefault="005C2432" w:rsidP="002A4B3D">
      <w:pPr>
        <w:pStyle w:val="Tekstprzypisudolnego"/>
        <w:spacing w:after="0" w:line="240" w:lineRule="auto"/>
        <w:jc w:val="both"/>
      </w:pPr>
      <w:r>
        <w:rPr>
          <w:rStyle w:val="Odwoanieprzypisudolnego"/>
        </w:rPr>
        <w:footnoteRef/>
      </w:r>
      <w:r>
        <w:t xml:space="preserve"> Zob. zestawienie </w:t>
      </w:r>
      <w:hyperlink r:id="rId1" w:history="1">
        <w:r w:rsidRPr="008822CF">
          <w:rPr>
            <w:rStyle w:val="Hipercze"/>
          </w:rPr>
          <w:t>„Sprawy Dublińskie”</w:t>
        </w:r>
      </w:hyperlink>
    </w:p>
  </w:footnote>
  <w:footnote w:id="6">
    <w:p w14:paraId="36DFB6C9" w14:textId="76379826" w:rsidR="00575A75" w:rsidRDefault="00575A75" w:rsidP="002A1556">
      <w:pPr>
        <w:pStyle w:val="Tekstprzypisudolnego"/>
        <w:spacing w:after="0" w:line="276" w:lineRule="auto"/>
      </w:pPr>
      <w:r>
        <w:rPr>
          <w:rStyle w:val="Odwoanieprzypisudolnego"/>
        </w:rPr>
        <w:footnoteRef/>
      </w:r>
      <w:r>
        <w:t xml:space="preserve"> Ten wyrok stanie się ostateczny zgodnie z warunkami określonymi w art.44 </w:t>
      </w:r>
      <w:r w:rsidRPr="00575A75">
        <w:t>§</w:t>
      </w:r>
      <w:r>
        <w:t xml:space="preserve"> 2 (Ostateczne wyroki) </w:t>
      </w:r>
      <w:hyperlink r:id="rId2" w:history="1">
        <w:r w:rsidRPr="00575A75">
          <w:rPr>
            <w:rStyle w:val="Hipercze"/>
          </w:rPr>
          <w:t>Europejskiej Konwencji Praw Człowieka</w:t>
        </w:r>
      </w:hyperlink>
      <w:r>
        <w:t xml:space="preserve">. </w:t>
      </w:r>
    </w:p>
  </w:footnote>
  <w:footnote w:id="7">
    <w:p w14:paraId="09CDFDFB" w14:textId="5D7BAAC8" w:rsidR="00C514EF" w:rsidRDefault="00C514EF">
      <w:pPr>
        <w:pStyle w:val="Tekstprzypisudolnego"/>
      </w:pPr>
      <w:r>
        <w:rPr>
          <w:rStyle w:val="Odwoanieprzypisudolnego"/>
        </w:rPr>
        <w:footnoteRef/>
      </w:r>
      <w:r>
        <w:t xml:space="preserve"> Ten wyrok stanie się ostateczny zgodnie z warunkami określonymi w art.44 </w:t>
      </w:r>
      <w:r w:rsidRPr="00575A75">
        <w:t>§</w:t>
      </w:r>
      <w:r>
        <w:t xml:space="preserve"> 2 </w:t>
      </w:r>
      <w:hyperlink r:id="rId3" w:history="1">
        <w:r w:rsidRPr="00575A75">
          <w:rPr>
            <w:rStyle w:val="Hipercze"/>
          </w:rPr>
          <w:t>Konwencji</w:t>
        </w:r>
      </w:hyperlink>
      <w:r>
        <w:t>.</w:t>
      </w:r>
    </w:p>
  </w:footnote>
  <w:footnote w:id="8">
    <w:p w14:paraId="64DF02C7" w14:textId="77777777" w:rsidR="00BD57E5" w:rsidRDefault="00BD57E5" w:rsidP="002A4B3D">
      <w:pPr>
        <w:pStyle w:val="Tekstprzypisudolnego"/>
        <w:spacing w:after="0" w:line="240" w:lineRule="auto"/>
        <w:jc w:val="both"/>
      </w:pPr>
      <w:r>
        <w:rPr>
          <w:rStyle w:val="Odwoanieprzypisudolnego"/>
        </w:rPr>
        <w:footnoteRef/>
      </w:r>
      <w:r>
        <w:t xml:space="preserve"> Ten wyrok stanie się ostateczny zgodnie z okolicznościami wskazanymi w art. 44 § </w:t>
      </w:r>
      <w:r w:rsidR="002A4B3D">
        <w:t>2 Konwencji (wyroki ostateczne)</w:t>
      </w:r>
    </w:p>
  </w:footnote>
  <w:footnote w:id="9">
    <w:p w14:paraId="5A7A8B4C" w14:textId="77777777" w:rsidR="00BD57E5" w:rsidRDefault="00BD57E5" w:rsidP="002A4B3D">
      <w:pPr>
        <w:pStyle w:val="Tekstprzypisudolnego"/>
        <w:spacing w:after="0" w:line="240" w:lineRule="auto"/>
        <w:jc w:val="both"/>
      </w:pPr>
      <w:r>
        <w:rPr>
          <w:rStyle w:val="Odwoanieprzypisudolnego"/>
        </w:rPr>
        <w:footnoteRef/>
      </w:r>
      <w:r>
        <w:t xml:space="preserve"> Razem z Trybunałem oraz Komitetem </w:t>
      </w:r>
      <w:r w:rsidR="0055708E">
        <w:t>Ministrów Rady</w:t>
      </w:r>
      <w:r>
        <w:t xml:space="preserve"> Europy Komisja, która urzędowała w Strasburgu od </w:t>
      </w:r>
      <w:r w:rsidR="0055708E">
        <w:t>lipca 1954 roku</w:t>
      </w:r>
      <w:r>
        <w:t xml:space="preserve"> do października 1999 roku nadzorowała </w:t>
      </w:r>
      <w:r w:rsidR="00C56CE2">
        <w:t xml:space="preserve">wykonywanie przez Państwa-Strony Konwencji ich zobowiązań wynikających z Konwencji. Komisja przestała działać w momencie ustanowienia stałego Trybunału w dniu 1 listopada 1998 roku.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AD05" w14:textId="3B38D543" w:rsidR="002A4B3D" w:rsidRDefault="0041443E" w:rsidP="002A4B3D">
    <w:pPr>
      <w:autoSpaceDE w:val="0"/>
      <w:autoSpaceDN w:val="0"/>
      <w:adjustRightInd w:val="0"/>
      <w:spacing w:after="0" w:line="240" w:lineRule="auto"/>
      <w:jc w:val="right"/>
    </w:pPr>
    <w:r w:rsidRPr="002A4B3D">
      <w:rPr>
        <w:rFonts w:ascii="Times New Roman" w:hAnsi="Times New Roman"/>
        <w:noProof/>
        <w:lang w:eastAsia="pl-PL"/>
      </w:rPr>
      <w:drawing>
        <wp:inline distT="0" distB="0" distL="0" distR="0" wp14:anchorId="4BF00FD1" wp14:editId="281B5281">
          <wp:extent cx="1409700" cy="361950"/>
          <wp:effectExtent l="0" t="0" r="0"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noFill/>
                  <a:ln>
                    <a:noFill/>
                  </a:ln>
                </pic:spPr>
              </pic:pic>
            </a:graphicData>
          </a:graphic>
        </wp:inline>
      </w:drawing>
    </w:r>
  </w:p>
  <w:p w14:paraId="46409F03" w14:textId="77777777" w:rsidR="002A4B3D" w:rsidRDefault="002A4B3D" w:rsidP="002A4B3D">
    <w:pPr>
      <w:autoSpaceDE w:val="0"/>
      <w:autoSpaceDN w:val="0"/>
      <w:adjustRightInd w:val="0"/>
      <w:spacing w:after="0" w:line="240" w:lineRule="auto"/>
      <w:rPr>
        <w:sz w:val="20"/>
        <w:szCs w:val="20"/>
      </w:rPr>
    </w:pPr>
    <w:r w:rsidRPr="00E86721">
      <w:rPr>
        <w:sz w:val="20"/>
        <w:szCs w:val="20"/>
      </w:rPr>
      <w:t>Zestawienie tematyczne – Wydaleni</w:t>
    </w:r>
    <w:r>
      <w:rPr>
        <w:sz w:val="20"/>
        <w:szCs w:val="20"/>
      </w:rPr>
      <w:t>a</w:t>
    </w:r>
    <w:r w:rsidRPr="00E86721">
      <w:rPr>
        <w:sz w:val="20"/>
        <w:szCs w:val="20"/>
      </w:rPr>
      <w:t xml:space="preserve"> zbiorowe cudzoziemców</w:t>
    </w:r>
  </w:p>
  <w:p w14:paraId="38211C38" w14:textId="77777777" w:rsidR="002A4B3D" w:rsidRDefault="002A4B3D" w:rsidP="002A4B3D">
    <w:pPr>
      <w:autoSpaceDE w:val="0"/>
      <w:autoSpaceDN w:val="0"/>
      <w:adjustRightInd w:val="0"/>
      <w:spacing w:after="0" w:line="240" w:lineRule="auto"/>
      <w:rPr>
        <w:rFonts w:ascii="Times New Roman" w:hAnsi="Times New Roman"/>
        <w:noProof/>
        <w:lang w:eastAsia="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9ACE" w14:textId="0124C4E7" w:rsidR="002A4B3D" w:rsidRDefault="0041443E" w:rsidP="002A4B3D">
    <w:pPr>
      <w:pStyle w:val="Nagwek"/>
      <w:jc w:val="right"/>
      <w:rPr>
        <w:rFonts w:ascii="Times New Roman" w:hAnsi="Times New Roman"/>
        <w:noProof/>
        <w:lang w:eastAsia="pl-PL"/>
      </w:rPr>
    </w:pPr>
    <w:r>
      <w:rPr>
        <w:noProof/>
        <w:lang w:eastAsia="pl-PL"/>
      </w:rPr>
      <w:drawing>
        <wp:anchor distT="0" distB="0" distL="0" distR="0" simplePos="0" relativeHeight="251657728" behindDoc="0" locked="0" layoutInCell="1" allowOverlap="1" wp14:anchorId="539BB551" wp14:editId="7739D81D">
          <wp:simplePos x="0" y="0"/>
          <wp:positionH relativeFrom="page">
            <wp:posOffset>811530</wp:posOffset>
          </wp:positionH>
          <wp:positionV relativeFrom="paragraph">
            <wp:posOffset>66040</wp:posOffset>
          </wp:positionV>
          <wp:extent cx="2391410" cy="888365"/>
          <wp:effectExtent l="0" t="0" r="0" b="0"/>
          <wp:wrapNone/>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141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4B3D">
      <w:rPr>
        <w:rFonts w:ascii="Times New Roman" w:hAnsi="Times New Roman"/>
        <w:noProof/>
        <w:lang w:eastAsia="pl-PL"/>
      </w:rPr>
      <w:drawing>
        <wp:inline distT="0" distB="0" distL="0" distR="0" wp14:anchorId="1787CFF3" wp14:editId="7F000E6A">
          <wp:extent cx="1409700" cy="361950"/>
          <wp:effectExtent l="0" t="0" r="0" b="0"/>
          <wp:docPr id="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noFill/>
                  <a:ln>
                    <a:noFill/>
                  </a:ln>
                </pic:spPr>
              </pic:pic>
            </a:graphicData>
          </a:graphic>
        </wp:inline>
      </w:drawing>
    </w:r>
  </w:p>
  <w:p w14:paraId="2951DC81" w14:textId="77777777" w:rsidR="002A4B3D" w:rsidRDefault="002A4B3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71AF"/>
    <w:multiLevelType w:val="hybridMultilevel"/>
    <w:tmpl w:val="538ED036"/>
    <w:lvl w:ilvl="0" w:tplc="5C3CFF8C">
      <w:start w:val="1"/>
      <w:numFmt w:val="bullet"/>
      <w:lvlText w:val=""/>
      <w:lvlJc w:val="left"/>
      <w:pPr>
        <w:ind w:left="1080" w:hanging="360"/>
      </w:pPr>
      <w:rPr>
        <w:rFonts w:ascii="Symbol" w:hAnsi="Symbol"/>
      </w:rPr>
    </w:lvl>
    <w:lvl w:ilvl="1" w:tplc="3912D576">
      <w:start w:val="1"/>
      <w:numFmt w:val="bullet"/>
      <w:lvlText w:val=""/>
      <w:lvlJc w:val="left"/>
      <w:pPr>
        <w:ind w:left="1080" w:hanging="360"/>
      </w:pPr>
      <w:rPr>
        <w:rFonts w:ascii="Symbol" w:hAnsi="Symbol"/>
      </w:rPr>
    </w:lvl>
    <w:lvl w:ilvl="2" w:tplc="8B108054">
      <w:start w:val="1"/>
      <w:numFmt w:val="bullet"/>
      <w:lvlText w:val=""/>
      <w:lvlJc w:val="left"/>
      <w:pPr>
        <w:ind w:left="1080" w:hanging="360"/>
      </w:pPr>
      <w:rPr>
        <w:rFonts w:ascii="Symbol" w:hAnsi="Symbol"/>
      </w:rPr>
    </w:lvl>
    <w:lvl w:ilvl="3" w:tplc="86726632">
      <w:start w:val="1"/>
      <w:numFmt w:val="bullet"/>
      <w:lvlText w:val=""/>
      <w:lvlJc w:val="left"/>
      <w:pPr>
        <w:ind w:left="1080" w:hanging="360"/>
      </w:pPr>
      <w:rPr>
        <w:rFonts w:ascii="Symbol" w:hAnsi="Symbol"/>
      </w:rPr>
    </w:lvl>
    <w:lvl w:ilvl="4" w:tplc="204C4744">
      <w:start w:val="1"/>
      <w:numFmt w:val="bullet"/>
      <w:lvlText w:val=""/>
      <w:lvlJc w:val="left"/>
      <w:pPr>
        <w:ind w:left="1080" w:hanging="360"/>
      </w:pPr>
      <w:rPr>
        <w:rFonts w:ascii="Symbol" w:hAnsi="Symbol"/>
      </w:rPr>
    </w:lvl>
    <w:lvl w:ilvl="5" w:tplc="734243EE">
      <w:start w:val="1"/>
      <w:numFmt w:val="bullet"/>
      <w:lvlText w:val=""/>
      <w:lvlJc w:val="left"/>
      <w:pPr>
        <w:ind w:left="1080" w:hanging="360"/>
      </w:pPr>
      <w:rPr>
        <w:rFonts w:ascii="Symbol" w:hAnsi="Symbol"/>
      </w:rPr>
    </w:lvl>
    <w:lvl w:ilvl="6" w:tplc="545CA5C2">
      <w:start w:val="1"/>
      <w:numFmt w:val="bullet"/>
      <w:lvlText w:val=""/>
      <w:lvlJc w:val="left"/>
      <w:pPr>
        <w:ind w:left="1080" w:hanging="360"/>
      </w:pPr>
      <w:rPr>
        <w:rFonts w:ascii="Symbol" w:hAnsi="Symbol"/>
      </w:rPr>
    </w:lvl>
    <w:lvl w:ilvl="7" w:tplc="82601912">
      <w:start w:val="1"/>
      <w:numFmt w:val="bullet"/>
      <w:lvlText w:val=""/>
      <w:lvlJc w:val="left"/>
      <w:pPr>
        <w:ind w:left="1080" w:hanging="360"/>
      </w:pPr>
      <w:rPr>
        <w:rFonts w:ascii="Symbol" w:hAnsi="Symbol"/>
      </w:rPr>
    </w:lvl>
    <w:lvl w:ilvl="8" w:tplc="5100F810">
      <w:start w:val="1"/>
      <w:numFmt w:val="bullet"/>
      <w:lvlText w:val=""/>
      <w:lvlJc w:val="left"/>
      <w:pPr>
        <w:ind w:left="1080" w:hanging="360"/>
      </w:pPr>
      <w:rPr>
        <w:rFonts w:ascii="Symbol" w:hAnsi="Symbol"/>
      </w:rPr>
    </w:lvl>
  </w:abstractNum>
  <w:abstractNum w:abstractNumId="1" w15:restartNumberingAfterBreak="0">
    <w:nsid w:val="16DC2D69"/>
    <w:multiLevelType w:val="hybridMultilevel"/>
    <w:tmpl w:val="95BE29A2"/>
    <w:lvl w:ilvl="0" w:tplc="80D029CC">
      <w:start w:val="1"/>
      <w:numFmt w:val="bullet"/>
      <w:lvlText w:val=""/>
      <w:lvlJc w:val="left"/>
      <w:pPr>
        <w:ind w:left="1080" w:hanging="360"/>
      </w:pPr>
      <w:rPr>
        <w:rFonts w:ascii="Symbol" w:hAnsi="Symbol"/>
      </w:rPr>
    </w:lvl>
    <w:lvl w:ilvl="1" w:tplc="E1A65EE8">
      <w:start w:val="1"/>
      <w:numFmt w:val="bullet"/>
      <w:lvlText w:val=""/>
      <w:lvlJc w:val="left"/>
      <w:pPr>
        <w:ind w:left="1080" w:hanging="360"/>
      </w:pPr>
      <w:rPr>
        <w:rFonts w:ascii="Symbol" w:hAnsi="Symbol"/>
      </w:rPr>
    </w:lvl>
    <w:lvl w:ilvl="2" w:tplc="578C2BD6">
      <w:start w:val="1"/>
      <w:numFmt w:val="bullet"/>
      <w:lvlText w:val=""/>
      <w:lvlJc w:val="left"/>
      <w:pPr>
        <w:ind w:left="1080" w:hanging="360"/>
      </w:pPr>
      <w:rPr>
        <w:rFonts w:ascii="Symbol" w:hAnsi="Symbol"/>
      </w:rPr>
    </w:lvl>
    <w:lvl w:ilvl="3" w:tplc="2FF66DB2">
      <w:start w:val="1"/>
      <w:numFmt w:val="bullet"/>
      <w:lvlText w:val=""/>
      <w:lvlJc w:val="left"/>
      <w:pPr>
        <w:ind w:left="1080" w:hanging="360"/>
      </w:pPr>
      <w:rPr>
        <w:rFonts w:ascii="Symbol" w:hAnsi="Symbol"/>
      </w:rPr>
    </w:lvl>
    <w:lvl w:ilvl="4" w:tplc="C25E262A">
      <w:start w:val="1"/>
      <w:numFmt w:val="bullet"/>
      <w:lvlText w:val=""/>
      <w:lvlJc w:val="left"/>
      <w:pPr>
        <w:ind w:left="1080" w:hanging="360"/>
      </w:pPr>
      <w:rPr>
        <w:rFonts w:ascii="Symbol" w:hAnsi="Symbol"/>
      </w:rPr>
    </w:lvl>
    <w:lvl w:ilvl="5" w:tplc="934AFA30">
      <w:start w:val="1"/>
      <w:numFmt w:val="bullet"/>
      <w:lvlText w:val=""/>
      <w:lvlJc w:val="left"/>
      <w:pPr>
        <w:ind w:left="1080" w:hanging="360"/>
      </w:pPr>
      <w:rPr>
        <w:rFonts w:ascii="Symbol" w:hAnsi="Symbol"/>
      </w:rPr>
    </w:lvl>
    <w:lvl w:ilvl="6" w:tplc="ACF0EA56">
      <w:start w:val="1"/>
      <w:numFmt w:val="bullet"/>
      <w:lvlText w:val=""/>
      <w:lvlJc w:val="left"/>
      <w:pPr>
        <w:ind w:left="1080" w:hanging="360"/>
      </w:pPr>
      <w:rPr>
        <w:rFonts w:ascii="Symbol" w:hAnsi="Symbol"/>
      </w:rPr>
    </w:lvl>
    <w:lvl w:ilvl="7" w:tplc="792ACBEA">
      <w:start w:val="1"/>
      <w:numFmt w:val="bullet"/>
      <w:lvlText w:val=""/>
      <w:lvlJc w:val="left"/>
      <w:pPr>
        <w:ind w:left="1080" w:hanging="360"/>
      </w:pPr>
      <w:rPr>
        <w:rFonts w:ascii="Symbol" w:hAnsi="Symbol"/>
      </w:rPr>
    </w:lvl>
    <w:lvl w:ilvl="8" w:tplc="596256B0">
      <w:start w:val="1"/>
      <w:numFmt w:val="bullet"/>
      <w:lvlText w:val=""/>
      <w:lvlJc w:val="left"/>
      <w:pPr>
        <w:ind w:left="1080" w:hanging="360"/>
      </w:pPr>
      <w:rPr>
        <w:rFonts w:ascii="Symbol" w:hAnsi="Symbol"/>
      </w:rPr>
    </w:lvl>
  </w:abstractNum>
  <w:abstractNum w:abstractNumId="2" w15:restartNumberingAfterBreak="0">
    <w:nsid w:val="2DC10CAA"/>
    <w:multiLevelType w:val="hybridMultilevel"/>
    <w:tmpl w:val="2FC038F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BE738A"/>
    <w:multiLevelType w:val="hybridMultilevel"/>
    <w:tmpl w:val="6D9EABB4"/>
    <w:lvl w:ilvl="0" w:tplc="BA9EF932">
      <w:start w:val="1"/>
      <w:numFmt w:val="bullet"/>
      <w:lvlText w:val=""/>
      <w:lvlJc w:val="left"/>
      <w:pPr>
        <w:ind w:left="1080" w:hanging="360"/>
      </w:pPr>
      <w:rPr>
        <w:rFonts w:ascii="Symbol" w:hAnsi="Symbol"/>
      </w:rPr>
    </w:lvl>
    <w:lvl w:ilvl="1" w:tplc="9C58458C">
      <w:start w:val="1"/>
      <w:numFmt w:val="bullet"/>
      <w:lvlText w:val=""/>
      <w:lvlJc w:val="left"/>
      <w:pPr>
        <w:ind w:left="1080" w:hanging="360"/>
      </w:pPr>
      <w:rPr>
        <w:rFonts w:ascii="Symbol" w:hAnsi="Symbol"/>
      </w:rPr>
    </w:lvl>
    <w:lvl w:ilvl="2" w:tplc="8872FBF0">
      <w:start w:val="1"/>
      <w:numFmt w:val="bullet"/>
      <w:lvlText w:val=""/>
      <w:lvlJc w:val="left"/>
      <w:pPr>
        <w:ind w:left="1080" w:hanging="360"/>
      </w:pPr>
      <w:rPr>
        <w:rFonts w:ascii="Symbol" w:hAnsi="Symbol"/>
      </w:rPr>
    </w:lvl>
    <w:lvl w:ilvl="3" w:tplc="B6BA7504">
      <w:start w:val="1"/>
      <w:numFmt w:val="bullet"/>
      <w:lvlText w:val=""/>
      <w:lvlJc w:val="left"/>
      <w:pPr>
        <w:ind w:left="1080" w:hanging="360"/>
      </w:pPr>
      <w:rPr>
        <w:rFonts w:ascii="Symbol" w:hAnsi="Symbol"/>
      </w:rPr>
    </w:lvl>
    <w:lvl w:ilvl="4" w:tplc="954CFB44">
      <w:start w:val="1"/>
      <w:numFmt w:val="bullet"/>
      <w:lvlText w:val=""/>
      <w:lvlJc w:val="left"/>
      <w:pPr>
        <w:ind w:left="1080" w:hanging="360"/>
      </w:pPr>
      <w:rPr>
        <w:rFonts w:ascii="Symbol" w:hAnsi="Symbol"/>
      </w:rPr>
    </w:lvl>
    <w:lvl w:ilvl="5" w:tplc="1C46012E">
      <w:start w:val="1"/>
      <w:numFmt w:val="bullet"/>
      <w:lvlText w:val=""/>
      <w:lvlJc w:val="left"/>
      <w:pPr>
        <w:ind w:left="1080" w:hanging="360"/>
      </w:pPr>
      <w:rPr>
        <w:rFonts w:ascii="Symbol" w:hAnsi="Symbol"/>
      </w:rPr>
    </w:lvl>
    <w:lvl w:ilvl="6" w:tplc="96748E0C">
      <w:start w:val="1"/>
      <w:numFmt w:val="bullet"/>
      <w:lvlText w:val=""/>
      <w:lvlJc w:val="left"/>
      <w:pPr>
        <w:ind w:left="1080" w:hanging="360"/>
      </w:pPr>
      <w:rPr>
        <w:rFonts w:ascii="Symbol" w:hAnsi="Symbol"/>
      </w:rPr>
    </w:lvl>
    <w:lvl w:ilvl="7" w:tplc="CD527220">
      <w:start w:val="1"/>
      <w:numFmt w:val="bullet"/>
      <w:lvlText w:val=""/>
      <w:lvlJc w:val="left"/>
      <w:pPr>
        <w:ind w:left="1080" w:hanging="360"/>
      </w:pPr>
      <w:rPr>
        <w:rFonts w:ascii="Symbol" w:hAnsi="Symbol"/>
      </w:rPr>
    </w:lvl>
    <w:lvl w:ilvl="8" w:tplc="96049D6C">
      <w:start w:val="1"/>
      <w:numFmt w:val="bullet"/>
      <w:lvlText w:val=""/>
      <w:lvlJc w:val="left"/>
      <w:pPr>
        <w:ind w:left="1080" w:hanging="360"/>
      </w:pPr>
      <w:rPr>
        <w:rFonts w:ascii="Symbol" w:hAnsi="Symbol"/>
      </w:rPr>
    </w:lvl>
  </w:abstractNum>
  <w:abstractNum w:abstractNumId="4" w15:restartNumberingAfterBreak="0">
    <w:nsid w:val="45756817"/>
    <w:multiLevelType w:val="hybridMultilevel"/>
    <w:tmpl w:val="0FA0C2F8"/>
    <w:lvl w:ilvl="0" w:tplc="1FA41C88">
      <w:start w:val="1"/>
      <w:numFmt w:val="bullet"/>
      <w:lvlText w:val=""/>
      <w:lvlJc w:val="left"/>
      <w:pPr>
        <w:ind w:left="1080" w:hanging="360"/>
      </w:pPr>
      <w:rPr>
        <w:rFonts w:ascii="Symbol" w:hAnsi="Symbol"/>
      </w:rPr>
    </w:lvl>
    <w:lvl w:ilvl="1" w:tplc="0750F168">
      <w:start w:val="1"/>
      <w:numFmt w:val="bullet"/>
      <w:lvlText w:val=""/>
      <w:lvlJc w:val="left"/>
      <w:pPr>
        <w:ind w:left="1080" w:hanging="360"/>
      </w:pPr>
      <w:rPr>
        <w:rFonts w:ascii="Symbol" w:hAnsi="Symbol"/>
      </w:rPr>
    </w:lvl>
    <w:lvl w:ilvl="2" w:tplc="BC5C9426">
      <w:start w:val="1"/>
      <w:numFmt w:val="bullet"/>
      <w:lvlText w:val=""/>
      <w:lvlJc w:val="left"/>
      <w:pPr>
        <w:ind w:left="1080" w:hanging="360"/>
      </w:pPr>
      <w:rPr>
        <w:rFonts w:ascii="Symbol" w:hAnsi="Symbol"/>
      </w:rPr>
    </w:lvl>
    <w:lvl w:ilvl="3" w:tplc="15DA9F38">
      <w:start w:val="1"/>
      <w:numFmt w:val="bullet"/>
      <w:lvlText w:val=""/>
      <w:lvlJc w:val="left"/>
      <w:pPr>
        <w:ind w:left="1080" w:hanging="360"/>
      </w:pPr>
      <w:rPr>
        <w:rFonts w:ascii="Symbol" w:hAnsi="Symbol"/>
      </w:rPr>
    </w:lvl>
    <w:lvl w:ilvl="4" w:tplc="C622A5CA">
      <w:start w:val="1"/>
      <w:numFmt w:val="bullet"/>
      <w:lvlText w:val=""/>
      <w:lvlJc w:val="left"/>
      <w:pPr>
        <w:ind w:left="1080" w:hanging="360"/>
      </w:pPr>
      <w:rPr>
        <w:rFonts w:ascii="Symbol" w:hAnsi="Symbol"/>
      </w:rPr>
    </w:lvl>
    <w:lvl w:ilvl="5" w:tplc="CEC03626">
      <w:start w:val="1"/>
      <w:numFmt w:val="bullet"/>
      <w:lvlText w:val=""/>
      <w:lvlJc w:val="left"/>
      <w:pPr>
        <w:ind w:left="1080" w:hanging="360"/>
      </w:pPr>
      <w:rPr>
        <w:rFonts w:ascii="Symbol" w:hAnsi="Symbol"/>
      </w:rPr>
    </w:lvl>
    <w:lvl w:ilvl="6" w:tplc="CBE8030C">
      <w:start w:val="1"/>
      <w:numFmt w:val="bullet"/>
      <w:lvlText w:val=""/>
      <w:lvlJc w:val="left"/>
      <w:pPr>
        <w:ind w:left="1080" w:hanging="360"/>
      </w:pPr>
      <w:rPr>
        <w:rFonts w:ascii="Symbol" w:hAnsi="Symbol"/>
      </w:rPr>
    </w:lvl>
    <w:lvl w:ilvl="7" w:tplc="5F7A3198">
      <w:start w:val="1"/>
      <w:numFmt w:val="bullet"/>
      <w:lvlText w:val=""/>
      <w:lvlJc w:val="left"/>
      <w:pPr>
        <w:ind w:left="1080" w:hanging="360"/>
      </w:pPr>
      <w:rPr>
        <w:rFonts w:ascii="Symbol" w:hAnsi="Symbol"/>
      </w:rPr>
    </w:lvl>
    <w:lvl w:ilvl="8" w:tplc="067AD7F2">
      <w:start w:val="1"/>
      <w:numFmt w:val="bullet"/>
      <w:lvlText w:val=""/>
      <w:lvlJc w:val="left"/>
      <w:pPr>
        <w:ind w:left="1080" w:hanging="360"/>
      </w:pPr>
      <w:rPr>
        <w:rFonts w:ascii="Symbol" w:hAnsi="Symbol"/>
      </w:rPr>
    </w:lvl>
  </w:abstractNum>
  <w:abstractNum w:abstractNumId="5" w15:restartNumberingAfterBreak="0">
    <w:nsid w:val="5FE51ECD"/>
    <w:multiLevelType w:val="hybridMultilevel"/>
    <w:tmpl w:val="9D508C42"/>
    <w:lvl w:ilvl="0" w:tplc="29F87854">
      <w:start w:val="1"/>
      <w:numFmt w:val="bullet"/>
      <w:lvlText w:val=""/>
      <w:lvlJc w:val="left"/>
      <w:pPr>
        <w:ind w:left="720" w:hanging="360"/>
      </w:pPr>
      <w:rPr>
        <w:rFonts w:ascii="Symbol" w:hAnsi="Symbol"/>
      </w:rPr>
    </w:lvl>
    <w:lvl w:ilvl="1" w:tplc="969C4C4E">
      <w:start w:val="1"/>
      <w:numFmt w:val="bullet"/>
      <w:lvlText w:val=""/>
      <w:lvlJc w:val="left"/>
      <w:pPr>
        <w:ind w:left="720" w:hanging="360"/>
      </w:pPr>
      <w:rPr>
        <w:rFonts w:ascii="Symbol" w:hAnsi="Symbol"/>
      </w:rPr>
    </w:lvl>
    <w:lvl w:ilvl="2" w:tplc="B9A22E58">
      <w:start w:val="1"/>
      <w:numFmt w:val="bullet"/>
      <w:lvlText w:val=""/>
      <w:lvlJc w:val="left"/>
      <w:pPr>
        <w:ind w:left="720" w:hanging="360"/>
      </w:pPr>
      <w:rPr>
        <w:rFonts w:ascii="Symbol" w:hAnsi="Symbol"/>
      </w:rPr>
    </w:lvl>
    <w:lvl w:ilvl="3" w:tplc="3B5820C8">
      <w:start w:val="1"/>
      <w:numFmt w:val="bullet"/>
      <w:lvlText w:val=""/>
      <w:lvlJc w:val="left"/>
      <w:pPr>
        <w:ind w:left="720" w:hanging="360"/>
      </w:pPr>
      <w:rPr>
        <w:rFonts w:ascii="Symbol" w:hAnsi="Symbol"/>
      </w:rPr>
    </w:lvl>
    <w:lvl w:ilvl="4" w:tplc="E1F651C0">
      <w:start w:val="1"/>
      <w:numFmt w:val="bullet"/>
      <w:lvlText w:val=""/>
      <w:lvlJc w:val="left"/>
      <w:pPr>
        <w:ind w:left="720" w:hanging="360"/>
      </w:pPr>
      <w:rPr>
        <w:rFonts w:ascii="Symbol" w:hAnsi="Symbol"/>
      </w:rPr>
    </w:lvl>
    <w:lvl w:ilvl="5" w:tplc="8BFE0C7A">
      <w:start w:val="1"/>
      <w:numFmt w:val="bullet"/>
      <w:lvlText w:val=""/>
      <w:lvlJc w:val="left"/>
      <w:pPr>
        <w:ind w:left="720" w:hanging="360"/>
      </w:pPr>
      <w:rPr>
        <w:rFonts w:ascii="Symbol" w:hAnsi="Symbol"/>
      </w:rPr>
    </w:lvl>
    <w:lvl w:ilvl="6" w:tplc="FFBC5AF0">
      <w:start w:val="1"/>
      <w:numFmt w:val="bullet"/>
      <w:lvlText w:val=""/>
      <w:lvlJc w:val="left"/>
      <w:pPr>
        <w:ind w:left="720" w:hanging="360"/>
      </w:pPr>
      <w:rPr>
        <w:rFonts w:ascii="Symbol" w:hAnsi="Symbol"/>
      </w:rPr>
    </w:lvl>
    <w:lvl w:ilvl="7" w:tplc="32848390">
      <w:start w:val="1"/>
      <w:numFmt w:val="bullet"/>
      <w:lvlText w:val=""/>
      <w:lvlJc w:val="left"/>
      <w:pPr>
        <w:ind w:left="720" w:hanging="360"/>
      </w:pPr>
      <w:rPr>
        <w:rFonts w:ascii="Symbol" w:hAnsi="Symbol"/>
      </w:rPr>
    </w:lvl>
    <w:lvl w:ilvl="8" w:tplc="B022A89C">
      <w:start w:val="1"/>
      <w:numFmt w:val="bullet"/>
      <w:lvlText w:val=""/>
      <w:lvlJc w:val="left"/>
      <w:pPr>
        <w:ind w:left="720" w:hanging="360"/>
      </w:pPr>
      <w:rPr>
        <w:rFonts w:ascii="Symbol" w:hAnsi="Symbol"/>
      </w:rPr>
    </w:lvl>
  </w:abstractNum>
  <w:num w:numId="1" w16cid:durableId="423454984">
    <w:abstractNumId w:val="2"/>
  </w:num>
  <w:num w:numId="2" w16cid:durableId="2057973108">
    <w:abstractNumId w:val="1"/>
  </w:num>
  <w:num w:numId="3" w16cid:durableId="636110882">
    <w:abstractNumId w:val="0"/>
  </w:num>
  <w:num w:numId="4" w16cid:durableId="478426863">
    <w:abstractNumId w:val="3"/>
  </w:num>
  <w:num w:numId="5" w16cid:durableId="1806269048">
    <w:abstractNumId w:val="4"/>
  </w:num>
  <w:num w:numId="6" w16cid:durableId="1629239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C7B"/>
    <w:rsid w:val="000039E6"/>
    <w:rsid w:val="0000752E"/>
    <w:rsid w:val="00010703"/>
    <w:rsid w:val="000149DE"/>
    <w:rsid w:val="000176B9"/>
    <w:rsid w:val="00027956"/>
    <w:rsid w:val="00035F60"/>
    <w:rsid w:val="0003716E"/>
    <w:rsid w:val="000377DF"/>
    <w:rsid w:val="00040610"/>
    <w:rsid w:val="00040E11"/>
    <w:rsid w:val="00046DFE"/>
    <w:rsid w:val="00051FCE"/>
    <w:rsid w:val="00053376"/>
    <w:rsid w:val="00054BCF"/>
    <w:rsid w:val="00055584"/>
    <w:rsid w:val="00055BC1"/>
    <w:rsid w:val="000604B1"/>
    <w:rsid w:val="00061D61"/>
    <w:rsid w:val="00064C23"/>
    <w:rsid w:val="00065229"/>
    <w:rsid w:val="00067198"/>
    <w:rsid w:val="00071EB9"/>
    <w:rsid w:val="0007549A"/>
    <w:rsid w:val="000853D0"/>
    <w:rsid w:val="00086774"/>
    <w:rsid w:val="000871C7"/>
    <w:rsid w:val="00090D16"/>
    <w:rsid w:val="0009369F"/>
    <w:rsid w:val="000A2613"/>
    <w:rsid w:val="000A6F2F"/>
    <w:rsid w:val="000B005C"/>
    <w:rsid w:val="000B019E"/>
    <w:rsid w:val="000B07DA"/>
    <w:rsid w:val="000B61E5"/>
    <w:rsid w:val="000C4EDC"/>
    <w:rsid w:val="000C5F4D"/>
    <w:rsid w:val="000C7A35"/>
    <w:rsid w:val="000D1C49"/>
    <w:rsid w:val="000D3DB5"/>
    <w:rsid w:val="000D5569"/>
    <w:rsid w:val="000D6D1E"/>
    <w:rsid w:val="000E202D"/>
    <w:rsid w:val="000E3624"/>
    <w:rsid w:val="000E6059"/>
    <w:rsid w:val="000E6971"/>
    <w:rsid w:val="000E75FA"/>
    <w:rsid w:val="000E7E6B"/>
    <w:rsid w:val="000F3036"/>
    <w:rsid w:val="00110DB5"/>
    <w:rsid w:val="00111D5D"/>
    <w:rsid w:val="001125FF"/>
    <w:rsid w:val="001143BB"/>
    <w:rsid w:val="001170A2"/>
    <w:rsid w:val="00126FD2"/>
    <w:rsid w:val="00127F22"/>
    <w:rsid w:val="0013106C"/>
    <w:rsid w:val="0013353F"/>
    <w:rsid w:val="00134AF0"/>
    <w:rsid w:val="00135E1C"/>
    <w:rsid w:val="00135E30"/>
    <w:rsid w:val="0013699C"/>
    <w:rsid w:val="0013734C"/>
    <w:rsid w:val="00142D44"/>
    <w:rsid w:val="00142EB4"/>
    <w:rsid w:val="00143189"/>
    <w:rsid w:val="00144CF8"/>
    <w:rsid w:val="00145193"/>
    <w:rsid w:val="00147321"/>
    <w:rsid w:val="001509F9"/>
    <w:rsid w:val="00160166"/>
    <w:rsid w:val="00160A3A"/>
    <w:rsid w:val="00160F4E"/>
    <w:rsid w:val="0016269A"/>
    <w:rsid w:val="00171564"/>
    <w:rsid w:val="0017713D"/>
    <w:rsid w:val="00183F5C"/>
    <w:rsid w:val="00187497"/>
    <w:rsid w:val="00191327"/>
    <w:rsid w:val="001968B9"/>
    <w:rsid w:val="00196CF3"/>
    <w:rsid w:val="001A1F68"/>
    <w:rsid w:val="001A51B5"/>
    <w:rsid w:val="001A60CB"/>
    <w:rsid w:val="001A6BDC"/>
    <w:rsid w:val="001B0DD5"/>
    <w:rsid w:val="001B3D5E"/>
    <w:rsid w:val="001B4CC4"/>
    <w:rsid w:val="001B7652"/>
    <w:rsid w:val="001C24C0"/>
    <w:rsid w:val="001D0852"/>
    <w:rsid w:val="001D10D9"/>
    <w:rsid w:val="001E3B7D"/>
    <w:rsid w:val="001E4A7C"/>
    <w:rsid w:val="001E5643"/>
    <w:rsid w:val="001F24E1"/>
    <w:rsid w:val="001F3A8B"/>
    <w:rsid w:val="001F3F56"/>
    <w:rsid w:val="001F5364"/>
    <w:rsid w:val="001F6B86"/>
    <w:rsid w:val="002001B5"/>
    <w:rsid w:val="002111F4"/>
    <w:rsid w:val="00214BA9"/>
    <w:rsid w:val="00221171"/>
    <w:rsid w:val="00221508"/>
    <w:rsid w:val="0023062A"/>
    <w:rsid w:val="00232FB8"/>
    <w:rsid w:val="002444C1"/>
    <w:rsid w:val="00244552"/>
    <w:rsid w:val="00244D30"/>
    <w:rsid w:val="002568E7"/>
    <w:rsid w:val="00256B25"/>
    <w:rsid w:val="00261095"/>
    <w:rsid w:val="002718B3"/>
    <w:rsid w:val="002735A1"/>
    <w:rsid w:val="00280C10"/>
    <w:rsid w:val="00281B39"/>
    <w:rsid w:val="00285968"/>
    <w:rsid w:val="0029474C"/>
    <w:rsid w:val="00295694"/>
    <w:rsid w:val="00296A2B"/>
    <w:rsid w:val="00297425"/>
    <w:rsid w:val="002A0C1C"/>
    <w:rsid w:val="002A1556"/>
    <w:rsid w:val="002A26D5"/>
    <w:rsid w:val="002A4B3D"/>
    <w:rsid w:val="002A695F"/>
    <w:rsid w:val="002B44A5"/>
    <w:rsid w:val="002B5243"/>
    <w:rsid w:val="002B57BD"/>
    <w:rsid w:val="002C73A3"/>
    <w:rsid w:val="002C795D"/>
    <w:rsid w:val="002C7FC0"/>
    <w:rsid w:val="002D1338"/>
    <w:rsid w:val="002D144B"/>
    <w:rsid w:val="002D2E75"/>
    <w:rsid w:val="002D7C39"/>
    <w:rsid w:val="002E0869"/>
    <w:rsid w:val="002E6CBE"/>
    <w:rsid w:val="002F0C7B"/>
    <w:rsid w:val="00314898"/>
    <w:rsid w:val="00315831"/>
    <w:rsid w:val="003173CF"/>
    <w:rsid w:val="00320F99"/>
    <w:rsid w:val="0033156D"/>
    <w:rsid w:val="003357B5"/>
    <w:rsid w:val="003375B9"/>
    <w:rsid w:val="00342084"/>
    <w:rsid w:val="0034326C"/>
    <w:rsid w:val="00344DB6"/>
    <w:rsid w:val="003464C2"/>
    <w:rsid w:val="00352332"/>
    <w:rsid w:val="003538B6"/>
    <w:rsid w:val="00357923"/>
    <w:rsid w:val="0036776B"/>
    <w:rsid w:val="003700FE"/>
    <w:rsid w:val="00374BAA"/>
    <w:rsid w:val="00375509"/>
    <w:rsid w:val="0038005E"/>
    <w:rsid w:val="0038105A"/>
    <w:rsid w:val="00381B46"/>
    <w:rsid w:val="0038458C"/>
    <w:rsid w:val="00387069"/>
    <w:rsid w:val="00387B99"/>
    <w:rsid w:val="0039362E"/>
    <w:rsid w:val="00393ED0"/>
    <w:rsid w:val="00394317"/>
    <w:rsid w:val="003A2E4E"/>
    <w:rsid w:val="003B094A"/>
    <w:rsid w:val="003B1E4D"/>
    <w:rsid w:val="003B6808"/>
    <w:rsid w:val="003B73B1"/>
    <w:rsid w:val="003D009D"/>
    <w:rsid w:val="003D023D"/>
    <w:rsid w:val="003D1DC0"/>
    <w:rsid w:val="003D7025"/>
    <w:rsid w:val="003E2590"/>
    <w:rsid w:val="003E3311"/>
    <w:rsid w:val="003E4EF1"/>
    <w:rsid w:val="003F17DF"/>
    <w:rsid w:val="003F2855"/>
    <w:rsid w:val="0040095E"/>
    <w:rsid w:val="00402B81"/>
    <w:rsid w:val="00403AFD"/>
    <w:rsid w:val="004048A0"/>
    <w:rsid w:val="0040701C"/>
    <w:rsid w:val="0041424E"/>
    <w:rsid w:val="0041443E"/>
    <w:rsid w:val="00414547"/>
    <w:rsid w:val="004174AB"/>
    <w:rsid w:val="004178E8"/>
    <w:rsid w:val="0042074E"/>
    <w:rsid w:val="00423A62"/>
    <w:rsid w:val="00427E94"/>
    <w:rsid w:val="004556BF"/>
    <w:rsid w:val="00457CEC"/>
    <w:rsid w:val="004607DF"/>
    <w:rsid w:val="004615E0"/>
    <w:rsid w:val="00461843"/>
    <w:rsid w:val="00461A09"/>
    <w:rsid w:val="00461C79"/>
    <w:rsid w:val="00466F88"/>
    <w:rsid w:val="00474E51"/>
    <w:rsid w:val="0047618C"/>
    <w:rsid w:val="00477554"/>
    <w:rsid w:val="004811FE"/>
    <w:rsid w:val="00485021"/>
    <w:rsid w:val="004957F5"/>
    <w:rsid w:val="00496631"/>
    <w:rsid w:val="004A021D"/>
    <w:rsid w:val="004A134F"/>
    <w:rsid w:val="004A561C"/>
    <w:rsid w:val="004B3AB4"/>
    <w:rsid w:val="004B4C0D"/>
    <w:rsid w:val="004B7074"/>
    <w:rsid w:val="004C081C"/>
    <w:rsid w:val="004C2505"/>
    <w:rsid w:val="004C4993"/>
    <w:rsid w:val="004C54F7"/>
    <w:rsid w:val="004C65C4"/>
    <w:rsid w:val="004D3924"/>
    <w:rsid w:val="004D3BFD"/>
    <w:rsid w:val="004D478B"/>
    <w:rsid w:val="004D4C0E"/>
    <w:rsid w:val="004D4F6E"/>
    <w:rsid w:val="004D5913"/>
    <w:rsid w:val="004D619C"/>
    <w:rsid w:val="004D68E0"/>
    <w:rsid w:val="004D6CDB"/>
    <w:rsid w:val="004E4CEC"/>
    <w:rsid w:val="004E650B"/>
    <w:rsid w:val="004F2596"/>
    <w:rsid w:val="004F6D53"/>
    <w:rsid w:val="004F7BD6"/>
    <w:rsid w:val="00510ECB"/>
    <w:rsid w:val="00533D71"/>
    <w:rsid w:val="005431F4"/>
    <w:rsid w:val="00551F94"/>
    <w:rsid w:val="0055708E"/>
    <w:rsid w:val="005570A6"/>
    <w:rsid w:val="00564F3D"/>
    <w:rsid w:val="00565A4A"/>
    <w:rsid w:val="0057334F"/>
    <w:rsid w:val="00575520"/>
    <w:rsid w:val="00575A75"/>
    <w:rsid w:val="0057632A"/>
    <w:rsid w:val="00576459"/>
    <w:rsid w:val="00586F3F"/>
    <w:rsid w:val="00592442"/>
    <w:rsid w:val="005963EA"/>
    <w:rsid w:val="005A1CF5"/>
    <w:rsid w:val="005A1E19"/>
    <w:rsid w:val="005A46CC"/>
    <w:rsid w:val="005B0A9A"/>
    <w:rsid w:val="005B1155"/>
    <w:rsid w:val="005B28FF"/>
    <w:rsid w:val="005B4137"/>
    <w:rsid w:val="005B7AD2"/>
    <w:rsid w:val="005C0A93"/>
    <w:rsid w:val="005C0C2F"/>
    <w:rsid w:val="005C2432"/>
    <w:rsid w:val="005C24C3"/>
    <w:rsid w:val="005C6EDE"/>
    <w:rsid w:val="005D0D1E"/>
    <w:rsid w:val="005D542E"/>
    <w:rsid w:val="005E3DE9"/>
    <w:rsid w:val="005F34F5"/>
    <w:rsid w:val="005F4B43"/>
    <w:rsid w:val="005F6D56"/>
    <w:rsid w:val="005F7A36"/>
    <w:rsid w:val="005F7DA8"/>
    <w:rsid w:val="00603203"/>
    <w:rsid w:val="00603D90"/>
    <w:rsid w:val="00604906"/>
    <w:rsid w:val="006054CC"/>
    <w:rsid w:val="00605EB0"/>
    <w:rsid w:val="00607408"/>
    <w:rsid w:val="006113EC"/>
    <w:rsid w:val="00613847"/>
    <w:rsid w:val="006150AF"/>
    <w:rsid w:val="00615882"/>
    <w:rsid w:val="006207C1"/>
    <w:rsid w:val="006209EA"/>
    <w:rsid w:val="00621646"/>
    <w:rsid w:val="00633C1F"/>
    <w:rsid w:val="00640C36"/>
    <w:rsid w:val="00640FEB"/>
    <w:rsid w:val="006429C5"/>
    <w:rsid w:val="00642D44"/>
    <w:rsid w:val="00644801"/>
    <w:rsid w:val="00644F3E"/>
    <w:rsid w:val="00650149"/>
    <w:rsid w:val="006547C4"/>
    <w:rsid w:val="00655C6B"/>
    <w:rsid w:val="006578CC"/>
    <w:rsid w:val="006624AA"/>
    <w:rsid w:val="00662976"/>
    <w:rsid w:val="00665039"/>
    <w:rsid w:val="006804E7"/>
    <w:rsid w:val="00686D74"/>
    <w:rsid w:val="006916C1"/>
    <w:rsid w:val="006916FB"/>
    <w:rsid w:val="00695B87"/>
    <w:rsid w:val="00695D75"/>
    <w:rsid w:val="006973AA"/>
    <w:rsid w:val="006A26D8"/>
    <w:rsid w:val="006A6947"/>
    <w:rsid w:val="006B2740"/>
    <w:rsid w:val="006B299B"/>
    <w:rsid w:val="006B3EF6"/>
    <w:rsid w:val="006B79F9"/>
    <w:rsid w:val="006B7B3A"/>
    <w:rsid w:val="006C04EE"/>
    <w:rsid w:val="006C4301"/>
    <w:rsid w:val="006D5D5E"/>
    <w:rsid w:val="006E61E6"/>
    <w:rsid w:val="006E6AE6"/>
    <w:rsid w:val="006F01F6"/>
    <w:rsid w:val="006F3DA1"/>
    <w:rsid w:val="006F5045"/>
    <w:rsid w:val="006F7721"/>
    <w:rsid w:val="00700217"/>
    <w:rsid w:val="00704C02"/>
    <w:rsid w:val="007112AF"/>
    <w:rsid w:val="00720F41"/>
    <w:rsid w:val="00724E07"/>
    <w:rsid w:val="00725334"/>
    <w:rsid w:val="00726128"/>
    <w:rsid w:val="00731FC4"/>
    <w:rsid w:val="00733FB0"/>
    <w:rsid w:val="00735577"/>
    <w:rsid w:val="007405E8"/>
    <w:rsid w:val="00740BF8"/>
    <w:rsid w:val="00741079"/>
    <w:rsid w:val="007423C2"/>
    <w:rsid w:val="007469EE"/>
    <w:rsid w:val="00751DA2"/>
    <w:rsid w:val="007545A6"/>
    <w:rsid w:val="0075516F"/>
    <w:rsid w:val="00761997"/>
    <w:rsid w:val="0076465A"/>
    <w:rsid w:val="00764797"/>
    <w:rsid w:val="00775133"/>
    <w:rsid w:val="00780798"/>
    <w:rsid w:val="00781013"/>
    <w:rsid w:val="0078380E"/>
    <w:rsid w:val="00784798"/>
    <w:rsid w:val="00784E26"/>
    <w:rsid w:val="00785DC0"/>
    <w:rsid w:val="007955EE"/>
    <w:rsid w:val="00795C7A"/>
    <w:rsid w:val="007A270A"/>
    <w:rsid w:val="007A5FEE"/>
    <w:rsid w:val="007A7AFE"/>
    <w:rsid w:val="007B27CD"/>
    <w:rsid w:val="007B44D2"/>
    <w:rsid w:val="007B7AAC"/>
    <w:rsid w:val="007C058A"/>
    <w:rsid w:val="007C1408"/>
    <w:rsid w:val="007C4F54"/>
    <w:rsid w:val="007D561E"/>
    <w:rsid w:val="007D7A57"/>
    <w:rsid w:val="007E0BE5"/>
    <w:rsid w:val="007E2591"/>
    <w:rsid w:val="007E3990"/>
    <w:rsid w:val="007E566D"/>
    <w:rsid w:val="007E682F"/>
    <w:rsid w:val="007F6903"/>
    <w:rsid w:val="008003FF"/>
    <w:rsid w:val="00802E60"/>
    <w:rsid w:val="0080582F"/>
    <w:rsid w:val="00806995"/>
    <w:rsid w:val="00814386"/>
    <w:rsid w:val="00815B34"/>
    <w:rsid w:val="00817F9C"/>
    <w:rsid w:val="00823680"/>
    <w:rsid w:val="00832E1C"/>
    <w:rsid w:val="00852DC2"/>
    <w:rsid w:val="00853D42"/>
    <w:rsid w:val="008552B7"/>
    <w:rsid w:val="00870DC3"/>
    <w:rsid w:val="0087248F"/>
    <w:rsid w:val="00875CC4"/>
    <w:rsid w:val="008822CF"/>
    <w:rsid w:val="00882DBE"/>
    <w:rsid w:val="00884A62"/>
    <w:rsid w:val="008855E3"/>
    <w:rsid w:val="0088566E"/>
    <w:rsid w:val="008864D5"/>
    <w:rsid w:val="0088792E"/>
    <w:rsid w:val="00894E7A"/>
    <w:rsid w:val="00895D24"/>
    <w:rsid w:val="008A1398"/>
    <w:rsid w:val="008B3677"/>
    <w:rsid w:val="008B3AF7"/>
    <w:rsid w:val="008B5EFF"/>
    <w:rsid w:val="008C0500"/>
    <w:rsid w:val="008C1DE3"/>
    <w:rsid w:val="008C7E56"/>
    <w:rsid w:val="008D0A50"/>
    <w:rsid w:val="008D3356"/>
    <w:rsid w:val="008D4E0E"/>
    <w:rsid w:val="008E387C"/>
    <w:rsid w:val="008E6A8C"/>
    <w:rsid w:val="008F0055"/>
    <w:rsid w:val="008F026F"/>
    <w:rsid w:val="008F1249"/>
    <w:rsid w:val="008F1EAF"/>
    <w:rsid w:val="008F2FBB"/>
    <w:rsid w:val="008F3C0B"/>
    <w:rsid w:val="008F3E75"/>
    <w:rsid w:val="008F427C"/>
    <w:rsid w:val="009009B6"/>
    <w:rsid w:val="00903C77"/>
    <w:rsid w:val="00904352"/>
    <w:rsid w:val="009048B6"/>
    <w:rsid w:val="00905ED1"/>
    <w:rsid w:val="00911E4E"/>
    <w:rsid w:val="00914594"/>
    <w:rsid w:val="009220B7"/>
    <w:rsid w:val="0092369E"/>
    <w:rsid w:val="00926BF9"/>
    <w:rsid w:val="00927A76"/>
    <w:rsid w:val="00930896"/>
    <w:rsid w:val="009363F1"/>
    <w:rsid w:val="009432E4"/>
    <w:rsid w:val="0094479A"/>
    <w:rsid w:val="00950A4A"/>
    <w:rsid w:val="00956473"/>
    <w:rsid w:val="00957F04"/>
    <w:rsid w:val="00961249"/>
    <w:rsid w:val="00964715"/>
    <w:rsid w:val="00964FEC"/>
    <w:rsid w:val="009650EF"/>
    <w:rsid w:val="00974163"/>
    <w:rsid w:val="0097618C"/>
    <w:rsid w:val="00981832"/>
    <w:rsid w:val="00981E69"/>
    <w:rsid w:val="00981FF3"/>
    <w:rsid w:val="00990E88"/>
    <w:rsid w:val="00991B69"/>
    <w:rsid w:val="00993872"/>
    <w:rsid w:val="00996F9D"/>
    <w:rsid w:val="009A345F"/>
    <w:rsid w:val="009A7FA9"/>
    <w:rsid w:val="009B1912"/>
    <w:rsid w:val="009B29E3"/>
    <w:rsid w:val="009B664E"/>
    <w:rsid w:val="009B7011"/>
    <w:rsid w:val="009C335F"/>
    <w:rsid w:val="009C3424"/>
    <w:rsid w:val="009C441D"/>
    <w:rsid w:val="009C66E4"/>
    <w:rsid w:val="009C75D5"/>
    <w:rsid w:val="009D3D48"/>
    <w:rsid w:val="009E0DAC"/>
    <w:rsid w:val="009E5418"/>
    <w:rsid w:val="009E56B6"/>
    <w:rsid w:val="009F4F75"/>
    <w:rsid w:val="009F5318"/>
    <w:rsid w:val="00A07308"/>
    <w:rsid w:val="00A13FA0"/>
    <w:rsid w:val="00A14F56"/>
    <w:rsid w:val="00A22B77"/>
    <w:rsid w:val="00A2589A"/>
    <w:rsid w:val="00A26C57"/>
    <w:rsid w:val="00A3176F"/>
    <w:rsid w:val="00A31F26"/>
    <w:rsid w:val="00A37096"/>
    <w:rsid w:val="00A375FC"/>
    <w:rsid w:val="00A429D5"/>
    <w:rsid w:val="00A43A58"/>
    <w:rsid w:val="00A453DF"/>
    <w:rsid w:val="00A47785"/>
    <w:rsid w:val="00A5259F"/>
    <w:rsid w:val="00A54A55"/>
    <w:rsid w:val="00A56CA4"/>
    <w:rsid w:val="00A572D6"/>
    <w:rsid w:val="00A620EF"/>
    <w:rsid w:val="00A667D6"/>
    <w:rsid w:val="00A813A7"/>
    <w:rsid w:val="00A86625"/>
    <w:rsid w:val="00A86EC6"/>
    <w:rsid w:val="00A87855"/>
    <w:rsid w:val="00A87B81"/>
    <w:rsid w:val="00A94542"/>
    <w:rsid w:val="00AA0B3B"/>
    <w:rsid w:val="00AA1F39"/>
    <w:rsid w:val="00AA28F3"/>
    <w:rsid w:val="00AA71E9"/>
    <w:rsid w:val="00AB25F4"/>
    <w:rsid w:val="00AB543E"/>
    <w:rsid w:val="00AC0E18"/>
    <w:rsid w:val="00AC194B"/>
    <w:rsid w:val="00AC45DD"/>
    <w:rsid w:val="00AD2435"/>
    <w:rsid w:val="00AD36EF"/>
    <w:rsid w:val="00AD565F"/>
    <w:rsid w:val="00AE14A4"/>
    <w:rsid w:val="00AE1F2B"/>
    <w:rsid w:val="00AE7CD1"/>
    <w:rsid w:val="00AF6252"/>
    <w:rsid w:val="00AF68DF"/>
    <w:rsid w:val="00AF6A93"/>
    <w:rsid w:val="00AF7720"/>
    <w:rsid w:val="00B115F2"/>
    <w:rsid w:val="00B12D3D"/>
    <w:rsid w:val="00B17253"/>
    <w:rsid w:val="00B2087E"/>
    <w:rsid w:val="00B210E9"/>
    <w:rsid w:val="00B21606"/>
    <w:rsid w:val="00B27F31"/>
    <w:rsid w:val="00B3427A"/>
    <w:rsid w:val="00B35105"/>
    <w:rsid w:val="00B3547E"/>
    <w:rsid w:val="00B362DC"/>
    <w:rsid w:val="00B40E00"/>
    <w:rsid w:val="00B430F4"/>
    <w:rsid w:val="00B431E2"/>
    <w:rsid w:val="00B5175C"/>
    <w:rsid w:val="00B5299F"/>
    <w:rsid w:val="00B55324"/>
    <w:rsid w:val="00B62273"/>
    <w:rsid w:val="00B6373D"/>
    <w:rsid w:val="00B64DC1"/>
    <w:rsid w:val="00B64F21"/>
    <w:rsid w:val="00B65E4F"/>
    <w:rsid w:val="00B77E96"/>
    <w:rsid w:val="00B81DED"/>
    <w:rsid w:val="00B82B8B"/>
    <w:rsid w:val="00B875C5"/>
    <w:rsid w:val="00B96596"/>
    <w:rsid w:val="00BA1732"/>
    <w:rsid w:val="00BA44E0"/>
    <w:rsid w:val="00BC0A19"/>
    <w:rsid w:val="00BC0AA3"/>
    <w:rsid w:val="00BC1038"/>
    <w:rsid w:val="00BC248E"/>
    <w:rsid w:val="00BC267F"/>
    <w:rsid w:val="00BC7780"/>
    <w:rsid w:val="00BD10A7"/>
    <w:rsid w:val="00BD1BFB"/>
    <w:rsid w:val="00BD2163"/>
    <w:rsid w:val="00BD4C54"/>
    <w:rsid w:val="00BD50EE"/>
    <w:rsid w:val="00BD57E5"/>
    <w:rsid w:val="00BE0A13"/>
    <w:rsid w:val="00BF17EA"/>
    <w:rsid w:val="00BF3188"/>
    <w:rsid w:val="00BF36FC"/>
    <w:rsid w:val="00BF543C"/>
    <w:rsid w:val="00BF6ED6"/>
    <w:rsid w:val="00C02673"/>
    <w:rsid w:val="00C03CCD"/>
    <w:rsid w:val="00C05E24"/>
    <w:rsid w:val="00C07982"/>
    <w:rsid w:val="00C12E53"/>
    <w:rsid w:val="00C170D4"/>
    <w:rsid w:val="00C203ED"/>
    <w:rsid w:val="00C232B0"/>
    <w:rsid w:val="00C30271"/>
    <w:rsid w:val="00C35FF4"/>
    <w:rsid w:val="00C378A2"/>
    <w:rsid w:val="00C4424A"/>
    <w:rsid w:val="00C45B5C"/>
    <w:rsid w:val="00C466E9"/>
    <w:rsid w:val="00C46E7C"/>
    <w:rsid w:val="00C514EF"/>
    <w:rsid w:val="00C55326"/>
    <w:rsid w:val="00C56CE2"/>
    <w:rsid w:val="00C603B2"/>
    <w:rsid w:val="00C66AE4"/>
    <w:rsid w:val="00C73B22"/>
    <w:rsid w:val="00C81AD9"/>
    <w:rsid w:val="00C82BEE"/>
    <w:rsid w:val="00C90F98"/>
    <w:rsid w:val="00C960B6"/>
    <w:rsid w:val="00C96782"/>
    <w:rsid w:val="00C973FF"/>
    <w:rsid w:val="00CA7CD2"/>
    <w:rsid w:val="00CB638F"/>
    <w:rsid w:val="00CC098A"/>
    <w:rsid w:val="00CC398B"/>
    <w:rsid w:val="00CC4C3D"/>
    <w:rsid w:val="00CD3B84"/>
    <w:rsid w:val="00CD477C"/>
    <w:rsid w:val="00CD7D8B"/>
    <w:rsid w:val="00CE51D6"/>
    <w:rsid w:val="00CE72AC"/>
    <w:rsid w:val="00CE7A24"/>
    <w:rsid w:val="00CF294D"/>
    <w:rsid w:val="00CF7344"/>
    <w:rsid w:val="00D01334"/>
    <w:rsid w:val="00D07AB1"/>
    <w:rsid w:val="00D106BB"/>
    <w:rsid w:val="00D222D5"/>
    <w:rsid w:val="00D2583E"/>
    <w:rsid w:val="00D267CD"/>
    <w:rsid w:val="00D26BE8"/>
    <w:rsid w:val="00D36AFD"/>
    <w:rsid w:val="00D40D5A"/>
    <w:rsid w:val="00D43092"/>
    <w:rsid w:val="00D43E6B"/>
    <w:rsid w:val="00D46E26"/>
    <w:rsid w:val="00D63E21"/>
    <w:rsid w:val="00D73468"/>
    <w:rsid w:val="00D74A4A"/>
    <w:rsid w:val="00D76CDF"/>
    <w:rsid w:val="00D8036D"/>
    <w:rsid w:val="00D83564"/>
    <w:rsid w:val="00D90603"/>
    <w:rsid w:val="00D95895"/>
    <w:rsid w:val="00D97588"/>
    <w:rsid w:val="00DA16F9"/>
    <w:rsid w:val="00DA2944"/>
    <w:rsid w:val="00DA3319"/>
    <w:rsid w:val="00DA55B6"/>
    <w:rsid w:val="00DA619E"/>
    <w:rsid w:val="00DB3E36"/>
    <w:rsid w:val="00DB7F6C"/>
    <w:rsid w:val="00DC5F13"/>
    <w:rsid w:val="00DC6833"/>
    <w:rsid w:val="00DC6C81"/>
    <w:rsid w:val="00DD6669"/>
    <w:rsid w:val="00DE18EE"/>
    <w:rsid w:val="00DE2EE1"/>
    <w:rsid w:val="00DE7CF9"/>
    <w:rsid w:val="00DE7F71"/>
    <w:rsid w:val="00DF0464"/>
    <w:rsid w:val="00DF08B9"/>
    <w:rsid w:val="00DF6177"/>
    <w:rsid w:val="00E101AC"/>
    <w:rsid w:val="00E131B4"/>
    <w:rsid w:val="00E154D5"/>
    <w:rsid w:val="00E16CD8"/>
    <w:rsid w:val="00E2019D"/>
    <w:rsid w:val="00E36AE9"/>
    <w:rsid w:val="00E376F9"/>
    <w:rsid w:val="00E411AB"/>
    <w:rsid w:val="00E47BF4"/>
    <w:rsid w:val="00E5521B"/>
    <w:rsid w:val="00E6061A"/>
    <w:rsid w:val="00E6498A"/>
    <w:rsid w:val="00E660F0"/>
    <w:rsid w:val="00E676EC"/>
    <w:rsid w:val="00E71FAC"/>
    <w:rsid w:val="00E86721"/>
    <w:rsid w:val="00E9135F"/>
    <w:rsid w:val="00E92BD8"/>
    <w:rsid w:val="00E93BBA"/>
    <w:rsid w:val="00E93DF1"/>
    <w:rsid w:val="00EA2C67"/>
    <w:rsid w:val="00EA592A"/>
    <w:rsid w:val="00EB4646"/>
    <w:rsid w:val="00EB6E14"/>
    <w:rsid w:val="00EB7721"/>
    <w:rsid w:val="00EC0A2F"/>
    <w:rsid w:val="00EC2660"/>
    <w:rsid w:val="00EC567A"/>
    <w:rsid w:val="00EC7ABD"/>
    <w:rsid w:val="00EC7E70"/>
    <w:rsid w:val="00ED5426"/>
    <w:rsid w:val="00EE3821"/>
    <w:rsid w:val="00EE5E96"/>
    <w:rsid w:val="00EF3BAF"/>
    <w:rsid w:val="00EF4E62"/>
    <w:rsid w:val="00EF71F3"/>
    <w:rsid w:val="00F0525D"/>
    <w:rsid w:val="00F052C0"/>
    <w:rsid w:val="00F063F5"/>
    <w:rsid w:val="00F105C6"/>
    <w:rsid w:val="00F157D0"/>
    <w:rsid w:val="00F175B8"/>
    <w:rsid w:val="00F223A0"/>
    <w:rsid w:val="00F26F51"/>
    <w:rsid w:val="00F3269D"/>
    <w:rsid w:val="00F35245"/>
    <w:rsid w:val="00F40D40"/>
    <w:rsid w:val="00F45A4B"/>
    <w:rsid w:val="00F55B25"/>
    <w:rsid w:val="00F572C8"/>
    <w:rsid w:val="00F64285"/>
    <w:rsid w:val="00F66B22"/>
    <w:rsid w:val="00F67D52"/>
    <w:rsid w:val="00F67F7A"/>
    <w:rsid w:val="00F7131D"/>
    <w:rsid w:val="00F72261"/>
    <w:rsid w:val="00F725B0"/>
    <w:rsid w:val="00F77FE3"/>
    <w:rsid w:val="00F80697"/>
    <w:rsid w:val="00F83CD8"/>
    <w:rsid w:val="00F954B7"/>
    <w:rsid w:val="00FA0367"/>
    <w:rsid w:val="00FA0EC9"/>
    <w:rsid w:val="00FA2173"/>
    <w:rsid w:val="00FA2EAD"/>
    <w:rsid w:val="00FA2FD3"/>
    <w:rsid w:val="00FA367A"/>
    <w:rsid w:val="00FA44E9"/>
    <w:rsid w:val="00FA484D"/>
    <w:rsid w:val="00FA4F3D"/>
    <w:rsid w:val="00FA5D1A"/>
    <w:rsid w:val="00FA6F5D"/>
    <w:rsid w:val="00FA7703"/>
    <w:rsid w:val="00FB016B"/>
    <w:rsid w:val="00FB6413"/>
    <w:rsid w:val="00FC1CAC"/>
    <w:rsid w:val="00FC6B8D"/>
    <w:rsid w:val="00FD19A6"/>
    <w:rsid w:val="00FD24AB"/>
    <w:rsid w:val="00FD4621"/>
    <w:rsid w:val="00FD5D42"/>
    <w:rsid w:val="00FD61B8"/>
    <w:rsid w:val="00FD702C"/>
    <w:rsid w:val="00FD7D97"/>
    <w:rsid w:val="00FE0ECF"/>
    <w:rsid w:val="00FE10F0"/>
    <w:rsid w:val="00FE1713"/>
    <w:rsid w:val="00FE3BF2"/>
    <w:rsid w:val="00FE70A6"/>
    <w:rsid w:val="00FE76A2"/>
    <w:rsid w:val="00FF087B"/>
    <w:rsid w:val="00FF29E1"/>
    <w:rsid w:val="00FF4BDE"/>
    <w:rsid w:val="00FF5A87"/>
    <w:rsid w:val="00FF6C23"/>
    <w:rsid w:val="00FF73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D2E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74C"/>
    <w:pPr>
      <w:spacing w:after="200" w:line="360" w:lineRule="auto"/>
    </w:pPr>
    <w:rPr>
      <w:sz w:val="22"/>
      <w:szCs w:val="22"/>
      <w:lang w:eastAsia="en-US"/>
    </w:rPr>
  </w:style>
  <w:style w:type="paragraph" w:styleId="Nagwek1">
    <w:name w:val="heading 1"/>
    <w:basedOn w:val="Normalny"/>
    <w:next w:val="Normalny"/>
    <w:link w:val="Nagwek1Znak"/>
    <w:uiPriority w:val="9"/>
    <w:qFormat/>
    <w:rsid w:val="00A258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CFCountrytitle">
    <w:name w:val="PCF_Country_title"/>
    <w:basedOn w:val="Normalny"/>
    <w:next w:val="Normalny"/>
    <w:rsid w:val="008003FF"/>
    <w:pPr>
      <w:autoSpaceDE w:val="0"/>
      <w:autoSpaceDN w:val="0"/>
      <w:adjustRightInd w:val="0"/>
      <w:spacing w:after="0" w:line="240" w:lineRule="auto"/>
    </w:pPr>
    <w:rPr>
      <w:rFonts w:ascii="Verdana" w:hAnsi="Verdana"/>
      <w:sz w:val="24"/>
      <w:szCs w:val="24"/>
    </w:rPr>
  </w:style>
  <w:style w:type="paragraph" w:styleId="Tekstprzypisukocowego">
    <w:name w:val="endnote text"/>
    <w:basedOn w:val="Normalny"/>
    <w:semiHidden/>
    <w:rsid w:val="003E2590"/>
    <w:rPr>
      <w:sz w:val="20"/>
      <w:szCs w:val="20"/>
    </w:rPr>
  </w:style>
  <w:style w:type="character" w:styleId="Odwoanieprzypisukocowego">
    <w:name w:val="endnote reference"/>
    <w:semiHidden/>
    <w:rsid w:val="003E2590"/>
    <w:rPr>
      <w:vertAlign w:val="superscript"/>
    </w:rPr>
  </w:style>
  <w:style w:type="paragraph" w:styleId="Tekstprzypisudolnego">
    <w:name w:val="footnote text"/>
    <w:basedOn w:val="Normalny"/>
    <w:link w:val="TekstprzypisudolnegoZnak"/>
    <w:uiPriority w:val="99"/>
    <w:semiHidden/>
    <w:unhideWhenUsed/>
    <w:rsid w:val="00EF4E62"/>
    <w:rPr>
      <w:sz w:val="20"/>
      <w:szCs w:val="20"/>
    </w:rPr>
  </w:style>
  <w:style w:type="character" w:customStyle="1" w:styleId="TekstprzypisudolnegoZnak">
    <w:name w:val="Tekst przypisu dolnego Znak"/>
    <w:link w:val="Tekstprzypisudolnego"/>
    <w:uiPriority w:val="99"/>
    <w:semiHidden/>
    <w:rsid w:val="00EF4E62"/>
    <w:rPr>
      <w:lang w:eastAsia="en-US"/>
    </w:rPr>
  </w:style>
  <w:style w:type="character" w:styleId="Odwoanieprzypisudolnego">
    <w:name w:val="footnote reference"/>
    <w:uiPriority w:val="99"/>
    <w:semiHidden/>
    <w:unhideWhenUsed/>
    <w:rsid w:val="00EF4E62"/>
    <w:rPr>
      <w:vertAlign w:val="superscript"/>
    </w:rPr>
  </w:style>
  <w:style w:type="paragraph" w:styleId="Nagwek">
    <w:name w:val="header"/>
    <w:basedOn w:val="Normalny"/>
    <w:link w:val="NagwekZnak"/>
    <w:uiPriority w:val="99"/>
    <w:unhideWhenUsed/>
    <w:rsid w:val="00457CEC"/>
    <w:pPr>
      <w:tabs>
        <w:tab w:val="center" w:pos="4536"/>
        <w:tab w:val="right" w:pos="9072"/>
      </w:tabs>
    </w:pPr>
  </w:style>
  <w:style w:type="character" w:customStyle="1" w:styleId="NagwekZnak">
    <w:name w:val="Nagłówek Znak"/>
    <w:link w:val="Nagwek"/>
    <w:uiPriority w:val="99"/>
    <w:rsid w:val="00457CEC"/>
    <w:rPr>
      <w:sz w:val="22"/>
      <w:szCs w:val="22"/>
      <w:lang w:eastAsia="en-US"/>
    </w:rPr>
  </w:style>
  <w:style w:type="paragraph" w:styleId="Stopka">
    <w:name w:val="footer"/>
    <w:basedOn w:val="Normalny"/>
    <w:link w:val="StopkaZnak"/>
    <w:uiPriority w:val="99"/>
    <w:unhideWhenUsed/>
    <w:rsid w:val="00457CEC"/>
    <w:pPr>
      <w:tabs>
        <w:tab w:val="center" w:pos="4536"/>
        <w:tab w:val="right" w:pos="9072"/>
      </w:tabs>
    </w:pPr>
  </w:style>
  <w:style w:type="character" w:customStyle="1" w:styleId="StopkaZnak">
    <w:name w:val="Stopka Znak"/>
    <w:link w:val="Stopka"/>
    <w:uiPriority w:val="99"/>
    <w:rsid w:val="00457CEC"/>
    <w:rPr>
      <w:sz w:val="22"/>
      <w:szCs w:val="22"/>
      <w:lang w:eastAsia="en-US"/>
    </w:rPr>
  </w:style>
  <w:style w:type="character" w:styleId="Odwoaniedokomentarza">
    <w:name w:val="annotation reference"/>
    <w:basedOn w:val="Domylnaczcionkaakapitu"/>
    <w:uiPriority w:val="99"/>
    <w:semiHidden/>
    <w:unhideWhenUsed/>
    <w:rsid w:val="00090D16"/>
    <w:rPr>
      <w:sz w:val="16"/>
      <w:szCs w:val="16"/>
    </w:rPr>
  </w:style>
  <w:style w:type="paragraph" w:styleId="Tekstkomentarza">
    <w:name w:val="annotation text"/>
    <w:basedOn w:val="Normalny"/>
    <w:link w:val="TekstkomentarzaZnak"/>
    <w:uiPriority w:val="99"/>
    <w:unhideWhenUsed/>
    <w:rsid w:val="00090D16"/>
    <w:pPr>
      <w:spacing w:line="240" w:lineRule="auto"/>
    </w:pPr>
    <w:rPr>
      <w:sz w:val="20"/>
      <w:szCs w:val="20"/>
    </w:rPr>
  </w:style>
  <w:style w:type="character" w:customStyle="1" w:styleId="TekstkomentarzaZnak">
    <w:name w:val="Tekst komentarza Znak"/>
    <w:basedOn w:val="Domylnaczcionkaakapitu"/>
    <w:link w:val="Tekstkomentarza"/>
    <w:uiPriority w:val="99"/>
    <w:rsid w:val="00090D16"/>
    <w:rPr>
      <w:lang w:eastAsia="en-US"/>
    </w:rPr>
  </w:style>
  <w:style w:type="paragraph" w:styleId="Tematkomentarza">
    <w:name w:val="annotation subject"/>
    <w:basedOn w:val="Tekstkomentarza"/>
    <w:next w:val="Tekstkomentarza"/>
    <w:link w:val="TematkomentarzaZnak"/>
    <w:uiPriority w:val="99"/>
    <w:semiHidden/>
    <w:unhideWhenUsed/>
    <w:rsid w:val="00090D16"/>
    <w:rPr>
      <w:b/>
      <w:bCs/>
    </w:rPr>
  </w:style>
  <w:style w:type="character" w:customStyle="1" w:styleId="TematkomentarzaZnak">
    <w:name w:val="Temat komentarza Znak"/>
    <w:basedOn w:val="TekstkomentarzaZnak"/>
    <w:link w:val="Tematkomentarza"/>
    <w:uiPriority w:val="99"/>
    <w:semiHidden/>
    <w:rsid w:val="00090D16"/>
    <w:rPr>
      <w:b/>
      <w:bCs/>
      <w:lang w:eastAsia="en-US"/>
    </w:rPr>
  </w:style>
  <w:style w:type="paragraph" w:customStyle="1" w:styleId="Default">
    <w:name w:val="Default"/>
    <w:rsid w:val="000D5569"/>
    <w:pPr>
      <w:autoSpaceDE w:val="0"/>
      <w:autoSpaceDN w:val="0"/>
      <w:adjustRightInd w:val="0"/>
    </w:pPr>
    <w:rPr>
      <w:rFonts w:ascii="Verdana" w:hAnsi="Verdana" w:cs="Verdana"/>
      <w:color w:val="000000"/>
      <w:sz w:val="24"/>
      <w:szCs w:val="24"/>
    </w:rPr>
  </w:style>
  <w:style w:type="character" w:customStyle="1" w:styleId="Nagwek1Znak">
    <w:name w:val="Nagłówek 1 Znak"/>
    <w:basedOn w:val="Domylnaczcionkaakapitu"/>
    <w:link w:val="Nagwek1"/>
    <w:uiPriority w:val="9"/>
    <w:rsid w:val="00A2589A"/>
    <w:rPr>
      <w:rFonts w:asciiTheme="majorHAnsi" w:eastAsiaTheme="majorEastAsia" w:hAnsiTheme="majorHAnsi" w:cstheme="majorBidi"/>
      <w:color w:val="2F5496" w:themeColor="accent1" w:themeShade="BF"/>
      <w:sz w:val="32"/>
      <w:szCs w:val="32"/>
      <w:lang w:eastAsia="en-US"/>
    </w:rPr>
  </w:style>
  <w:style w:type="paragraph" w:styleId="NormalnyWeb">
    <w:name w:val="Normal (Web)"/>
    <w:basedOn w:val="Normalny"/>
    <w:uiPriority w:val="99"/>
    <w:semiHidden/>
    <w:unhideWhenUsed/>
    <w:rsid w:val="00823680"/>
    <w:rPr>
      <w:rFonts w:ascii="Times New Roman" w:hAnsi="Times New Roman"/>
      <w:sz w:val="24"/>
      <w:szCs w:val="24"/>
    </w:rPr>
  </w:style>
  <w:style w:type="character" w:styleId="Hipercze">
    <w:name w:val="Hyperlink"/>
    <w:basedOn w:val="Domylnaczcionkaakapitu"/>
    <w:uiPriority w:val="99"/>
    <w:unhideWhenUsed/>
    <w:rsid w:val="00644801"/>
    <w:rPr>
      <w:color w:val="0563C1" w:themeColor="hyperlink"/>
      <w:u w:val="single"/>
    </w:rPr>
  </w:style>
  <w:style w:type="character" w:customStyle="1" w:styleId="Nierozpoznanawzmianka1">
    <w:name w:val="Nierozpoznana wzmianka1"/>
    <w:basedOn w:val="Domylnaczcionkaakapitu"/>
    <w:uiPriority w:val="99"/>
    <w:semiHidden/>
    <w:unhideWhenUsed/>
    <w:rsid w:val="00644801"/>
    <w:rPr>
      <w:color w:val="605E5C"/>
      <w:shd w:val="clear" w:color="auto" w:fill="E1DFDD"/>
    </w:rPr>
  </w:style>
  <w:style w:type="character" w:styleId="UyteHipercze">
    <w:name w:val="FollowedHyperlink"/>
    <w:basedOn w:val="Domylnaczcionkaakapitu"/>
    <w:uiPriority w:val="99"/>
    <w:semiHidden/>
    <w:unhideWhenUsed/>
    <w:rsid w:val="00644801"/>
    <w:rPr>
      <w:color w:val="954F72" w:themeColor="followedHyperlink"/>
      <w:u w:val="single"/>
    </w:rPr>
  </w:style>
  <w:style w:type="paragraph" w:styleId="Tekstdymka">
    <w:name w:val="Balloon Text"/>
    <w:basedOn w:val="Normalny"/>
    <w:link w:val="TekstdymkaZnak"/>
    <w:uiPriority w:val="99"/>
    <w:semiHidden/>
    <w:unhideWhenUsed/>
    <w:rsid w:val="00B11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15F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9997">
      <w:bodyDiv w:val="1"/>
      <w:marLeft w:val="0"/>
      <w:marRight w:val="0"/>
      <w:marTop w:val="0"/>
      <w:marBottom w:val="0"/>
      <w:divBdr>
        <w:top w:val="none" w:sz="0" w:space="0" w:color="auto"/>
        <w:left w:val="none" w:sz="0" w:space="0" w:color="auto"/>
        <w:bottom w:val="none" w:sz="0" w:space="0" w:color="auto"/>
        <w:right w:val="none" w:sz="0" w:space="0" w:color="auto"/>
      </w:divBdr>
    </w:div>
    <w:div w:id="55587972">
      <w:bodyDiv w:val="1"/>
      <w:marLeft w:val="0"/>
      <w:marRight w:val="0"/>
      <w:marTop w:val="0"/>
      <w:marBottom w:val="0"/>
      <w:divBdr>
        <w:top w:val="none" w:sz="0" w:space="0" w:color="auto"/>
        <w:left w:val="none" w:sz="0" w:space="0" w:color="auto"/>
        <w:bottom w:val="none" w:sz="0" w:space="0" w:color="auto"/>
        <w:right w:val="none" w:sz="0" w:space="0" w:color="auto"/>
      </w:divBdr>
    </w:div>
    <w:div w:id="86122403">
      <w:bodyDiv w:val="1"/>
      <w:marLeft w:val="0"/>
      <w:marRight w:val="0"/>
      <w:marTop w:val="0"/>
      <w:marBottom w:val="0"/>
      <w:divBdr>
        <w:top w:val="none" w:sz="0" w:space="0" w:color="auto"/>
        <w:left w:val="none" w:sz="0" w:space="0" w:color="auto"/>
        <w:bottom w:val="none" w:sz="0" w:space="0" w:color="auto"/>
        <w:right w:val="none" w:sz="0" w:space="0" w:color="auto"/>
      </w:divBdr>
    </w:div>
    <w:div w:id="203102250">
      <w:bodyDiv w:val="1"/>
      <w:marLeft w:val="0"/>
      <w:marRight w:val="0"/>
      <w:marTop w:val="0"/>
      <w:marBottom w:val="0"/>
      <w:divBdr>
        <w:top w:val="none" w:sz="0" w:space="0" w:color="auto"/>
        <w:left w:val="none" w:sz="0" w:space="0" w:color="auto"/>
        <w:bottom w:val="none" w:sz="0" w:space="0" w:color="auto"/>
        <w:right w:val="none" w:sz="0" w:space="0" w:color="auto"/>
      </w:divBdr>
    </w:div>
    <w:div w:id="207692700">
      <w:bodyDiv w:val="1"/>
      <w:marLeft w:val="0"/>
      <w:marRight w:val="0"/>
      <w:marTop w:val="0"/>
      <w:marBottom w:val="0"/>
      <w:divBdr>
        <w:top w:val="none" w:sz="0" w:space="0" w:color="auto"/>
        <w:left w:val="none" w:sz="0" w:space="0" w:color="auto"/>
        <w:bottom w:val="none" w:sz="0" w:space="0" w:color="auto"/>
        <w:right w:val="none" w:sz="0" w:space="0" w:color="auto"/>
      </w:divBdr>
    </w:div>
    <w:div w:id="334966809">
      <w:bodyDiv w:val="1"/>
      <w:marLeft w:val="0"/>
      <w:marRight w:val="0"/>
      <w:marTop w:val="0"/>
      <w:marBottom w:val="0"/>
      <w:divBdr>
        <w:top w:val="none" w:sz="0" w:space="0" w:color="auto"/>
        <w:left w:val="none" w:sz="0" w:space="0" w:color="auto"/>
        <w:bottom w:val="none" w:sz="0" w:space="0" w:color="auto"/>
        <w:right w:val="none" w:sz="0" w:space="0" w:color="auto"/>
      </w:divBdr>
    </w:div>
    <w:div w:id="379211766">
      <w:bodyDiv w:val="1"/>
      <w:marLeft w:val="0"/>
      <w:marRight w:val="0"/>
      <w:marTop w:val="0"/>
      <w:marBottom w:val="0"/>
      <w:divBdr>
        <w:top w:val="none" w:sz="0" w:space="0" w:color="auto"/>
        <w:left w:val="none" w:sz="0" w:space="0" w:color="auto"/>
        <w:bottom w:val="none" w:sz="0" w:space="0" w:color="auto"/>
        <w:right w:val="none" w:sz="0" w:space="0" w:color="auto"/>
      </w:divBdr>
    </w:div>
    <w:div w:id="523327729">
      <w:bodyDiv w:val="1"/>
      <w:marLeft w:val="0"/>
      <w:marRight w:val="0"/>
      <w:marTop w:val="0"/>
      <w:marBottom w:val="0"/>
      <w:divBdr>
        <w:top w:val="none" w:sz="0" w:space="0" w:color="auto"/>
        <w:left w:val="none" w:sz="0" w:space="0" w:color="auto"/>
        <w:bottom w:val="none" w:sz="0" w:space="0" w:color="auto"/>
        <w:right w:val="none" w:sz="0" w:space="0" w:color="auto"/>
      </w:divBdr>
    </w:div>
    <w:div w:id="552666561">
      <w:bodyDiv w:val="1"/>
      <w:marLeft w:val="0"/>
      <w:marRight w:val="0"/>
      <w:marTop w:val="0"/>
      <w:marBottom w:val="0"/>
      <w:divBdr>
        <w:top w:val="none" w:sz="0" w:space="0" w:color="auto"/>
        <w:left w:val="none" w:sz="0" w:space="0" w:color="auto"/>
        <w:bottom w:val="none" w:sz="0" w:space="0" w:color="auto"/>
        <w:right w:val="none" w:sz="0" w:space="0" w:color="auto"/>
      </w:divBdr>
    </w:div>
    <w:div w:id="573203366">
      <w:bodyDiv w:val="1"/>
      <w:marLeft w:val="0"/>
      <w:marRight w:val="0"/>
      <w:marTop w:val="0"/>
      <w:marBottom w:val="0"/>
      <w:divBdr>
        <w:top w:val="none" w:sz="0" w:space="0" w:color="auto"/>
        <w:left w:val="none" w:sz="0" w:space="0" w:color="auto"/>
        <w:bottom w:val="none" w:sz="0" w:space="0" w:color="auto"/>
        <w:right w:val="none" w:sz="0" w:space="0" w:color="auto"/>
      </w:divBdr>
    </w:div>
    <w:div w:id="590045379">
      <w:bodyDiv w:val="1"/>
      <w:marLeft w:val="0"/>
      <w:marRight w:val="0"/>
      <w:marTop w:val="0"/>
      <w:marBottom w:val="0"/>
      <w:divBdr>
        <w:top w:val="none" w:sz="0" w:space="0" w:color="auto"/>
        <w:left w:val="none" w:sz="0" w:space="0" w:color="auto"/>
        <w:bottom w:val="none" w:sz="0" w:space="0" w:color="auto"/>
        <w:right w:val="none" w:sz="0" w:space="0" w:color="auto"/>
      </w:divBdr>
    </w:div>
    <w:div w:id="666245552">
      <w:bodyDiv w:val="1"/>
      <w:marLeft w:val="0"/>
      <w:marRight w:val="0"/>
      <w:marTop w:val="0"/>
      <w:marBottom w:val="0"/>
      <w:divBdr>
        <w:top w:val="none" w:sz="0" w:space="0" w:color="auto"/>
        <w:left w:val="none" w:sz="0" w:space="0" w:color="auto"/>
        <w:bottom w:val="none" w:sz="0" w:space="0" w:color="auto"/>
        <w:right w:val="none" w:sz="0" w:space="0" w:color="auto"/>
      </w:divBdr>
    </w:div>
    <w:div w:id="778841326">
      <w:bodyDiv w:val="1"/>
      <w:marLeft w:val="0"/>
      <w:marRight w:val="0"/>
      <w:marTop w:val="0"/>
      <w:marBottom w:val="0"/>
      <w:divBdr>
        <w:top w:val="none" w:sz="0" w:space="0" w:color="auto"/>
        <w:left w:val="none" w:sz="0" w:space="0" w:color="auto"/>
        <w:bottom w:val="none" w:sz="0" w:space="0" w:color="auto"/>
        <w:right w:val="none" w:sz="0" w:space="0" w:color="auto"/>
      </w:divBdr>
    </w:div>
    <w:div w:id="799961319">
      <w:bodyDiv w:val="1"/>
      <w:marLeft w:val="0"/>
      <w:marRight w:val="0"/>
      <w:marTop w:val="0"/>
      <w:marBottom w:val="0"/>
      <w:divBdr>
        <w:top w:val="none" w:sz="0" w:space="0" w:color="auto"/>
        <w:left w:val="none" w:sz="0" w:space="0" w:color="auto"/>
        <w:bottom w:val="none" w:sz="0" w:space="0" w:color="auto"/>
        <w:right w:val="none" w:sz="0" w:space="0" w:color="auto"/>
      </w:divBdr>
    </w:div>
    <w:div w:id="909927793">
      <w:bodyDiv w:val="1"/>
      <w:marLeft w:val="0"/>
      <w:marRight w:val="0"/>
      <w:marTop w:val="0"/>
      <w:marBottom w:val="0"/>
      <w:divBdr>
        <w:top w:val="none" w:sz="0" w:space="0" w:color="auto"/>
        <w:left w:val="none" w:sz="0" w:space="0" w:color="auto"/>
        <w:bottom w:val="none" w:sz="0" w:space="0" w:color="auto"/>
        <w:right w:val="none" w:sz="0" w:space="0" w:color="auto"/>
      </w:divBdr>
    </w:div>
    <w:div w:id="1075006403">
      <w:bodyDiv w:val="1"/>
      <w:marLeft w:val="0"/>
      <w:marRight w:val="0"/>
      <w:marTop w:val="0"/>
      <w:marBottom w:val="0"/>
      <w:divBdr>
        <w:top w:val="none" w:sz="0" w:space="0" w:color="auto"/>
        <w:left w:val="none" w:sz="0" w:space="0" w:color="auto"/>
        <w:bottom w:val="none" w:sz="0" w:space="0" w:color="auto"/>
        <w:right w:val="none" w:sz="0" w:space="0" w:color="auto"/>
      </w:divBdr>
    </w:div>
    <w:div w:id="1131748797">
      <w:bodyDiv w:val="1"/>
      <w:marLeft w:val="0"/>
      <w:marRight w:val="0"/>
      <w:marTop w:val="0"/>
      <w:marBottom w:val="0"/>
      <w:divBdr>
        <w:top w:val="none" w:sz="0" w:space="0" w:color="auto"/>
        <w:left w:val="none" w:sz="0" w:space="0" w:color="auto"/>
        <w:bottom w:val="none" w:sz="0" w:space="0" w:color="auto"/>
        <w:right w:val="none" w:sz="0" w:space="0" w:color="auto"/>
      </w:divBdr>
    </w:div>
    <w:div w:id="1160580140">
      <w:bodyDiv w:val="1"/>
      <w:marLeft w:val="0"/>
      <w:marRight w:val="0"/>
      <w:marTop w:val="0"/>
      <w:marBottom w:val="0"/>
      <w:divBdr>
        <w:top w:val="none" w:sz="0" w:space="0" w:color="auto"/>
        <w:left w:val="none" w:sz="0" w:space="0" w:color="auto"/>
        <w:bottom w:val="none" w:sz="0" w:space="0" w:color="auto"/>
        <w:right w:val="none" w:sz="0" w:space="0" w:color="auto"/>
      </w:divBdr>
    </w:div>
    <w:div w:id="1196388140">
      <w:bodyDiv w:val="1"/>
      <w:marLeft w:val="0"/>
      <w:marRight w:val="0"/>
      <w:marTop w:val="0"/>
      <w:marBottom w:val="0"/>
      <w:divBdr>
        <w:top w:val="none" w:sz="0" w:space="0" w:color="auto"/>
        <w:left w:val="none" w:sz="0" w:space="0" w:color="auto"/>
        <w:bottom w:val="none" w:sz="0" w:space="0" w:color="auto"/>
        <w:right w:val="none" w:sz="0" w:space="0" w:color="auto"/>
      </w:divBdr>
    </w:div>
    <w:div w:id="1262491905">
      <w:bodyDiv w:val="1"/>
      <w:marLeft w:val="0"/>
      <w:marRight w:val="0"/>
      <w:marTop w:val="0"/>
      <w:marBottom w:val="0"/>
      <w:divBdr>
        <w:top w:val="none" w:sz="0" w:space="0" w:color="auto"/>
        <w:left w:val="none" w:sz="0" w:space="0" w:color="auto"/>
        <w:bottom w:val="none" w:sz="0" w:space="0" w:color="auto"/>
        <w:right w:val="none" w:sz="0" w:space="0" w:color="auto"/>
      </w:divBdr>
    </w:div>
    <w:div w:id="1289047202">
      <w:bodyDiv w:val="1"/>
      <w:marLeft w:val="0"/>
      <w:marRight w:val="0"/>
      <w:marTop w:val="0"/>
      <w:marBottom w:val="0"/>
      <w:divBdr>
        <w:top w:val="none" w:sz="0" w:space="0" w:color="auto"/>
        <w:left w:val="none" w:sz="0" w:space="0" w:color="auto"/>
        <w:bottom w:val="none" w:sz="0" w:space="0" w:color="auto"/>
        <w:right w:val="none" w:sz="0" w:space="0" w:color="auto"/>
      </w:divBdr>
    </w:div>
    <w:div w:id="1396510973">
      <w:bodyDiv w:val="1"/>
      <w:marLeft w:val="0"/>
      <w:marRight w:val="0"/>
      <w:marTop w:val="0"/>
      <w:marBottom w:val="0"/>
      <w:divBdr>
        <w:top w:val="none" w:sz="0" w:space="0" w:color="auto"/>
        <w:left w:val="none" w:sz="0" w:space="0" w:color="auto"/>
        <w:bottom w:val="none" w:sz="0" w:space="0" w:color="auto"/>
        <w:right w:val="none" w:sz="0" w:space="0" w:color="auto"/>
      </w:divBdr>
    </w:div>
    <w:div w:id="1639648903">
      <w:bodyDiv w:val="1"/>
      <w:marLeft w:val="0"/>
      <w:marRight w:val="0"/>
      <w:marTop w:val="0"/>
      <w:marBottom w:val="0"/>
      <w:divBdr>
        <w:top w:val="none" w:sz="0" w:space="0" w:color="auto"/>
        <w:left w:val="none" w:sz="0" w:space="0" w:color="auto"/>
        <w:bottom w:val="none" w:sz="0" w:space="0" w:color="auto"/>
        <w:right w:val="none" w:sz="0" w:space="0" w:color="auto"/>
      </w:divBdr>
    </w:div>
    <w:div w:id="1656685149">
      <w:bodyDiv w:val="1"/>
      <w:marLeft w:val="0"/>
      <w:marRight w:val="0"/>
      <w:marTop w:val="0"/>
      <w:marBottom w:val="0"/>
      <w:divBdr>
        <w:top w:val="none" w:sz="0" w:space="0" w:color="auto"/>
        <w:left w:val="none" w:sz="0" w:space="0" w:color="auto"/>
        <w:bottom w:val="none" w:sz="0" w:space="0" w:color="auto"/>
        <w:right w:val="none" w:sz="0" w:space="0" w:color="auto"/>
      </w:divBdr>
    </w:div>
    <w:div w:id="1734742938">
      <w:bodyDiv w:val="1"/>
      <w:marLeft w:val="0"/>
      <w:marRight w:val="0"/>
      <w:marTop w:val="0"/>
      <w:marBottom w:val="0"/>
      <w:divBdr>
        <w:top w:val="none" w:sz="0" w:space="0" w:color="auto"/>
        <w:left w:val="none" w:sz="0" w:space="0" w:color="auto"/>
        <w:bottom w:val="none" w:sz="0" w:space="0" w:color="auto"/>
        <w:right w:val="none" w:sz="0" w:space="0" w:color="auto"/>
      </w:divBdr>
    </w:div>
    <w:div w:id="1824391243">
      <w:bodyDiv w:val="1"/>
      <w:marLeft w:val="0"/>
      <w:marRight w:val="0"/>
      <w:marTop w:val="0"/>
      <w:marBottom w:val="0"/>
      <w:divBdr>
        <w:top w:val="none" w:sz="0" w:space="0" w:color="auto"/>
        <w:left w:val="none" w:sz="0" w:space="0" w:color="auto"/>
        <w:bottom w:val="none" w:sz="0" w:space="0" w:color="auto"/>
        <w:right w:val="none" w:sz="0" w:space="0" w:color="auto"/>
      </w:divBdr>
    </w:div>
    <w:div w:id="1840465627">
      <w:bodyDiv w:val="1"/>
      <w:marLeft w:val="0"/>
      <w:marRight w:val="0"/>
      <w:marTop w:val="0"/>
      <w:marBottom w:val="0"/>
      <w:divBdr>
        <w:top w:val="none" w:sz="0" w:space="0" w:color="auto"/>
        <w:left w:val="none" w:sz="0" w:space="0" w:color="auto"/>
        <w:bottom w:val="none" w:sz="0" w:space="0" w:color="auto"/>
        <w:right w:val="none" w:sz="0" w:space="0" w:color="auto"/>
      </w:divBdr>
    </w:div>
    <w:div w:id="1868982840">
      <w:bodyDiv w:val="1"/>
      <w:marLeft w:val="0"/>
      <w:marRight w:val="0"/>
      <w:marTop w:val="0"/>
      <w:marBottom w:val="0"/>
      <w:divBdr>
        <w:top w:val="none" w:sz="0" w:space="0" w:color="auto"/>
        <w:left w:val="none" w:sz="0" w:space="0" w:color="auto"/>
        <w:bottom w:val="none" w:sz="0" w:space="0" w:color="auto"/>
        <w:right w:val="none" w:sz="0" w:space="0" w:color="auto"/>
      </w:divBdr>
    </w:div>
    <w:div w:id="1930582717">
      <w:bodyDiv w:val="1"/>
      <w:marLeft w:val="0"/>
      <w:marRight w:val="0"/>
      <w:marTop w:val="0"/>
      <w:marBottom w:val="0"/>
      <w:divBdr>
        <w:top w:val="none" w:sz="0" w:space="0" w:color="auto"/>
        <w:left w:val="none" w:sz="0" w:space="0" w:color="auto"/>
        <w:bottom w:val="none" w:sz="0" w:space="0" w:color="auto"/>
        <w:right w:val="none" w:sz="0" w:space="0" w:color="auto"/>
      </w:divBdr>
    </w:div>
    <w:div w:id="2031101514">
      <w:bodyDiv w:val="1"/>
      <w:marLeft w:val="0"/>
      <w:marRight w:val="0"/>
      <w:marTop w:val="0"/>
      <w:marBottom w:val="0"/>
      <w:divBdr>
        <w:top w:val="none" w:sz="0" w:space="0" w:color="auto"/>
        <w:left w:val="none" w:sz="0" w:space="0" w:color="auto"/>
        <w:bottom w:val="none" w:sz="0" w:space="0" w:color="auto"/>
        <w:right w:val="none" w:sz="0" w:space="0" w:color="auto"/>
      </w:divBdr>
    </w:div>
    <w:div w:id="2104522626">
      <w:bodyDiv w:val="1"/>
      <w:marLeft w:val="0"/>
      <w:marRight w:val="0"/>
      <w:marTop w:val="0"/>
      <w:marBottom w:val="0"/>
      <w:divBdr>
        <w:top w:val="none" w:sz="0" w:space="0" w:color="auto"/>
        <w:left w:val="none" w:sz="0" w:space="0" w:color="auto"/>
        <w:bottom w:val="none" w:sz="0" w:space="0" w:color="auto"/>
        <w:right w:val="none" w:sz="0" w:space="0" w:color="auto"/>
      </w:divBdr>
    </w:div>
    <w:div w:id="21401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press?i=003-7991237-11149537" TargetMode="External"/><Relationship Id="rId18" Type="http://schemas.openxmlformats.org/officeDocument/2006/relationships/hyperlink" Target="https://hudoc.echr.coe.int/eng?i=001-169650" TargetMode="External"/><Relationship Id="rId26" Type="http://schemas.openxmlformats.org/officeDocument/2006/relationships/hyperlink" Target="https://hudoc.echr.coe.int/eng-press?i=003-7611289-10472809" TargetMode="External"/><Relationship Id="rId39" Type="http://schemas.openxmlformats.org/officeDocument/2006/relationships/hyperlink" Target="https://hudoc.echr.coe.int/eng-press?i=003-6638738-8816756" TargetMode="External"/><Relationship Id="rId21" Type="http://schemas.openxmlformats.org/officeDocument/2006/relationships/hyperlink" Target="https://hudoc.echr.coe.int/eng?i=001-210855" TargetMode="External"/><Relationship Id="rId34" Type="http://schemas.openxmlformats.org/officeDocument/2006/relationships/hyperlink" Target="https://hudoc.echr.coe.int/fre?i=001-236076" TargetMode="External"/><Relationship Id="rId42" Type="http://schemas.openxmlformats.org/officeDocument/2006/relationships/hyperlink" Target="https://hudoc.echr.coe.int/eng-press?i=003-6669602-8870570" TargetMode="External"/><Relationship Id="rId47" Type="http://schemas.openxmlformats.org/officeDocument/2006/relationships/hyperlink" Target="https://hudoc.echr.coe.int/eng?i=001-103688" TargetMode="External"/><Relationship Id="rId50" Type="http://schemas.openxmlformats.org/officeDocument/2006/relationships/hyperlink" Target="https://hudoc.echr.coe.int/eng?i=001-200110" TargetMode="External"/><Relationship Id="rId55" Type="http://schemas.openxmlformats.org/officeDocument/2006/relationships/hyperlink" Target="https://ks.echr.coe.int/web/echr-ks/article-4-protocol-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eng-press?i=003-4811514-5865358" TargetMode="External"/><Relationship Id="rId29" Type="http://schemas.openxmlformats.org/officeDocument/2006/relationships/hyperlink" Target="https://hudoc.echr.coe.int/eng?i=001-219214" TargetMode="External"/><Relationship Id="rId11" Type="http://schemas.openxmlformats.org/officeDocument/2006/relationships/hyperlink" Target="https://www.echr.coe.int/apply-to-the-court" TargetMode="External"/><Relationship Id="rId24" Type="http://schemas.openxmlformats.org/officeDocument/2006/relationships/hyperlink" Target="https://hudoc.echr.coe.int/eng?i=001-219673" TargetMode="External"/><Relationship Id="rId32" Type="http://schemas.openxmlformats.org/officeDocument/2006/relationships/hyperlink" Target="https://hudoc.echr.coe.int/fre?i=001-230291" TargetMode="External"/><Relationship Id="rId37" Type="http://schemas.openxmlformats.org/officeDocument/2006/relationships/hyperlink" Target="https://hudoc.echr.coe.int/eng-press?i=003-4443131-5346266" TargetMode="External"/><Relationship Id="rId40" Type="http://schemas.openxmlformats.org/officeDocument/2006/relationships/hyperlink" Target="https://hudoc.echr.coe.int/eng?i=001-210981" TargetMode="External"/><Relationship Id="rId45" Type="http://schemas.openxmlformats.org/officeDocument/2006/relationships/hyperlink" Target="https://hudoc.echr.coe.int/eng?i=002-4589" TargetMode="External"/><Relationship Id="rId53" Type="http://schemas.openxmlformats.org/officeDocument/2006/relationships/hyperlink" Target="https://hudoc.echr.coe.int/eng?i=001-75660"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hudoc.echr.coe.int/eng-press?i=003-4910702-6007035" TargetMode="External"/><Relationship Id="rId4" Type="http://schemas.openxmlformats.org/officeDocument/2006/relationships/settings" Target="settings.xml"/><Relationship Id="rId9" Type="http://schemas.openxmlformats.org/officeDocument/2006/relationships/hyperlink" Target="https://hudoc.echr.coe.int/eng-press" TargetMode="External"/><Relationship Id="rId14" Type="http://schemas.openxmlformats.org/officeDocument/2006/relationships/hyperlink" Target="https://www.bing.com/ck/a?!&amp;&amp;p=a954307152a4c3a857a04af53c8f88b6499351c6db6293796210aa0d8d3547f9JmltdHM9MTc0MTczNzYwMA&amp;ptn=3&amp;ver=2&amp;hsh=4&amp;fclid=3e400491-f140-6bf2-1494-1137f0686a76&amp;psq=%c4%8conka+v+belgium&amp;u=a1aHR0cHM6Ly9odWRvYy5lY2hyLmNvZS5pbnQvYXBwL2NvbnZlcnNpb24vcGRmLz9saWJyYXJ5PUVDSFImaWQ9MDAyLTU0NjQmZmlsZW5hbWU9MDAyLTU0NjQucGRmJlRJRD1paGdkcWJ4bmZp&amp;ntb=1" TargetMode="External"/><Relationship Id="rId22" Type="http://schemas.openxmlformats.org/officeDocument/2006/relationships/hyperlink" Target="https://hudoc.echr.coe.int/fre?i=001-218070" TargetMode="External"/><Relationship Id="rId27" Type="http://schemas.openxmlformats.org/officeDocument/2006/relationships/hyperlink" Target="https://hudoc.echr.coe.int/eng-press?i=003-8056561-11258448" TargetMode="External"/><Relationship Id="rId30" Type="http://schemas.openxmlformats.org/officeDocument/2006/relationships/hyperlink" Target="https://hudoc.echr.coe.int/fre?i=001-224438" TargetMode="External"/><Relationship Id="rId35" Type="http://schemas.openxmlformats.org/officeDocument/2006/relationships/hyperlink" Target="https://hudoc.echr.coe.int/eng?i=001-82338" TargetMode="External"/><Relationship Id="rId43" Type="http://schemas.openxmlformats.org/officeDocument/2006/relationships/hyperlink" Target="https://hudoc.echr.coe.int/eng?i=002-13621" TargetMode="External"/><Relationship Id="rId48" Type="http://schemas.openxmlformats.org/officeDocument/2006/relationships/hyperlink" Target="https://hudoc.echr.coe.int/eng?i=001-147309" TargetMode="External"/><Relationship Id="rId56" Type="http://schemas.openxmlformats.org/officeDocument/2006/relationships/header" Target="header1.xml"/><Relationship Id="rId8" Type="http://schemas.openxmlformats.org/officeDocument/2006/relationships/hyperlink" Target="https://hudoc.echr.coe.int/fre-press" TargetMode="External"/><Relationship Id="rId51" Type="http://schemas.openxmlformats.org/officeDocument/2006/relationships/hyperlink" Target="https://hudoc.echr.coe.int/fre?i=001-217342" TargetMode="External"/><Relationship Id="rId3" Type="http://schemas.openxmlformats.org/officeDocument/2006/relationships/styles" Target="styles.xml"/><Relationship Id="rId12" Type="http://schemas.openxmlformats.org/officeDocument/2006/relationships/hyperlink" Target="https://www.bing.com/ck/a?!&amp;&amp;p=f3bcb8cd8eb6886371efab7b0fc8ccc5727fe2477d928d23d1c056dab3aed9a2JmltdHM9MTc0MTczNzYwMA&amp;ptn=3&amp;ver=2&amp;hsh=4&amp;fclid=3e400491-f140-6bf2-1494-1137f0686a76&amp;psq=echr+rules+of+court+pl&amp;u=a1aHR0cHM6Ly93d3cuZWNoci5jb2UuaW50L2RvY3VtZW50cy9kL2VjaHIvcnVsZXNfY291cnRfcG9s&amp;ntb=1" TargetMode="External"/><Relationship Id="rId17" Type="http://schemas.openxmlformats.org/officeDocument/2006/relationships/hyperlink" Target="https://hudoc.echr.coe.int/eng?i=001-169648" TargetMode="External"/><Relationship Id="rId25" Type="http://schemas.openxmlformats.org/officeDocument/2006/relationships/hyperlink" Target="https://hudoc.echr.coe.int/eng-press?i=003-7074551-9563058" TargetMode="External"/><Relationship Id="rId33" Type="http://schemas.openxmlformats.org/officeDocument/2006/relationships/hyperlink" Target="https://hudoc.echr.coe.int/fre?i=001-231867" TargetMode="External"/><Relationship Id="rId38" Type="http://schemas.openxmlformats.org/officeDocument/2006/relationships/hyperlink" Target="https://hudoc.echr.coe.int/eng-press?i=003-5579738-7042078" TargetMode="External"/><Relationship Id="rId46" Type="http://schemas.openxmlformats.org/officeDocument/2006/relationships/hyperlink" Target="https://hudoc.echr.coe.int/eng?i=001-80459" TargetMode="External"/><Relationship Id="rId59" Type="http://schemas.openxmlformats.org/officeDocument/2006/relationships/theme" Target="theme/theme1.xml"/><Relationship Id="rId20" Type="http://schemas.openxmlformats.org/officeDocument/2006/relationships/hyperlink" Target="https://hudoc.echr.coe.int/eng-press?i=003-6731531-8975568" TargetMode="External"/><Relationship Id="rId41" Type="http://schemas.openxmlformats.org/officeDocument/2006/relationships/hyperlink" Target="https://hudoc.echr.coe.int/eng?i=001-218847" TargetMode="External"/><Relationship Id="rId54" Type="http://schemas.openxmlformats.org/officeDocument/2006/relationships/hyperlink" Target="https://hudoc.echr.coe.int/eng?i=001-968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udoc.echr.coe.int/eng-press?i=003-3856359-4434185" TargetMode="External"/><Relationship Id="rId23" Type="http://schemas.openxmlformats.org/officeDocument/2006/relationships/hyperlink" Target="https://hudoc.echr.coe.int/fre?i=001-218069" TargetMode="External"/><Relationship Id="rId28" Type="http://schemas.openxmlformats.org/officeDocument/2006/relationships/hyperlink" Target="https://hudoc.echr.coe.int/eng-press?i=003-7183946-9752781" TargetMode="External"/><Relationship Id="rId36" Type="http://schemas.openxmlformats.org/officeDocument/2006/relationships/hyperlink" Target="https://hudoc.echr.coe.int/eng?i=001-92444" TargetMode="External"/><Relationship Id="rId49" Type="http://schemas.openxmlformats.org/officeDocument/2006/relationships/hyperlink" Target="https://hudoc.echr.coe.int/eng?i=001-210981" TargetMode="External"/><Relationship Id="rId57" Type="http://schemas.openxmlformats.org/officeDocument/2006/relationships/header" Target="header2.xml"/><Relationship Id="rId10" Type="http://schemas.openxmlformats.org/officeDocument/2006/relationships/hyperlink" Target="https://www.echr.coe.int/apply-to-the-court" TargetMode="External"/><Relationship Id="rId31" Type="http://schemas.openxmlformats.org/officeDocument/2006/relationships/hyperlink" Target="https://hudoc.echr.coe.int/fre?i=001-228029" TargetMode="External"/><Relationship Id="rId44" Type="http://schemas.openxmlformats.org/officeDocument/2006/relationships/hyperlink" Target="https://hudoc.echr.coe.int/eng?i=001-75008" TargetMode="External"/><Relationship Id="rId52" Type="http://schemas.openxmlformats.org/officeDocument/2006/relationships/hyperlink" Target="https://hudoc.echr.coe.int/eng?i=001-9678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hr.coe.int/documents/d/echr/convention_POL" TargetMode="External"/><Relationship Id="rId2" Type="http://schemas.openxmlformats.org/officeDocument/2006/relationships/hyperlink" Target="https://www.echr.coe.int/documents/d/echr/convention_POL" TargetMode="External"/><Relationship Id="rId1" Type="http://schemas.openxmlformats.org/officeDocument/2006/relationships/hyperlink" Target="https://www.gov.pl/attachment/0f992278-8304-4c16-a941-d80f4ff896b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4CD4-CB42-4577-9523-93AA3DBB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6703</Words>
  <Characters>40223</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2025-03-03T11:25:00Z</dcterms:created>
  <dcterms:modified xsi:type="dcterms:W3CDTF">2025-08-21T14:59:00Z</dcterms:modified>
</cp:coreProperties>
</file>